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1C108"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rPr>
        <w:t xml:space="preserve">Name of Journal: </w:t>
      </w:r>
      <w:r w:rsidRPr="00A04234">
        <w:rPr>
          <w:rFonts w:ascii="Book Antiqua" w:eastAsia="Book Antiqua" w:hAnsi="Book Antiqua" w:cs="Book Antiqua"/>
          <w:i/>
        </w:rPr>
        <w:t>World Journal of Gastroenterology</w:t>
      </w:r>
    </w:p>
    <w:p w14:paraId="5F773210"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rPr>
        <w:t xml:space="preserve">Manuscript NO: </w:t>
      </w:r>
      <w:r w:rsidRPr="00A04234">
        <w:rPr>
          <w:rFonts w:ascii="Book Antiqua" w:eastAsia="Book Antiqua" w:hAnsi="Book Antiqua" w:cs="Book Antiqua"/>
        </w:rPr>
        <w:t>63181</w:t>
      </w:r>
    </w:p>
    <w:p w14:paraId="7AC867B3"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rPr>
        <w:t xml:space="preserve">Manuscript Type: </w:t>
      </w:r>
      <w:r w:rsidRPr="00A04234">
        <w:rPr>
          <w:rFonts w:ascii="Book Antiqua" w:eastAsia="Book Antiqua" w:hAnsi="Book Antiqua" w:cs="Book Antiqua"/>
        </w:rPr>
        <w:t>MINIREVIEWS</w:t>
      </w:r>
    </w:p>
    <w:p w14:paraId="753F40B3" w14:textId="77777777" w:rsidR="00A77B3E" w:rsidRPr="00A04234" w:rsidRDefault="00A77B3E" w:rsidP="0048655F">
      <w:pPr>
        <w:adjustRightInd w:val="0"/>
        <w:snapToGrid w:val="0"/>
        <w:spacing w:line="360" w:lineRule="auto"/>
        <w:jc w:val="both"/>
        <w:rPr>
          <w:rFonts w:ascii="Book Antiqua" w:hAnsi="Book Antiqua"/>
        </w:rPr>
      </w:pPr>
    </w:p>
    <w:p w14:paraId="16A20AD7"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bCs/>
        </w:rPr>
        <w:t>Molecular advances in pancreatic cancer: A genomic, proteomic and metabolomic approach</w:t>
      </w:r>
      <w:r w:rsidRPr="00A04234">
        <w:rPr>
          <w:rFonts w:ascii="Book Antiqua" w:eastAsia="Book Antiqua" w:hAnsi="Book Antiqua" w:cs="Book Antiqua"/>
          <w:b/>
        </w:rPr>
        <w:t xml:space="preserve"> </w:t>
      </w:r>
    </w:p>
    <w:p w14:paraId="61869EAA" w14:textId="77777777" w:rsidR="00A77B3E" w:rsidRPr="00A04234" w:rsidRDefault="00A77B3E" w:rsidP="0048655F">
      <w:pPr>
        <w:adjustRightInd w:val="0"/>
        <w:snapToGrid w:val="0"/>
        <w:spacing w:line="360" w:lineRule="auto"/>
        <w:jc w:val="both"/>
        <w:rPr>
          <w:rFonts w:ascii="Book Antiqua" w:hAnsi="Book Antiqua"/>
        </w:rPr>
      </w:pPr>
    </w:p>
    <w:p w14:paraId="0481C152" w14:textId="78733A56"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Rajesh S </w:t>
      </w:r>
      <w:r w:rsidRPr="00A04234">
        <w:rPr>
          <w:rFonts w:ascii="Book Antiqua" w:eastAsia="Book Antiqua" w:hAnsi="Book Antiqua" w:cs="Book Antiqua"/>
          <w:i/>
          <w:iCs/>
        </w:rPr>
        <w:t>et al</w:t>
      </w:r>
      <w:r w:rsidRPr="00A04234">
        <w:rPr>
          <w:rFonts w:ascii="Book Antiqua" w:eastAsia="Book Antiqua" w:hAnsi="Book Antiqua" w:cs="Book Antiqua"/>
        </w:rPr>
        <w:t xml:space="preserve">. </w:t>
      </w:r>
      <w:r w:rsidR="00AC25D3" w:rsidRPr="00A04234">
        <w:rPr>
          <w:rFonts w:ascii="Book Antiqua" w:eastAsia="Book Antiqua" w:hAnsi="Book Antiqua" w:cs="Book Antiqua"/>
        </w:rPr>
        <w:t>“</w:t>
      </w:r>
      <w:proofErr w:type="spellStart"/>
      <w:r w:rsidRPr="00A04234">
        <w:rPr>
          <w:rFonts w:ascii="Book Antiqua" w:eastAsia="Book Antiqua" w:hAnsi="Book Antiqua" w:cs="Book Antiqua"/>
        </w:rPr>
        <w:t>Omic</w:t>
      </w:r>
      <w:proofErr w:type="spellEnd"/>
      <w:r w:rsidR="00AC25D3" w:rsidRPr="00A04234">
        <w:rPr>
          <w:rFonts w:ascii="Book Antiqua" w:eastAsia="Book Antiqua" w:hAnsi="Book Antiqua" w:cs="Book Antiqua"/>
        </w:rPr>
        <w:t xml:space="preserve">” </w:t>
      </w:r>
      <w:r w:rsidRPr="00A04234">
        <w:rPr>
          <w:rFonts w:ascii="Book Antiqua" w:eastAsia="Book Antiqua" w:hAnsi="Book Antiqua" w:cs="Book Antiqua"/>
        </w:rPr>
        <w:t xml:space="preserve">advances in pancreatic cancer </w:t>
      </w:r>
    </w:p>
    <w:p w14:paraId="00E206F0" w14:textId="77777777" w:rsidR="00A77B3E" w:rsidRPr="00A04234" w:rsidRDefault="00A77B3E" w:rsidP="0048655F">
      <w:pPr>
        <w:adjustRightInd w:val="0"/>
        <w:snapToGrid w:val="0"/>
        <w:spacing w:line="360" w:lineRule="auto"/>
        <w:jc w:val="both"/>
        <w:rPr>
          <w:rFonts w:ascii="Book Antiqua" w:hAnsi="Book Antiqua"/>
        </w:rPr>
      </w:pPr>
    </w:p>
    <w:p w14:paraId="7A30D5BD"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Srujan Rajesh, Michael J Cox, </w:t>
      </w:r>
      <w:proofErr w:type="spellStart"/>
      <w:r w:rsidRPr="00A04234">
        <w:rPr>
          <w:rFonts w:ascii="Book Antiqua" w:eastAsia="Book Antiqua" w:hAnsi="Book Antiqua" w:cs="Book Antiqua"/>
        </w:rPr>
        <w:t>Franscois</w:t>
      </w:r>
      <w:proofErr w:type="spellEnd"/>
      <w:r w:rsidRPr="00A04234">
        <w:rPr>
          <w:rFonts w:ascii="Book Antiqua" w:eastAsia="Book Antiqua" w:hAnsi="Book Antiqua" w:cs="Book Antiqua"/>
        </w:rPr>
        <w:t xml:space="preserve"> </w:t>
      </w:r>
      <w:proofErr w:type="spellStart"/>
      <w:r w:rsidRPr="00A04234">
        <w:rPr>
          <w:rFonts w:ascii="Book Antiqua" w:eastAsia="Book Antiqua" w:hAnsi="Book Antiqua" w:cs="Book Antiqua"/>
        </w:rPr>
        <w:t>Runau</w:t>
      </w:r>
      <w:proofErr w:type="spellEnd"/>
    </w:p>
    <w:p w14:paraId="3E84A87A" w14:textId="77777777" w:rsidR="00A77B3E" w:rsidRPr="00A04234" w:rsidRDefault="00A77B3E" w:rsidP="0048655F">
      <w:pPr>
        <w:adjustRightInd w:val="0"/>
        <w:snapToGrid w:val="0"/>
        <w:spacing w:line="360" w:lineRule="auto"/>
        <w:jc w:val="both"/>
        <w:rPr>
          <w:rFonts w:ascii="Book Antiqua" w:hAnsi="Book Antiqua"/>
        </w:rPr>
      </w:pPr>
    </w:p>
    <w:p w14:paraId="0240163C"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bCs/>
        </w:rPr>
        <w:t xml:space="preserve">Srujan Rajesh, Michael J Cox, </w:t>
      </w:r>
      <w:proofErr w:type="spellStart"/>
      <w:r w:rsidRPr="00A04234">
        <w:rPr>
          <w:rFonts w:ascii="Book Antiqua" w:eastAsia="Book Antiqua" w:hAnsi="Book Antiqua" w:cs="Book Antiqua"/>
          <w:b/>
          <w:bCs/>
        </w:rPr>
        <w:t>Franscois</w:t>
      </w:r>
      <w:proofErr w:type="spellEnd"/>
      <w:r w:rsidRPr="00A04234">
        <w:rPr>
          <w:rFonts w:ascii="Book Antiqua" w:eastAsia="Book Antiqua" w:hAnsi="Book Antiqua" w:cs="Book Antiqua"/>
          <w:b/>
          <w:bCs/>
        </w:rPr>
        <w:t xml:space="preserve"> </w:t>
      </w:r>
      <w:proofErr w:type="spellStart"/>
      <w:r w:rsidRPr="00A04234">
        <w:rPr>
          <w:rFonts w:ascii="Book Antiqua" w:eastAsia="Book Antiqua" w:hAnsi="Book Antiqua" w:cs="Book Antiqua"/>
          <w:b/>
          <w:bCs/>
        </w:rPr>
        <w:t>Runau</w:t>
      </w:r>
      <w:proofErr w:type="spellEnd"/>
      <w:r w:rsidRPr="00A04234">
        <w:rPr>
          <w:rFonts w:ascii="Book Antiqua" w:eastAsia="Book Antiqua" w:hAnsi="Book Antiqua" w:cs="Book Antiqua"/>
          <w:b/>
          <w:bCs/>
        </w:rPr>
        <w:t xml:space="preserve">, </w:t>
      </w:r>
      <w:r w:rsidRPr="00A04234">
        <w:rPr>
          <w:rFonts w:ascii="Book Antiqua" w:eastAsia="Book Antiqua" w:hAnsi="Book Antiqua" w:cs="Book Antiqua"/>
        </w:rPr>
        <w:t>Department of General Surgery, Leicester General Hospital, Leicester LE5 4PW, United Kingdom</w:t>
      </w:r>
    </w:p>
    <w:p w14:paraId="6FA19AF7" w14:textId="77777777" w:rsidR="00A77B3E" w:rsidRPr="00A04234" w:rsidRDefault="00A77B3E" w:rsidP="0048655F">
      <w:pPr>
        <w:adjustRightInd w:val="0"/>
        <w:snapToGrid w:val="0"/>
        <w:spacing w:line="360" w:lineRule="auto"/>
        <w:jc w:val="both"/>
        <w:rPr>
          <w:rFonts w:ascii="Book Antiqua" w:hAnsi="Book Antiqua"/>
        </w:rPr>
      </w:pPr>
    </w:p>
    <w:p w14:paraId="25C2E527" w14:textId="46769B8D"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bCs/>
        </w:rPr>
        <w:t xml:space="preserve">Author contributions: </w:t>
      </w:r>
      <w:r w:rsidRPr="00A04234">
        <w:rPr>
          <w:rFonts w:ascii="Book Antiqua" w:eastAsia="Book Antiqua" w:hAnsi="Book Antiqua" w:cs="Book Antiqua"/>
        </w:rPr>
        <w:t>Rajesh</w:t>
      </w:r>
      <w:r w:rsidR="00AC25D3" w:rsidRPr="00A04234">
        <w:rPr>
          <w:rFonts w:ascii="Book Antiqua" w:eastAsia="Book Antiqua" w:hAnsi="Book Antiqua" w:cs="Book Antiqua"/>
        </w:rPr>
        <w:t xml:space="preserve"> S</w:t>
      </w:r>
      <w:r w:rsidRPr="00A04234">
        <w:rPr>
          <w:rFonts w:ascii="Book Antiqua" w:eastAsia="Book Antiqua" w:hAnsi="Book Antiqua" w:cs="Book Antiqua"/>
        </w:rPr>
        <w:t xml:space="preserve">, Cox </w:t>
      </w:r>
      <w:r w:rsidR="00AC25D3" w:rsidRPr="00A04234">
        <w:rPr>
          <w:rFonts w:ascii="Book Antiqua" w:eastAsia="Book Antiqua" w:hAnsi="Book Antiqua" w:cs="Book Antiqua"/>
        </w:rPr>
        <w:t xml:space="preserve">MJ </w:t>
      </w:r>
      <w:r w:rsidRPr="00A04234">
        <w:rPr>
          <w:rFonts w:ascii="Book Antiqua" w:eastAsia="Book Antiqua" w:hAnsi="Book Antiqua" w:cs="Book Antiqua"/>
        </w:rPr>
        <w:t>and</w:t>
      </w:r>
      <w:r w:rsidR="00AC25D3" w:rsidRPr="00A04234">
        <w:rPr>
          <w:rFonts w:ascii="Book Antiqua" w:eastAsia="Book Antiqua" w:hAnsi="Book Antiqua" w:cs="Book Antiqua"/>
        </w:rPr>
        <w:t xml:space="preserve"> </w:t>
      </w:r>
      <w:proofErr w:type="spellStart"/>
      <w:r w:rsidRPr="00A04234">
        <w:rPr>
          <w:rFonts w:ascii="Book Antiqua" w:eastAsia="Book Antiqua" w:hAnsi="Book Antiqua" w:cs="Book Antiqua"/>
        </w:rPr>
        <w:t>Runau</w:t>
      </w:r>
      <w:proofErr w:type="spellEnd"/>
      <w:r w:rsidRPr="00A04234">
        <w:rPr>
          <w:rFonts w:ascii="Book Antiqua" w:eastAsia="Book Antiqua" w:hAnsi="Book Antiqua" w:cs="Book Antiqua"/>
        </w:rPr>
        <w:t xml:space="preserve"> </w:t>
      </w:r>
      <w:r w:rsidR="00AC25D3" w:rsidRPr="00A04234">
        <w:rPr>
          <w:rFonts w:ascii="Book Antiqua" w:eastAsia="Book Antiqua" w:hAnsi="Book Antiqua" w:cs="Book Antiqua"/>
        </w:rPr>
        <w:t xml:space="preserve">F </w:t>
      </w:r>
      <w:r w:rsidRPr="00A04234">
        <w:rPr>
          <w:rFonts w:ascii="Book Antiqua" w:eastAsia="Book Antiqua" w:hAnsi="Book Antiqua" w:cs="Book Antiqua"/>
        </w:rPr>
        <w:t>contributed equally in the conception, preparation and finalization of the manuscript.</w:t>
      </w:r>
    </w:p>
    <w:p w14:paraId="40DDD778" w14:textId="77777777" w:rsidR="00A77B3E" w:rsidRPr="00A04234" w:rsidRDefault="00A77B3E" w:rsidP="0048655F">
      <w:pPr>
        <w:adjustRightInd w:val="0"/>
        <w:snapToGrid w:val="0"/>
        <w:spacing w:line="360" w:lineRule="auto"/>
        <w:jc w:val="both"/>
        <w:rPr>
          <w:rFonts w:ascii="Book Antiqua" w:hAnsi="Book Antiqua"/>
        </w:rPr>
      </w:pPr>
    </w:p>
    <w:p w14:paraId="199FE951"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bCs/>
        </w:rPr>
        <w:t xml:space="preserve">Corresponding author: </w:t>
      </w:r>
      <w:proofErr w:type="spellStart"/>
      <w:r w:rsidRPr="00A04234">
        <w:rPr>
          <w:rFonts w:ascii="Book Antiqua" w:eastAsia="Book Antiqua" w:hAnsi="Book Antiqua" w:cs="Book Antiqua"/>
          <w:b/>
          <w:bCs/>
        </w:rPr>
        <w:t>Franscois</w:t>
      </w:r>
      <w:proofErr w:type="spellEnd"/>
      <w:r w:rsidRPr="00A04234">
        <w:rPr>
          <w:rFonts w:ascii="Book Antiqua" w:eastAsia="Book Antiqua" w:hAnsi="Book Antiqua" w:cs="Book Antiqua"/>
          <w:b/>
          <w:bCs/>
        </w:rPr>
        <w:t xml:space="preserve"> </w:t>
      </w:r>
      <w:proofErr w:type="spellStart"/>
      <w:r w:rsidRPr="00A04234">
        <w:rPr>
          <w:rFonts w:ascii="Book Antiqua" w:eastAsia="Book Antiqua" w:hAnsi="Book Antiqua" w:cs="Book Antiqua"/>
          <w:b/>
          <w:bCs/>
        </w:rPr>
        <w:t>Runau</w:t>
      </w:r>
      <w:proofErr w:type="spellEnd"/>
      <w:r w:rsidRPr="00A04234">
        <w:rPr>
          <w:rFonts w:ascii="Book Antiqua" w:eastAsia="Book Antiqua" w:hAnsi="Book Antiqua" w:cs="Book Antiqua"/>
          <w:b/>
          <w:bCs/>
        </w:rPr>
        <w:t xml:space="preserve">, FRCS (Gen Surg), PhD, Academic Fellow, Surgeon, </w:t>
      </w:r>
      <w:r w:rsidRPr="00A04234">
        <w:rPr>
          <w:rFonts w:ascii="Book Antiqua" w:eastAsia="Book Antiqua" w:hAnsi="Book Antiqua" w:cs="Book Antiqua"/>
        </w:rPr>
        <w:t>Department of General Surgery, Leicester General Hospital, Gwendolen Road, Leicester LE5 4PW, United Kingdom. franscois_gerald@yahoo.com</w:t>
      </w:r>
    </w:p>
    <w:p w14:paraId="26C69049" w14:textId="77777777" w:rsidR="00A77B3E" w:rsidRPr="00A04234" w:rsidRDefault="00A77B3E" w:rsidP="0048655F">
      <w:pPr>
        <w:adjustRightInd w:val="0"/>
        <w:snapToGrid w:val="0"/>
        <w:spacing w:line="360" w:lineRule="auto"/>
        <w:jc w:val="both"/>
        <w:rPr>
          <w:rFonts w:ascii="Book Antiqua" w:hAnsi="Book Antiqua"/>
        </w:rPr>
      </w:pPr>
    </w:p>
    <w:p w14:paraId="2A99FB6A"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bCs/>
        </w:rPr>
        <w:t xml:space="preserve">Received: </w:t>
      </w:r>
      <w:r w:rsidRPr="00A04234">
        <w:rPr>
          <w:rFonts w:ascii="Book Antiqua" w:eastAsia="Book Antiqua" w:hAnsi="Book Antiqua" w:cs="Book Antiqua"/>
        </w:rPr>
        <w:t>January 25, 2021</w:t>
      </w:r>
    </w:p>
    <w:p w14:paraId="704EE281"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bCs/>
        </w:rPr>
        <w:t xml:space="preserve">Revised: </w:t>
      </w:r>
      <w:r w:rsidRPr="00A04234">
        <w:rPr>
          <w:rFonts w:ascii="Book Antiqua" w:eastAsia="Book Antiqua" w:hAnsi="Book Antiqua" w:cs="Book Antiqua"/>
        </w:rPr>
        <w:t>April 11, 2021</w:t>
      </w:r>
    </w:p>
    <w:p w14:paraId="1D545644" w14:textId="4C303415"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bCs/>
        </w:rPr>
        <w:t xml:space="preserve">Accepted: </w:t>
      </w:r>
      <w:bookmarkStart w:id="0" w:name="OLE_LINK15"/>
      <w:bookmarkStart w:id="1" w:name="OLE_LINK33"/>
      <w:bookmarkStart w:id="2" w:name="OLE_LINK48"/>
      <w:r w:rsidR="007A326B" w:rsidRPr="00A04234">
        <w:rPr>
          <w:rFonts w:ascii="Book Antiqua" w:eastAsia="宋体" w:hAnsi="Book Antiqua" w:hint="eastAsia"/>
          <w:color w:val="000000" w:themeColor="text1"/>
        </w:rPr>
        <w:t>Au</w:t>
      </w:r>
      <w:r w:rsidR="007A326B" w:rsidRPr="00A04234">
        <w:rPr>
          <w:rFonts w:ascii="Book Antiqua" w:eastAsia="宋体" w:hAnsi="Book Antiqua"/>
          <w:color w:val="000000" w:themeColor="text1"/>
        </w:rPr>
        <w:t>gust 3, 2021</w:t>
      </w:r>
      <w:bookmarkEnd w:id="0"/>
      <w:bookmarkEnd w:id="1"/>
      <w:bookmarkEnd w:id="2"/>
    </w:p>
    <w:p w14:paraId="477E3BA8" w14:textId="066CFA10"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bCs/>
        </w:rPr>
        <w:t xml:space="preserve">Published online: </w:t>
      </w:r>
      <w:r w:rsidR="001607BE" w:rsidRPr="00A04234">
        <w:rPr>
          <w:rFonts w:ascii="Book Antiqua" w:eastAsia="Book Antiqua" w:hAnsi="Book Antiqua" w:cs="Book Antiqua"/>
          <w:bCs/>
        </w:rPr>
        <w:t>August 21, 2021</w:t>
      </w:r>
    </w:p>
    <w:p w14:paraId="50C36469" w14:textId="77777777" w:rsidR="00A77B3E" w:rsidRPr="00A04234" w:rsidRDefault="00A77B3E" w:rsidP="0048655F">
      <w:pPr>
        <w:adjustRightInd w:val="0"/>
        <w:snapToGrid w:val="0"/>
        <w:spacing w:line="360" w:lineRule="auto"/>
        <w:jc w:val="both"/>
        <w:rPr>
          <w:rFonts w:ascii="Book Antiqua" w:hAnsi="Book Antiqua"/>
        </w:rPr>
        <w:sectPr w:rsidR="00A77B3E" w:rsidRPr="00A04234">
          <w:footerReference w:type="default" r:id="rId7"/>
          <w:pgSz w:w="12240" w:h="15840"/>
          <w:pgMar w:top="1440" w:right="1440" w:bottom="1440" w:left="1440" w:header="720" w:footer="720" w:gutter="0"/>
          <w:cols w:space="720"/>
          <w:docGrid w:linePitch="360"/>
        </w:sectPr>
      </w:pPr>
    </w:p>
    <w:p w14:paraId="72EFFBD0"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rPr>
        <w:lastRenderedPageBreak/>
        <w:t>Abstract</w:t>
      </w:r>
    </w:p>
    <w:p w14:paraId="7B9C5B70" w14:textId="29A0624E"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Pancreatic ductal adenocarcinoma</w:t>
      </w:r>
      <w:r w:rsidR="009B0C95" w:rsidRPr="00A04234">
        <w:rPr>
          <w:rFonts w:ascii="Book Antiqua" w:eastAsia="Book Antiqua" w:hAnsi="Book Antiqua" w:cs="Book Antiqua"/>
        </w:rPr>
        <w:t xml:space="preserve"> (PDAC)</w:t>
      </w:r>
      <w:r w:rsidRPr="00A04234">
        <w:rPr>
          <w:rFonts w:ascii="Book Antiqua" w:eastAsia="Book Antiqua" w:hAnsi="Book Antiqua" w:cs="Book Antiqua"/>
        </w:rPr>
        <w:t xml:space="preserve"> represents a challenging pathology with very poor outcomes and is increasing in incidence within the general population. The majority of patients are diagnosed incidentally with insidious symptoms and hence present late in the disease process. This significantly affects patient outcomes: the only cure is surgical resection but only up to 20% of patients present with </w:t>
      </w:r>
      <w:proofErr w:type="spellStart"/>
      <w:r w:rsidRPr="00A04234">
        <w:rPr>
          <w:rFonts w:ascii="Book Antiqua" w:eastAsia="Book Antiqua" w:hAnsi="Book Antiqua" w:cs="Book Antiqua"/>
        </w:rPr>
        <w:t>resectable</w:t>
      </w:r>
      <w:proofErr w:type="spellEnd"/>
      <w:r w:rsidRPr="00A04234">
        <w:rPr>
          <w:rFonts w:ascii="Book Antiqua" w:eastAsia="Book Antiqua" w:hAnsi="Book Antiqua" w:cs="Book Antiqua"/>
        </w:rPr>
        <w:t xml:space="preserve"> disease at the time of clinical presentation. The use of “</w:t>
      </w:r>
      <w:proofErr w:type="spellStart"/>
      <w:r w:rsidRPr="00A04234">
        <w:rPr>
          <w:rFonts w:ascii="Book Antiqua" w:eastAsia="Book Antiqua" w:hAnsi="Book Antiqua" w:cs="Book Antiqua"/>
        </w:rPr>
        <w:t>omic</w:t>
      </w:r>
      <w:proofErr w:type="spellEnd"/>
      <w:r w:rsidRPr="00A04234">
        <w:rPr>
          <w:rFonts w:ascii="Book Antiqua" w:eastAsia="Book Antiqua" w:hAnsi="Book Antiqua" w:cs="Book Antiqua"/>
        </w:rPr>
        <w:t xml:space="preserve">” technology is expanding rapidly in the field of </w:t>
      </w:r>
      <w:proofErr w:type="spellStart"/>
      <w:r w:rsidRPr="00A04234">
        <w:rPr>
          <w:rFonts w:ascii="Book Antiqua" w:eastAsia="Book Antiqua" w:hAnsi="Book Antiqua" w:cs="Book Antiqua"/>
        </w:rPr>
        <w:t>personalised</w:t>
      </w:r>
      <w:proofErr w:type="spellEnd"/>
      <w:r w:rsidRPr="00A04234">
        <w:rPr>
          <w:rFonts w:ascii="Book Antiqua" w:eastAsia="Book Antiqua" w:hAnsi="Book Antiqua" w:cs="Book Antiqua"/>
        </w:rPr>
        <w:t xml:space="preserve"> medicine </w:t>
      </w:r>
      <w:r w:rsidR="00E81FBB" w:rsidRPr="00A04234">
        <w:rPr>
          <w:rFonts w:ascii="Book Antiqua" w:eastAsia="Book Antiqua" w:hAnsi="Book Antiqua" w:cs="Book Antiqua"/>
        </w:rPr>
        <w:t>-</w:t>
      </w:r>
      <w:r w:rsidRPr="00A04234">
        <w:rPr>
          <w:rFonts w:ascii="Book Antiqua" w:eastAsia="Book Antiqua" w:hAnsi="Book Antiqua" w:cs="Book Antiqua"/>
        </w:rPr>
        <w:t xml:space="preserve"> using genomic, proteomic and metabolomic approaches allows researchers and clinicians to delve deep into the core molecular processes of this difficult disease. This review gives an overview of the current findings in </w:t>
      </w:r>
      <w:r w:rsidR="009B0C95" w:rsidRPr="00A04234">
        <w:rPr>
          <w:rFonts w:ascii="Book Antiqua" w:eastAsia="Book Antiqua" w:hAnsi="Book Antiqua" w:cs="Book Antiqua"/>
        </w:rPr>
        <w:t>PDAC</w:t>
      </w:r>
      <w:r w:rsidRPr="00A04234">
        <w:rPr>
          <w:rFonts w:ascii="Book Antiqua" w:eastAsia="Book Antiqua" w:hAnsi="Book Antiqua" w:cs="Book Antiqua"/>
        </w:rPr>
        <w:t xml:space="preserve"> using these “</w:t>
      </w:r>
      <w:proofErr w:type="spellStart"/>
      <w:r w:rsidRPr="00A04234">
        <w:rPr>
          <w:rFonts w:ascii="Book Antiqua" w:eastAsia="Book Antiqua" w:hAnsi="Book Antiqua" w:cs="Book Antiqua"/>
        </w:rPr>
        <w:t>omic</w:t>
      </w:r>
      <w:proofErr w:type="spellEnd"/>
      <w:r w:rsidRPr="00A04234">
        <w:rPr>
          <w:rFonts w:ascii="Book Antiqua" w:eastAsia="Book Antiqua" w:hAnsi="Book Antiqua" w:cs="Book Antiqua"/>
        </w:rPr>
        <w:t xml:space="preserve">” approaches and </w:t>
      </w:r>
      <w:proofErr w:type="spellStart"/>
      <w:r w:rsidRPr="00A04234">
        <w:rPr>
          <w:rFonts w:ascii="Book Antiqua" w:eastAsia="Book Antiqua" w:hAnsi="Book Antiqua" w:cs="Book Antiqua"/>
        </w:rPr>
        <w:t>summarises</w:t>
      </w:r>
      <w:proofErr w:type="spellEnd"/>
      <w:r w:rsidRPr="00A04234">
        <w:rPr>
          <w:rFonts w:ascii="Book Antiqua" w:eastAsia="Book Antiqua" w:hAnsi="Book Antiqua" w:cs="Book Antiqua"/>
        </w:rPr>
        <w:t xml:space="preserve"> useful markers in aiding clinicians treating </w:t>
      </w:r>
      <w:r w:rsidR="009B0C95" w:rsidRPr="00A04234">
        <w:rPr>
          <w:rFonts w:ascii="Book Antiqua" w:eastAsia="Book Antiqua" w:hAnsi="Book Antiqua" w:cs="Book Antiqua"/>
        </w:rPr>
        <w:t>PDAC</w:t>
      </w:r>
      <w:r w:rsidRPr="00A04234">
        <w:rPr>
          <w:rFonts w:ascii="Book Antiqua" w:eastAsia="Book Antiqua" w:hAnsi="Book Antiqua" w:cs="Book Antiqua"/>
        </w:rPr>
        <w:t>. Future strategies incorporating these findings and potential application of these methods are presented in this review article.</w:t>
      </w:r>
    </w:p>
    <w:p w14:paraId="386CC1B6" w14:textId="77777777" w:rsidR="00A77B3E" w:rsidRPr="00A04234" w:rsidRDefault="00A77B3E" w:rsidP="0048655F">
      <w:pPr>
        <w:adjustRightInd w:val="0"/>
        <w:snapToGrid w:val="0"/>
        <w:spacing w:line="360" w:lineRule="auto"/>
        <w:jc w:val="both"/>
        <w:rPr>
          <w:rFonts w:ascii="Book Antiqua" w:hAnsi="Book Antiqua"/>
        </w:rPr>
      </w:pPr>
    </w:p>
    <w:p w14:paraId="3F503DDB"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bCs/>
        </w:rPr>
        <w:t xml:space="preserve">Key Words: </w:t>
      </w:r>
      <w:r w:rsidRPr="00A04234">
        <w:rPr>
          <w:rFonts w:ascii="Book Antiqua" w:eastAsia="Book Antiqua" w:hAnsi="Book Antiqua" w:cs="Book Antiqua"/>
        </w:rPr>
        <w:t>Pancreatic ductal adenocarcinoma, Pancreatic adenocarcinoma; Genomic; Proteomic; Metabolomic</w:t>
      </w:r>
    </w:p>
    <w:p w14:paraId="52E20C87" w14:textId="77777777" w:rsidR="001607BE" w:rsidRPr="00A04234" w:rsidRDefault="001607BE" w:rsidP="001607BE">
      <w:pPr>
        <w:spacing w:line="360" w:lineRule="auto"/>
        <w:rPr>
          <w:rFonts w:ascii="Book Antiqua" w:hAnsi="Book Antiqua" w:cs="Book Antiqua"/>
          <w:b/>
          <w:color w:val="000000"/>
        </w:rPr>
      </w:pPr>
    </w:p>
    <w:p w14:paraId="45076B43" w14:textId="77777777" w:rsidR="001607BE" w:rsidRPr="00A04234" w:rsidRDefault="001607BE" w:rsidP="001607BE">
      <w:pPr>
        <w:spacing w:line="360" w:lineRule="auto"/>
        <w:rPr>
          <w:rFonts w:ascii="Book Antiqua" w:eastAsia="Book Antiqua" w:hAnsi="Book Antiqua" w:cs="Book Antiqua"/>
          <w:color w:val="000000"/>
        </w:rPr>
      </w:pPr>
      <w:proofErr w:type="gramStart"/>
      <w:r w:rsidRPr="00A04234">
        <w:rPr>
          <w:rFonts w:ascii="Book Antiqua" w:eastAsia="Book Antiqua" w:hAnsi="Book Antiqua" w:cs="Book Antiqua" w:hint="eastAsia"/>
          <w:b/>
          <w:color w:val="000000"/>
        </w:rPr>
        <w:t>©</w:t>
      </w:r>
      <w:r w:rsidRPr="00A04234">
        <w:rPr>
          <w:rFonts w:ascii="Book Antiqua" w:eastAsia="Book Antiqua" w:hAnsi="Book Antiqua" w:cs="Book Antiqua"/>
          <w:b/>
          <w:color w:val="000000"/>
        </w:rPr>
        <w:t>The</w:t>
      </w:r>
      <w:r w:rsidRPr="00A04234">
        <w:rPr>
          <w:rFonts w:ascii="Book Antiqua" w:eastAsia="Book Antiqua" w:hAnsi="Book Antiqua" w:cs="Book Antiqua"/>
          <w:color w:val="000000"/>
        </w:rPr>
        <w:t xml:space="preserve"> </w:t>
      </w:r>
      <w:r w:rsidRPr="00A04234">
        <w:rPr>
          <w:rFonts w:ascii="Book Antiqua" w:eastAsia="Book Antiqua" w:hAnsi="Book Antiqua" w:cs="Book Antiqua"/>
          <w:b/>
          <w:color w:val="000000"/>
        </w:rPr>
        <w:t>Author(s) 2021.</w:t>
      </w:r>
      <w:proofErr w:type="gramEnd"/>
      <w:r w:rsidRPr="00A04234">
        <w:rPr>
          <w:rFonts w:ascii="Book Antiqua" w:eastAsia="Book Antiqua" w:hAnsi="Book Antiqua" w:cs="Book Antiqua"/>
          <w:b/>
          <w:color w:val="000000"/>
        </w:rPr>
        <w:t xml:space="preserve"> </w:t>
      </w:r>
      <w:proofErr w:type="gramStart"/>
      <w:r w:rsidRPr="00A04234">
        <w:rPr>
          <w:rFonts w:ascii="Book Antiqua" w:eastAsia="Book Antiqua" w:hAnsi="Book Antiqua" w:cs="Book Antiqua"/>
          <w:color w:val="000000"/>
        </w:rPr>
        <w:t xml:space="preserve">Published by </w:t>
      </w:r>
      <w:proofErr w:type="spellStart"/>
      <w:r w:rsidRPr="00A04234">
        <w:rPr>
          <w:rFonts w:ascii="Book Antiqua" w:eastAsia="Book Antiqua" w:hAnsi="Book Antiqua" w:cs="Book Antiqua"/>
          <w:color w:val="000000"/>
        </w:rPr>
        <w:t>Baishideng</w:t>
      </w:r>
      <w:proofErr w:type="spellEnd"/>
      <w:r w:rsidRPr="00A04234">
        <w:rPr>
          <w:rFonts w:ascii="Book Antiqua" w:eastAsia="Book Antiqua" w:hAnsi="Book Antiqua" w:cs="Book Antiqua"/>
          <w:color w:val="000000"/>
        </w:rPr>
        <w:t xml:space="preserve"> Publishing Group Inc.</w:t>
      </w:r>
      <w:proofErr w:type="gramEnd"/>
      <w:r w:rsidRPr="00A04234">
        <w:rPr>
          <w:rFonts w:ascii="Book Antiqua" w:eastAsia="Book Antiqua" w:hAnsi="Book Antiqua" w:cs="Book Antiqua"/>
          <w:color w:val="000000"/>
        </w:rPr>
        <w:t xml:space="preserve"> All rights reserved. </w:t>
      </w:r>
    </w:p>
    <w:p w14:paraId="0461D321" w14:textId="77777777" w:rsidR="00A77B3E" w:rsidRPr="00A04234" w:rsidRDefault="00A77B3E" w:rsidP="0048655F">
      <w:pPr>
        <w:adjustRightInd w:val="0"/>
        <w:snapToGrid w:val="0"/>
        <w:spacing w:line="360" w:lineRule="auto"/>
        <w:jc w:val="both"/>
        <w:rPr>
          <w:rFonts w:ascii="Book Antiqua" w:hAnsi="Book Antiqua"/>
        </w:rPr>
      </w:pPr>
    </w:p>
    <w:p w14:paraId="25A6CD07" w14:textId="77777777" w:rsidR="00A04234" w:rsidRPr="00A04234" w:rsidRDefault="001607BE" w:rsidP="0048655F">
      <w:pPr>
        <w:adjustRightInd w:val="0"/>
        <w:snapToGrid w:val="0"/>
        <w:spacing w:line="360" w:lineRule="auto"/>
        <w:jc w:val="both"/>
        <w:rPr>
          <w:rFonts w:ascii="Book Antiqua" w:hAnsi="Book Antiqua" w:cs="Book Antiqua" w:hint="eastAsia"/>
          <w:lang w:eastAsia="zh-CN"/>
        </w:rPr>
      </w:pPr>
      <w:r w:rsidRPr="00A04234">
        <w:rPr>
          <w:rFonts w:ascii="Book Antiqua" w:eastAsia="Book Antiqua" w:hAnsi="Book Antiqua" w:cs="Book Antiqua"/>
          <w:b/>
        </w:rPr>
        <w:t>Citation:</w:t>
      </w:r>
      <w:r w:rsidRPr="00A04234">
        <w:rPr>
          <w:rFonts w:ascii="Book Antiqua" w:hAnsi="Book Antiqua" w:cs="Book Antiqua" w:hint="eastAsia"/>
          <w:b/>
          <w:lang w:eastAsia="zh-CN"/>
        </w:rPr>
        <w:t xml:space="preserve"> </w:t>
      </w:r>
      <w:r w:rsidR="00697E7D" w:rsidRPr="00A04234">
        <w:rPr>
          <w:rFonts w:ascii="Book Antiqua" w:eastAsia="Book Antiqua" w:hAnsi="Book Antiqua" w:cs="Book Antiqua"/>
        </w:rPr>
        <w:t xml:space="preserve">Rajesh S, Cox MJ, </w:t>
      </w:r>
      <w:proofErr w:type="spellStart"/>
      <w:r w:rsidR="00697E7D" w:rsidRPr="00A04234">
        <w:rPr>
          <w:rFonts w:ascii="Book Antiqua" w:eastAsia="Book Antiqua" w:hAnsi="Book Antiqua" w:cs="Book Antiqua"/>
        </w:rPr>
        <w:t>Runau</w:t>
      </w:r>
      <w:proofErr w:type="spellEnd"/>
      <w:r w:rsidR="00697E7D" w:rsidRPr="00A04234">
        <w:rPr>
          <w:rFonts w:ascii="Book Antiqua" w:eastAsia="Book Antiqua" w:hAnsi="Book Antiqua" w:cs="Book Antiqua"/>
        </w:rPr>
        <w:t xml:space="preserve"> F. Molecular advances in pancreatic cancer: A genomic, proteomic and metabolomic approach. </w:t>
      </w:r>
      <w:r w:rsidR="00697E7D" w:rsidRPr="00A04234">
        <w:rPr>
          <w:rFonts w:ascii="Book Antiqua" w:eastAsia="Book Antiqua" w:hAnsi="Book Antiqua" w:cs="Book Antiqua"/>
          <w:i/>
          <w:iCs/>
        </w:rPr>
        <w:t xml:space="preserve">World J </w:t>
      </w:r>
      <w:proofErr w:type="spellStart"/>
      <w:r w:rsidR="00697E7D" w:rsidRPr="00A04234">
        <w:rPr>
          <w:rFonts w:ascii="Book Antiqua" w:eastAsia="Book Antiqua" w:hAnsi="Book Antiqua" w:cs="Book Antiqua"/>
          <w:i/>
          <w:iCs/>
        </w:rPr>
        <w:t>Gastroenterol</w:t>
      </w:r>
      <w:proofErr w:type="spellEnd"/>
      <w:r w:rsidR="00697E7D" w:rsidRPr="00A04234">
        <w:rPr>
          <w:rFonts w:ascii="Book Antiqua" w:eastAsia="Book Antiqua" w:hAnsi="Book Antiqua" w:cs="Book Antiqua"/>
        </w:rPr>
        <w:t xml:space="preserve"> 2021; </w:t>
      </w:r>
      <w:r w:rsidRPr="00A04234">
        <w:rPr>
          <w:rFonts w:ascii="Book Antiqua" w:eastAsia="Book Antiqua" w:hAnsi="Book Antiqua" w:cs="Book Antiqua"/>
        </w:rPr>
        <w:t xml:space="preserve">27(31): </w:t>
      </w:r>
      <w:r w:rsidRPr="00A04234">
        <w:rPr>
          <w:rFonts w:ascii="Book Antiqua" w:hAnsi="Book Antiqua" w:cs="Book Antiqua" w:hint="eastAsia"/>
          <w:lang w:eastAsia="zh-CN"/>
        </w:rPr>
        <w:t>5171-5180</w:t>
      </w:r>
      <w:r w:rsidRPr="00A04234">
        <w:rPr>
          <w:rFonts w:ascii="Book Antiqua" w:eastAsia="Book Antiqua" w:hAnsi="Book Antiqua" w:cs="Book Antiqua"/>
        </w:rPr>
        <w:t xml:space="preserve"> </w:t>
      </w:r>
    </w:p>
    <w:p w14:paraId="27068B00" w14:textId="49ED84B3" w:rsidR="00A04234" w:rsidRPr="00A04234" w:rsidRDefault="001607BE" w:rsidP="0048655F">
      <w:pPr>
        <w:adjustRightInd w:val="0"/>
        <w:snapToGrid w:val="0"/>
        <w:spacing w:line="360" w:lineRule="auto"/>
        <w:jc w:val="both"/>
        <w:rPr>
          <w:rFonts w:ascii="Book Antiqua" w:hAnsi="Book Antiqua" w:cs="Book Antiqua" w:hint="eastAsia"/>
          <w:lang w:eastAsia="zh-CN"/>
        </w:rPr>
      </w:pPr>
      <w:r w:rsidRPr="00A04234">
        <w:rPr>
          <w:rFonts w:ascii="Book Antiqua" w:eastAsia="Book Antiqua" w:hAnsi="Book Antiqua" w:cs="Book Antiqua"/>
        </w:rPr>
        <w:t xml:space="preserve">URL: </w:t>
      </w:r>
      <w:hyperlink r:id="rId8" w:history="1">
        <w:r w:rsidR="00A04234" w:rsidRPr="00A04234">
          <w:rPr>
            <w:rStyle w:val="a9"/>
            <w:rFonts w:ascii="Book Antiqua" w:eastAsia="Book Antiqua" w:hAnsi="Book Antiqua" w:cs="Book Antiqua"/>
          </w:rPr>
          <w:t>https://www.wjgnet.com/1007-9327/full/v27/i31/</w:t>
        </w:r>
        <w:r w:rsidR="00A04234" w:rsidRPr="00A04234">
          <w:rPr>
            <w:rStyle w:val="a9"/>
            <w:rFonts w:ascii="Book Antiqua" w:hAnsi="Book Antiqua" w:cs="Book Antiqua" w:hint="eastAsia"/>
            <w:lang w:eastAsia="zh-CN"/>
          </w:rPr>
          <w:t>5171</w:t>
        </w:r>
        <w:r w:rsidR="00A04234" w:rsidRPr="00A04234">
          <w:rPr>
            <w:rStyle w:val="a9"/>
            <w:rFonts w:ascii="Book Antiqua" w:eastAsia="Book Antiqua" w:hAnsi="Book Antiqua" w:cs="Book Antiqua"/>
          </w:rPr>
          <w:t>.htm</w:t>
        </w:r>
      </w:hyperlink>
      <w:r w:rsidRPr="00A04234">
        <w:rPr>
          <w:rFonts w:ascii="Book Antiqua" w:eastAsia="Book Antiqua" w:hAnsi="Book Antiqua" w:cs="Book Antiqua"/>
        </w:rPr>
        <w:t xml:space="preserve"> </w:t>
      </w:r>
    </w:p>
    <w:p w14:paraId="37ED40ED" w14:textId="410F4881" w:rsidR="00A77B3E" w:rsidRPr="00A04234" w:rsidRDefault="001607BE" w:rsidP="0048655F">
      <w:pPr>
        <w:adjustRightInd w:val="0"/>
        <w:snapToGrid w:val="0"/>
        <w:spacing w:line="360" w:lineRule="auto"/>
        <w:jc w:val="both"/>
        <w:rPr>
          <w:rFonts w:ascii="Book Antiqua" w:hAnsi="Book Antiqua"/>
          <w:lang w:eastAsia="zh-CN"/>
        </w:rPr>
      </w:pPr>
      <w:r w:rsidRPr="00A04234">
        <w:rPr>
          <w:rFonts w:ascii="Book Antiqua" w:eastAsia="Book Antiqua" w:hAnsi="Book Antiqua" w:cs="Book Antiqua"/>
        </w:rPr>
        <w:t>DOI: https://dx.doi.org/10.3748/wjg.v27.i31.</w:t>
      </w:r>
      <w:r w:rsidRPr="00A04234">
        <w:rPr>
          <w:rFonts w:ascii="Book Antiqua" w:hAnsi="Book Antiqua" w:cs="Book Antiqua" w:hint="eastAsia"/>
          <w:lang w:eastAsia="zh-CN"/>
        </w:rPr>
        <w:t>5171</w:t>
      </w:r>
    </w:p>
    <w:p w14:paraId="23E096D2" w14:textId="77777777" w:rsidR="00A77B3E" w:rsidRPr="00A04234" w:rsidRDefault="00A77B3E" w:rsidP="0048655F">
      <w:pPr>
        <w:adjustRightInd w:val="0"/>
        <w:snapToGrid w:val="0"/>
        <w:spacing w:line="360" w:lineRule="auto"/>
        <w:jc w:val="both"/>
        <w:rPr>
          <w:rFonts w:ascii="Book Antiqua" w:hAnsi="Book Antiqua"/>
        </w:rPr>
      </w:pPr>
    </w:p>
    <w:p w14:paraId="7A06BE24"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bCs/>
        </w:rPr>
        <w:t xml:space="preserve">Core Tip: </w:t>
      </w:r>
      <w:r w:rsidRPr="00A04234">
        <w:rPr>
          <w:rFonts w:ascii="Book Antiqua" w:eastAsia="Book Antiqua" w:hAnsi="Book Antiqua" w:cs="Book Antiqua"/>
        </w:rPr>
        <w:t xml:space="preserve">Treatment for pancreatic ductal adenocarcinoma is limited by the severity of the pathology, limited biomarkers and late presentation of patients. </w:t>
      </w:r>
      <w:proofErr w:type="spellStart"/>
      <w:r w:rsidRPr="00A04234">
        <w:rPr>
          <w:rFonts w:ascii="Book Antiqua" w:eastAsia="Book Antiqua" w:hAnsi="Book Antiqua" w:cs="Book Antiqua"/>
        </w:rPr>
        <w:t>Utilising</w:t>
      </w:r>
      <w:proofErr w:type="spellEnd"/>
      <w:r w:rsidRPr="00A04234">
        <w:rPr>
          <w:rFonts w:ascii="Book Antiqua" w:eastAsia="Book Antiqua" w:hAnsi="Book Antiqua" w:cs="Book Antiqua"/>
        </w:rPr>
        <w:t xml:space="preserve"> genomic, proteomic and metabolomic research into pancreatic ductal adenocarcinoma has </w:t>
      </w:r>
      <w:r w:rsidRPr="00A04234">
        <w:rPr>
          <w:rFonts w:ascii="Book Antiqua" w:eastAsia="Book Antiqua" w:hAnsi="Book Antiqua" w:cs="Book Antiqua"/>
        </w:rPr>
        <w:lastRenderedPageBreak/>
        <w:t>provided insight into understanding the disease process as well as providing suitable markers of diagnosis and treatment to improve clinical outcomes.</w:t>
      </w:r>
    </w:p>
    <w:p w14:paraId="6FB972B2" w14:textId="77777777" w:rsidR="00A77B3E" w:rsidRPr="00A04234" w:rsidRDefault="00A77B3E" w:rsidP="0048655F">
      <w:pPr>
        <w:adjustRightInd w:val="0"/>
        <w:snapToGrid w:val="0"/>
        <w:spacing w:line="360" w:lineRule="auto"/>
        <w:jc w:val="both"/>
        <w:rPr>
          <w:rFonts w:ascii="Book Antiqua" w:hAnsi="Book Antiqua"/>
        </w:rPr>
      </w:pPr>
    </w:p>
    <w:p w14:paraId="38720E2D"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caps/>
          <w:u w:val="single"/>
        </w:rPr>
        <w:t>INTRODUCTION</w:t>
      </w:r>
    </w:p>
    <w:p w14:paraId="0A96A367" w14:textId="43A69AF9"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Pancreatic adenocarcinoma or pancreatic ductal adenocarcinoma (PDAC) is an aggressive malignancy with a 1-year and 5-year survival rate of 24% and 9% respectively</w:t>
      </w:r>
      <w:r w:rsidRPr="00A04234">
        <w:rPr>
          <w:rFonts w:ascii="Book Antiqua" w:eastAsia="Book Antiqua" w:hAnsi="Book Antiqua" w:cs="Book Antiqua"/>
          <w:vertAlign w:val="superscript"/>
        </w:rPr>
        <w:t xml:space="preserve"> </w:t>
      </w:r>
      <w:r w:rsidRPr="00A04234">
        <w:rPr>
          <w:rFonts w:ascii="Book Antiqua" w:eastAsia="Book Antiqua" w:hAnsi="Book Antiqua" w:cs="Book Antiqua"/>
        </w:rPr>
        <w:t xml:space="preserve">and make up the majority of pancreatic cancers </w:t>
      </w:r>
      <w:r w:rsidR="00E81FBB" w:rsidRPr="00A04234">
        <w:rPr>
          <w:rFonts w:ascii="Book Antiqua" w:eastAsia="Book Antiqua" w:hAnsi="Book Antiqua" w:cs="Book Antiqua"/>
        </w:rPr>
        <w:t xml:space="preserve">(PC) </w:t>
      </w:r>
      <w:r w:rsidRPr="00A04234">
        <w:rPr>
          <w:rFonts w:ascii="Book Antiqua" w:eastAsia="Book Antiqua" w:hAnsi="Book Antiqua" w:cs="Book Antiqua"/>
        </w:rPr>
        <w:t>(85%) with others arising from the endocrine tissue of the pancreas</w:t>
      </w:r>
      <w:r w:rsidRPr="00A04234">
        <w:rPr>
          <w:rFonts w:ascii="Book Antiqua" w:eastAsia="Book Antiqua" w:hAnsi="Book Antiqua" w:cs="Book Antiqua"/>
          <w:vertAlign w:val="superscript"/>
        </w:rPr>
        <w:t>[1]</w:t>
      </w:r>
      <w:r w:rsidRPr="00A04234">
        <w:rPr>
          <w:rFonts w:ascii="Book Antiqua" w:eastAsia="Book Antiqua" w:hAnsi="Book Antiqua" w:cs="Book Antiqua"/>
        </w:rPr>
        <w:t xml:space="preserve">. According to the GLOBOCAN statistics in 2020, </w:t>
      </w:r>
      <w:r w:rsidR="00E81FBB" w:rsidRPr="00A04234">
        <w:rPr>
          <w:rFonts w:ascii="Book Antiqua" w:eastAsia="Book Antiqua" w:hAnsi="Book Antiqua" w:cs="Book Antiqua"/>
        </w:rPr>
        <w:t>PC</w:t>
      </w:r>
      <w:r w:rsidRPr="00A04234">
        <w:rPr>
          <w:rFonts w:ascii="Book Antiqua" w:eastAsia="Book Antiqua" w:hAnsi="Book Antiqua" w:cs="Book Antiqua"/>
        </w:rPr>
        <w:t xml:space="preserve"> were the 12</w:t>
      </w:r>
      <w:r w:rsidRPr="00A04234">
        <w:rPr>
          <w:rFonts w:ascii="Book Antiqua" w:eastAsia="Book Antiqua" w:hAnsi="Book Antiqua" w:cs="Book Antiqua"/>
          <w:vertAlign w:val="superscript"/>
        </w:rPr>
        <w:t>th</w:t>
      </w:r>
      <w:r w:rsidRPr="00A04234">
        <w:rPr>
          <w:rFonts w:ascii="Book Antiqua" w:eastAsia="Book Antiqua" w:hAnsi="Book Antiqua" w:cs="Book Antiqua"/>
        </w:rPr>
        <w:t xml:space="preserve"> most commonly diagnosed cancer in the world with the incidence increasing with the Human Development Index; the highest cumulative risks being in North America and Europe</w:t>
      </w:r>
      <w:r w:rsidRPr="00A04234">
        <w:rPr>
          <w:rFonts w:ascii="Book Antiqua" w:eastAsia="Book Antiqua" w:hAnsi="Book Antiqua" w:cs="Book Antiqua"/>
          <w:vertAlign w:val="superscript"/>
        </w:rPr>
        <w:t>[2]</w:t>
      </w:r>
      <w:r w:rsidRPr="00A04234">
        <w:rPr>
          <w:rFonts w:ascii="Book Antiqua" w:eastAsia="Book Antiqua" w:hAnsi="Book Antiqua" w:cs="Book Antiqua"/>
        </w:rPr>
        <w:t xml:space="preserve">. Unfortunately, developments in treatment have not progressed as rapidly as other cancers and </w:t>
      </w:r>
      <w:r w:rsidR="00E81FBB" w:rsidRPr="00A04234">
        <w:rPr>
          <w:rFonts w:ascii="Book Antiqua" w:eastAsia="Book Antiqua" w:hAnsi="Book Antiqua" w:cs="Book Antiqua"/>
        </w:rPr>
        <w:t>PC</w:t>
      </w:r>
      <w:r w:rsidRPr="00A04234">
        <w:rPr>
          <w:rFonts w:ascii="Book Antiqua" w:eastAsia="Book Antiqua" w:hAnsi="Book Antiqua" w:cs="Book Antiqua"/>
        </w:rPr>
        <w:t xml:space="preserve"> are projected to become the second leading cause of cancer related death in the U</w:t>
      </w:r>
      <w:r w:rsidR="009B0C95" w:rsidRPr="00A04234">
        <w:rPr>
          <w:rFonts w:ascii="Book Antiqua" w:eastAsia="Book Antiqua" w:hAnsi="Book Antiqua" w:cs="Book Antiqua"/>
        </w:rPr>
        <w:t xml:space="preserve">nited </w:t>
      </w:r>
      <w:r w:rsidRPr="00A04234">
        <w:rPr>
          <w:rFonts w:ascii="Book Antiqua" w:eastAsia="Book Antiqua" w:hAnsi="Book Antiqua" w:cs="Book Antiqua"/>
        </w:rPr>
        <w:t>S</w:t>
      </w:r>
      <w:r w:rsidR="009B0C95" w:rsidRPr="00A04234">
        <w:rPr>
          <w:rFonts w:ascii="Book Antiqua" w:eastAsia="Book Antiqua" w:hAnsi="Book Antiqua" w:cs="Book Antiqua"/>
        </w:rPr>
        <w:t>tates</w:t>
      </w:r>
      <w:r w:rsidRPr="00A04234">
        <w:rPr>
          <w:rFonts w:ascii="Book Antiqua" w:eastAsia="Book Antiqua" w:hAnsi="Book Antiqua" w:cs="Book Antiqua"/>
        </w:rPr>
        <w:t xml:space="preserve"> by 2030</w:t>
      </w:r>
      <w:r w:rsidRPr="00A04234">
        <w:rPr>
          <w:rFonts w:ascii="Book Antiqua" w:eastAsia="Book Antiqua" w:hAnsi="Book Antiqua" w:cs="Book Antiqua"/>
          <w:vertAlign w:val="superscript"/>
        </w:rPr>
        <w:t>[3]</w:t>
      </w:r>
      <w:r w:rsidRPr="00A04234">
        <w:rPr>
          <w:rFonts w:ascii="Book Antiqua" w:eastAsia="Book Antiqua" w:hAnsi="Book Antiqua" w:cs="Book Antiqua"/>
        </w:rPr>
        <w:t xml:space="preserve">. Majority of PDAC cases are diagnosed at a late stage owing to the lack of clinical features early on in its course. Currently the only curative option is through surgical resection, but only roughly 20% of all cases are operable at the time of diagnosis, with limited chemotherapy and radiotherapy options at </w:t>
      </w:r>
      <w:proofErr w:type="gramStart"/>
      <w:r w:rsidRPr="00A04234">
        <w:rPr>
          <w:rFonts w:ascii="Book Antiqua" w:eastAsia="Book Antiqua" w:hAnsi="Book Antiqua" w:cs="Book Antiqua"/>
        </w:rPr>
        <w:t>present</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4]</w:t>
      </w:r>
      <w:r w:rsidRPr="00A04234">
        <w:rPr>
          <w:rFonts w:ascii="Book Antiqua" w:eastAsia="Book Antiqua" w:hAnsi="Book Antiqua" w:cs="Book Antiqua"/>
        </w:rPr>
        <w:t xml:space="preserve">. However, with the emergence of “omics” research, new advances have been made in improving the treatment of </w:t>
      </w:r>
      <w:r w:rsidR="00E81FBB" w:rsidRPr="00A04234">
        <w:rPr>
          <w:rFonts w:ascii="Book Antiqua" w:eastAsia="Book Antiqua" w:hAnsi="Book Antiqua" w:cs="Book Antiqua"/>
        </w:rPr>
        <w:t>PC</w:t>
      </w:r>
      <w:r w:rsidRPr="00A04234">
        <w:rPr>
          <w:rFonts w:ascii="Book Antiqua" w:eastAsia="Book Antiqua" w:hAnsi="Book Antiqua" w:cs="Book Antiqua"/>
        </w:rPr>
        <w:t>.</w:t>
      </w:r>
    </w:p>
    <w:p w14:paraId="50074BBB" w14:textId="77777777" w:rsidR="00A77B3E" w:rsidRPr="00A04234" w:rsidRDefault="00A77B3E" w:rsidP="0048655F">
      <w:pPr>
        <w:adjustRightInd w:val="0"/>
        <w:snapToGrid w:val="0"/>
        <w:spacing w:line="360" w:lineRule="auto"/>
        <w:jc w:val="both"/>
        <w:rPr>
          <w:rFonts w:ascii="Book Antiqua" w:hAnsi="Book Antiqua"/>
        </w:rPr>
      </w:pPr>
    </w:p>
    <w:p w14:paraId="42F1304E" w14:textId="2417D00A"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caps/>
          <w:smallCaps/>
          <w:u w:val="single"/>
        </w:rPr>
        <w:t>genomics, proteomics and metabolomics</w:t>
      </w:r>
    </w:p>
    <w:p w14:paraId="08F4AEC1" w14:textId="60BC056F"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The field of “omics” research refers to the use of high throughput technologies to globally </w:t>
      </w:r>
      <w:proofErr w:type="spellStart"/>
      <w:r w:rsidRPr="00A04234">
        <w:rPr>
          <w:rFonts w:ascii="Book Antiqua" w:eastAsia="Book Antiqua" w:hAnsi="Book Antiqua" w:cs="Book Antiqua"/>
        </w:rPr>
        <w:t>analyse</w:t>
      </w:r>
      <w:proofErr w:type="spellEnd"/>
      <w:r w:rsidRPr="00A04234">
        <w:rPr>
          <w:rFonts w:ascii="Book Antiqua" w:eastAsia="Book Antiqua" w:hAnsi="Book Antiqua" w:cs="Book Antiqua"/>
        </w:rPr>
        <w:t xml:space="preserve"> a biological system at the molecular level. This takes place on multiple “levels” depending on the nature of the molecules being studied i.e. genetic material, proteins and </w:t>
      </w:r>
      <w:proofErr w:type="gramStart"/>
      <w:r w:rsidRPr="00A04234">
        <w:rPr>
          <w:rFonts w:ascii="Book Antiqua" w:eastAsia="Book Antiqua" w:hAnsi="Book Antiqua" w:cs="Book Antiqua"/>
        </w:rPr>
        <w:t>metabolites</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5]</w:t>
      </w:r>
      <w:r w:rsidRPr="00A04234">
        <w:rPr>
          <w:rFonts w:ascii="Book Antiqua" w:eastAsia="Book Antiqua" w:hAnsi="Book Antiqua" w:cs="Book Antiqua"/>
        </w:rPr>
        <w:t xml:space="preserve">. </w:t>
      </w:r>
    </w:p>
    <w:p w14:paraId="2554F4B1" w14:textId="50FFE3BD" w:rsidR="00A77B3E" w:rsidRPr="00A04234" w:rsidRDefault="00697E7D" w:rsidP="0048655F">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t xml:space="preserve">The first of these fields to emerge was genomics, with the goal of </w:t>
      </w:r>
      <w:proofErr w:type="spellStart"/>
      <w:r w:rsidRPr="00A04234">
        <w:rPr>
          <w:rFonts w:ascii="Book Antiqua" w:eastAsia="Book Antiqua" w:hAnsi="Book Antiqua" w:cs="Book Antiqua"/>
        </w:rPr>
        <w:t>characterising</w:t>
      </w:r>
      <w:proofErr w:type="spellEnd"/>
      <w:r w:rsidRPr="00A04234">
        <w:rPr>
          <w:rFonts w:ascii="Book Antiqua" w:eastAsia="Book Antiqua" w:hAnsi="Book Antiqua" w:cs="Book Antiqua"/>
        </w:rPr>
        <w:t xml:space="preserve"> the genome and the variations of its structure and expression leading to </w:t>
      </w:r>
      <w:proofErr w:type="gramStart"/>
      <w:r w:rsidRPr="00A04234">
        <w:rPr>
          <w:rFonts w:ascii="Book Antiqua" w:eastAsia="Book Antiqua" w:hAnsi="Book Antiqua" w:cs="Book Antiqua"/>
        </w:rPr>
        <w:t>pathogenesis</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5]</w:t>
      </w:r>
      <w:r w:rsidRPr="00A04234">
        <w:rPr>
          <w:rFonts w:ascii="Book Antiqua" w:eastAsia="Book Antiqua" w:hAnsi="Book Antiqua" w:cs="Book Antiqua"/>
        </w:rPr>
        <w:t xml:space="preserve">. Cancer being essentially a disease of the genome, occurring through the accumulation of genetic mutations, the insights gleaned from such analysis is invaluable for cancer </w:t>
      </w:r>
      <w:proofErr w:type="gramStart"/>
      <w:r w:rsidRPr="00A04234">
        <w:rPr>
          <w:rFonts w:ascii="Book Antiqua" w:eastAsia="Book Antiqua" w:hAnsi="Book Antiqua" w:cs="Book Antiqua"/>
        </w:rPr>
        <w:t>research</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6]</w:t>
      </w:r>
      <w:r w:rsidRPr="00A04234">
        <w:rPr>
          <w:rFonts w:ascii="Book Antiqua" w:eastAsia="Book Antiqua" w:hAnsi="Book Antiqua" w:cs="Book Antiqua"/>
        </w:rPr>
        <w:t xml:space="preserve">. </w:t>
      </w:r>
    </w:p>
    <w:p w14:paraId="64358DB9" w14:textId="6759C57B" w:rsidR="00A77B3E" w:rsidRPr="00A04234" w:rsidRDefault="00697E7D" w:rsidP="0048655F">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lastRenderedPageBreak/>
        <w:t xml:space="preserve">With the advent of next-generation sequencing </w:t>
      </w:r>
      <w:r w:rsidR="009B0C95" w:rsidRPr="00A04234">
        <w:rPr>
          <w:rFonts w:ascii="Book Antiqua" w:eastAsia="Book Antiqua" w:hAnsi="Book Antiqua" w:cs="Book Antiqua"/>
        </w:rPr>
        <w:t>[</w:t>
      </w:r>
      <w:r w:rsidRPr="00A04234">
        <w:rPr>
          <w:rFonts w:ascii="Book Antiqua" w:eastAsia="Book Antiqua" w:hAnsi="Book Antiqua" w:cs="Book Antiqua"/>
        </w:rPr>
        <w:t>whole-genome sequencing</w:t>
      </w:r>
      <w:r w:rsidR="009B0C95" w:rsidRPr="00A04234">
        <w:rPr>
          <w:rFonts w:ascii="Book Antiqua" w:eastAsia="Book Antiqua" w:hAnsi="Book Antiqua" w:cs="Book Antiqua"/>
        </w:rPr>
        <w:t xml:space="preserve"> (WGS)</w:t>
      </w:r>
      <w:r w:rsidRPr="00A04234">
        <w:rPr>
          <w:rFonts w:ascii="Book Antiqua" w:eastAsia="Book Antiqua" w:hAnsi="Book Antiqua" w:cs="Book Antiqua"/>
        </w:rPr>
        <w:t>, whole-exome sequencing</w:t>
      </w:r>
      <w:r w:rsidR="009B0C95" w:rsidRPr="00A04234">
        <w:rPr>
          <w:rFonts w:ascii="Book Antiqua" w:eastAsia="Book Antiqua" w:hAnsi="Book Antiqua" w:cs="Book Antiqua"/>
        </w:rPr>
        <w:t xml:space="preserve"> (WES)</w:t>
      </w:r>
      <w:r w:rsidRPr="00A04234">
        <w:rPr>
          <w:rFonts w:ascii="Book Antiqua" w:eastAsia="Book Antiqua" w:hAnsi="Book Antiqua" w:cs="Book Antiqua"/>
        </w:rPr>
        <w:t xml:space="preserve"> and RNA sequencing</w:t>
      </w:r>
      <w:r w:rsidR="009B0C95" w:rsidRPr="00A04234">
        <w:rPr>
          <w:rFonts w:ascii="Book Antiqua" w:eastAsia="Book Antiqua" w:hAnsi="Book Antiqua" w:cs="Book Antiqua"/>
        </w:rPr>
        <w:t>]</w:t>
      </w:r>
      <w:r w:rsidRPr="00A04234">
        <w:rPr>
          <w:rFonts w:ascii="Book Antiqua" w:eastAsia="Book Antiqua" w:hAnsi="Book Antiqua" w:cs="Book Antiqua"/>
        </w:rPr>
        <w:t xml:space="preserve">, this can now be done quicker and more accurately than traditional </w:t>
      </w:r>
      <w:proofErr w:type="gramStart"/>
      <w:r w:rsidRPr="00A04234">
        <w:rPr>
          <w:rFonts w:ascii="Book Antiqua" w:eastAsia="Book Antiqua" w:hAnsi="Book Antiqua" w:cs="Book Antiqua"/>
        </w:rPr>
        <w:t>methods</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7]</w:t>
      </w:r>
      <w:r w:rsidRPr="00A04234">
        <w:rPr>
          <w:rFonts w:ascii="Book Antiqua" w:eastAsia="Book Antiqua" w:hAnsi="Book Antiqua" w:cs="Book Antiqua"/>
        </w:rPr>
        <w:t xml:space="preserve">. WES, which sequences all protein coding exons, is more abundantly </w:t>
      </w:r>
      <w:proofErr w:type="spellStart"/>
      <w:r w:rsidRPr="00A04234">
        <w:rPr>
          <w:rFonts w:ascii="Book Antiqua" w:eastAsia="Book Antiqua" w:hAnsi="Book Antiqua" w:cs="Book Antiqua"/>
        </w:rPr>
        <w:t>utilised</w:t>
      </w:r>
      <w:proofErr w:type="spellEnd"/>
      <w:r w:rsidRPr="00A04234">
        <w:rPr>
          <w:rFonts w:ascii="Book Antiqua" w:eastAsia="Book Antiqua" w:hAnsi="Book Antiqua" w:cs="Book Antiqua"/>
        </w:rPr>
        <w:t xml:space="preserve"> as it is more accurate and relatively less expensive compared to WGS, which also has the issue of complex data analysis and </w:t>
      </w:r>
      <w:proofErr w:type="gramStart"/>
      <w:r w:rsidRPr="00A04234">
        <w:rPr>
          <w:rFonts w:ascii="Book Antiqua" w:eastAsia="Book Antiqua" w:hAnsi="Book Antiqua" w:cs="Book Antiqua"/>
        </w:rPr>
        <w:t>interpretation</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6]</w:t>
      </w:r>
      <w:r w:rsidRPr="00A04234">
        <w:rPr>
          <w:rFonts w:ascii="Book Antiqua" w:eastAsia="Book Antiqua" w:hAnsi="Book Antiqua" w:cs="Book Antiqua"/>
        </w:rPr>
        <w:t xml:space="preserve">. </w:t>
      </w:r>
    </w:p>
    <w:p w14:paraId="6B663BA3" w14:textId="37A53B23" w:rsidR="00A77B3E" w:rsidRPr="00A04234" w:rsidRDefault="00697E7D" w:rsidP="0048655F">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t xml:space="preserve">At the protein level, proteomic studies identify and quantify the proteome of a biological system, their interactions and post-translational </w:t>
      </w:r>
      <w:proofErr w:type="gramStart"/>
      <w:r w:rsidRPr="00A04234">
        <w:rPr>
          <w:rFonts w:ascii="Book Antiqua" w:eastAsia="Book Antiqua" w:hAnsi="Book Antiqua" w:cs="Book Antiqua"/>
        </w:rPr>
        <w:t>modifications</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5]</w:t>
      </w:r>
      <w:r w:rsidRPr="00A04234">
        <w:rPr>
          <w:rFonts w:ascii="Book Antiqua" w:eastAsia="Book Antiqua" w:hAnsi="Book Antiqua" w:cs="Book Antiqua"/>
        </w:rPr>
        <w:t xml:space="preserve">. Proteomics technologies are largely based in protein separation (gel-based techniques and chromatography) and mass spectrometry (MS) for high throughput analysis of proteins in tissues and </w:t>
      </w:r>
      <w:proofErr w:type="gramStart"/>
      <w:r w:rsidRPr="00A04234">
        <w:rPr>
          <w:rFonts w:ascii="Book Antiqua" w:eastAsia="Book Antiqua" w:hAnsi="Book Antiqua" w:cs="Book Antiqua"/>
        </w:rPr>
        <w:t>fluids</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8,9]</w:t>
      </w:r>
      <w:r w:rsidRPr="00A04234">
        <w:rPr>
          <w:rFonts w:ascii="Book Antiqua" w:eastAsia="Book Antiqua" w:hAnsi="Book Antiqua" w:cs="Book Antiqua"/>
        </w:rPr>
        <w:t xml:space="preserve">. Quantification methods include isobaric tags for relative and absolute quantification, isotope coded affinity tag and differential image gel electrophoresis, with tandem </w:t>
      </w:r>
      <w:proofErr w:type="gramStart"/>
      <w:r w:rsidRPr="00A04234">
        <w:rPr>
          <w:rFonts w:ascii="Book Antiqua" w:eastAsia="Book Antiqua" w:hAnsi="Book Antiqua" w:cs="Book Antiqua"/>
        </w:rPr>
        <w:t>MS</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8,9]</w:t>
      </w:r>
      <w:r w:rsidRPr="00A04234">
        <w:rPr>
          <w:rFonts w:ascii="Book Antiqua" w:eastAsia="Book Antiqua" w:hAnsi="Book Antiqua" w:cs="Book Antiqua"/>
        </w:rPr>
        <w:t xml:space="preserve">. Modifications can also be detected by MS through the corresponding change in mass brought on by the modifying </w:t>
      </w:r>
      <w:proofErr w:type="gramStart"/>
      <w:r w:rsidRPr="00A04234">
        <w:rPr>
          <w:rFonts w:ascii="Book Antiqua" w:eastAsia="Book Antiqua" w:hAnsi="Book Antiqua" w:cs="Book Antiqua"/>
        </w:rPr>
        <w:t>process</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5]</w:t>
      </w:r>
      <w:r w:rsidRPr="00A04234">
        <w:rPr>
          <w:rFonts w:ascii="Book Antiqua" w:eastAsia="Book Antiqua" w:hAnsi="Book Antiqua" w:cs="Book Antiqua"/>
        </w:rPr>
        <w:t xml:space="preserve">.  </w:t>
      </w:r>
    </w:p>
    <w:p w14:paraId="4C0AD2AD" w14:textId="311800BF" w:rsidR="00A77B3E" w:rsidRPr="00A04234" w:rsidRDefault="00697E7D" w:rsidP="0048655F">
      <w:pPr>
        <w:adjustRightInd w:val="0"/>
        <w:snapToGrid w:val="0"/>
        <w:spacing w:line="360" w:lineRule="auto"/>
        <w:ind w:firstLineChars="100" w:firstLine="240"/>
        <w:jc w:val="both"/>
        <w:rPr>
          <w:rFonts w:ascii="Book Antiqua" w:eastAsia="Book Antiqua" w:hAnsi="Book Antiqua" w:cs="Book Antiqua"/>
        </w:rPr>
      </w:pPr>
      <w:r w:rsidRPr="00A04234">
        <w:rPr>
          <w:rFonts w:ascii="Book Antiqua" w:eastAsia="Book Antiqua" w:hAnsi="Book Antiqua" w:cs="Book Antiqua"/>
        </w:rPr>
        <w:t xml:space="preserve">Metabolomics involves the study of all the low molecular weight metabolites within a sample that gives a comprehensive reflection of the sample’s phenotype at a given </w:t>
      </w:r>
      <w:proofErr w:type="gramStart"/>
      <w:r w:rsidRPr="00A04234">
        <w:rPr>
          <w:rFonts w:ascii="Book Antiqua" w:eastAsia="Book Antiqua" w:hAnsi="Book Antiqua" w:cs="Book Antiqua"/>
        </w:rPr>
        <w:t>time</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10]</w:t>
      </w:r>
      <w:r w:rsidRPr="00A04234">
        <w:rPr>
          <w:rFonts w:ascii="Book Antiqua" w:eastAsia="Book Antiqua" w:hAnsi="Book Antiqua" w:cs="Book Antiqua"/>
        </w:rPr>
        <w:t xml:space="preserve">. Identification and quantification of these metabolites can indicate the metabolic processes occurring and changes in these can then be associated with disease processes. Like proteomics, metabolomics is largely driven by MS and chromatography, however there is added complexity due to the variation of the physical properties of these metabolites. Due to this, the metabolites need to be stratified along these properties followed by the application of analytic methods </w:t>
      </w:r>
      <w:proofErr w:type="spellStart"/>
      <w:r w:rsidRPr="00A04234">
        <w:rPr>
          <w:rFonts w:ascii="Book Antiqua" w:eastAsia="Book Antiqua" w:hAnsi="Book Antiqua" w:cs="Book Antiqua"/>
        </w:rPr>
        <w:t>optimised</w:t>
      </w:r>
      <w:proofErr w:type="spellEnd"/>
      <w:r w:rsidRPr="00A04234">
        <w:rPr>
          <w:rFonts w:ascii="Book Antiqua" w:eastAsia="Book Antiqua" w:hAnsi="Book Antiqua" w:cs="Book Antiqua"/>
        </w:rPr>
        <w:t xml:space="preserve"> for each type of </w:t>
      </w:r>
      <w:proofErr w:type="gramStart"/>
      <w:r w:rsidRPr="00A04234">
        <w:rPr>
          <w:rFonts w:ascii="Book Antiqua" w:eastAsia="Book Antiqua" w:hAnsi="Book Antiqua" w:cs="Book Antiqua"/>
        </w:rPr>
        <w:t>metabolite</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10]</w:t>
      </w:r>
      <w:r w:rsidRPr="00A04234">
        <w:rPr>
          <w:rFonts w:ascii="Book Antiqua" w:eastAsia="Book Antiqua" w:hAnsi="Book Antiqua" w:cs="Book Antiqua"/>
        </w:rPr>
        <w:t>.</w:t>
      </w:r>
    </w:p>
    <w:p w14:paraId="00E17748" w14:textId="77777777" w:rsidR="009B0C95" w:rsidRPr="00A04234" w:rsidRDefault="009B0C95" w:rsidP="0048655F">
      <w:pPr>
        <w:adjustRightInd w:val="0"/>
        <w:snapToGrid w:val="0"/>
        <w:spacing w:line="360" w:lineRule="auto"/>
        <w:ind w:firstLineChars="100" w:firstLine="240"/>
        <w:jc w:val="both"/>
        <w:rPr>
          <w:rFonts w:ascii="Book Antiqua" w:hAnsi="Book Antiqua"/>
          <w:u w:val="single"/>
        </w:rPr>
      </w:pPr>
    </w:p>
    <w:p w14:paraId="1A2CB5F9" w14:textId="695B4832" w:rsidR="00A77B3E" w:rsidRPr="00A04234" w:rsidRDefault="009B0C95" w:rsidP="0048655F">
      <w:pPr>
        <w:adjustRightInd w:val="0"/>
        <w:snapToGrid w:val="0"/>
        <w:spacing w:line="360" w:lineRule="auto"/>
        <w:jc w:val="both"/>
        <w:rPr>
          <w:rFonts w:ascii="Book Antiqua" w:hAnsi="Book Antiqua"/>
          <w:u w:val="single"/>
        </w:rPr>
      </w:pPr>
      <w:r w:rsidRPr="00A04234">
        <w:rPr>
          <w:rFonts w:ascii="Book Antiqua" w:eastAsia="Book Antiqua" w:hAnsi="Book Antiqua" w:cs="Book Antiqua"/>
          <w:b/>
          <w:bCs/>
          <w:u w:val="single"/>
        </w:rPr>
        <w:t>MOLECULAR SUBTYPES FOR PERSONALISED MEDICINE</w:t>
      </w:r>
    </w:p>
    <w:p w14:paraId="404DD139" w14:textId="50847C49" w:rsidR="00A77B3E" w:rsidRPr="00A04234" w:rsidRDefault="00697E7D" w:rsidP="0048655F">
      <w:pPr>
        <w:adjustRightInd w:val="0"/>
        <w:snapToGrid w:val="0"/>
        <w:spacing w:line="360" w:lineRule="auto"/>
        <w:jc w:val="both"/>
        <w:rPr>
          <w:rFonts w:ascii="Book Antiqua" w:hAnsi="Book Antiqua"/>
          <w:i/>
          <w:iCs/>
        </w:rPr>
      </w:pPr>
      <w:r w:rsidRPr="00A04234">
        <w:rPr>
          <w:rFonts w:ascii="Book Antiqua" w:eastAsia="Book Antiqua" w:hAnsi="Book Antiqua" w:cs="Book Antiqua"/>
          <w:b/>
          <w:bCs/>
          <w:i/>
          <w:iCs/>
        </w:rPr>
        <w:t>Gen</w:t>
      </w:r>
      <w:r w:rsidR="009B0C95" w:rsidRPr="00A04234">
        <w:rPr>
          <w:rFonts w:ascii="Book Antiqua" w:eastAsia="Book Antiqua" w:hAnsi="Book Antiqua" w:cs="Book Antiqua"/>
          <w:b/>
          <w:bCs/>
          <w:i/>
          <w:iCs/>
        </w:rPr>
        <w:t>omic subt</w:t>
      </w:r>
      <w:r w:rsidRPr="00A04234">
        <w:rPr>
          <w:rFonts w:ascii="Book Antiqua" w:eastAsia="Book Antiqua" w:hAnsi="Book Antiqua" w:cs="Book Antiqua"/>
          <w:b/>
          <w:bCs/>
          <w:i/>
          <w:iCs/>
        </w:rPr>
        <w:t>ypes</w:t>
      </w:r>
    </w:p>
    <w:p w14:paraId="7BB57597" w14:textId="18CCA209"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Waddell </w:t>
      </w:r>
      <w:r w:rsidRPr="00A04234">
        <w:rPr>
          <w:rFonts w:ascii="Book Antiqua" w:eastAsia="Book Antiqua" w:hAnsi="Book Antiqua" w:cs="Book Antiqua"/>
          <w:i/>
          <w:iCs/>
        </w:rPr>
        <w:t xml:space="preserve">et </w:t>
      </w:r>
      <w:proofErr w:type="gramStart"/>
      <w:r w:rsidRPr="00A04234">
        <w:rPr>
          <w:rFonts w:ascii="Book Antiqua" w:eastAsia="Book Antiqua" w:hAnsi="Book Antiqua" w:cs="Book Antiqua"/>
          <w:i/>
          <w:iCs/>
        </w:rPr>
        <w:t>al</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11]</w:t>
      </w:r>
      <w:r w:rsidRPr="00A04234">
        <w:rPr>
          <w:rFonts w:ascii="Book Antiqua" w:eastAsia="Book Antiqua" w:hAnsi="Book Antiqua" w:cs="Book Antiqua"/>
        </w:rPr>
        <w:t xml:space="preserve"> </w:t>
      </w:r>
      <w:proofErr w:type="spellStart"/>
      <w:r w:rsidRPr="00A04234">
        <w:rPr>
          <w:rFonts w:ascii="Book Antiqua" w:eastAsia="Book Antiqua" w:hAnsi="Book Antiqua" w:cs="Book Antiqua"/>
        </w:rPr>
        <w:t>utilised</w:t>
      </w:r>
      <w:proofErr w:type="spellEnd"/>
      <w:r w:rsidRPr="00A04234">
        <w:rPr>
          <w:rFonts w:ascii="Book Antiqua" w:eastAsia="Book Antiqua" w:hAnsi="Book Antiqua" w:cs="Book Antiqua"/>
        </w:rPr>
        <w:t xml:space="preserve"> </w:t>
      </w:r>
      <w:r w:rsidR="009B0C95" w:rsidRPr="00A04234">
        <w:rPr>
          <w:rFonts w:ascii="Book Antiqua" w:eastAsia="Book Antiqua" w:hAnsi="Book Antiqua" w:cs="Book Antiqua"/>
        </w:rPr>
        <w:t>WGS</w:t>
      </w:r>
      <w:r w:rsidRPr="00A04234">
        <w:rPr>
          <w:rFonts w:ascii="Book Antiqua" w:eastAsia="Book Antiqua" w:hAnsi="Book Antiqua" w:cs="Book Antiqua"/>
        </w:rPr>
        <w:t xml:space="preserve"> to map the genome of 100 PDAC specimens. Their findings reinforced the known main drivers of PDAC (KRAS, TP53, CDKN2A and SMAD4) and also found multiple other mutations at much lower prevalence. The authors described four subtypes of PDAC based on the quantity of variations in </w:t>
      </w:r>
      <w:r w:rsidRPr="00A04234">
        <w:rPr>
          <w:rFonts w:ascii="Book Antiqua" w:eastAsia="Book Antiqua" w:hAnsi="Book Antiqua" w:cs="Book Antiqua"/>
        </w:rPr>
        <w:lastRenderedPageBreak/>
        <w:t xml:space="preserve">chromosome structure: </w:t>
      </w:r>
      <w:r w:rsidR="009B0C95" w:rsidRPr="00A04234">
        <w:rPr>
          <w:rFonts w:ascii="Book Antiqua" w:eastAsia="Book Antiqua" w:hAnsi="Book Antiqua" w:cs="Book Antiqua"/>
        </w:rPr>
        <w:t>(</w:t>
      </w:r>
      <w:r w:rsidRPr="00A04234">
        <w:rPr>
          <w:rFonts w:ascii="Book Antiqua" w:eastAsia="Book Antiqua" w:hAnsi="Book Antiqua" w:cs="Book Antiqua"/>
        </w:rPr>
        <w:t xml:space="preserve">1) </w:t>
      </w:r>
      <w:r w:rsidR="009B0C95" w:rsidRPr="00A04234">
        <w:rPr>
          <w:rFonts w:ascii="Book Antiqua" w:eastAsia="Book Antiqua" w:hAnsi="Book Antiqua" w:cs="Book Antiqua"/>
        </w:rPr>
        <w:t>S</w:t>
      </w:r>
      <w:r w:rsidRPr="00A04234">
        <w:rPr>
          <w:rFonts w:ascii="Book Antiqua" w:eastAsia="Book Antiqua" w:hAnsi="Book Antiqua" w:cs="Book Antiqua"/>
        </w:rPr>
        <w:t>table (20%; &lt;</w:t>
      </w:r>
      <w:r w:rsidR="009B0C95" w:rsidRPr="00A04234">
        <w:rPr>
          <w:rFonts w:ascii="Book Antiqua" w:eastAsia="Book Antiqua" w:hAnsi="Book Antiqua" w:cs="Book Antiqua"/>
        </w:rPr>
        <w:t xml:space="preserve"> </w:t>
      </w:r>
      <w:r w:rsidRPr="00A04234">
        <w:rPr>
          <w:rFonts w:ascii="Book Antiqua" w:eastAsia="Book Antiqua" w:hAnsi="Book Antiqua" w:cs="Book Antiqua"/>
        </w:rPr>
        <w:t>50 structural variations and widespread aneuploidy)</w:t>
      </w:r>
      <w:r w:rsidR="009B0C95" w:rsidRPr="00A04234">
        <w:rPr>
          <w:rFonts w:ascii="Book Antiqua" w:eastAsia="Book Antiqua" w:hAnsi="Book Antiqua" w:cs="Book Antiqua"/>
        </w:rPr>
        <w:t>;</w:t>
      </w:r>
      <w:r w:rsidRPr="00A04234">
        <w:rPr>
          <w:rFonts w:ascii="Book Antiqua" w:eastAsia="Book Antiqua" w:hAnsi="Book Antiqua" w:cs="Book Antiqua"/>
        </w:rPr>
        <w:t xml:space="preserve"> </w:t>
      </w:r>
      <w:r w:rsidR="009B0C95" w:rsidRPr="00A04234">
        <w:rPr>
          <w:rFonts w:ascii="Book Antiqua" w:eastAsia="Book Antiqua" w:hAnsi="Book Antiqua" w:cs="Book Antiqua"/>
        </w:rPr>
        <w:t>(</w:t>
      </w:r>
      <w:r w:rsidRPr="00A04234">
        <w:rPr>
          <w:rFonts w:ascii="Book Antiqua" w:eastAsia="Book Antiqua" w:hAnsi="Book Antiqua" w:cs="Book Antiqua"/>
        </w:rPr>
        <w:t xml:space="preserve">2) </w:t>
      </w:r>
      <w:r w:rsidR="009B0C95" w:rsidRPr="00A04234">
        <w:rPr>
          <w:rFonts w:ascii="Book Antiqua" w:eastAsia="Book Antiqua" w:hAnsi="Book Antiqua" w:cs="Book Antiqua"/>
        </w:rPr>
        <w:t>L</w:t>
      </w:r>
      <w:r w:rsidRPr="00A04234">
        <w:rPr>
          <w:rFonts w:ascii="Book Antiqua" w:eastAsia="Book Antiqua" w:hAnsi="Book Antiqua" w:cs="Book Antiqua"/>
        </w:rPr>
        <w:t>ocally rearranged (30%; significant events on 1-2 chromosomes)</w:t>
      </w:r>
      <w:r w:rsidR="009B0C95" w:rsidRPr="00A04234">
        <w:rPr>
          <w:rFonts w:ascii="Book Antiqua" w:eastAsia="Book Antiqua" w:hAnsi="Book Antiqua" w:cs="Book Antiqua"/>
        </w:rPr>
        <w:t>;</w:t>
      </w:r>
      <w:r w:rsidRPr="00A04234">
        <w:rPr>
          <w:rFonts w:ascii="Book Antiqua" w:eastAsia="Book Antiqua" w:hAnsi="Book Antiqua" w:cs="Book Antiqua"/>
        </w:rPr>
        <w:t xml:space="preserve"> </w:t>
      </w:r>
      <w:r w:rsidR="009B0C95" w:rsidRPr="00A04234">
        <w:rPr>
          <w:rFonts w:ascii="Book Antiqua" w:eastAsia="Book Antiqua" w:hAnsi="Book Antiqua" w:cs="Book Antiqua"/>
        </w:rPr>
        <w:t>(</w:t>
      </w:r>
      <w:r w:rsidRPr="00A04234">
        <w:rPr>
          <w:rFonts w:ascii="Book Antiqua" w:eastAsia="Book Antiqua" w:hAnsi="Book Antiqua" w:cs="Book Antiqua"/>
        </w:rPr>
        <w:t>3) scattered (36%; &lt;</w:t>
      </w:r>
      <w:r w:rsidR="009B0C95" w:rsidRPr="00A04234">
        <w:rPr>
          <w:rFonts w:ascii="Book Antiqua" w:eastAsia="Book Antiqua" w:hAnsi="Book Antiqua" w:cs="Book Antiqua"/>
        </w:rPr>
        <w:t xml:space="preserve"> </w:t>
      </w:r>
      <w:r w:rsidRPr="00A04234">
        <w:rPr>
          <w:rFonts w:ascii="Book Antiqua" w:eastAsia="Book Antiqua" w:hAnsi="Book Antiqua" w:cs="Book Antiqua"/>
        </w:rPr>
        <w:t>200 structural variations and moderate chromosomal damage)</w:t>
      </w:r>
      <w:r w:rsidR="009B0C95" w:rsidRPr="00A04234">
        <w:rPr>
          <w:rFonts w:ascii="Book Antiqua" w:eastAsia="Book Antiqua" w:hAnsi="Book Antiqua" w:cs="Book Antiqua"/>
        </w:rPr>
        <w:t>;</w:t>
      </w:r>
      <w:r w:rsidRPr="00A04234">
        <w:rPr>
          <w:rFonts w:ascii="Book Antiqua" w:eastAsia="Book Antiqua" w:hAnsi="Book Antiqua" w:cs="Book Antiqua"/>
        </w:rPr>
        <w:t xml:space="preserve"> and </w:t>
      </w:r>
      <w:r w:rsidR="009B0C95" w:rsidRPr="00A04234">
        <w:rPr>
          <w:rFonts w:ascii="Book Antiqua" w:eastAsia="Book Antiqua" w:hAnsi="Book Antiqua" w:cs="Book Antiqua"/>
        </w:rPr>
        <w:t>(</w:t>
      </w:r>
      <w:r w:rsidRPr="00A04234">
        <w:rPr>
          <w:rFonts w:ascii="Book Antiqua" w:eastAsia="Book Antiqua" w:hAnsi="Book Antiqua" w:cs="Book Antiqua"/>
        </w:rPr>
        <w:t xml:space="preserve">4) </w:t>
      </w:r>
      <w:r w:rsidR="009B0C95" w:rsidRPr="00A04234">
        <w:rPr>
          <w:rFonts w:ascii="Book Antiqua" w:eastAsia="Book Antiqua" w:hAnsi="Book Antiqua" w:cs="Book Antiqua"/>
        </w:rPr>
        <w:t>U</w:t>
      </w:r>
      <w:r w:rsidRPr="00A04234">
        <w:rPr>
          <w:rFonts w:ascii="Book Antiqua" w:eastAsia="Book Antiqua" w:hAnsi="Book Antiqua" w:cs="Book Antiqua"/>
        </w:rPr>
        <w:t>nstable (14%; large number of structural variation and defects in DNA damage repair). The unstable subtype was associated with a high</w:t>
      </w:r>
      <w:r w:rsidR="0007769C" w:rsidRPr="00A04234">
        <w:rPr>
          <w:rFonts w:ascii="Book Antiqua" w:eastAsia="Book Antiqua" w:hAnsi="Book Antiqua" w:cs="Book Antiqua"/>
        </w:rPr>
        <w:t xml:space="preserve"> </w:t>
      </w:r>
      <w:proofErr w:type="spellStart"/>
      <w:r w:rsidR="0007769C" w:rsidRPr="00A04234">
        <w:rPr>
          <w:rFonts w:ascii="Book Antiqua" w:eastAsia="Book Antiqua" w:hAnsi="Book Antiqua" w:cs="Book Antiqua"/>
        </w:rPr>
        <w:t>BReast</w:t>
      </w:r>
      <w:proofErr w:type="spellEnd"/>
      <w:r w:rsidR="0007769C" w:rsidRPr="00A04234">
        <w:rPr>
          <w:rFonts w:ascii="Book Antiqua" w:eastAsia="Book Antiqua" w:hAnsi="Book Antiqua" w:cs="Book Antiqua"/>
        </w:rPr>
        <w:t xml:space="preserve"> </w:t>
      </w:r>
      <w:proofErr w:type="spellStart"/>
      <w:r w:rsidR="0007769C" w:rsidRPr="00A04234">
        <w:rPr>
          <w:rFonts w:ascii="Book Antiqua" w:eastAsia="Book Antiqua" w:hAnsi="Book Antiqua" w:cs="Book Antiqua"/>
        </w:rPr>
        <w:t>CAncer</w:t>
      </w:r>
      <w:proofErr w:type="spellEnd"/>
      <w:r w:rsidR="0007769C" w:rsidRPr="00A04234">
        <w:rPr>
          <w:rFonts w:ascii="Book Antiqua" w:eastAsia="Book Antiqua" w:hAnsi="Book Antiqua" w:cs="Book Antiqua"/>
        </w:rPr>
        <w:t xml:space="preserve"> gene</w:t>
      </w:r>
      <w:r w:rsidRPr="00A04234">
        <w:rPr>
          <w:rFonts w:ascii="Book Antiqua" w:eastAsia="Book Antiqua" w:hAnsi="Book Antiqua" w:cs="Book Antiqua"/>
        </w:rPr>
        <w:t xml:space="preserve"> </w:t>
      </w:r>
      <w:r w:rsidR="0007769C" w:rsidRPr="00A04234">
        <w:rPr>
          <w:rFonts w:ascii="Book Antiqua" w:eastAsia="Book Antiqua" w:hAnsi="Book Antiqua" w:cs="Book Antiqua"/>
        </w:rPr>
        <w:t>(</w:t>
      </w:r>
      <w:r w:rsidRPr="00A04234">
        <w:rPr>
          <w:rFonts w:ascii="Book Antiqua" w:eastAsia="Book Antiqua" w:hAnsi="Book Antiqua" w:cs="Book Antiqua"/>
        </w:rPr>
        <w:t>BRCA</w:t>
      </w:r>
      <w:r w:rsidR="0007769C" w:rsidRPr="00A04234">
        <w:rPr>
          <w:rFonts w:ascii="Book Antiqua" w:eastAsia="Book Antiqua" w:hAnsi="Book Antiqua" w:cs="Book Antiqua"/>
        </w:rPr>
        <w:t>)</w:t>
      </w:r>
      <w:r w:rsidRPr="00A04234">
        <w:rPr>
          <w:rFonts w:ascii="Book Antiqua" w:eastAsia="Book Antiqua" w:hAnsi="Book Antiqua" w:cs="Book Antiqua"/>
        </w:rPr>
        <w:t xml:space="preserve"> mutational signature, suggesting defects in DNA damage repair, possibly </w:t>
      </w:r>
      <w:proofErr w:type="spellStart"/>
      <w:r w:rsidRPr="00A04234">
        <w:rPr>
          <w:rFonts w:ascii="Book Antiqua" w:eastAsia="Book Antiqua" w:hAnsi="Book Antiqua" w:cs="Book Antiqua"/>
        </w:rPr>
        <w:t>sensitising</w:t>
      </w:r>
      <w:proofErr w:type="spellEnd"/>
      <w:r w:rsidRPr="00A04234">
        <w:rPr>
          <w:rFonts w:ascii="Book Antiqua" w:eastAsia="Book Antiqua" w:hAnsi="Book Antiqua" w:cs="Book Antiqua"/>
        </w:rPr>
        <w:t xml:space="preserve"> these to platinum based chemotherapy or </w:t>
      </w:r>
      <w:r w:rsidR="0007769C" w:rsidRPr="00A04234">
        <w:rPr>
          <w:rFonts w:ascii="Book Antiqua" w:eastAsia="Book Antiqua" w:hAnsi="Book Antiqua" w:cs="Book Antiqua"/>
        </w:rPr>
        <w:t>poly</w:t>
      </w:r>
      <w:r w:rsidR="007F3906" w:rsidRPr="00A04234">
        <w:rPr>
          <w:rFonts w:ascii="Book Antiqua" w:eastAsia="Book Antiqua" w:hAnsi="Book Antiqua" w:cs="Book Antiqua"/>
        </w:rPr>
        <w:t xml:space="preserve"> </w:t>
      </w:r>
      <w:r w:rsidR="0007769C" w:rsidRPr="00A04234">
        <w:rPr>
          <w:rFonts w:ascii="Book Antiqua" w:eastAsia="Book Antiqua" w:hAnsi="Book Antiqua" w:cs="Book Antiqua"/>
        </w:rPr>
        <w:t>(ADP-ribose) polymerase inhibitors (</w:t>
      </w:r>
      <w:proofErr w:type="spellStart"/>
      <w:r w:rsidR="0007769C" w:rsidRPr="00A04234">
        <w:rPr>
          <w:rFonts w:ascii="Book Antiqua" w:eastAsia="Book Antiqua" w:hAnsi="Book Antiqua" w:cs="Book Antiqua"/>
        </w:rPr>
        <w:t>PARPi</w:t>
      </w:r>
      <w:proofErr w:type="spellEnd"/>
      <w:r w:rsidR="00F565E2" w:rsidRPr="00A04234">
        <w:rPr>
          <w:rFonts w:ascii="宋体" w:eastAsia="宋体" w:hAnsi="宋体" w:cs="宋体" w:hint="eastAsia"/>
          <w:lang w:eastAsia="zh-CN"/>
        </w:rPr>
        <w:t>).</w:t>
      </w:r>
      <w:r w:rsidR="0007769C" w:rsidRPr="00A04234" w:rsidDel="0007769C">
        <w:rPr>
          <w:rFonts w:ascii="Book Antiqua" w:eastAsia="Book Antiqua" w:hAnsi="Book Antiqua" w:cs="Book Antiqua"/>
        </w:rPr>
        <w:t xml:space="preserve"> </w:t>
      </w:r>
      <w:r w:rsidRPr="00A04234">
        <w:rPr>
          <w:rFonts w:ascii="Book Antiqua" w:eastAsia="Book Antiqua" w:hAnsi="Book Antiqua" w:cs="Book Antiqua"/>
        </w:rPr>
        <w:t xml:space="preserve">Indeed, from their sample, 4 out of 5 of these patients treated with platinum based chemotherapy showed response to </w:t>
      </w:r>
      <w:proofErr w:type="gramStart"/>
      <w:r w:rsidRPr="00A04234">
        <w:rPr>
          <w:rFonts w:ascii="Book Antiqua" w:eastAsia="Book Antiqua" w:hAnsi="Book Antiqua" w:cs="Book Antiqua"/>
        </w:rPr>
        <w:t>treatment</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11]</w:t>
      </w:r>
      <w:r w:rsidRPr="00A04234">
        <w:rPr>
          <w:rFonts w:ascii="Book Antiqua" w:eastAsia="Book Antiqua" w:hAnsi="Book Antiqua" w:cs="Book Antiqua"/>
        </w:rPr>
        <w:t>.</w:t>
      </w:r>
    </w:p>
    <w:p w14:paraId="26783756" w14:textId="2595B836" w:rsidR="00A77B3E" w:rsidRPr="00A04234" w:rsidRDefault="00697E7D" w:rsidP="0048655F">
      <w:pPr>
        <w:adjustRightInd w:val="0"/>
        <w:snapToGrid w:val="0"/>
        <w:spacing w:line="360" w:lineRule="auto"/>
        <w:ind w:firstLineChars="100" w:firstLine="240"/>
        <w:jc w:val="both"/>
        <w:rPr>
          <w:rFonts w:ascii="Book Antiqua" w:hAnsi="Book Antiqua"/>
        </w:rPr>
      </w:pPr>
      <w:proofErr w:type="spellStart"/>
      <w:r w:rsidRPr="00A04234">
        <w:rPr>
          <w:rFonts w:ascii="Book Antiqua" w:eastAsia="Book Antiqua" w:hAnsi="Book Antiqua" w:cs="Book Antiqua"/>
        </w:rPr>
        <w:t>Singhi</w:t>
      </w:r>
      <w:proofErr w:type="spellEnd"/>
      <w:r w:rsidRPr="00A04234">
        <w:rPr>
          <w:rFonts w:ascii="Book Antiqua" w:eastAsia="Book Antiqua" w:hAnsi="Book Antiqua" w:cs="Book Antiqua"/>
        </w:rPr>
        <w:t xml:space="preserve"> </w:t>
      </w:r>
      <w:r w:rsidRPr="00A04234">
        <w:rPr>
          <w:rFonts w:ascii="Book Antiqua" w:eastAsia="Book Antiqua" w:hAnsi="Book Antiqua" w:cs="Book Antiqua"/>
          <w:i/>
          <w:iCs/>
        </w:rPr>
        <w:t>et al</w:t>
      </w:r>
      <w:r w:rsidRPr="00A04234">
        <w:rPr>
          <w:rFonts w:ascii="Book Antiqua" w:eastAsia="Book Antiqua" w:hAnsi="Book Antiqua" w:cs="Book Antiqua"/>
          <w:vertAlign w:val="superscript"/>
        </w:rPr>
        <w:t>[12]</w:t>
      </w:r>
      <w:r w:rsidRPr="00A04234">
        <w:rPr>
          <w:rFonts w:ascii="Book Antiqua" w:eastAsia="Book Antiqua" w:hAnsi="Book Antiqua" w:cs="Book Antiqua"/>
        </w:rPr>
        <w:t xml:space="preserve"> </w:t>
      </w:r>
      <w:proofErr w:type="spellStart"/>
      <w:r w:rsidRPr="00A04234">
        <w:rPr>
          <w:rFonts w:ascii="Book Antiqua" w:eastAsia="Book Antiqua" w:hAnsi="Book Antiqua" w:cs="Book Antiqua"/>
        </w:rPr>
        <w:t>utilised</w:t>
      </w:r>
      <w:proofErr w:type="spellEnd"/>
      <w:r w:rsidRPr="00A04234">
        <w:rPr>
          <w:rFonts w:ascii="Book Antiqua" w:eastAsia="Book Antiqua" w:hAnsi="Book Antiqua" w:cs="Book Antiqua"/>
        </w:rPr>
        <w:t xml:space="preserve"> real time targeted sequencing of exons and introns of 3594 PDAC specimens during the course of clinical care and reported that 17% of these may be susceptible to current therapies based on this genomic data. They found genetic alterations in</w:t>
      </w:r>
      <w:r w:rsidR="0007769C" w:rsidRPr="00A04234">
        <w:rPr>
          <w:rFonts w:ascii="Book Antiqua" w:eastAsia="Book Antiqua" w:hAnsi="Book Antiqua" w:cs="Book Antiqua"/>
        </w:rPr>
        <w:t xml:space="preserve"> </w:t>
      </w:r>
      <w:r w:rsidR="00F565E2" w:rsidRPr="00A04234">
        <w:rPr>
          <w:rFonts w:ascii="Book Antiqua" w:eastAsia="Book Antiqua" w:hAnsi="Book Antiqua" w:cs="Book Antiqua"/>
        </w:rPr>
        <w:t>r</w:t>
      </w:r>
      <w:r w:rsidR="0007769C" w:rsidRPr="00A04234">
        <w:rPr>
          <w:rFonts w:ascii="Book Antiqua" w:eastAsia="Book Antiqua" w:hAnsi="Book Antiqua" w:cs="Book Antiqua"/>
        </w:rPr>
        <w:t>eceptor tyrosine kinase</w:t>
      </w:r>
      <w:r w:rsidRPr="00A04234">
        <w:rPr>
          <w:rFonts w:ascii="Book Antiqua" w:eastAsia="Book Antiqua" w:hAnsi="Book Antiqua" w:cs="Book Antiqua"/>
        </w:rPr>
        <w:t xml:space="preserve"> </w:t>
      </w:r>
      <w:r w:rsidR="0007769C" w:rsidRPr="00A04234">
        <w:rPr>
          <w:rFonts w:ascii="Book Antiqua" w:eastAsia="Book Antiqua" w:hAnsi="Book Antiqua" w:cs="Book Antiqua"/>
        </w:rPr>
        <w:t>(</w:t>
      </w:r>
      <w:r w:rsidRPr="00A04234">
        <w:rPr>
          <w:rFonts w:ascii="Book Antiqua" w:eastAsia="Book Antiqua" w:hAnsi="Book Antiqua" w:cs="Book Antiqua"/>
        </w:rPr>
        <w:t>RTK</w:t>
      </w:r>
      <w:r w:rsidR="0007769C" w:rsidRPr="00A04234">
        <w:rPr>
          <w:rFonts w:ascii="Book Antiqua" w:eastAsia="Book Antiqua" w:hAnsi="Book Antiqua" w:cs="Book Antiqua"/>
        </w:rPr>
        <w:t>)</w:t>
      </w:r>
      <w:r w:rsidRPr="00A04234">
        <w:rPr>
          <w:rFonts w:ascii="Book Antiqua" w:eastAsia="Book Antiqua" w:hAnsi="Book Antiqua" w:cs="Book Antiqua"/>
        </w:rPr>
        <w:t>/Ras/</w:t>
      </w:r>
      <w:r w:rsidR="0007769C" w:rsidRPr="00A04234">
        <w:rPr>
          <w:rFonts w:ascii="Book Antiqua" w:eastAsia="Book Antiqua" w:hAnsi="Book Antiqua" w:cs="Book Antiqua"/>
        </w:rPr>
        <w:t>mitogen-activated protein kinase (</w:t>
      </w:r>
      <w:r w:rsidRPr="00A04234">
        <w:rPr>
          <w:rFonts w:ascii="Book Antiqua" w:eastAsia="Book Antiqua" w:hAnsi="Book Antiqua" w:cs="Book Antiqua"/>
        </w:rPr>
        <w:t>MAPK</w:t>
      </w:r>
      <w:r w:rsidR="0007769C" w:rsidRPr="00A04234">
        <w:rPr>
          <w:rFonts w:ascii="Book Antiqua" w:eastAsia="Book Antiqua" w:hAnsi="Book Antiqua" w:cs="Book Antiqua"/>
        </w:rPr>
        <w:t>)</w:t>
      </w:r>
      <w:r w:rsidRPr="00A04234">
        <w:rPr>
          <w:rFonts w:ascii="Book Antiqua" w:eastAsia="Book Antiqua" w:hAnsi="Book Antiqua" w:cs="Book Antiqua"/>
        </w:rPr>
        <w:t xml:space="preserve"> activation, DNA damage repair, cell cycle control, TGF-B </w:t>
      </w:r>
      <w:proofErr w:type="spellStart"/>
      <w:r w:rsidRPr="00A04234">
        <w:rPr>
          <w:rFonts w:ascii="Book Antiqua" w:eastAsia="Book Antiqua" w:hAnsi="Book Antiqua" w:cs="Book Antiqua"/>
        </w:rPr>
        <w:t>signalling</w:t>
      </w:r>
      <w:proofErr w:type="spellEnd"/>
      <w:r w:rsidRPr="00A04234">
        <w:rPr>
          <w:rFonts w:ascii="Book Antiqua" w:eastAsia="Book Antiqua" w:hAnsi="Book Antiqua" w:cs="Book Antiqua"/>
        </w:rPr>
        <w:t>, histone modification, SWI/SNF protein complex, PI3L/</w:t>
      </w:r>
      <w:proofErr w:type="spellStart"/>
      <w:r w:rsidRPr="00A04234">
        <w:rPr>
          <w:rFonts w:ascii="Book Antiqua" w:eastAsia="Book Antiqua" w:hAnsi="Book Antiqua" w:cs="Book Antiqua"/>
        </w:rPr>
        <w:t>mTOR</w:t>
      </w:r>
      <w:proofErr w:type="spellEnd"/>
      <w:r w:rsidRPr="00A04234">
        <w:rPr>
          <w:rFonts w:ascii="Book Antiqua" w:eastAsia="Book Antiqua" w:hAnsi="Book Antiqua" w:cs="Book Antiqua"/>
        </w:rPr>
        <w:t xml:space="preserve"> </w:t>
      </w:r>
      <w:proofErr w:type="spellStart"/>
      <w:r w:rsidRPr="00A04234">
        <w:rPr>
          <w:rFonts w:ascii="Book Antiqua" w:eastAsia="Book Antiqua" w:hAnsi="Book Antiqua" w:cs="Book Antiqua"/>
        </w:rPr>
        <w:t>signalling</w:t>
      </w:r>
      <w:proofErr w:type="spellEnd"/>
      <w:r w:rsidRPr="00A04234">
        <w:rPr>
          <w:rFonts w:ascii="Book Antiqua" w:eastAsia="Book Antiqua" w:hAnsi="Book Antiqua" w:cs="Book Antiqua"/>
        </w:rPr>
        <w:t xml:space="preserve">, WNT/B-catenin pathway, RNA splicing, NOTCH pathway, angiogenesis and Hedgehog </w:t>
      </w:r>
      <w:proofErr w:type="spellStart"/>
      <w:r w:rsidRPr="00A04234">
        <w:rPr>
          <w:rFonts w:ascii="Book Antiqua" w:eastAsia="Book Antiqua" w:hAnsi="Book Antiqua" w:cs="Book Antiqua"/>
        </w:rPr>
        <w:t>signalling</w:t>
      </w:r>
      <w:proofErr w:type="spellEnd"/>
      <w:r w:rsidRPr="00A04234">
        <w:rPr>
          <w:rFonts w:ascii="Book Antiqua" w:eastAsia="Book Antiqua" w:hAnsi="Book Antiqua" w:cs="Book Antiqua"/>
        </w:rPr>
        <w:t>. Interestingly, the investigators also found that 14% of their sample exhibited mutations in DNA damage repair genes (BRCA-FANC family). Further to this, they identified genetic alterations in receptor tyrosine kinases as potential targets on a background of wild-type KRAS PDAC (12% of the sample</w:t>
      </w:r>
      <w:proofErr w:type="gramStart"/>
      <w:r w:rsidRPr="00A04234">
        <w:rPr>
          <w:rFonts w:ascii="Book Antiqua" w:eastAsia="Book Antiqua" w:hAnsi="Book Antiqua" w:cs="Book Antiqua"/>
        </w:rPr>
        <w:t>)</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12]</w:t>
      </w:r>
      <w:r w:rsidRPr="00A04234">
        <w:rPr>
          <w:rFonts w:ascii="Book Antiqua" w:eastAsia="Book Antiqua" w:hAnsi="Book Antiqua" w:cs="Book Antiqua"/>
        </w:rPr>
        <w:t>.</w:t>
      </w:r>
    </w:p>
    <w:p w14:paraId="6CEFA6FF" w14:textId="193B06FD" w:rsidR="00A77B3E" w:rsidRPr="00A04234" w:rsidRDefault="00697E7D" w:rsidP="0048655F">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t xml:space="preserve">Aguirre </w:t>
      </w:r>
      <w:r w:rsidRPr="00A04234">
        <w:rPr>
          <w:rFonts w:ascii="Book Antiqua" w:eastAsia="Book Antiqua" w:hAnsi="Book Antiqua" w:cs="Book Antiqua"/>
          <w:i/>
          <w:iCs/>
        </w:rPr>
        <w:t xml:space="preserve">et </w:t>
      </w:r>
      <w:proofErr w:type="gramStart"/>
      <w:r w:rsidRPr="00A04234">
        <w:rPr>
          <w:rFonts w:ascii="Book Antiqua" w:eastAsia="Book Antiqua" w:hAnsi="Book Antiqua" w:cs="Book Antiqua"/>
          <w:i/>
          <w:iCs/>
        </w:rPr>
        <w:t>al</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13]</w:t>
      </w:r>
      <w:r w:rsidRPr="00A04234">
        <w:rPr>
          <w:rFonts w:ascii="Book Antiqua" w:eastAsia="Book Antiqua" w:hAnsi="Book Antiqua" w:cs="Book Antiqua"/>
        </w:rPr>
        <w:t xml:space="preserve"> performed deep </w:t>
      </w:r>
      <w:r w:rsidR="009B0C95" w:rsidRPr="00A04234">
        <w:rPr>
          <w:rFonts w:ascii="Book Antiqua" w:eastAsia="Book Antiqua" w:hAnsi="Book Antiqua" w:cs="Book Antiqua"/>
        </w:rPr>
        <w:t>WES</w:t>
      </w:r>
      <w:r w:rsidRPr="00A04234">
        <w:rPr>
          <w:rFonts w:ascii="Book Antiqua" w:eastAsia="Book Antiqua" w:hAnsi="Book Antiqua" w:cs="Book Antiqua"/>
        </w:rPr>
        <w:t xml:space="preserve"> of PDAC primaries and metastases for 73 patients having clinically indicated biopsies. Average time for the results of WES to return to the clinicians was 39 d, longer than that of research only biopsies (28 d) due to the need for histological diagnosis prior to sequencing. Analysis of these findings resulted in three mutational signatures: </w:t>
      </w:r>
      <w:proofErr w:type="spellStart"/>
      <w:r w:rsidRPr="00A04234">
        <w:rPr>
          <w:rFonts w:ascii="Book Antiqua" w:eastAsia="Book Antiqua" w:hAnsi="Book Antiqua" w:cs="Book Antiqua"/>
        </w:rPr>
        <w:t>SigA</w:t>
      </w:r>
      <w:proofErr w:type="spellEnd"/>
      <w:r w:rsidRPr="00A04234">
        <w:rPr>
          <w:rFonts w:ascii="Book Antiqua" w:eastAsia="Book Antiqua" w:hAnsi="Book Antiqua" w:cs="Book Antiqua"/>
        </w:rPr>
        <w:t xml:space="preserve"> (homologous recombination deficiency), </w:t>
      </w:r>
      <w:proofErr w:type="spellStart"/>
      <w:r w:rsidRPr="00A04234">
        <w:rPr>
          <w:rFonts w:ascii="Book Antiqua" w:eastAsia="Book Antiqua" w:hAnsi="Book Antiqua" w:cs="Book Antiqua"/>
        </w:rPr>
        <w:t>SigB</w:t>
      </w:r>
      <w:proofErr w:type="spellEnd"/>
      <w:r w:rsidRPr="00A04234">
        <w:rPr>
          <w:rFonts w:ascii="Book Antiqua" w:eastAsia="Book Antiqua" w:hAnsi="Book Antiqua" w:cs="Book Antiqua"/>
        </w:rPr>
        <w:t xml:space="preserve"> (aging) and </w:t>
      </w:r>
      <w:proofErr w:type="spellStart"/>
      <w:r w:rsidRPr="00A04234">
        <w:rPr>
          <w:rFonts w:ascii="Book Antiqua" w:eastAsia="Book Antiqua" w:hAnsi="Book Antiqua" w:cs="Book Antiqua"/>
        </w:rPr>
        <w:t>SigC</w:t>
      </w:r>
      <w:proofErr w:type="spellEnd"/>
      <w:r w:rsidRPr="00A04234">
        <w:rPr>
          <w:rFonts w:ascii="Book Antiqua" w:eastAsia="Book Antiqua" w:hAnsi="Book Antiqua" w:cs="Book Antiqua"/>
        </w:rPr>
        <w:t xml:space="preserve"> (unknown </w:t>
      </w:r>
      <w:proofErr w:type="spellStart"/>
      <w:r w:rsidRPr="00A04234">
        <w:rPr>
          <w:rFonts w:ascii="Book Antiqua" w:eastAsia="Book Antiqua" w:hAnsi="Book Antiqua" w:cs="Book Antiqua"/>
        </w:rPr>
        <w:t>aetiology</w:t>
      </w:r>
      <w:proofErr w:type="spellEnd"/>
      <w:r w:rsidRPr="00A04234">
        <w:rPr>
          <w:rFonts w:ascii="Book Antiqua" w:eastAsia="Book Antiqua" w:hAnsi="Book Antiqua" w:cs="Book Antiqua"/>
        </w:rPr>
        <w:t>).</w:t>
      </w:r>
      <w:r w:rsidR="00115BB3" w:rsidRPr="00A04234">
        <w:rPr>
          <w:rFonts w:ascii="Book Antiqua" w:eastAsia="Book Antiqua" w:hAnsi="Book Antiqua" w:cs="Book Antiqua"/>
        </w:rPr>
        <w:t xml:space="preserve"> </w:t>
      </w:r>
      <w:r w:rsidRPr="00A04234">
        <w:rPr>
          <w:rFonts w:ascii="Book Antiqua" w:eastAsia="Book Antiqua" w:hAnsi="Book Antiqua" w:cs="Book Antiqua"/>
        </w:rPr>
        <w:t xml:space="preserve">Around 40% of these patients had potentially targetable genomic findings, when excluding KRAS or CDKN2A, 48% were eligible for clinical trials or off-label use of other therapeutic agents and 24% of patients were indeed enrolled onto a clinical trial or treated with an off-label agent. This shows </w:t>
      </w:r>
      <w:r w:rsidRPr="00A04234">
        <w:rPr>
          <w:rFonts w:ascii="Book Antiqua" w:eastAsia="Book Antiqua" w:hAnsi="Book Antiqua" w:cs="Book Antiqua"/>
        </w:rPr>
        <w:lastRenderedPageBreak/>
        <w:t xml:space="preserve">the feasibility of implementing WES clinically to guide treatment choice. Clinically relevant findings included </w:t>
      </w:r>
      <w:r w:rsidR="0007769C" w:rsidRPr="00A04234">
        <w:rPr>
          <w:rFonts w:ascii="Book Antiqua" w:eastAsia="Book Antiqua" w:hAnsi="Book Antiqua" w:cs="Book Antiqua"/>
        </w:rPr>
        <w:t>DNA damage repair (</w:t>
      </w:r>
      <w:r w:rsidRPr="00A04234">
        <w:rPr>
          <w:rFonts w:ascii="Book Antiqua" w:eastAsia="Book Antiqua" w:hAnsi="Book Antiqua" w:cs="Book Antiqua"/>
        </w:rPr>
        <w:t>DDR</w:t>
      </w:r>
      <w:r w:rsidR="0007769C" w:rsidRPr="00A04234">
        <w:rPr>
          <w:rFonts w:ascii="Book Antiqua" w:eastAsia="Book Antiqua" w:hAnsi="Book Antiqua" w:cs="Book Antiqua"/>
        </w:rPr>
        <w:t>)</w:t>
      </w:r>
      <w:r w:rsidRPr="00A04234">
        <w:rPr>
          <w:rFonts w:ascii="Book Antiqua" w:eastAsia="Book Antiqua" w:hAnsi="Book Antiqua" w:cs="Book Antiqua"/>
        </w:rPr>
        <w:t xml:space="preserve"> mutations and BRAF mutations in KRAS wild-type PDAC which may confer sensitivity to platinum-based chemotherapy/</w:t>
      </w:r>
      <w:proofErr w:type="spellStart"/>
      <w:r w:rsidRPr="00A04234">
        <w:rPr>
          <w:rFonts w:ascii="Book Antiqua" w:eastAsia="Book Antiqua" w:hAnsi="Book Antiqua" w:cs="Book Antiqua"/>
        </w:rPr>
        <w:t>PARPi</w:t>
      </w:r>
      <w:proofErr w:type="spellEnd"/>
      <w:r w:rsidRPr="00A04234">
        <w:rPr>
          <w:rFonts w:ascii="Book Antiqua" w:eastAsia="Book Antiqua" w:hAnsi="Book Antiqua" w:cs="Book Antiqua"/>
        </w:rPr>
        <w:t xml:space="preserve"> and </w:t>
      </w:r>
      <w:r w:rsidR="00F565E2" w:rsidRPr="00A04234">
        <w:rPr>
          <w:rFonts w:ascii="Book Antiqua" w:eastAsia="Book Antiqua" w:hAnsi="Book Antiqua" w:cs="Book Antiqua"/>
        </w:rPr>
        <w:t>MAPK</w:t>
      </w:r>
      <w:r w:rsidR="00F565E2" w:rsidRPr="00A04234" w:rsidDel="00F565E2">
        <w:rPr>
          <w:rFonts w:ascii="Book Antiqua" w:eastAsia="Book Antiqua" w:hAnsi="Book Antiqua" w:cs="Book Antiqua"/>
        </w:rPr>
        <w:t xml:space="preserve"> </w:t>
      </w:r>
      <w:r w:rsidRPr="00A04234">
        <w:rPr>
          <w:rFonts w:ascii="Book Antiqua" w:eastAsia="Book Antiqua" w:hAnsi="Book Antiqua" w:cs="Book Antiqua"/>
        </w:rPr>
        <w:t xml:space="preserve">inhibition respectively. The authors also presented two such case studies with significant responses to </w:t>
      </w:r>
      <w:proofErr w:type="gramStart"/>
      <w:r w:rsidRPr="00A04234">
        <w:rPr>
          <w:rFonts w:ascii="Book Antiqua" w:eastAsia="Book Antiqua" w:hAnsi="Book Antiqua" w:cs="Book Antiqua"/>
        </w:rPr>
        <w:t>treatment</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13]</w:t>
      </w:r>
      <w:r w:rsidRPr="00A04234">
        <w:rPr>
          <w:rFonts w:ascii="Book Antiqua" w:eastAsia="Book Antiqua" w:hAnsi="Book Antiqua" w:cs="Book Antiqua"/>
        </w:rPr>
        <w:t xml:space="preserve">. </w:t>
      </w:r>
    </w:p>
    <w:p w14:paraId="40E66CCA" w14:textId="77777777" w:rsidR="00A77B3E" w:rsidRPr="00A04234" w:rsidRDefault="00A77B3E" w:rsidP="0048655F">
      <w:pPr>
        <w:adjustRightInd w:val="0"/>
        <w:snapToGrid w:val="0"/>
        <w:spacing w:line="360" w:lineRule="auto"/>
        <w:jc w:val="both"/>
        <w:rPr>
          <w:rFonts w:ascii="Book Antiqua" w:hAnsi="Book Antiqua"/>
        </w:rPr>
      </w:pPr>
    </w:p>
    <w:p w14:paraId="62E84770" w14:textId="62CC0708" w:rsidR="00A77B3E" w:rsidRPr="00A04234" w:rsidRDefault="00697E7D" w:rsidP="0048655F">
      <w:pPr>
        <w:adjustRightInd w:val="0"/>
        <w:snapToGrid w:val="0"/>
        <w:spacing w:line="360" w:lineRule="auto"/>
        <w:jc w:val="both"/>
        <w:rPr>
          <w:rFonts w:ascii="Book Antiqua" w:hAnsi="Book Antiqua"/>
          <w:i/>
          <w:iCs/>
        </w:rPr>
      </w:pPr>
      <w:r w:rsidRPr="00A04234">
        <w:rPr>
          <w:rFonts w:ascii="Book Antiqua" w:eastAsia="Book Antiqua" w:hAnsi="Book Antiqua" w:cs="Book Antiqua"/>
          <w:b/>
          <w:bCs/>
          <w:i/>
          <w:iCs/>
        </w:rPr>
        <w:t>Proteomi</w:t>
      </w:r>
      <w:r w:rsidR="00115BB3" w:rsidRPr="00A04234">
        <w:rPr>
          <w:rFonts w:ascii="Book Antiqua" w:eastAsia="Book Antiqua" w:hAnsi="Book Antiqua" w:cs="Book Antiqua"/>
          <w:b/>
          <w:bCs/>
          <w:i/>
          <w:iCs/>
        </w:rPr>
        <w:t>c subty</w:t>
      </w:r>
      <w:r w:rsidRPr="00A04234">
        <w:rPr>
          <w:rFonts w:ascii="Book Antiqua" w:eastAsia="Book Antiqua" w:hAnsi="Book Antiqua" w:cs="Book Antiqua"/>
          <w:b/>
          <w:bCs/>
          <w:i/>
          <w:iCs/>
        </w:rPr>
        <w:t>pes</w:t>
      </w:r>
    </w:p>
    <w:p w14:paraId="7D870E7D" w14:textId="0887D654"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Using 56 PDAC liver metastases specimens, Law </w:t>
      </w:r>
      <w:r w:rsidRPr="00A04234">
        <w:rPr>
          <w:rFonts w:ascii="Book Antiqua" w:eastAsia="Book Antiqua" w:hAnsi="Book Antiqua" w:cs="Book Antiqua"/>
          <w:i/>
          <w:iCs/>
        </w:rPr>
        <w:t xml:space="preserve">et </w:t>
      </w:r>
      <w:proofErr w:type="gramStart"/>
      <w:r w:rsidRPr="00A04234">
        <w:rPr>
          <w:rFonts w:ascii="Book Antiqua" w:eastAsia="Book Antiqua" w:hAnsi="Book Antiqua" w:cs="Book Antiqua"/>
          <w:i/>
          <w:iCs/>
        </w:rPr>
        <w:t>al</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14]</w:t>
      </w:r>
      <w:r w:rsidRPr="00A04234">
        <w:rPr>
          <w:rFonts w:ascii="Book Antiqua" w:eastAsia="Book Antiqua" w:hAnsi="Book Antiqua" w:cs="Book Antiqua"/>
        </w:rPr>
        <w:t xml:space="preserve"> performed liquid chromatography-</w:t>
      </w:r>
      <w:r w:rsidR="0007769C" w:rsidRPr="00A04234">
        <w:rPr>
          <w:rFonts w:ascii="Book Antiqua" w:eastAsia="Book Antiqua" w:hAnsi="Book Antiqua" w:cs="Book Antiqua"/>
        </w:rPr>
        <w:t>mass spectrometry</w:t>
      </w:r>
      <w:r w:rsidRPr="00A04234">
        <w:rPr>
          <w:rFonts w:ascii="Book Antiqua" w:eastAsia="Book Antiqua" w:hAnsi="Book Antiqua" w:cs="Book Antiqua"/>
        </w:rPr>
        <w:t xml:space="preserve"> (</w:t>
      </w:r>
      <w:r w:rsidR="00115BB3" w:rsidRPr="00A04234">
        <w:rPr>
          <w:rFonts w:ascii="Book Antiqua" w:eastAsia="Book Antiqua" w:hAnsi="Book Antiqua" w:cs="Book Antiqua"/>
        </w:rPr>
        <w:t>LC-MS/MS</w:t>
      </w:r>
      <w:r w:rsidRPr="00A04234">
        <w:rPr>
          <w:rFonts w:ascii="Book Antiqua" w:eastAsia="Book Antiqua" w:hAnsi="Book Antiqua" w:cs="Book Antiqua"/>
        </w:rPr>
        <w:t>) to identify 30811 peptides that mapped to 916 proteins comprising of at least 5 peptides in 80% of the sample. Functional analysis of these proteins showed that they play a role in, “extracellular matrix organization, protein processing and transport, translation, glycolytic processes, NADPH metabolism, cell migration, immune response, fibronectin binding, and cell homeostasis”</w:t>
      </w:r>
      <w:r w:rsidRPr="00A04234">
        <w:rPr>
          <w:rFonts w:ascii="Book Antiqua" w:eastAsia="Book Antiqua" w:hAnsi="Book Antiqua" w:cs="Book Antiqua"/>
          <w:vertAlign w:val="superscript"/>
        </w:rPr>
        <w:t>[14]</w:t>
      </w:r>
      <w:r w:rsidRPr="00A04234">
        <w:rPr>
          <w:rFonts w:ascii="Book Antiqua" w:eastAsia="Book Antiqua" w:hAnsi="Book Antiqua" w:cs="Book Antiqua"/>
        </w:rPr>
        <w:t>.</w:t>
      </w:r>
    </w:p>
    <w:p w14:paraId="627C9DD1" w14:textId="64B80F7A" w:rsidR="00A77B3E" w:rsidRPr="00A04234" w:rsidRDefault="00697E7D" w:rsidP="0048655F">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t xml:space="preserve">These proteins were </w:t>
      </w:r>
      <w:proofErr w:type="spellStart"/>
      <w:r w:rsidRPr="00A04234">
        <w:rPr>
          <w:rFonts w:ascii="Book Antiqua" w:eastAsia="Book Antiqua" w:hAnsi="Book Antiqua" w:cs="Book Antiqua"/>
        </w:rPr>
        <w:t>analysed</w:t>
      </w:r>
      <w:proofErr w:type="spellEnd"/>
      <w:r w:rsidRPr="00A04234">
        <w:rPr>
          <w:rFonts w:ascii="Book Antiqua" w:eastAsia="Book Antiqua" w:hAnsi="Book Antiqua" w:cs="Book Antiqua"/>
        </w:rPr>
        <w:t xml:space="preserve"> to </w:t>
      </w:r>
      <w:proofErr w:type="spellStart"/>
      <w:r w:rsidRPr="00A04234">
        <w:rPr>
          <w:rFonts w:ascii="Book Antiqua" w:eastAsia="Book Antiqua" w:hAnsi="Book Antiqua" w:cs="Book Antiqua"/>
        </w:rPr>
        <w:t>categorise</w:t>
      </w:r>
      <w:proofErr w:type="spellEnd"/>
      <w:r w:rsidRPr="00A04234">
        <w:rPr>
          <w:rFonts w:ascii="Book Antiqua" w:eastAsia="Book Antiqua" w:hAnsi="Book Antiqua" w:cs="Book Antiqua"/>
        </w:rPr>
        <w:t xml:space="preserve"> four PDAC subtypes and three protein clusters. The matched subtypes and clusters are: “</w:t>
      </w:r>
      <w:r w:rsidR="00115BB3" w:rsidRPr="00A04234">
        <w:rPr>
          <w:rFonts w:ascii="Book Antiqua" w:eastAsia="Book Antiqua" w:hAnsi="Book Antiqua" w:cs="Book Antiqua"/>
        </w:rPr>
        <w:t>I</w:t>
      </w:r>
      <w:r w:rsidRPr="00A04234">
        <w:rPr>
          <w:rFonts w:ascii="Book Antiqua" w:eastAsia="Book Antiqua" w:hAnsi="Book Antiqua" w:cs="Book Antiqua"/>
        </w:rPr>
        <w:t xml:space="preserve">nflammatory” (cluster 3 - pentose phosphate pathway, adaptive immune response, complement activation, IL8 production and extracellular fibril </w:t>
      </w:r>
      <w:proofErr w:type="spellStart"/>
      <w:r w:rsidRPr="00A04234">
        <w:rPr>
          <w:rFonts w:ascii="Book Antiqua" w:eastAsia="Book Antiqua" w:hAnsi="Book Antiqua" w:cs="Book Antiqua"/>
        </w:rPr>
        <w:t>organisation</w:t>
      </w:r>
      <w:proofErr w:type="spellEnd"/>
      <w:r w:rsidRPr="00A04234">
        <w:rPr>
          <w:rFonts w:ascii="Book Antiqua" w:eastAsia="Book Antiqua" w:hAnsi="Book Antiqua" w:cs="Book Antiqua"/>
        </w:rPr>
        <w:t xml:space="preserve">), “proliferative” (cluster 2 - translation, cell proliferation and telomere maintenance), “progenitor-like” (cluster 1 - ethanol oxidation pathways, mitochondrial fatty acid B-oxidation and retinoic acid signaling pathways) and “metabolic” (cluster 1). Both the “progenitor-like” and “metabolic” subtypes exhibit cluster 1 proteins however, the latter shows higher expression of these proteins. The authors were also able to map these subtypes onto previously defined transcriptomic subtypes, making this the first proteomic study with data robust enough to make such a </w:t>
      </w:r>
      <w:proofErr w:type="gramStart"/>
      <w:r w:rsidRPr="00A04234">
        <w:rPr>
          <w:rFonts w:ascii="Book Antiqua" w:eastAsia="Book Antiqua" w:hAnsi="Book Antiqua" w:cs="Book Antiqua"/>
        </w:rPr>
        <w:t>correlation</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14]</w:t>
      </w:r>
      <w:r w:rsidRPr="00A04234">
        <w:rPr>
          <w:rFonts w:ascii="Book Antiqua" w:eastAsia="Book Antiqua" w:hAnsi="Book Antiqua" w:cs="Book Antiqua"/>
        </w:rPr>
        <w:t>.</w:t>
      </w:r>
    </w:p>
    <w:p w14:paraId="61BF4579" w14:textId="77777777" w:rsidR="00A77B3E" w:rsidRPr="00A04234" w:rsidRDefault="00697E7D" w:rsidP="0048655F">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t xml:space="preserve">Clinically, the “proliferative” subtype was associated with a history of alcohol use and the “metabolic” subtype was associated with tobacco use. The “metabolic” and “progenitor-like” subtypes had a decreased risk of death when treated with FOLFIRINOX + gemcitabine compared to the other two subtypes. Further analysis also </w:t>
      </w:r>
      <w:r w:rsidRPr="00A04234">
        <w:rPr>
          <w:rFonts w:ascii="Book Antiqua" w:eastAsia="Book Antiqua" w:hAnsi="Book Antiqua" w:cs="Book Antiqua"/>
        </w:rPr>
        <w:lastRenderedPageBreak/>
        <w:t xml:space="preserve">showed that there was a significant increase in survival when “progenitor-like” subtypes are treated with gemcitabine and that the “metabolic” subtype had a negative correlation between survival probability and </w:t>
      </w:r>
      <w:proofErr w:type="spellStart"/>
      <w:r w:rsidRPr="00A04234">
        <w:rPr>
          <w:rFonts w:ascii="Book Antiqua" w:eastAsia="Book Antiqua" w:hAnsi="Book Antiqua" w:cs="Book Antiqua"/>
        </w:rPr>
        <w:t>abraxane</w:t>
      </w:r>
      <w:proofErr w:type="spellEnd"/>
      <w:r w:rsidRPr="00A04234">
        <w:rPr>
          <w:rFonts w:ascii="Book Antiqua" w:eastAsia="Book Antiqua" w:hAnsi="Book Antiqua" w:cs="Book Antiqua"/>
        </w:rPr>
        <w:t xml:space="preserve">/paclitaxel treatment. These analyses support the use of proteomics derived subtypes as a method for selecting targeted therapeutics however more robust trials are needed to validate these </w:t>
      </w:r>
      <w:proofErr w:type="gramStart"/>
      <w:r w:rsidRPr="00A04234">
        <w:rPr>
          <w:rFonts w:ascii="Book Antiqua" w:eastAsia="Book Antiqua" w:hAnsi="Book Antiqua" w:cs="Book Antiqua"/>
        </w:rPr>
        <w:t>findings</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14]</w:t>
      </w:r>
      <w:r w:rsidRPr="00A04234">
        <w:rPr>
          <w:rFonts w:ascii="Book Antiqua" w:eastAsia="Book Antiqua" w:hAnsi="Book Antiqua" w:cs="Book Antiqua"/>
        </w:rPr>
        <w:t>.</w:t>
      </w:r>
    </w:p>
    <w:p w14:paraId="2D2840A6" w14:textId="39EF8306" w:rsidR="00A77B3E" w:rsidRPr="00A04234" w:rsidRDefault="00697E7D" w:rsidP="0048655F">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t xml:space="preserve">Another interesting finding from this study is the role of </w:t>
      </w:r>
      <w:r w:rsidR="0007769C" w:rsidRPr="00A04234">
        <w:rPr>
          <w:rFonts w:ascii="Book Antiqua" w:eastAsia="Book Antiqua" w:hAnsi="Book Antiqua" w:cs="Book Antiqua"/>
        </w:rPr>
        <w:t xml:space="preserve">serine hydro- </w:t>
      </w:r>
      <w:proofErr w:type="spellStart"/>
      <w:r w:rsidR="0007769C" w:rsidRPr="00A04234">
        <w:rPr>
          <w:rFonts w:ascii="Book Antiqua" w:eastAsia="Book Antiqua" w:hAnsi="Book Antiqua" w:cs="Book Antiqua"/>
        </w:rPr>
        <w:t>xymethyltransferase</w:t>
      </w:r>
      <w:proofErr w:type="spellEnd"/>
      <w:r w:rsidR="0007769C" w:rsidRPr="00A04234">
        <w:rPr>
          <w:rFonts w:ascii="Book Antiqua" w:eastAsia="Book Antiqua" w:hAnsi="Book Antiqua" w:cs="Book Antiqua"/>
        </w:rPr>
        <w:t xml:space="preserve"> (</w:t>
      </w:r>
      <w:r w:rsidRPr="00A04234">
        <w:rPr>
          <w:rFonts w:ascii="Book Antiqua" w:eastAsia="Book Antiqua" w:hAnsi="Book Antiqua" w:cs="Book Antiqua"/>
        </w:rPr>
        <w:t>SHMT1</w:t>
      </w:r>
      <w:r w:rsidR="0007769C" w:rsidRPr="00A04234">
        <w:rPr>
          <w:rFonts w:ascii="Book Antiqua" w:eastAsia="Book Antiqua" w:hAnsi="Book Antiqua" w:cs="Book Antiqua"/>
        </w:rPr>
        <w:t>)</w:t>
      </w:r>
      <w:r w:rsidRPr="00A04234">
        <w:rPr>
          <w:rFonts w:ascii="Book Antiqua" w:eastAsia="Book Antiqua" w:hAnsi="Book Antiqua" w:cs="Book Antiqua"/>
        </w:rPr>
        <w:t xml:space="preserve"> (involved in the folic acid cycle) in gemcitabine resistance. Comparison of untreated samples and samples treated with only gemcitabine showed that SHMT1 was significantly down-regulated in the treatment group. The investigators further displayed increased EC50 of gemcitabine in cell lines with SHMT1 knockdown compared to the control group, showing that SHMT1 is a potential mediator of gemcitabine resistance. Expression of SHMT1 was higher in “metabolic” and “progenitor-like” subtypes compared to the other two subtypes regardless of gemcitabine treatment. Expression of this protein may potentially guide the choice of gemcitabine as treatment or monitor those on gemcitabine for resistance to </w:t>
      </w:r>
      <w:proofErr w:type="gramStart"/>
      <w:r w:rsidRPr="00A04234">
        <w:rPr>
          <w:rFonts w:ascii="Book Antiqua" w:eastAsia="Book Antiqua" w:hAnsi="Book Antiqua" w:cs="Book Antiqua"/>
        </w:rPr>
        <w:t>treatment</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14]</w:t>
      </w:r>
      <w:r w:rsidRPr="00A04234">
        <w:rPr>
          <w:rFonts w:ascii="Book Antiqua" w:eastAsia="Book Antiqua" w:hAnsi="Book Antiqua" w:cs="Book Antiqua"/>
        </w:rPr>
        <w:t>.</w:t>
      </w:r>
    </w:p>
    <w:p w14:paraId="7BDE4561" w14:textId="5E3613C1" w:rsidR="00A77B3E" w:rsidRPr="00A04234" w:rsidRDefault="00697E7D" w:rsidP="0048655F">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t xml:space="preserve">Humphrey </w:t>
      </w:r>
      <w:r w:rsidRPr="00A04234">
        <w:rPr>
          <w:rFonts w:ascii="Book Antiqua" w:eastAsia="Book Antiqua" w:hAnsi="Book Antiqua" w:cs="Book Antiqua"/>
          <w:i/>
          <w:iCs/>
        </w:rPr>
        <w:t xml:space="preserve">et </w:t>
      </w:r>
      <w:proofErr w:type="gramStart"/>
      <w:r w:rsidRPr="00A04234">
        <w:rPr>
          <w:rFonts w:ascii="Book Antiqua" w:eastAsia="Book Antiqua" w:hAnsi="Book Antiqua" w:cs="Book Antiqua"/>
          <w:i/>
          <w:iCs/>
        </w:rPr>
        <w:t>al</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15]</w:t>
      </w:r>
      <w:r w:rsidRPr="00A04234">
        <w:rPr>
          <w:rFonts w:ascii="Book Antiqua" w:eastAsia="Book Antiqua" w:hAnsi="Book Antiqua" w:cs="Book Antiqua"/>
        </w:rPr>
        <w:t xml:space="preserve"> used</w:t>
      </w:r>
      <w:r w:rsidR="0007769C" w:rsidRPr="00A04234">
        <w:rPr>
          <w:rFonts w:ascii="Book Antiqua" w:eastAsia="Book Antiqua" w:hAnsi="Book Antiqua" w:cs="Book Antiqua"/>
        </w:rPr>
        <w:t xml:space="preserve"> liquid chromatography-mass spectrometry</w:t>
      </w:r>
      <w:r w:rsidRPr="00A04234">
        <w:rPr>
          <w:rFonts w:ascii="Book Antiqua" w:eastAsia="Book Antiqua" w:hAnsi="Book Antiqua" w:cs="Book Antiqua"/>
        </w:rPr>
        <w:t xml:space="preserve"> </w:t>
      </w:r>
      <w:r w:rsidR="0007769C" w:rsidRPr="00A04234">
        <w:rPr>
          <w:rFonts w:ascii="Book Antiqua" w:eastAsia="Book Antiqua" w:hAnsi="Book Antiqua" w:cs="Book Antiqua"/>
        </w:rPr>
        <w:t>(</w:t>
      </w:r>
      <w:r w:rsidRPr="00A04234">
        <w:rPr>
          <w:rFonts w:ascii="Book Antiqua" w:eastAsia="Book Antiqua" w:hAnsi="Book Antiqua" w:cs="Book Antiqua"/>
        </w:rPr>
        <w:t>LC-MS/MS</w:t>
      </w:r>
      <w:r w:rsidR="0007769C" w:rsidRPr="00A04234">
        <w:rPr>
          <w:rFonts w:ascii="Book Antiqua" w:eastAsia="Book Antiqua" w:hAnsi="Book Antiqua" w:cs="Book Antiqua"/>
        </w:rPr>
        <w:t>)</w:t>
      </w:r>
      <w:r w:rsidRPr="00A04234">
        <w:rPr>
          <w:rFonts w:ascii="Book Antiqua" w:eastAsia="Book Antiqua" w:hAnsi="Book Antiqua" w:cs="Book Antiqua"/>
        </w:rPr>
        <w:t xml:space="preserve"> to stratify two cohorts of PDAC cell lines </w:t>
      </w:r>
      <w:r w:rsidR="0007769C" w:rsidRPr="00A04234">
        <w:rPr>
          <w:rFonts w:ascii="Book Antiqua" w:eastAsia="Book Antiqua" w:hAnsi="Book Antiqua" w:cs="Book Antiqua"/>
        </w:rPr>
        <w:t xml:space="preserve">American Type Culture Collection </w:t>
      </w:r>
      <w:r w:rsidRPr="00A04234">
        <w:rPr>
          <w:rFonts w:ascii="Book Antiqua" w:eastAsia="Book Antiqua" w:hAnsi="Book Antiqua" w:cs="Book Antiqua"/>
        </w:rPr>
        <w:t>(ATCC</w:t>
      </w:r>
      <w:r w:rsidR="0007769C" w:rsidRPr="00A04234">
        <w:rPr>
          <w:rFonts w:ascii="Book Antiqua" w:eastAsia="Book Antiqua" w:hAnsi="Book Antiqua" w:cs="Book Antiqua"/>
        </w:rPr>
        <w:t>)</w:t>
      </w:r>
      <w:r w:rsidRPr="00A04234">
        <w:rPr>
          <w:rFonts w:ascii="Book Antiqua" w:eastAsia="Book Antiqua" w:hAnsi="Book Antiqua" w:cs="Book Antiqua"/>
        </w:rPr>
        <w:t xml:space="preserve"> and </w:t>
      </w:r>
      <w:r w:rsidR="0007769C" w:rsidRPr="00A04234">
        <w:rPr>
          <w:rFonts w:ascii="Book Antiqua" w:eastAsia="Book Antiqua" w:hAnsi="Book Antiqua" w:cs="Book Antiqua"/>
        </w:rPr>
        <w:t>The Kinghorn Cancer Centre (</w:t>
      </w:r>
      <w:r w:rsidRPr="00A04234">
        <w:rPr>
          <w:rFonts w:ascii="Book Antiqua" w:eastAsia="Book Antiqua" w:hAnsi="Book Antiqua" w:cs="Book Antiqua"/>
        </w:rPr>
        <w:t>TKCC)</w:t>
      </w:r>
      <w:r w:rsidR="0007769C" w:rsidRPr="00A04234">
        <w:rPr>
          <w:rFonts w:ascii="Book Antiqua" w:eastAsia="Book Antiqua" w:hAnsi="Book Antiqua" w:cs="Book Antiqua"/>
        </w:rPr>
        <w:t>,</w:t>
      </w:r>
      <w:r w:rsidRPr="00A04234">
        <w:rPr>
          <w:rFonts w:ascii="Book Antiqua" w:eastAsia="Book Antiqua" w:hAnsi="Book Antiqua" w:cs="Book Antiqua"/>
        </w:rPr>
        <w:t xml:space="preserve"> along tyrosine phosphorylation (</w:t>
      </w:r>
      <w:proofErr w:type="spellStart"/>
      <w:r w:rsidRPr="00A04234">
        <w:rPr>
          <w:rFonts w:ascii="Book Antiqua" w:eastAsia="Book Antiqua" w:hAnsi="Book Antiqua" w:cs="Book Antiqua"/>
        </w:rPr>
        <w:t>pTyr</w:t>
      </w:r>
      <w:proofErr w:type="spellEnd"/>
      <w:r w:rsidRPr="00A04234">
        <w:rPr>
          <w:rFonts w:ascii="Book Antiqua" w:eastAsia="Book Antiqua" w:hAnsi="Book Antiqua" w:cs="Book Antiqua"/>
        </w:rPr>
        <w:t xml:space="preserve">) sites. The authors produced a list of 1622 </w:t>
      </w:r>
      <w:proofErr w:type="spellStart"/>
      <w:r w:rsidRPr="00A04234">
        <w:rPr>
          <w:rFonts w:ascii="Book Antiqua" w:eastAsia="Book Antiqua" w:hAnsi="Book Antiqua" w:cs="Book Antiqua"/>
        </w:rPr>
        <w:t>pTyr</w:t>
      </w:r>
      <w:proofErr w:type="spellEnd"/>
      <w:r w:rsidRPr="00A04234">
        <w:rPr>
          <w:rFonts w:ascii="Book Antiqua" w:eastAsia="Book Antiqua" w:hAnsi="Book Antiqua" w:cs="Book Antiqua"/>
        </w:rPr>
        <w:t xml:space="preserve"> sites from 797 proteins. Of these, 144 had significant subtype specificity. ATCC subtype 1 showed </w:t>
      </w:r>
      <w:proofErr w:type="spellStart"/>
      <w:r w:rsidRPr="00A04234">
        <w:rPr>
          <w:rFonts w:ascii="Book Antiqua" w:eastAsia="Book Antiqua" w:hAnsi="Book Antiqua" w:cs="Book Antiqua"/>
        </w:rPr>
        <w:t>hypophosphorylation</w:t>
      </w:r>
      <w:proofErr w:type="spellEnd"/>
      <w:r w:rsidRPr="00A04234">
        <w:rPr>
          <w:rFonts w:ascii="Book Antiqua" w:eastAsia="Book Antiqua" w:hAnsi="Book Antiqua" w:cs="Book Antiqua"/>
        </w:rPr>
        <w:t xml:space="preserve"> of 65 </w:t>
      </w:r>
      <w:proofErr w:type="spellStart"/>
      <w:r w:rsidRPr="00A04234">
        <w:rPr>
          <w:rFonts w:ascii="Book Antiqua" w:eastAsia="Book Antiqua" w:hAnsi="Book Antiqua" w:cs="Book Antiqua"/>
        </w:rPr>
        <w:t>pTyr</w:t>
      </w:r>
      <w:proofErr w:type="spellEnd"/>
      <w:r w:rsidRPr="00A04234">
        <w:rPr>
          <w:rFonts w:ascii="Book Antiqua" w:eastAsia="Book Antiqua" w:hAnsi="Book Antiqua" w:cs="Book Antiqua"/>
        </w:rPr>
        <w:t xml:space="preserve"> sites and the enriched proteins were involved in formation and regulation cell-cell </w:t>
      </w:r>
      <w:proofErr w:type="spellStart"/>
      <w:r w:rsidRPr="00A04234">
        <w:rPr>
          <w:rFonts w:ascii="Book Antiqua" w:eastAsia="Book Antiqua" w:hAnsi="Book Antiqua" w:cs="Book Antiqua"/>
        </w:rPr>
        <w:t>adheren</w:t>
      </w:r>
      <w:proofErr w:type="spellEnd"/>
      <w:r w:rsidRPr="00A04234">
        <w:rPr>
          <w:rFonts w:ascii="Book Antiqua" w:eastAsia="Book Antiqua" w:hAnsi="Book Antiqua" w:cs="Book Antiqua"/>
        </w:rPr>
        <w:t xml:space="preserve"> junctions and tight junctions. AT</w:t>
      </w:r>
      <w:r w:rsidR="0007769C" w:rsidRPr="00A04234">
        <w:rPr>
          <w:rFonts w:ascii="Book Antiqua" w:eastAsia="Book Antiqua" w:hAnsi="Book Antiqua" w:cs="Book Antiqua"/>
        </w:rPr>
        <w:t>C</w:t>
      </w:r>
      <w:r w:rsidRPr="00A04234">
        <w:rPr>
          <w:rFonts w:ascii="Book Antiqua" w:eastAsia="Book Antiqua" w:hAnsi="Book Antiqua" w:cs="Book Antiqua"/>
        </w:rPr>
        <w:t xml:space="preserve">C subtype 2 contained 54 up-regulated </w:t>
      </w:r>
      <w:proofErr w:type="spellStart"/>
      <w:r w:rsidRPr="00A04234">
        <w:rPr>
          <w:rFonts w:ascii="Book Antiqua" w:eastAsia="Book Antiqua" w:hAnsi="Book Antiqua" w:cs="Book Antiqua"/>
        </w:rPr>
        <w:t>pTyr</w:t>
      </w:r>
      <w:proofErr w:type="spellEnd"/>
      <w:r w:rsidRPr="00A04234">
        <w:rPr>
          <w:rFonts w:ascii="Book Antiqua" w:eastAsia="Book Antiqua" w:hAnsi="Book Antiqua" w:cs="Book Antiqua"/>
        </w:rPr>
        <w:t xml:space="preserve"> sites (specifically increased relative phosphorylation rather than increased protein levels) with enrichment of proteins involved in mRNA processing and spliceosome pathways. ATCC subtype 3 showed significantly increased phosphorylation (in both relative phosphorylation and protein expression) in 15 </w:t>
      </w:r>
      <w:proofErr w:type="spellStart"/>
      <w:r w:rsidRPr="00A04234">
        <w:rPr>
          <w:rFonts w:ascii="Book Antiqua" w:eastAsia="Book Antiqua" w:hAnsi="Book Antiqua" w:cs="Book Antiqua"/>
        </w:rPr>
        <w:t>pTyr</w:t>
      </w:r>
      <w:proofErr w:type="spellEnd"/>
      <w:r w:rsidRPr="00A04234">
        <w:rPr>
          <w:rFonts w:ascii="Book Antiqua" w:eastAsia="Book Antiqua" w:hAnsi="Book Antiqua" w:cs="Book Antiqua"/>
        </w:rPr>
        <w:t xml:space="preserve"> sites of RTKs including EGFR, MET, RON, EPHA4, EPHB2/3/4 and DDR2</w:t>
      </w:r>
      <w:r w:rsidRPr="00A04234">
        <w:rPr>
          <w:rFonts w:ascii="Book Antiqua" w:eastAsia="Book Antiqua" w:hAnsi="Book Antiqua" w:cs="Book Antiqua"/>
          <w:vertAlign w:val="superscript"/>
        </w:rPr>
        <w:t>[15]</w:t>
      </w:r>
      <w:r w:rsidRPr="00A04234">
        <w:rPr>
          <w:rFonts w:ascii="Book Antiqua" w:eastAsia="Book Antiqua" w:hAnsi="Book Antiqua" w:cs="Book Antiqua"/>
        </w:rPr>
        <w:t>.</w:t>
      </w:r>
    </w:p>
    <w:p w14:paraId="60FDA661" w14:textId="32BE1FE1" w:rsidR="00A77B3E" w:rsidRPr="00A04234" w:rsidRDefault="00697E7D" w:rsidP="0048655F">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lastRenderedPageBreak/>
        <w:t xml:space="preserve">When this methodology was applied to the TKCC cohorts, 1220 </w:t>
      </w:r>
      <w:proofErr w:type="spellStart"/>
      <w:r w:rsidRPr="00A04234">
        <w:rPr>
          <w:rFonts w:ascii="Book Antiqua" w:eastAsia="Book Antiqua" w:hAnsi="Book Antiqua" w:cs="Book Antiqua"/>
        </w:rPr>
        <w:t>pTyr</w:t>
      </w:r>
      <w:proofErr w:type="spellEnd"/>
      <w:r w:rsidRPr="00A04234">
        <w:rPr>
          <w:rFonts w:ascii="Book Antiqua" w:eastAsia="Book Antiqua" w:hAnsi="Book Antiqua" w:cs="Book Antiqua"/>
        </w:rPr>
        <w:t xml:space="preserve"> sites were identified, of which 383 were subtype specific. TKCC subtypes 1 and 2 showed 101 and 73 down-regulated </w:t>
      </w:r>
      <w:proofErr w:type="spellStart"/>
      <w:r w:rsidRPr="00A04234">
        <w:rPr>
          <w:rFonts w:ascii="Book Antiqua" w:eastAsia="Book Antiqua" w:hAnsi="Book Antiqua" w:cs="Book Antiqua"/>
        </w:rPr>
        <w:t>pTyr</w:t>
      </w:r>
      <w:proofErr w:type="spellEnd"/>
      <w:r w:rsidRPr="00A04234">
        <w:rPr>
          <w:rFonts w:ascii="Book Antiqua" w:eastAsia="Book Antiqua" w:hAnsi="Book Antiqua" w:cs="Book Antiqua"/>
        </w:rPr>
        <w:t xml:space="preserve"> sites, while TKCC subtype 3 showed up-regulation of 209 </w:t>
      </w:r>
      <w:proofErr w:type="spellStart"/>
      <w:r w:rsidRPr="00A04234">
        <w:rPr>
          <w:rFonts w:ascii="Book Antiqua" w:eastAsia="Book Antiqua" w:hAnsi="Book Antiqua" w:cs="Book Antiqua"/>
        </w:rPr>
        <w:t>pTyr</w:t>
      </w:r>
      <w:proofErr w:type="spellEnd"/>
      <w:r w:rsidRPr="00A04234">
        <w:rPr>
          <w:rFonts w:ascii="Book Antiqua" w:eastAsia="Book Antiqua" w:hAnsi="Book Antiqua" w:cs="Book Antiqua"/>
        </w:rPr>
        <w:t xml:space="preserve"> sites and was enriched for </w:t>
      </w:r>
      <w:proofErr w:type="spellStart"/>
      <w:r w:rsidRPr="00A04234">
        <w:rPr>
          <w:rFonts w:ascii="Book Antiqua" w:eastAsia="Book Antiqua" w:hAnsi="Book Antiqua" w:cs="Book Antiqua"/>
        </w:rPr>
        <w:t>Ephrin</w:t>
      </w:r>
      <w:proofErr w:type="spellEnd"/>
      <w:r w:rsidRPr="00A04234">
        <w:rPr>
          <w:rFonts w:ascii="Book Antiqua" w:eastAsia="Book Antiqua" w:hAnsi="Book Antiqua" w:cs="Book Antiqua"/>
        </w:rPr>
        <w:t xml:space="preserve"> and EGFR </w:t>
      </w:r>
      <w:proofErr w:type="spellStart"/>
      <w:r w:rsidRPr="00A04234">
        <w:rPr>
          <w:rFonts w:ascii="Book Antiqua" w:eastAsia="Book Antiqua" w:hAnsi="Book Antiqua" w:cs="Book Antiqua"/>
        </w:rPr>
        <w:t>signalling</w:t>
      </w:r>
      <w:proofErr w:type="spellEnd"/>
      <w:r w:rsidRPr="00A04234">
        <w:rPr>
          <w:rFonts w:ascii="Book Antiqua" w:eastAsia="Book Antiqua" w:hAnsi="Book Antiqua" w:cs="Book Antiqua"/>
        </w:rPr>
        <w:t xml:space="preserve">. Targeting RTK </w:t>
      </w:r>
      <w:proofErr w:type="spellStart"/>
      <w:r w:rsidRPr="00A04234">
        <w:rPr>
          <w:rFonts w:ascii="Book Antiqua" w:eastAsia="Book Antiqua" w:hAnsi="Book Antiqua" w:cs="Book Antiqua"/>
        </w:rPr>
        <w:t>pTyr</w:t>
      </w:r>
      <w:proofErr w:type="spellEnd"/>
      <w:r w:rsidRPr="00A04234">
        <w:rPr>
          <w:rFonts w:ascii="Book Antiqua" w:eastAsia="Book Antiqua" w:hAnsi="Book Antiqua" w:cs="Book Antiqua"/>
        </w:rPr>
        <w:t xml:space="preserve"> sites in the TKCC cohort showed increased phosphorylation of RTKs in subtype 3 including sites on EGFR, EPHA2, DDR1, FGFR1, INSR, MERTK, MET, and </w:t>
      </w:r>
      <w:proofErr w:type="gramStart"/>
      <w:r w:rsidRPr="00A04234">
        <w:rPr>
          <w:rFonts w:ascii="Book Antiqua" w:eastAsia="Book Antiqua" w:hAnsi="Book Antiqua" w:cs="Book Antiqua"/>
        </w:rPr>
        <w:t>RON</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15]</w:t>
      </w:r>
      <w:r w:rsidRPr="00A04234">
        <w:rPr>
          <w:rFonts w:ascii="Book Antiqua" w:eastAsia="Book Antiqua" w:hAnsi="Book Antiqua" w:cs="Book Antiqua"/>
        </w:rPr>
        <w:t xml:space="preserve">. </w:t>
      </w:r>
    </w:p>
    <w:p w14:paraId="7DE4D1F8" w14:textId="0F3EDDD2" w:rsidR="00A77B3E" w:rsidRPr="00A04234" w:rsidRDefault="00697E7D" w:rsidP="0048655F">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t xml:space="preserve">Of the subtype specific </w:t>
      </w:r>
      <w:proofErr w:type="spellStart"/>
      <w:r w:rsidRPr="00A04234">
        <w:rPr>
          <w:rFonts w:ascii="Book Antiqua" w:eastAsia="Book Antiqua" w:hAnsi="Book Antiqua" w:cs="Book Antiqua"/>
        </w:rPr>
        <w:t>pTyr</w:t>
      </w:r>
      <w:proofErr w:type="spellEnd"/>
      <w:r w:rsidRPr="00A04234">
        <w:rPr>
          <w:rFonts w:ascii="Book Antiqua" w:eastAsia="Book Antiqua" w:hAnsi="Book Antiqua" w:cs="Book Antiqua"/>
        </w:rPr>
        <w:t xml:space="preserve"> sites identified, 8 were identified as “common classifier sites”, able to predict the subtype in the ATCC cohort. Subtypes 1, 2 and 3 were identified to exhibit low medium and high phosphorylation of these sites respectively. As both cohorts had subtypes that were “RTK-enriched”, the investigators tested the cell lines in this cohort against erlotinib, an EGFR kinase inhibitor. Indeed, the cell lines in this subtype showed increased sensitivity to erlotinib. The authors </w:t>
      </w:r>
      <w:proofErr w:type="spellStart"/>
      <w:r w:rsidRPr="00A04234">
        <w:rPr>
          <w:rFonts w:ascii="Book Antiqua" w:eastAsia="Book Antiqua" w:hAnsi="Book Antiqua" w:cs="Book Antiqua"/>
        </w:rPr>
        <w:t>recognised</w:t>
      </w:r>
      <w:proofErr w:type="spellEnd"/>
      <w:r w:rsidRPr="00A04234">
        <w:rPr>
          <w:rFonts w:ascii="Book Antiqua" w:eastAsia="Book Antiqua" w:hAnsi="Book Antiqua" w:cs="Book Antiqua"/>
        </w:rPr>
        <w:t xml:space="preserve"> that the </w:t>
      </w:r>
      <w:proofErr w:type="spellStart"/>
      <w:r w:rsidR="00115BB3" w:rsidRPr="00A04234">
        <w:rPr>
          <w:rFonts w:ascii="Book Antiqua" w:eastAsia="Book Antiqua" w:hAnsi="Book Antiqua" w:cs="Book Antiqua"/>
        </w:rPr>
        <w:t>pTyr</w:t>
      </w:r>
      <w:proofErr w:type="spellEnd"/>
      <w:r w:rsidRPr="00A04234">
        <w:rPr>
          <w:rFonts w:ascii="Book Antiqua" w:eastAsia="Book Antiqua" w:hAnsi="Book Antiqua" w:cs="Book Antiqua"/>
        </w:rPr>
        <w:t xml:space="preserve"> signature of these RTKs are what conferred sensitivity to RTK blockade rather than expression levels and so stratifying patients with such a signature can potentially allow targeted therapeutic regimes to be studied</w:t>
      </w:r>
      <w:r w:rsidRPr="00A04234">
        <w:rPr>
          <w:rFonts w:ascii="Book Antiqua" w:eastAsia="Book Antiqua" w:hAnsi="Book Antiqua" w:cs="Book Antiqua"/>
          <w:vertAlign w:val="superscript"/>
        </w:rPr>
        <w:t>[15]</w:t>
      </w:r>
      <w:r w:rsidRPr="00A04234">
        <w:rPr>
          <w:rFonts w:ascii="Book Antiqua" w:eastAsia="Book Antiqua" w:hAnsi="Book Antiqua" w:cs="Book Antiqua"/>
        </w:rPr>
        <w:t>.</w:t>
      </w:r>
    </w:p>
    <w:p w14:paraId="4E58052A" w14:textId="77777777" w:rsidR="00A77B3E" w:rsidRPr="00A04234" w:rsidRDefault="00A77B3E" w:rsidP="0048655F">
      <w:pPr>
        <w:adjustRightInd w:val="0"/>
        <w:snapToGrid w:val="0"/>
        <w:spacing w:line="360" w:lineRule="auto"/>
        <w:jc w:val="both"/>
        <w:rPr>
          <w:rFonts w:ascii="Book Antiqua" w:hAnsi="Book Antiqua"/>
        </w:rPr>
      </w:pPr>
    </w:p>
    <w:p w14:paraId="21CAEFA8" w14:textId="2493FD18" w:rsidR="00A77B3E" w:rsidRPr="00A04234" w:rsidRDefault="00697E7D" w:rsidP="0048655F">
      <w:pPr>
        <w:adjustRightInd w:val="0"/>
        <w:snapToGrid w:val="0"/>
        <w:spacing w:line="360" w:lineRule="auto"/>
        <w:jc w:val="both"/>
        <w:rPr>
          <w:rFonts w:ascii="Book Antiqua" w:hAnsi="Book Antiqua"/>
          <w:i/>
          <w:iCs/>
        </w:rPr>
      </w:pPr>
      <w:r w:rsidRPr="00A04234">
        <w:rPr>
          <w:rFonts w:ascii="Book Antiqua" w:eastAsia="Book Antiqua" w:hAnsi="Book Antiqua" w:cs="Book Antiqua"/>
          <w:b/>
          <w:bCs/>
          <w:i/>
          <w:iCs/>
        </w:rPr>
        <w:t>Metabolomic</w:t>
      </w:r>
      <w:r w:rsidR="00115BB3" w:rsidRPr="00A04234">
        <w:rPr>
          <w:rFonts w:ascii="Book Antiqua" w:eastAsia="Book Antiqua" w:hAnsi="Book Antiqua" w:cs="Book Antiqua"/>
          <w:b/>
          <w:bCs/>
          <w:i/>
          <w:iCs/>
        </w:rPr>
        <w:t xml:space="preserve"> sub</w:t>
      </w:r>
      <w:r w:rsidRPr="00A04234">
        <w:rPr>
          <w:rFonts w:ascii="Book Antiqua" w:eastAsia="Book Antiqua" w:hAnsi="Book Antiqua" w:cs="Book Antiqua"/>
          <w:b/>
          <w:bCs/>
          <w:i/>
          <w:iCs/>
        </w:rPr>
        <w:t>types</w:t>
      </w:r>
    </w:p>
    <w:p w14:paraId="43DFA8E8" w14:textId="529F8885"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Metabolomics profiling by Daemen </w:t>
      </w:r>
      <w:r w:rsidRPr="00A04234">
        <w:rPr>
          <w:rFonts w:ascii="Book Antiqua" w:eastAsia="Book Antiqua" w:hAnsi="Book Antiqua" w:cs="Book Antiqua"/>
          <w:i/>
          <w:iCs/>
        </w:rPr>
        <w:t xml:space="preserve">et </w:t>
      </w:r>
      <w:proofErr w:type="gramStart"/>
      <w:r w:rsidRPr="00A04234">
        <w:rPr>
          <w:rFonts w:ascii="Book Antiqua" w:eastAsia="Book Antiqua" w:hAnsi="Book Antiqua" w:cs="Book Antiqua"/>
          <w:i/>
          <w:iCs/>
        </w:rPr>
        <w:t>al</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16]</w:t>
      </w:r>
      <w:r w:rsidRPr="00A04234">
        <w:rPr>
          <w:rFonts w:ascii="Book Antiqua" w:eastAsia="Book Antiqua" w:hAnsi="Book Antiqua" w:cs="Book Antiqua"/>
        </w:rPr>
        <w:t xml:space="preserve"> using LC-MS/MS and gas chromatography-</w:t>
      </w:r>
      <w:r w:rsidR="009B0C95" w:rsidRPr="00A04234">
        <w:rPr>
          <w:rFonts w:ascii="Book Antiqua" w:eastAsia="Book Antiqua" w:hAnsi="Book Antiqua" w:cs="Book Antiqua"/>
        </w:rPr>
        <w:t>MS</w:t>
      </w:r>
      <w:r w:rsidRPr="00A04234">
        <w:rPr>
          <w:rFonts w:ascii="Book Antiqua" w:eastAsia="Book Antiqua" w:hAnsi="Book Antiqua" w:cs="Book Antiqua"/>
        </w:rPr>
        <w:t xml:space="preserve"> represents the only metabolomic study to stratify PDAC. The investigators examined 38 “PDAC-derived” cell lines to quantify 256 metabolites. Analysis of these metabolites revealed three subtypes of PDAC, described as: </w:t>
      </w:r>
      <w:r w:rsidR="00115BB3" w:rsidRPr="00A04234">
        <w:rPr>
          <w:rFonts w:ascii="Book Antiqua" w:eastAsia="Book Antiqua" w:hAnsi="Book Antiqua" w:cs="Book Antiqua"/>
        </w:rPr>
        <w:t>(</w:t>
      </w:r>
      <w:r w:rsidRPr="00A04234">
        <w:rPr>
          <w:rFonts w:ascii="Book Antiqua" w:eastAsia="Book Antiqua" w:hAnsi="Book Antiqua" w:cs="Book Antiqua"/>
        </w:rPr>
        <w:t xml:space="preserve">1) </w:t>
      </w:r>
      <w:r w:rsidR="00115BB3" w:rsidRPr="00A04234">
        <w:rPr>
          <w:rFonts w:ascii="Book Antiqua" w:eastAsia="Book Antiqua" w:hAnsi="Book Antiqua" w:cs="Book Antiqua"/>
        </w:rPr>
        <w:t>S</w:t>
      </w:r>
      <w:r w:rsidRPr="00A04234">
        <w:rPr>
          <w:rFonts w:ascii="Book Antiqua" w:eastAsia="Book Antiqua" w:hAnsi="Book Antiqua" w:cs="Book Antiqua"/>
        </w:rPr>
        <w:t>low proliferating (34%)</w:t>
      </w:r>
      <w:r w:rsidR="00115BB3" w:rsidRPr="00A04234">
        <w:rPr>
          <w:rFonts w:ascii="Book Antiqua" w:eastAsia="Book Antiqua" w:hAnsi="Book Antiqua" w:cs="Book Antiqua"/>
        </w:rPr>
        <w:t>;</w:t>
      </w:r>
      <w:r w:rsidRPr="00A04234">
        <w:rPr>
          <w:rFonts w:ascii="Book Antiqua" w:eastAsia="Book Antiqua" w:hAnsi="Book Antiqua" w:cs="Book Antiqua"/>
        </w:rPr>
        <w:t xml:space="preserve"> </w:t>
      </w:r>
      <w:r w:rsidR="00115BB3" w:rsidRPr="00A04234">
        <w:rPr>
          <w:rFonts w:ascii="Book Antiqua" w:eastAsia="Book Antiqua" w:hAnsi="Book Antiqua" w:cs="Book Antiqua"/>
        </w:rPr>
        <w:t>(</w:t>
      </w:r>
      <w:r w:rsidRPr="00A04234">
        <w:rPr>
          <w:rFonts w:ascii="Book Antiqua" w:eastAsia="Book Antiqua" w:hAnsi="Book Antiqua" w:cs="Book Antiqua"/>
        </w:rPr>
        <w:t xml:space="preserve">2) </w:t>
      </w:r>
      <w:r w:rsidR="00115BB3" w:rsidRPr="00A04234">
        <w:rPr>
          <w:rFonts w:ascii="Book Antiqua" w:eastAsia="Book Antiqua" w:hAnsi="Book Antiqua" w:cs="Book Antiqua"/>
        </w:rPr>
        <w:t>G</w:t>
      </w:r>
      <w:r w:rsidRPr="00A04234">
        <w:rPr>
          <w:rFonts w:ascii="Book Antiqua" w:eastAsia="Book Antiqua" w:hAnsi="Book Antiqua" w:cs="Book Antiqua"/>
        </w:rPr>
        <w:t>lycolytic (27%)</w:t>
      </w:r>
      <w:r w:rsidR="00115BB3" w:rsidRPr="00A04234">
        <w:rPr>
          <w:rFonts w:ascii="Book Antiqua" w:eastAsia="Book Antiqua" w:hAnsi="Book Antiqua" w:cs="Book Antiqua"/>
        </w:rPr>
        <w:t>;</w:t>
      </w:r>
      <w:r w:rsidRPr="00A04234">
        <w:rPr>
          <w:rFonts w:ascii="Book Antiqua" w:eastAsia="Book Antiqua" w:hAnsi="Book Antiqua" w:cs="Book Antiqua"/>
        </w:rPr>
        <w:t xml:space="preserve"> and </w:t>
      </w:r>
      <w:r w:rsidR="00115BB3" w:rsidRPr="00A04234">
        <w:rPr>
          <w:rFonts w:ascii="Book Antiqua" w:eastAsia="Book Antiqua" w:hAnsi="Book Antiqua" w:cs="Book Antiqua"/>
        </w:rPr>
        <w:t>(</w:t>
      </w:r>
      <w:r w:rsidRPr="00A04234">
        <w:rPr>
          <w:rFonts w:ascii="Book Antiqua" w:eastAsia="Book Antiqua" w:hAnsi="Book Antiqua" w:cs="Book Antiqua"/>
        </w:rPr>
        <w:t xml:space="preserve">3) </w:t>
      </w:r>
      <w:r w:rsidR="00115BB3" w:rsidRPr="00A04234">
        <w:rPr>
          <w:rFonts w:ascii="Book Antiqua" w:eastAsia="Book Antiqua" w:hAnsi="Book Antiqua" w:cs="Book Antiqua"/>
        </w:rPr>
        <w:t>L</w:t>
      </w:r>
      <w:r w:rsidRPr="00A04234">
        <w:rPr>
          <w:rFonts w:ascii="Book Antiqua" w:eastAsia="Book Antiqua" w:hAnsi="Book Antiqua" w:cs="Book Antiqua"/>
        </w:rPr>
        <w:t xml:space="preserve">ipogenic (39%). The slow proliferating subtype was low in amino acids and carbohydrates, and the cells had a significantly longer doubling time than the other two subtypes. The glycolytic subtype showed increased levels of metabolites of the glycolytic and serine pathways (phosphoenolpyruvate, glyceraldehyde-3-phosphate, lactate, and serine) and decreased redox balance metabolites (NAD, NADH, NADP, NADPH, GSSG, GSH and flavin adenine dinucleotide). The lipogenic pathway showed increased levels of lipid metabolites (palmitic acid, oleic acid, </w:t>
      </w:r>
      <w:proofErr w:type="spellStart"/>
      <w:r w:rsidRPr="00A04234">
        <w:rPr>
          <w:rFonts w:ascii="Book Antiqua" w:eastAsia="Book Antiqua" w:hAnsi="Book Antiqua" w:cs="Book Antiqua"/>
        </w:rPr>
        <w:t>palmitloeic</w:t>
      </w:r>
      <w:proofErr w:type="spellEnd"/>
      <w:r w:rsidRPr="00A04234">
        <w:rPr>
          <w:rFonts w:ascii="Book Antiqua" w:eastAsia="Book Antiqua" w:hAnsi="Book Antiqua" w:cs="Book Antiqua"/>
        </w:rPr>
        <w:t xml:space="preserve"> acid and </w:t>
      </w:r>
      <w:proofErr w:type="spellStart"/>
      <w:r w:rsidRPr="00A04234">
        <w:rPr>
          <w:rFonts w:ascii="Book Antiqua" w:eastAsia="Book Antiqua" w:hAnsi="Book Antiqua" w:cs="Book Antiqua"/>
        </w:rPr>
        <w:t>myristic</w:t>
      </w:r>
      <w:proofErr w:type="spellEnd"/>
      <w:r w:rsidRPr="00A04234">
        <w:rPr>
          <w:rFonts w:ascii="Book Antiqua" w:eastAsia="Book Antiqua" w:hAnsi="Book Antiqua" w:cs="Book Antiqua"/>
        </w:rPr>
        <w:t xml:space="preserve"> acid), oxidative phosphorylation </w:t>
      </w:r>
      <w:r w:rsidRPr="00A04234">
        <w:rPr>
          <w:rFonts w:ascii="Book Antiqua" w:eastAsia="Book Antiqua" w:hAnsi="Book Antiqua" w:cs="Book Antiqua"/>
        </w:rPr>
        <w:lastRenderedPageBreak/>
        <w:t>(OXPHOS) metabolites (coenzymes Q9 and Q10) and aspartate-malate shuttle metabolites (aspartate and glutamate)</w:t>
      </w:r>
      <w:r w:rsidRPr="00A04234">
        <w:rPr>
          <w:rFonts w:ascii="Book Antiqua" w:eastAsia="Book Antiqua" w:hAnsi="Book Antiqua" w:cs="Book Antiqua"/>
          <w:vertAlign w:val="superscript"/>
        </w:rPr>
        <w:t>[16]</w:t>
      </w:r>
      <w:r w:rsidRPr="00A04234">
        <w:rPr>
          <w:rFonts w:ascii="Book Antiqua" w:eastAsia="Book Antiqua" w:hAnsi="Book Antiqua" w:cs="Book Antiqua"/>
        </w:rPr>
        <w:t>.</w:t>
      </w:r>
    </w:p>
    <w:p w14:paraId="00577890" w14:textId="2D09DC89" w:rsidR="00A77B3E" w:rsidRPr="00A04234" w:rsidRDefault="00697E7D" w:rsidP="00F05B91">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t>Moreover, the authors predicted and demonstrated in vitro, sensitivity of the glycolytic subtypes to aerobic glycolysis inhibitors (</w:t>
      </w:r>
      <w:proofErr w:type="spellStart"/>
      <w:r w:rsidRPr="00A04234">
        <w:rPr>
          <w:rFonts w:ascii="Book Antiqua" w:eastAsia="Book Antiqua" w:hAnsi="Book Antiqua" w:cs="Book Antiqua"/>
        </w:rPr>
        <w:t>oxamate</w:t>
      </w:r>
      <w:proofErr w:type="spellEnd"/>
      <w:r w:rsidRPr="00A04234">
        <w:rPr>
          <w:rFonts w:ascii="Book Antiqua" w:eastAsia="Book Antiqua" w:hAnsi="Book Antiqua" w:cs="Book Antiqua"/>
        </w:rPr>
        <w:t xml:space="preserve"> and the LDHA inhibitor GNE-140), </w:t>
      </w:r>
      <w:proofErr w:type="spellStart"/>
      <w:r w:rsidRPr="00A04234">
        <w:rPr>
          <w:rFonts w:ascii="Book Antiqua" w:eastAsia="Book Antiqua" w:hAnsi="Book Antiqua" w:cs="Book Antiqua"/>
        </w:rPr>
        <w:t>glutaminolysis</w:t>
      </w:r>
      <w:proofErr w:type="spellEnd"/>
      <w:r w:rsidRPr="00A04234">
        <w:rPr>
          <w:rFonts w:ascii="Book Antiqua" w:eastAsia="Book Antiqua" w:hAnsi="Book Antiqua" w:cs="Book Antiqua"/>
        </w:rPr>
        <w:t xml:space="preserve"> inhibitor (BPTES) and inhibitors of gamma-</w:t>
      </w:r>
      <w:proofErr w:type="spellStart"/>
      <w:r w:rsidRPr="00A04234">
        <w:rPr>
          <w:rFonts w:ascii="Book Antiqua" w:eastAsia="Book Antiqua" w:hAnsi="Book Antiqua" w:cs="Book Antiqua"/>
        </w:rPr>
        <w:t>glutamylcysteine</w:t>
      </w:r>
      <w:proofErr w:type="spellEnd"/>
      <w:r w:rsidRPr="00A04234">
        <w:rPr>
          <w:rFonts w:ascii="Book Antiqua" w:eastAsia="Book Antiqua" w:hAnsi="Book Antiqua" w:cs="Book Antiqua"/>
        </w:rPr>
        <w:t xml:space="preserve"> </w:t>
      </w:r>
      <w:proofErr w:type="spellStart"/>
      <w:r w:rsidRPr="00A04234">
        <w:rPr>
          <w:rFonts w:ascii="Book Antiqua" w:eastAsia="Book Antiqua" w:hAnsi="Book Antiqua" w:cs="Book Antiqua"/>
        </w:rPr>
        <w:t>synthetase</w:t>
      </w:r>
      <w:proofErr w:type="spellEnd"/>
      <w:r w:rsidRPr="00A04234">
        <w:rPr>
          <w:rFonts w:ascii="Book Antiqua" w:eastAsia="Book Antiqua" w:hAnsi="Book Antiqua" w:cs="Book Antiqua"/>
        </w:rPr>
        <w:t xml:space="preserve"> (BSO) and </w:t>
      </w:r>
      <w:r w:rsidR="0007769C" w:rsidRPr="00A04234">
        <w:rPr>
          <w:rFonts w:ascii="Book Antiqua" w:eastAsia="Book Antiqua" w:hAnsi="Book Antiqua" w:cs="Book Antiqua"/>
        </w:rPr>
        <w:t>cystine</w:t>
      </w:r>
      <w:r w:rsidRPr="00A04234">
        <w:rPr>
          <w:rFonts w:ascii="Book Antiqua" w:eastAsia="Book Antiqua" w:hAnsi="Book Antiqua" w:cs="Book Antiqua"/>
        </w:rPr>
        <w:t xml:space="preserve"> transporter </w:t>
      </w:r>
      <w:r w:rsidR="00115BB3" w:rsidRPr="00A04234">
        <w:rPr>
          <w:rFonts w:ascii="Book Antiqua" w:eastAsia="Book Antiqua" w:hAnsi="Book Antiqua" w:cs="Book Antiqua"/>
        </w:rPr>
        <w:t>[</w:t>
      </w:r>
      <w:r w:rsidRPr="00A04234">
        <w:rPr>
          <w:rFonts w:ascii="Book Antiqua" w:eastAsia="Book Antiqua" w:hAnsi="Book Antiqua" w:cs="Book Antiqua"/>
        </w:rPr>
        <w:t>(S)-4-CPG</w:t>
      </w:r>
      <w:r w:rsidR="00115BB3" w:rsidRPr="00A04234">
        <w:rPr>
          <w:rFonts w:ascii="Book Antiqua" w:eastAsia="Book Antiqua" w:hAnsi="Book Antiqua" w:cs="Book Antiqua"/>
        </w:rPr>
        <w:t>]</w:t>
      </w:r>
      <w:r w:rsidRPr="00A04234">
        <w:rPr>
          <w:rFonts w:ascii="Book Antiqua" w:eastAsia="Book Antiqua" w:hAnsi="Book Antiqua" w:cs="Book Antiqua"/>
        </w:rPr>
        <w:t xml:space="preserve">, and also demonstrated sensitivity of the lipogenic subtype to lipid synthesis inhibitors (FASN inhibitor GSK1195010, SCD inhibitor, cerulenin, and orlistat). They also performed </w:t>
      </w:r>
      <w:r w:rsidRPr="00A04234">
        <w:rPr>
          <w:rFonts w:ascii="Book Antiqua" w:eastAsia="Book Antiqua" w:hAnsi="Book Antiqua" w:cs="Book Antiqua"/>
          <w:i/>
          <w:iCs/>
        </w:rPr>
        <w:t>in vivo</w:t>
      </w:r>
      <w:r w:rsidRPr="00A04234">
        <w:rPr>
          <w:rFonts w:ascii="Book Antiqua" w:eastAsia="Book Antiqua" w:hAnsi="Book Antiqua" w:cs="Book Antiqua"/>
        </w:rPr>
        <w:t xml:space="preserve"> confirmatory tests, inducing 68% </w:t>
      </w:r>
      <w:proofErr w:type="spellStart"/>
      <w:r w:rsidRPr="00A04234">
        <w:rPr>
          <w:rFonts w:ascii="Book Antiqua" w:eastAsia="Book Antiqua" w:hAnsi="Book Antiqua" w:cs="Book Antiqua"/>
        </w:rPr>
        <w:t>tumour</w:t>
      </w:r>
      <w:proofErr w:type="spellEnd"/>
      <w:r w:rsidRPr="00A04234">
        <w:rPr>
          <w:rFonts w:ascii="Book Antiqua" w:eastAsia="Book Antiqua" w:hAnsi="Book Antiqua" w:cs="Book Antiqua"/>
        </w:rPr>
        <w:t xml:space="preserve"> growth inhibition of the glycolytic cell line with LDHA inhibition and 52% </w:t>
      </w:r>
      <w:proofErr w:type="spellStart"/>
      <w:r w:rsidRPr="00A04234">
        <w:rPr>
          <w:rFonts w:ascii="Book Antiqua" w:eastAsia="Book Antiqua" w:hAnsi="Book Antiqua" w:cs="Book Antiqua"/>
        </w:rPr>
        <w:t>tumour</w:t>
      </w:r>
      <w:proofErr w:type="spellEnd"/>
      <w:r w:rsidRPr="00A04234">
        <w:rPr>
          <w:rFonts w:ascii="Book Antiqua" w:eastAsia="Book Antiqua" w:hAnsi="Book Antiqua" w:cs="Book Antiqua"/>
        </w:rPr>
        <w:t xml:space="preserve"> growth inhibition in the lipogenic cell line with SCD </w:t>
      </w:r>
      <w:proofErr w:type="gramStart"/>
      <w:r w:rsidRPr="00A04234">
        <w:rPr>
          <w:rFonts w:ascii="Book Antiqua" w:eastAsia="Book Antiqua" w:hAnsi="Book Antiqua" w:cs="Book Antiqua"/>
        </w:rPr>
        <w:t>inhibition</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16]</w:t>
      </w:r>
      <w:r w:rsidRPr="00A04234">
        <w:rPr>
          <w:rFonts w:ascii="Book Antiqua" w:eastAsia="Book Antiqua" w:hAnsi="Book Antiqua" w:cs="Book Antiqua"/>
        </w:rPr>
        <w:t>.</w:t>
      </w:r>
      <w:r w:rsidR="00F05B91" w:rsidRPr="00A04234">
        <w:rPr>
          <w:rFonts w:ascii="Book Antiqua" w:hAnsi="Book Antiqua" w:hint="eastAsia"/>
          <w:lang w:eastAsia="zh-CN"/>
        </w:rPr>
        <w:t xml:space="preserve"> </w:t>
      </w:r>
      <w:r w:rsidR="00391975" w:rsidRPr="00A04234">
        <w:rPr>
          <w:rFonts w:ascii="Book Antiqua" w:eastAsia="Book Antiqua" w:hAnsi="Book Antiqua" w:cs="Book Antiqua"/>
        </w:rPr>
        <w:t xml:space="preserve">Table 1 </w:t>
      </w:r>
      <w:proofErr w:type="spellStart"/>
      <w:r w:rsidR="00391975" w:rsidRPr="00A04234">
        <w:rPr>
          <w:rFonts w:ascii="Book Antiqua" w:eastAsia="Book Antiqua" w:hAnsi="Book Antiqua" w:cs="Book Antiqua"/>
        </w:rPr>
        <w:t>summarises</w:t>
      </w:r>
      <w:proofErr w:type="spellEnd"/>
      <w:r w:rsidR="00391975" w:rsidRPr="00A04234">
        <w:rPr>
          <w:rFonts w:ascii="Book Antiqua" w:eastAsia="Book Antiqua" w:hAnsi="Book Antiqua" w:cs="Book Antiqua"/>
        </w:rPr>
        <w:t xml:space="preserve"> these studies and the clinically significant findings.</w:t>
      </w:r>
    </w:p>
    <w:p w14:paraId="1516C438" w14:textId="77777777" w:rsidR="00391975" w:rsidRPr="00A04234" w:rsidRDefault="00391975" w:rsidP="0048655F">
      <w:pPr>
        <w:adjustRightInd w:val="0"/>
        <w:snapToGrid w:val="0"/>
        <w:spacing w:line="360" w:lineRule="auto"/>
        <w:jc w:val="both"/>
        <w:rPr>
          <w:rFonts w:ascii="Book Antiqua" w:hAnsi="Book Antiqua"/>
        </w:rPr>
      </w:pPr>
    </w:p>
    <w:p w14:paraId="6CECBFE0" w14:textId="1DACAD57" w:rsidR="00A77B3E" w:rsidRPr="00A04234" w:rsidRDefault="00115BB3" w:rsidP="0048655F">
      <w:pPr>
        <w:adjustRightInd w:val="0"/>
        <w:snapToGrid w:val="0"/>
        <w:spacing w:line="360" w:lineRule="auto"/>
        <w:jc w:val="both"/>
        <w:rPr>
          <w:rFonts w:ascii="Book Antiqua" w:hAnsi="Book Antiqua"/>
          <w:u w:val="single"/>
        </w:rPr>
      </w:pPr>
      <w:r w:rsidRPr="00A04234">
        <w:rPr>
          <w:rFonts w:ascii="Book Antiqua" w:eastAsia="Book Antiqua" w:hAnsi="Book Antiqua" w:cs="Book Antiqua"/>
          <w:b/>
          <w:bCs/>
          <w:u w:val="single"/>
        </w:rPr>
        <w:t>BIOMARKER DISCOVERY</w:t>
      </w:r>
    </w:p>
    <w:p w14:paraId="2FDB3897" w14:textId="051FB259"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Currently, the only biomarker for </w:t>
      </w:r>
      <w:r w:rsidR="009B0C95" w:rsidRPr="00A04234">
        <w:rPr>
          <w:rFonts w:ascii="Book Antiqua" w:eastAsia="Book Antiqua" w:hAnsi="Book Antiqua" w:cs="Book Antiqua"/>
        </w:rPr>
        <w:t>PDAC</w:t>
      </w:r>
      <w:r w:rsidRPr="00A04234">
        <w:rPr>
          <w:rFonts w:ascii="Book Antiqua" w:eastAsia="Book Antiqua" w:hAnsi="Book Antiqua" w:cs="Book Antiqua"/>
        </w:rPr>
        <w:t xml:space="preserve"> is </w:t>
      </w:r>
      <w:r w:rsidR="00115BB3" w:rsidRPr="00A04234">
        <w:rPr>
          <w:rFonts w:ascii="Book Antiqua" w:eastAsia="Book Antiqua" w:hAnsi="Book Antiqua" w:cs="Book Antiqua"/>
        </w:rPr>
        <w:t>carbohydrate an</w:t>
      </w:r>
      <w:r w:rsidRPr="00A04234">
        <w:rPr>
          <w:rFonts w:ascii="Book Antiqua" w:eastAsia="Book Antiqua" w:hAnsi="Book Antiqua" w:cs="Book Antiqua"/>
        </w:rPr>
        <w:t xml:space="preserve">tigen 19-9 (CA19-9), approved by the Food and Drug Administration for use in clinical </w:t>
      </w:r>
      <w:proofErr w:type="gramStart"/>
      <w:r w:rsidRPr="00A04234">
        <w:rPr>
          <w:rFonts w:ascii="Book Antiqua" w:eastAsia="Book Antiqua" w:hAnsi="Book Antiqua" w:cs="Book Antiqua"/>
        </w:rPr>
        <w:t>practice</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17]</w:t>
      </w:r>
      <w:r w:rsidRPr="00A04234">
        <w:rPr>
          <w:rFonts w:ascii="Book Antiqua" w:eastAsia="Book Antiqua" w:hAnsi="Book Antiqua" w:cs="Book Antiqua"/>
        </w:rPr>
        <w:t>. Unfortunately, the median sensitivity and specificity of CA19-9 is 79</w:t>
      </w:r>
      <w:r w:rsidRPr="00A04234">
        <w:rPr>
          <w:rFonts w:ascii="Book Antiqua" w:eastAsia="Book Antiqua" w:hAnsi="Book Antiqua" w:cs="Book Antiqua"/>
          <w:b/>
          <w:bCs/>
        </w:rPr>
        <w:t>%</w:t>
      </w:r>
      <w:r w:rsidRPr="00A04234">
        <w:rPr>
          <w:rFonts w:ascii="Book Antiqua" w:eastAsia="Book Antiqua" w:hAnsi="Book Antiqua" w:cs="Book Antiqua"/>
        </w:rPr>
        <w:t xml:space="preserve"> and 82</w:t>
      </w:r>
      <w:r w:rsidRPr="00A04234">
        <w:rPr>
          <w:rFonts w:ascii="Book Antiqua" w:eastAsia="Book Antiqua" w:hAnsi="Book Antiqua" w:cs="Book Antiqua"/>
          <w:b/>
          <w:bCs/>
        </w:rPr>
        <w:t>%</w:t>
      </w:r>
      <w:r w:rsidRPr="00A04234">
        <w:rPr>
          <w:rFonts w:ascii="Book Antiqua" w:eastAsia="Book Antiqua" w:hAnsi="Book Antiqua" w:cs="Book Antiqua"/>
        </w:rPr>
        <w:t xml:space="preserve"> respectively, making it unsuitable for use as a diagnostic marker, with it being raised in other gastrointestinal </w:t>
      </w:r>
      <w:proofErr w:type="gramStart"/>
      <w:r w:rsidRPr="00A04234">
        <w:rPr>
          <w:rFonts w:ascii="Book Antiqua" w:eastAsia="Book Antiqua" w:hAnsi="Book Antiqua" w:cs="Book Antiqua"/>
        </w:rPr>
        <w:t>pathology</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18]</w:t>
      </w:r>
      <w:r w:rsidRPr="00A04234">
        <w:rPr>
          <w:rFonts w:ascii="Book Antiqua" w:eastAsia="Book Antiqua" w:hAnsi="Book Antiqua" w:cs="Book Antiqua"/>
        </w:rPr>
        <w:t xml:space="preserve">. Further complicating this is the fact that roughly 10% of the population with a Lewis-negative genotype do not express CA19-9 (a </w:t>
      </w:r>
      <w:proofErr w:type="spellStart"/>
      <w:r w:rsidRPr="00A04234">
        <w:rPr>
          <w:rFonts w:ascii="Book Antiqua" w:eastAsia="Book Antiqua" w:hAnsi="Book Antiqua" w:cs="Book Antiqua"/>
        </w:rPr>
        <w:t>sialyl</w:t>
      </w:r>
      <w:proofErr w:type="spellEnd"/>
      <w:r w:rsidRPr="00A04234">
        <w:rPr>
          <w:rFonts w:ascii="Book Antiqua" w:eastAsia="Book Antiqua" w:hAnsi="Book Antiqua" w:cs="Book Antiqua"/>
        </w:rPr>
        <w:t xml:space="preserve">-Lewis A </w:t>
      </w:r>
      <w:proofErr w:type="spellStart"/>
      <w:r w:rsidRPr="00A04234">
        <w:rPr>
          <w:rFonts w:ascii="Book Antiqua" w:eastAsia="Book Antiqua" w:hAnsi="Book Antiqua" w:cs="Book Antiqua"/>
        </w:rPr>
        <w:t>tetrasaccheride</w:t>
      </w:r>
      <w:proofErr w:type="spellEnd"/>
      <w:r w:rsidRPr="00A04234">
        <w:rPr>
          <w:rFonts w:ascii="Book Antiqua" w:eastAsia="Book Antiqua" w:hAnsi="Book Antiqua" w:cs="Book Antiqua"/>
        </w:rPr>
        <w:t xml:space="preserve">) at all. Its use currently is limited to monitoring CA19-9 </w:t>
      </w:r>
      <w:r w:rsidR="0007769C" w:rsidRPr="00A04234">
        <w:rPr>
          <w:rFonts w:ascii="Book Antiqua" w:eastAsia="Book Antiqua" w:hAnsi="Book Antiqua" w:cs="Book Antiqua"/>
        </w:rPr>
        <w:t xml:space="preserve">positive </w:t>
      </w:r>
      <w:r w:rsidRPr="00A04234">
        <w:rPr>
          <w:rFonts w:ascii="Book Antiqua" w:eastAsia="Book Antiqua" w:hAnsi="Book Antiqua" w:cs="Book Antiqua"/>
        </w:rPr>
        <w:t xml:space="preserve">PDAC for progression or recurrence after </w:t>
      </w:r>
      <w:proofErr w:type="gramStart"/>
      <w:r w:rsidRPr="00A04234">
        <w:rPr>
          <w:rFonts w:ascii="Book Antiqua" w:eastAsia="Book Antiqua" w:hAnsi="Book Antiqua" w:cs="Book Antiqua"/>
        </w:rPr>
        <w:t>resection</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17]</w:t>
      </w:r>
      <w:r w:rsidRPr="00A04234">
        <w:rPr>
          <w:rFonts w:ascii="Book Antiqua" w:eastAsia="Book Antiqua" w:hAnsi="Book Antiqua" w:cs="Book Antiqua"/>
        </w:rPr>
        <w:t>. There is an obvious need for further investigation for potential biomarkers for early diagnosis, prognosis and sensitivity/resistance to therapeutics. “Omics” techniques have the capability to produce large amounts of data which can be correlated with specific states of the biological system and so there is great potential for this data to be used for biomarker discovery.</w:t>
      </w:r>
    </w:p>
    <w:p w14:paraId="6F69DF27" w14:textId="7A634B39" w:rsidR="00A77B3E" w:rsidRPr="00A04234" w:rsidRDefault="00697E7D" w:rsidP="0048655F">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t xml:space="preserve">As mentioned earlier, one of the main factors that influence the outcomes in </w:t>
      </w:r>
      <w:r w:rsidR="009B0C95" w:rsidRPr="00A04234">
        <w:rPr>
          <w:rFonts w:ascii="Book Antiqua" w:eastAsia="Book Antiqua" w:hAnsi="Book Antiqua" w:cs="Book Antiqua"/>
        </w:rPr>
        <w:t>PDAC</w:t>
      </w:r>
      <w:r w:rsidRPr="00A04234">
        <w:rPr>
          <w:rFonts w:ascii="Book Antiqua" w:eastAsia="Book Antiqua" w:hAnsi="Book Antiqua" w:cs="Book Antiqua"/>
        </w:rPr>
        <w:t xml:space="preserve"> is that the majority are diagnosed at an advanced stage. With surgical resection currently being the only curative option, improving the proportion of patients eligible for surgery </w:t>
      </w:r>
      <w:r w:rsidRPr="00A04234">
        <w:rPr>
          <w:rFonts w:ascii="Book Antiqua" w:eastAsia="Book Antiqua" w:hAnsi="Book Antiqua" w:cs="Book Antiqua"/>
        </w:rPr>
        <w:lastRenderedPageBreak/>
        <w:t xml:space="preserve">would drastically improve outcomes. The use of “omics” technologies to screen for potential diagnostic markers that can accurately differentiate PDAC from other pathologies or normal healthy tissue can lead the way to targeted diagnostic panels that can be implemented clinically. </w:t>
      </w:r>
    </w:p>
    <w:p w14:paraId="3E1AA779" w14:textId="4B95982A" w:rsidR="00A77B3E" w:rsidRPr="00A04234" w:rsidRDefault="00697E7D" w:rsidP="0048655F">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t xml:space="preserve">An emerging area of research is the use of “liquid biopsy”, which is the sampling of </w:t>
      </w:r>
      <w:proofErr w:type="spellStart"/>
      <w:r w:rsidRPr="00A04234">
        <w:rPr>
          <w:rFonts w:ascii="Book Antiqua" w:eastAsia="Book Antiqua" w:hAnsi="Book Antiqua" w:cs="Book Antiqua"/>
        </w:rPr>
        <w:t>tumour</w:t>
      </w:r>
      <w:proofErr w:type="spellEnd"/>
      <w:r w:rsidRPr="00A04234">
        <w:rPr>
          <w:rFonts w:ascii="Book Antiqua" w:eastAsia="Book Antiqua" w:hAnsi="Book Antiqua" w:cs="Book Antiqua"/>
        </w:rPr>
        <w:t xml:space="preserve"> material which spills into the </w:t>
      </w:r>
      <w:proofErr w:type="gramStart"/>
      <w:r w:rsidRPr="00A04234">
        <w:rPr>
          <w:rFonts w:ascii="Book Antiqua" w:eastAsia="Book Antiqua" w:hAnsi="Book Antiqua" w:cs="Book Antiqua"/>
        </w:rPr>
        <w:t>circulation</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19]</w:t>
      </w:r>
      <w:r w:rsidRPr="00A04234">
        <w:rPr>
          <w:rFonts w:ascii="Book Antiqua" w:eastAsia="Book Antiqua" w:hAnsi="Book Antiqua" w:cs="Book Antiqua"/>
        </w:rPr>
        <w:t xml:space="preserve">. The main components of such a biopsy include circulating </w:t>
      </w:r>
      <w:proofErr w:type="spellStart"/>
      <w:r w:rsidRPr="00A04234">
        <w:rPr>
          <w:rFonts w:ascii="Book Antiqua" w:eastAsia="Book Antiqua" w:hAnsi="Book Antiqua" w:cs="Book Antiqua"/>
        </w:rPr>
        <w:t>tumour</w:t>
      </w:r>
      <w:proofErr w:type="spellEnd"/>
      <w:r w:rsidRPr="00A04234">
        <w:rPr>
          <w:rFonts w:ascii="Book Antiqua" w:eastAsia="Book Antiqua" w:hAnsi="Book Antiqua" w:cs="Book Antiqua"/>
        </w:rPr>
        <w:t xml:space="preserve"> cells (CTC), cell-free DNA (</w:t>
      </w:r>
      <w:proofErr w:type="spellStart"/>
      <w:r w:rsidRPr="00A04234">
        <w:rPr>
          <w:rFonts w:ascii="Book Antiqua" w:eastAsia="Book Antiqua" w:hAnsi="Book Antiqua" w:cs="Book Antiqua"/>
        </w:rPr>
        <w:t>cfDNA</w:t>
      </w:r>
      <w:proofErr w:type="spellEnd"/>
      <w:r w:rsidRPr="00A04234">
        <w:rPr>
          <w:rFonts w:ascii="Book Antiqua" w:eastAsia="Book Antiqua" w:hAnsi="Book Antiqua" w:cs="Book Antiqua"/>
        </w:rPr>
        <w:t xml:space="preserve">) and circulating exosomes. </w:t>
      </w:r>
      <w:proofErr w:type="spellStart"/>
      <w:r w:rsidRPr="00A04234">
        <w:rPr>
          <w:rFonts w:ascii="Book Antiqua" w:eastAsia="Book Antiqua" w:hAnsi="Book Antiqua" w:cs="Book Antiqua"/>
        </w:rPr>
        <w:t>cfDNA</w:t>
      </w:r>
      <w:proofErr w:type="spellEnd"/>
      <w:r w:rsidRPr="00A04234">
        <w:rPr>
          <w:rFonts w:ascii="Book Antiqua" w:eastAsia="Book Antiqua" w:hAnsi="Book Antiqua" w:cs="Book Antiqua"/>
        </w:rPr>
        <w:t xml:space="preserve"> is genetic material released into the circulation from benign and malignant cells during cell death, circulating </w:t>
      </w:r>
      <w:proofErr w:type="spellStart"/>
      <w:r w:rsidRPr="00A04234">
        <w:rPr>
          <w:rFonts w:ascii="Book Antiqua" w:eastAsia="Book Antiqua" w:hAnsi="Book Antiqua" w:cs="Book Antiqua"/>
        </w:rPr>
        <w:t>tumour</w:t>
      </w:r>
      <w:proofErr w:type="spellEnd"/>
      <w:r w:rsidRPr="00A04234">
        <w:rPr>
          <w:rFonts w:ascii="Book Antiqua" w:eastAsia="Book Antiqua" w:hAnsi="Book Antiqua" w:cs="Book Antiqua"/>
        </w:rPr>
        <w:t xml:space="preserve"> DNA (</w:t>
      </w:r>
      <w:proofErr w:type="spellStart"/>
      <w:r w:rsidRPr="00A04234">
        <w:rPr>
          <w:rFonts w:ascii="Book Antiqua" w:eastAsia="Book Antiqua" w:hAnsi="Book Antiqua" w:cs="Book Antiqua"/>
        </w:rPr>
        <w:t>ctDNA</w:t>
      </w:r>
      <w:proofErr w:type="spellEnd"/>
      <w:r w:rsidRPr="00A04234">
        <w:rPr>
          <w:rFonts w:ascii="Book Antiqua" w:eastAsia="Book Antiqua" w:hAnsi="Book Antiqua" w:cs="Book Antiqua"/>
        </w:rPr>
        <w:t xml:space="preserve">) being the subset of this derived from malignant cells. Exosomes are extracellular vesicles released from cells into various bodily fluids and can contain proteins and genetic material for analysis. They have a longer half-life and are constantly being produced by cells making them more readily available for isolation than </w:t>
      </w:r>
      <w:proofErr w:type="spellStart"/>
      <w:proofErr w:type="gramStart"/>
      <w:r w:rsidRPr="00A04234">
        <w:rPr>
          <w:rFonts w:ascii="Book Antiqua" w:eastAsia="Book Antiqua" w:hAnsi="Book Antiqua" w:cs="Book Antiqua"/>
        </w:rPr>
        <w:t>cfDNA</w:t>
      </w:r>
      <w:proofErr w:type="spellEnd"/>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19]</w:t>
      </w:r>
      <w:r w:rsidRPr="00A04234">
        <w:rPr>
          <w:rFonts w:ascii="Book Antiqua" w:eastAsia="Book Antiqua" w:hAnsi="Book Antiqua" w:cs="Book Antiqua"/>
        </w:rPr>
        <w:t>.</w:t>
      </w:r>
    </w:p>
    <w:p w14:paraId="18904A27" w14:textId="0379DFCF" w:rsidR="00A77B3E" w:rsidRPr="00A04234" w:rsidRDefault="00697E7D" w:rsidP="0048655F">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t xml:space="preserve">Zhu </w:t>
      </w:r>
      <w:r w:rsidRPr="00A04234">
        <w:rPr>
          <w:rFonts w:ascii="Book Antiqua" w:eastAsia="Book Antiqua" w:hAnsi="Book Antiqua" w:cs="Book Antiqua"/>
          <w:i/>
          <w:iCs/>
        </w:rPr>
        <w:t xml:space="preserve">et </w:t>
      </w:r>
      <w:proofErr w:type="gramStart"/>
      <w:r w:rsidRPr="00A04234">
        <w:rPr>
          <w:rFonts w:ascii="Book Antiqua" w:eastAsia="Book Antiqua" w:hAnsi="Book Antiqua" w:cs="Book Antiqua"/>
          <w:i/>
          <w:iCs/>
        </w:rPr>
        <w:t>al</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20]</w:t>
      </w:r>
      <w:r w:rsidRPr="00A04234">
        <w:rPr>
          <w:rFonts w:ascii="Book Antiqua" w:eastAsia="Book Antiqua" w:hAnsi="Book Antiqua" w:cs="Book Antiqua"/>
        </w:rPr>
        <w:t xml:space="preserve"> conducted a systematic review and meta-analysis of 19 studies </w:t>
      </w:r>
      <w:proofErr w:type="spellStart"/>
      <w:r w:rsidRPr="00A04234">
        <w:rPr>
          <w:rFonts w:ascii="Book Antiqua" w:eastAsia="Book Antiqua" w:hAnsi="Book Antiqua" w:cs="Book Antiqua"/>
        </w:rPr>
        <w:t>utilising</w:t>
      </w:r>
      <w:proofErr w:type="spellEnd"/>
      <w:r w:rsidRPr="00A04234">
        <w:rPr>
          <w:rFonts w:ascii="Book Antiqua" w:eastAsia="Book Antiqua" w:hAnsi="Book Antiqua" w:cs="Book Antiqua"/>
        </w:rPr>
        <w:t xml:space="preserve"> </w:t>
      </w:r>
      <w:proofErr w:type="spellStart"/>
      <w:r w:rsidRPr="00A04234">
        <w:rPr>
          <w:rFonts w:ascii="Book Antiqua" w:eastAsia="Book Antiqua" w:hAnsi="Book Antiqua" w:cs="Book Antiqua"/>
        </w:rPr>
        <w:t>ctDNA</w:t>
      </w:r>
      <w:proofErr w:type="spellEnd"/>
      <w:r w:rsidRPr="00A04234">
        <w:rPr>
          <w:rFonts w:ascii="Book Antiqua" w:eastAsia="Book Antiqua" w:hAnsi="Book Antiqua" w:cs="Book Antiqua"/>
        </w:rPr>
        <w:t xml:space="preserve">, CTCs and exosomes to diagnose “pancreatic adenocarcinoma”, “pancreatic ductal adenocarcinoma” or “pancreatic cancer”. They found that the overall sensitivity, specificity and </w:t>
      </w:r>
      <w:r w:rsidR="00115BB3" w:rsidRPr="00A04234">
        <w:rPr>
          <w:rFonts w:ascii="Book Antiqua" w:eastAsia="Book Antiqua" w:hAnsi="Book Antiqua" w:cs="Book Antiqua"/>
        </w:rPr>
        <w:t>area under the curve (AUC)</w:t>
      </w:r>
      <w:r w:rsidRPr="00A04234">
        <w:rPr>
          <w:rFonts w:ascii="Book Antiqua" w:eastAsia="Book Antiqua" w:hAnsi="Book Antiqua" w:cs="Book Antiqua"/>
        </w:rPr>
        <w:t xml:space="preserve"> for liquid biopsy was 0.8 </w:t>
      </w:r>
      <w:r w:rsidR="00115BB3" w:rsidRPr="00A04234">
        <w:rPr>
          <w:rFonts w:ascii="Book Antiqua" w:eastAsia="Book Antiqua" w:hAnsi="Book Antiqua" w:cs="Book Antiqua"/>
        </w:rPr>
        <w:t>[</w:t>
      </w:r>
      <w:r w:rsidRPr="00A04234">
        <w:rPr>
          <w:rFonts w:ascii="Book Antiqua" w:eastAsia="Book Antiqua" w:hAnsi="Book Antiqua" w:cs="Book Antiqua"/>
        </w:rPr>
        <w:t>95%</w:t>
      </w:r>
      <w:r w:rsidR="00115BB3" w:rsidRPr="00A04234">
        <w:rPr>
          <w:rFonts w:ascii="Book Antiqua" w:hAnsi="Book Antiqua"/>
        </w:rPr>
        <w:t xml:space="preserve"> </w:t>
      </w:r>
      <w:r w:rsidR="00115BB3" w:rsidRPr="00A04234">
        <w:rPr>
          <w:rFonts w:ascii="Book Antiqua" w:eastAsia="Book Antiqua" w:hAnsi="Book Antiqua" w:cs="Book Antiqua"/>
        </w:rPr>
        <w:t>confidence interval (CI)</w:t>
      </w:r>
      <w:r w:rsidRPr="00A04234">
        <w:rPr>
          <w:rFonts w:ascii="Book Antiqua" w:eastAsia="Book Antiqua" w:hAnsi="Book Antiqua" w:cs="Book Antiqua"/>
        </w:rPr>
        <w:t>: 0.77</w:t>
      </w:r>
      <w:r w:rsidR="00E81FBB" w:rsidRPr="00A04234">
        <w:rPr>
          <w:rFonts w:ascii="Book Antiqua" w:eastAsia="Book Antiqua" w:hAnsi="Book Antiqua" w:cs="Book Antiqua"/>
        </w:rPr>
        <w:t>-</w:t>
      </w:r>
      <w:r w:rsidRPr="00A04234">
        <w:rPr>
          <w:rFonts w:ascii="Book Antiqua" w:eastAsia="Book Antiqua" w:hAnsi="Book Antiqua" w:cs="Book Antiqua"/>
        </w:rPr>
        <w:t>0.82</w:t>
      </w:r>
      <w:r w:rsidR="00115BB3" w:rsidRPr="00A04234">
        <w:rPr>
          <w:rFonts w:ascii="Book Antiqua" w:eastAsia="Book Antiqua" w:hAnsi="Book Antiqua" w:cs="Book Antiqua"/>
        </w:rPr>
        <w:t>]</w:t>
      </w:r>
      <w:r w:rsidRPr="00A04234">
        <w:rPr>
          <w:rFonts w:ascii="Book Antiqua" w:eastAsia="Book Antiqua" w:hAnsi="Book Antiqua" w:cs="Book Antiqua"/>
        </w:rPr>
        <w:t>, 0.89 (95%CI: 0.87</w:t>
      </w:r>
      <w:r w:rsidR="00E81FBB" w:rsidRPr="00A04234">
        <w:rPr>
          <w:rFonts w:ascii="Book Antiqua" w:eastAsia="Book Antiqua" w:hAnsi="Book Antiqua" w:cs="Book Antiqua"/>
        </w:rPr>
        <w:t>-</w:t>
      </w:r>
      <w:r w:rsidRPr="00A04234">
        <w:rPr>
          <w:rFonts w:ascii="Book Antiqua" w:eastAsia="Book Antiqua" w:hAnsi="Book Antiqua" w:cs="Book Antiqua"/>
        </w:rPr>
        <w:t>0.91) and 0.93 respectively, demonstrating the feasibility of liquid biopsy as a diagnostic tool. Of the three components, exosomes were found to have the highest accuracy with a sensitivity, specificity and AUC of 0.93 (95%CI: 0.90</w:t>
      </w:r>
      <w:r w:rsidR="00E81FBB" w:rsidRPr="00A04234">
        <w:rPr>
          <w:rFonts w:ascii="Book Antiqua" w:eastAsia="Book Antiqua" w:hAnsi="Book Antiqua" w:cs="Book Antiqua"/>
        </w:rPr>
        <w:t>-</w:t>
      </w:r>
      <w:r w:rsidRPr="00A04234">
        <w:rPr>
          <w:rFonts w:ascii="Book Antiqua" w:eastAsia="Book Antiqua" w:hAnsi="Book Antiqua" w:cs="Book Antiqua"/>
        </w:rPr>
        <w:t>0.95), 0.92 (95%CI: 0.88</w:t>
      </w:r>
      <w:r w:rsidR="00E81FBB" w:rsidRPr="00A04234">
        <w:rPr>
          <w:rFonts w:ascii="Book Antiqua" w:eastAsia="Book Antiqua" w:hAnsi="Book Antiqua" w:cs="Book Antiqua"/>
        </w:rPr>
        <w:t>-</w:t>
      </w:r>
      <w:r w:rsidRPr="00A04234">
        <w:rPr>
          <w:rFonts w:ascii="Book Antiqua" w:eastAsia="Book Antiqua" w:hAnsi="Book Antiqua" w:cs="Book Antiqua"/>
        </w:rPr>
        <w:t xml:space="preserve">0.95), and 0.9819 respectively. The authors suggested that the high sensitivity of the exosomes was due to the exocrine function of the pancreases and the high specificity due to the methods used to </w:t>
      </w:r>
      <w:proofErr w:type="spellStart"/>
      <w:r w:rsidRPr="00A04234">
        <w:rPr>
          <w:rFonts w:ascii="Book Antiqua" w:eastAsia="Book Antiqua" w:hAnsi="Book Antiqua" w:cs="Book Antiqua"/>
        </w:rPr>
        <w:t>analyse</w:t>
      </w:r>
      <w:proofErr w:type="spellEnd"/>
      <w:r w:rsidRPr="00A04234">
        <w:rPr>
          <w:rFonts w:ascii="Book Antiqua" w:eastAsia="Book Antiqua" w:hAnsi="Book Antiqua" w:cs="Book Antiqua"/>
        </w:rPr>
        <w:t xml:space="preserve"> the exosomes in these studies </w:t>
      </w:r>
      <w:r w:rsidR="00F565E2" w:rsidRPr="00A04234">
        <w:rPr>
          <w:rFonts w:ascii="Book Antiqua" w:eastAsia="Book Antiqua" w:hAnsi="Book Antiqua" w:cs="Book Antiqua"/>
        </w:rPr>
        <w:t>[p</w:t>
      </w:r>
      <w:r w:rsidR="0007769C" w:rsidRPr="00A04234">
        <w:rPr>
          <w:rFonts w:ascii="Book Antiqua" w:eastAsia="Book Antiqua" w:hAnsi="Book Antiqua" w:cs="Book Antiqua"/>
        </w:rPr>
        <w:t xml:space="preserve">olymerase chain reaction </w:t>
      </w:r>
      <w:r w:rsidR="00F565E2" w:rsidRPr="00A04234">
        <w:rPr>
          <w:rFonts w:ascii="Book Antiqua" w:eastAsia="Book Antiqua" w:hAnsi="Book Antiqua" w:cs="Book Antiqua"/>
        </w:rPr>
        <w:t>(</w:t>
      </w:r>
      <w:r w:rsidRPr="00A04234">
        <w:rPr>
          <w:rFonts w:ascii="Book Antiqua" w:eastAsia="Book Antiqua" w:hAnsi="Book Antiqua" w:cs="Book Antiqua"/>
        </w:rPr>
        <w:t>PCR</w:t>
      </w:r>
      <w:r w:rsidR="00F565E2" w:rsidRPr="00A04234">
        <w:rPr>
          <w:rFonts w:ascii="Book Antiqua" w:eastAsia="Book Antiqua" w:hAnsi="Book Antiqua" w:cs="Book Antiqua"/>
        </w:rPr>
        <w:t>)</w:t>
      </w:r>
      <w:r w:rsidRPr="00A04234">
        <w:rPr>
          <w:rFonts w:ascii="Book Antiqua" w:eastAsia="Book Antiqua" w:hAnsi="Book Antiqua" w:cs="Book Antiqua"/>
        </w:rPr>
        <w:t xml:space="preserve"> and flow cytometry</w:t>
      </w:r>
      <w:r w:rsidR="00F565E2" w:rsidRPr="00A04234">
        <w:rPr>
          <w:rFonts w:ascii="Book Antiqua" w:eastAsia="Book Antiqua" w:hAnsi="Book Antiqua" w:cs="Book Antiqua"/>
        </w:rPr>
        <w:t>]</w:t>
      </w:r>
      <w:r w:rsidRPr="00A04234">
        <w:rPr>
          <w:rFonts w:ascii="Book Antiqua" w:eastAsia="Book Antiqua" w:hAnsi="Book Antiqua" w:cs="Book Antiqua"/>
          <w:vertAlign w:val="superscript"/>
        </w:rPr>
        <w:t>[20]</w:t>
      </w:r>
      <w:r w:rsidRPr="00A04234">
        <w:rPr>
          <w:rFonts w:ascii="Book Antiqua" w:eastAsia="Book Antiqua" w:hAnsi="Book Antiqua" w:cs="Book Antiqua"/>
        </w:rPr>
        <w:t xml:space="preserve">. </w:t>
      </w:r>
    </w:p>
    <w:p w14:paraId="3B2D598C" w14:textId="0A721DE1" w:rsidR="00A77B3E" w:rsidRPr="00A04234" w:rsidRDefault="00697E7D" w:rsidP="0048655F">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t>Overall sensitivity, specificity and AUC of the CTC studies was 0.74 (95%CI: 0.68</w:t>
      </w:r>
      <w:r w:rsidR="00E81FBB" w:rsidRPr="00A04234">
        <w:rPr>
          <w:rFonts w:ascii="Book Antiqua" w:eastAsia="Book Antiqua" w:hAnsi="Book Antiqua" w:cs="Book Antiqua"/>
        </w:rPr>
        <w:t>-</w:t>
      </w:r>
      <w:r w:rsidRPr="00A04234">
        <w:rPr>
          <w:rFonts w:ascii="Book Antiqua" w:eastAsia="Book Antiqua" w:hAnsi="Book Antiqua" w:cs="Book Antiqua"/>
        </w:rPr>
        <w:t>0.79), 0.83 (95%CI: 0.78</w:t>
      </w:r>
      <w:r w:rsidR="00E81FBB" w:rsidRPr="00A04234">
        <w:rPr>
          <w:rFonts w:ascii="Book Antiqua" w:eastAsia="Book Antiqua" w:hAnsi="Book Antiqua" w:cs="Book Antiqua"/>
        </w:rPr>
        <w:t>-</w:t>
      </w:r>
      <w:r w:rsidRPr="00A04234">
        <w:rPr>
          <w:rFonts w:ascii="Book Antiqua" w:eastAsia="Book Antiqua" w:hAnsi="Book Antiqua" w:cs="Book Antiqua"/>
        </w:rPr>
        <w:t>0.88), and 0.8166</w:t>
      </w:r>
      <w:r w:rsidRPr="00A04234">
        <w:rPr>
          <w:rFonts w:ascii="Book Antiqua" w:eastAsia="Book Antiqua" w:hAnsi="Book Antiqua" w:cs="Book Antiqua"/>
          <w:vertAlign w:val="superscript"/>
        </w:rPr>
        <w:t>[20]</w:t>
      </w:r>
      <w:r w:rsidRPr="00A04234">
        <w:rPr>
          <w:rFonts w:ascii="Book Antiqua" w:eastAsia="Book Antiqua" w:hAnsi="Book Antiqua" w:cs="Book Antiqua"/>
        </w:rPr>
        <w:t>. This was thought to be due to hepatic trapping of CTCs and due to reduced blood flow in pancreatic malignancies compared to normal tissue (decreasing the chances of cell shedding into the circulation)</w:t>
      </w:r>
      <w:r w:rsidRPr="00A04234">
        <w:rPr>
          <w:rFonts w:ascii="Book Antiqua" w:eastAsia="Book Antiqua" w:hAnsi="Book Antiqua" w:cs="Book Antiqua"/>
          <w:vertAlign w:val="superscript"/>
        </w:rPr>
        <w:t>[20]</w:t>
      </w:r>
      <w:r w:rsidRPr="00A04234">
        <w:rPr>
          <w:rFonts w:ascii="Book Antiqua" w:eastAsia="Book Antiqua" w:hAnsi="Book Antiqua" w:cs="Book Antiqua"/>
        </w:rPr>
        <w:t xml:space="preserve">. Indeed, </w:t>
      </w:r>
      <w:r w:rsidRPr="00A04234">
        <w:rPr>
          <w:rFonts w:ascii="Book Antiqua" w:eastAsia="Book Antiqua" w:hAnsi="Book Antiqua" w:cs="Book Antiqua"/>
        </w:rPr>
        <w:lastRenderedPageBreak/>
        <w:t xml:space="preserve">it was found that for </w:t>
      </w:r>
      <w:r w:rsidR="00E81FBB" w:rsidRPr="00A04234">
        <w:rPr>
          <w:rFonts w:ascii="Book Antiqua" w:eastAsia="Book Antiqua" w:hAnsi="Book Antiqua" w:cs="Book Antiqua"/>
        </w:rPr>
        <w:t>PC</w:t>
      </w:r>
      <w:r w:rsidRPr="00A04234">
        <w:rPr>
          <w:rFonts w:ascii="Book Antiqua" w:eastAsia="Book Antiqua" w:hAnsi="Book Antiqua" w:cs="Book Antiqua"/>
        </w:rPr>
        <w:t xml:space="preserve">, the levels of </w:t>
      </w:r>
      <w:r w:rsidR="00115BB3" w:rsidRPr="00A04234">
        <w:rPr>
          <w:rFonts w:ascii="Book Antiqua" w:eastAsia="Book Antiqua" w:hAnsi="Book Antiqua" w:cs="Book Antiqua"/>
        </w:rPr>
        <w:t>CTC</w:t>
      </w:r>
      <w:r w:rsidRPr="00A04234">
        <w:rPr>
          <w:rFonts w:ascii="Book Antiqua" w:eastAsia="Book Antiqua" w:hAnsi="Book Antiqua" w:cs="Book Antiqua"/>
        </w:rPr>
        <w:t xml:space="preserve"> was the lowest compared to other types of </w:t>
      </w:r>
      <w:proofErr w:type="gramStart"/>
      <w:r w:rsidRPr="00A04234">
        <w:rPr>
          <w:rFonts w:ascii="Book Antiqua" w:eastAsia="Book Antiqua" w:hAnsi="Book Antiqua" w:cs="Book Antiqua"/>
        </w:rPr>
        <w:t>cancer</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21]</w:t>
      </w:r>
      <w:r w:rsidRPr="00A04234">
        <w:rPr>
          <w:rFonts w:ascii="Book Antiqua" w:eastAsia="Book Antiqua" w:hAnsi="Book Antiqua" w:cs="Book Antiqua"/>
        </w:rPr>
        <w:t>.</w:t>
      </w:r>
    </w:p>
    <w:p w14:paraId="557B7B37" w14:textId="758BAF4F" w:rsidR="00A77B3E" w:rsidRPr="00A04234" w:rsidRDefault="00697E7D" w:rsidP="0048655F">
      <w:pPr>
        <w:adjustRightInd w:val="0"/>
        <w:snapToGrid w:val="0"/>
        <w:spacing w:line="360" w:lineRule="auto"/>
        <w:ind w:firstLineChars="100" w:firstLine="240"/>
        <w:jc w:val="both"/>
        <w:rPr>
          <w:rFonts w:ascii="Book Antiqua" w:hAnsi="Book Antiqua"/>
        </w:rPr>
      </w:pPr>
      <w:proofErr w:type="spellStart"/>
      <w:r w:rsidRPr="00A04234">
        <w:rPr>
          <w:rFonts w:ascii="Book Antiqua" w:eastAsia="Book Antiqua" w:hAnsi="Book Antiqua" w:cs="Book Antiqua"/>
        </w:rPr>
        <w:t>ctDNA’s</w:t>
      </w:r>
      <w:proofErr w:type="spellEnd"/>
      <w:r w:rsidRPr="00A04234">
        <w:rPr>
          <w:rFonts w:ascii="Book Antiqua" w:eastAsia="Book Antiqua" w:hAnsi="Book Antiqua" w:cs="Book Antiqua"/>
        </w:rPr>
        <w:t xml:space="preserve"> overall sensitivity, specificity and AUC was 0.64 (95%CI: 0.58</w:t>
      </w:r>
      <w:r w:rsidR="00E81FBB" w:rsidRPr="00A04234">
        <w:rPr>
          <w:rFonts w:ascii="Book Antiqua" w:eastAsia="Book Antiqua" w:hAnsi="Book Antiqua" w:cs="Book Antiqua"/>
        </w:rPr>
        <w:t>-</w:t>
      </w:r>
      <w:r w:rsidRPr="00A04234">
        <w:rPr>
          <w:rFonts w:ascii="Book Antiqua" w:eastAsia="Book Antiqua" w:hAnsi="Book Antiqua" w:cs="Book Antiqua"/>
        </w:rPr>
        <w:t>0.70), 0.92 (95%CI: 0.88</w:t>
      </w:r>
      <w:r w:rsidR="00E81FBB" w:rsidRPr="00A04234">
        <w:rPr>
          <w:rFonts w:ascii="Book Antiqua" w:eastAsia="Book Antiqua" w:hAnsi="Book Antiqua" w:cs="Book Antiqua"/>
        </w:rPr>
        <w:t>-</w:t>
      </w:r>
      <w:r w:rsidRPr="00A04234">
        <w:rPr>
          <w:rFonts w:ascii="Book Antiqua" w:eastAsia="Book Antiqua" w:hAnsi="Book Antiqua" w:cs="Book Antiqua"/>
        </w:rPr>
        <w:t>0.95), and 0.9478</w:t>
      </w:r>
      <w:r w:rsidRPr="00A04234">
        <w:rPr>
          <w:rFonts w:ascii="Book Antiqua" w:eastAsia="Book Antiqua" w:hAnsi="Book Antiqua" w:cs="Book Antiqua"/>
          <w:vertAlign w:val="superscript"/>
        </w:rPr>
        <w:t>[20]</w:t>
      </w:r>
      <w:r w:rsidRPr="00A04234">
        <w:rPr>
          <w:rFonts w:ascii="Book Antiqua" w:eastAsia="Book Antiqua" w:hAnsi="Book Antiqua" w:cs="Book Antiqua"/>
        </w:rPr>
        <w:t xml:space="preserve">. All of the </w:t>
      </w:r>
      <w:proofErr w:type="spellStart"/>
      <w:r w:rsidRPr="00A04234">
        <w:rPr>
          <w:rFonts w:ascii="Book Antiqua" w:eastAsia="Book Antiqua" w:hAnsi="Book Antiqua" w:cs="Book Antiqua"/>
        </w:rPr>
        <w:t>ctDNA</w:t>
      </w:r>
      <w:proofErr w:type="spellEnd"/>
      <w:r w:rsidRPr="00A04234">
        <w:rPr>
          <w:rFonts w:ascii="Book Antiqua" w:eastAsia="Book Antiqua" w:hAnsi="Book Antiqua" w:cs="Book Antiqua"/>
        </w:rPr>
        <w:t xml:space="preserve"> studies </w:t>
      </w:r>
      <w:proofErr w:type="spellStart"/>
      <w:r w:rsidRPr="00A04234">
        <w:rPr>
          <w:rFonts w:ascii="Book Antiqua" w:eastAsia="Book Antiqua" w:hAnsi="Book Antiqua" w:cs="Book Antiqua"/>
        </w:rPr>
        <w:t>utilised</w:t>
      </w:r>
      <w:proofErr w:type="spellEnd"/>
      <w:r w:rsidRPr="00A04234">
        <w:rPr>
          <w:rFonts w:ascii="Book Antiqua" w:eastAsia="Book Antiqua" w:hAnsi="Book Antiqua" w:cs="Book Antiqua"/>
        </w:rPr>
        <w:t xml:space="preserve"> PCR </w:t>
      </w:r>
      <w:r w:rsidR="0007769C" w:rsidRPr="00A04234">
        <w:rPr>
          <w:rFonts w:ascii="Book Antiqua" w:eastAsia="Book Antiqua" w:hAnsi="Book Antiqua" w:cs="Book Antiqua"/>
        </w:rPr>
        <w:t>of</w:t>
      </w:r>
      <w:r w:rsidRPr="00A04234">
        <w:rPr>
          <w:rFonts w:ascii="Book Antiqua" w:eastAsia="Book Antiqua" w:hAnsi="Book Antiqua" w:cs="Book Antiqua"/>
        </w:rPr>
        <w:t xml:space="preserve"> KRAS mutations to distinguish </w:t>
      </w:r>
      <w:r w:rsidR="00E81FBB" w:rsidRPr="00A04234">
        <w:rPr>
          <w:rFonts w:ascii="Book Antiqua" w:eastAsia="Book Antiqua" w:hAnsi="Book Antiqua" w:cs="Book Antiqua"/>
        </w:rPr>
        <w:t>PC</w:t>
      </w:r>
      <w:r w:rsidRPr="00A04234">
        <w:rPr>
          <w:rFonts w:ascii="Book Antiqua" w:eastAsia="Book Antiqua" w:hAnsi="Book Antiqua" w:cs="Book Antiqua"/>
        </w:rPr>
        <w:t xml:space="preserve"> from either healthy controls, pancreatitis or benign lesions. As mentioned before, KRAS is the most common genetic driver of PDAC and so </w:t>
      </w:r>
      <w:proofErr w:type="spellStart"/>
      <w:r w:rsidRPr="00A04234">
        <w:rPr>
          <w:rFonts w:ascii="Book Antiqua" w:eastAsia="Book Antiqua" w:hAnsi="Book Antiqua" w:cs="Book Antiqua"/>
        </w:rPr>
        <w:t>utilising</w:t>
      </w:r>
      <w:proofErr w:type="spellEnd"/>
      <w:r w:rsidRPr="00A04234">
        <w:rPr>
          <w:rFonts w:ascii="Book Antiqua" w:eastAsia="Book Antiqua" w:hAnsi="Book Antiqua" w:cs="Book Antiqua"/>
        </w:rPr>
        <w:t xml:space="preserve"> this as the marker for detection may be the reason for the high specificity. The relatively low sensitivity however may have been due to the abundance of </w:t>
      </w:r>
      <w:proofErr w:type="spellStart"/>
      <w:r w:rsidRPr="00A04234">
        <w:rPr>
          <w:rFonts w:ascii="Book Antiqua" w:eastAsia="Book Antiqua" w:hAnsi="Book Antiqua" w:cs="Book Antiqua"/>
        </w:rPr>
        <w:t>ctDNA</w:t>
      </w:r>
      <w:proofErr w:type="spellEnd"/>
      <w:r w:rsidRPr="00A04234">
        <w:rPr>
          <w:rFonts w:ascii="Book Antiqua" w:eastAsia="Book Antiqua" w:hAnsi="Book Antiqua" w:cs="Book Antiqua"/>
        </w:rPr>
        <w:t xml:space="preserve"> in the </w:t>
      </w:r>
      <w:proofErr w:type="gramStart"/>
      <w:r w:rsidRPr="00A04234">
        <w:rPr>
          <w:rFonts w:ascii="Book Antiqua" w:eastAsia="Book Antiqua" w:hAnsi="Book Antiqua" w:cs="Book Antiqua"/>
        </w:rPr>
        <w:t>circulation</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20]</w:t>
      </w:r>
      <w:r w:rsidRPr="00A04234">
        <w:rPr>
          <w:rFonts w:ascii="Book Antiqua" w:eastAsia="Book Antiqua" w:hAnsi="Book Antiqua" w:cs="Book Antiqua"/>
        </w:rPr>
        <w:t xml:space="preserve">. It has been found that the abundance of </w:t>
      </w:r>
      <w:proofErr w:type="spellStart"/>
      <w:r w:rsidRPr="00A04234">
        <w:rPr>
          <w:rFonts w:ascii="Book Antiqua" w:eastAsia="Book Antiqua" w:hAnsi="Book Antiqua" w:cs="Book Antiqua"/>
        </w:rPr>
        <w:t>ctDNA</w:t>
      </w:r>
      <w:proofErr w:type="spellEnd"/>
      <w:r w:rsidRPr="00A04234">
        <w:rPr>
          <w:rFonts w:ascii="Book Antiqua" w:eastAsia="Book Antiqua" w:hAnsi="Book Antiqua" w:cs="Book Antiqua"/>
        </w:rPr>
        <w:t xml:space="preserve"> has a positive correlation with </w:t>
      </w:r>
      <w:proofErr w:type="spellStart"/>
      <w:r w:rsidRPr="00A04234">
        <w:rPr>
          <w:rFonts w:ascii="Book Antiqua" w:eastAsia="Book Antiqua" w:hAnsi="Book Antiqua" w:cs="Book Antiqua"/>
        </w:rPr>
        <w:t>tumour</w:t>
      </w:r>
      <w:proofErr w:type="spellEnd"/>
      <w:r w:rsidRPr="00A04234">
        <w:rPr>
          <w:rFonts w:ascii="Book Antiqua" w:eastAsia="Book Antiqua" w:hAnsi="Book Antiqua" w:cs="Book Antiqua"/>
        </w:rPr>
        <w:t xml:space="preserve"> load, supported by the physiology of </w:t>
      </w:r>
      <w:proofErr w:type="spellStart"/>
      <w:r w:rsidRPr="00A04234">
        <w:rPr>
          <w:rFonts w:ascii="Book Antiqua" w:eastAsia="Book Antiqua" w:hAnsi="Book Antiqua" w:cs="Book Antiqua"/>
        </w:rPr>
        <w:t>ctDNA</w:t>
      </w:r>
      <w:proofErr w:type="spellEnd"/>
      <w:r w:rsidRPr="00A04234">
        <w:rPr>
          <w:rFonts w:ascii="Book Antiqua" w:eastAsia="Book Antiqua" w:hAnsi="Book Antiqua" w:cs="Book Antiqua"/>
        </w:rPr>
        <w:t xml:space="preserve"> mentioned above: </w:t>
      </w:r>
      <w:r w:rsidR="00115BB3" w:rsidRPr="00A04234">
        <w:rPr>
          <w:rFonts w:ascii="Book Antiqua" w:eastAsia="Book Antiqua" w:hAnsi="Book Antiqua" w:cs="Book Antiqua"/>
        </w:rPr>
        <w:t>I</w:t>
      </w:r>
      <w:r w:rsidRPr="00A04234">
        <w:rPr>
          <w:rFonts w:ascii="Book Antiqua" w:eastAsia="Book Antiqua" w:hAnsi="Book Antiqua" w:cs="Book Antiqua"/>
        </w:rPr>
        <w:t xml:space="preserve">t is released through cell </w:t>
      </w:r>
      <w:proofErr w:type="gramStart"/>
      <w:r w:rsidRPr="00A04234">
        <w:rPr>
          <w:rFonts w:ascii="Book Antiqua" w:eastAsia="Book Antiqua" w:hAnsi="Book Antiqua" w:cs="Book Antiqua"/>
        </w:rPr>
        <w:t>death</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22]</w:t>
      </w:r>
      <w:r w:rsidRPr="00A04234">
        <w:rPr>
          <w:rFonts w:ascii="Book Antiqua" w:eastAsia="Book Antiqua" w:hAnsi="Book Antiqua" w:cs="Book Antiqua"/>
        </w:rPr>
        <w:t xml:space="preserve">. Due to this, </w:t>
      </w:r>
      <w:proofErr w:type="spellStart"/>
      <w:r w:rsidRPr="00A04234">
        <w:rPr>
          <w:rFonts w:ascii="Book Antiqua" w:eastAsia="Book Antiqua" w:hAnsi="Book Antiqua" w:cs="Book Antiqua"/>
        </w:rPr>
        <w:t>ctDNA</w:t>
      </w:r>
      <w:proofErr w:type="spellEnd"/>
      <w:r w:rsidRPr="00A04234">
        <w:rPr>
          <w:rFonts w:ascii="Book Antiqua" w:eastAsia="Book Antiqua" w:hAnsi="Book Antiqua" w:cs="Book Antiqua"/>
        </w:rPr>
        <w:t xml:space="preserve"> may not be an ideal candidate for use in early detection of PDAC but may have a role as a prognostic biomarker or a marker of response to treatment, especially in those that are CA19-9 negative.</w:t>
      </w:r>
    </w:p>
    <w:p w14:paraId="1FC2FACF" w14:textId="3541DA85" w:rsidR="00A77B3E" w:rsidRPr="00A04234" w:rsidRDefault="00697E7D" w:rsidP="0048655F">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t xml:space="preserve">In terms of protein biomarkers, many studies have been done to </w:t>
      </w:r>
      <w:proofErr w:type="spellStart"/>
      <w:r w:rsidRPr="00A04234">
        <w:rPr>
          <w:rFonts w:ascii="Book Antiqua" w:eastAsia="Book Antiqua" w:hAnsi="Book Antiqua" w:cs="Book Antiqua"/>
        </w:rPr>
        <w:t>characterise</w:t>
      </w:r>
      <w:proofErr w:type="spellEnd"/>
      <w:r w:rsidRPr="00A04234">
        <w:rPr>
          <w:rFonts w:ascii="Book Antiqua" w:eastAsia="Book Antiqua" w:hAnsi="Book Antiqua" w:cs="Book Antiqua"/>
        </w:rPr>
        <w:t xml:space="preserve"> the differences in the proteomes of PDAC and normal control </w:t>
      </w:r>
      <w:r w:rsidR="00E81FBB" w:rsidRPr="00A04234">
        <w:rPr>
          <w:rFonts w:ascii="Book Antiqua" w:eastAsia="Book Antiqua" w:hAnsi="Book Antiqua" w:cs="Book Antiqua"/>
        </w:rPr>
        <w:t xml:space="preserve">(NC) </w:t>
      </w:r>
      <w:r w:rsidRPr="00A04234">
        <w:rPr>
          <w:rFonts w:ascii="Book Antiqua" w:eastAsia="Book Antiqua" w:hAnsi="Book Antiqua" w:cs="Book Antiqua"/>
        </w:rPr>
        <w:t xml:space="preserve">specimens from various sources including tissue samples, cell lines, serum/plasma and pancreatic </w:t>
      </w:r>
      <w:proofErr w:type="gramStart"/>
      <w:r w:rsidRPr="00A04234">
        <w:rPr>
          <w:rFonts w:ascii="Book Antiqua" w:eastAsia="Book Antiqua" w:hAnsi="Book Antiqua" w:cs="Book Antiqua"/>
        </w:rPr>
        <w:t>juice</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8]</w:t>
      </w:r>
      <w:r w:rsidRPr="00A04234">
        <w:rPr>
          <w:rFonts w:ascii="Book Antiqua" w:eastAsia="Book Antiqua" w:hAnsi="Book Antiqua" w:cs="Book Antiqua"/>
        </w:rPr>
        <w:t xml:space="preserve">. While quite a few studies have been done, only a few of the biomarkers described overlap between studies. Further to this, none of these biomarkers have been put to use clinically, mainly due to the lack of validation in clinical trials, and </w:t>
      </w:r>
      <w:proofErr w:type="spellStart"/>
      <w:r w:rsidRPr="00A04234">
        <w:rPr>
          <w:rFonts w:ascii="Book Antiqua" w:eastAsia="Book Antiqua" w:hAnsi="Book Antiqua" w:cs="Book Antiqua"/>
        </w:rPr>
        <w:t>standardised</w:t>
      </w:r>
      <w:proofErr w:type="spellEnd"/>
      <w:r w:rsidRPr="00A04234">
        <w:rPr>
          <w:rFonts w:ascii="Book Antiqua" w:eastAsia="Book Antiqua" w:hAnsi="Book Antiqua" w:cs="Book Antiqua"/>
        </w:rPr>
        <w:t>, reproducible and cost-effective analytical methods.</w:t>
      </w:r>
    </w:p>
    <w:p w14:paraId="6206493D" w14:textId="1A48BA47" w:rsidR="00A77B3E" w:rsidRPr="00A04234" w:rsidRDefault="009B0C95" w:rsidP="0048655F">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t>MS</w:t>
      </w:r>
      <w:r w:rsidR="00697E7D" w:rsidRPr="00A04234">
        <w:rPr>
          <w:rFonts w:ascii="Book Antiqua" w:eastAsia="Book Antiqua" w:hAnsi="Book Antiqua" w:cs="Book Antiqua"/>
        </w:rPr>
        <w:t xml:space="preserve"> data combined with the results of a literature review by Capello </w:t>
      </w:r>
      <w:r w:rsidR="00697E7D" w:rsidRPr="00A04234">
        <w:rPr>
          <w:rFonts w:ascii="Book Antiqua" w:eastAsia="Book Antiqua" w:hAnsi="Book Antiqua" w:cs="Book Antiqua"/>
          <w:i/>
          <w:iCs/>
        </w:rPr>
        <w:t>et al</w:t>
      </w:r>
      <w:r w:rsidRPr="00A04234">
        <w:rPr>
          <w:rFonts w:ascii="Book Antiqua" w:eastAsia="Book Antiqua" w:hAnsi="Book Antiqua" w:cs="Book Antiqua"/>
          <w:vertAlign w:val="superscript"/>
        </w:rPr>
        <w:t>[</w:t>
      </w:r>
      <w:r w:rsidR="00697E7D" w:rsidRPr="00A04234">
        <w:rPr>
          <w:rFonts w:ascii="Book Antiqua" w:eastAsia="Book Antiqua" w:hAnsi="Book Antiqua" w:cs="Book Antiqua"/>
          <w:vertAlign w:val="superscript"/>
        </w:rPr>
        <w:t>23]</w:t>
      </w:r>
      <w:r w:rsidR="00697E7D" w:rsidRPr="00A04234">
        <w:rPr>
          <w:rFonts w:ascii="Book Antiqua" w:eastAsia="Book Antiqua" w:hAnsi="Book Antiqua" w:cs="Book Antiqua"/>
        </w:rPr>
        <w:t xml:space="preserve"> yielded 17 plasma protein biomarkers to distinguish early stage PDAC from benign pancreatic disease and </w:t>
      </w:r>
      <w:r w:rsidR="00E81FBB" w:rsidRPr="00A04234">
        <w:rPr>
          <w:rFonts w:ascii="Book Antiqua" w:eastAsia="Book Antiqua" w:hAnsi="Book Antiqua" w:cs="Book Antiqua"/>
        </w:rPr>
        <w:t>NC</w:t>
      </w:r>
      <w:r w:rsidR="00697E7D" w:rsidRPr="00A04234">
        <w:rPr>
          <w:rFonts w:ascii="Book Antiqua" w:eastAsia="Book Antiqua" w:hAnsi="Book Antiqua" w:cs="Book Antiqua"/>
        </w:rPr>
        <w:t xml:space="preserve">. They tested these biomarkers using ELISA, first in a triage set which narrowed these down to 7 biomarkers, followed by validation of these 7 biomarkers in three independent plasma sample sets. Statistical analysis of the performance of these 7 biomarkers led to the development of a 3 biomarker panel of </w:t>
      </w:r>
      <w:r w:rsidR="00F565E2" w:rsidRPr="00A04234">
        <w:rPr>
          <w:rFonts w:ascii="Book Antiqua" w:eastAsia="Book Antiqua" w:hAnsi="Book Antiqua" w:cs="Book Antiqua"/>
        </w:rPr>
        <w:t>metalloproteinase inhi</w:t>
      </w:r>
      <w:r w:rsidR="0007769C" w:rsidRPr="00A04234">
        <w:rPr>
          <w:rFonts w:ascii="Book Antiqua" w:eastAsia="Book Antiqua" w:hAnsi="Book Antiqua" w:cs="Book Antiqua"/>
        </w:rPr>
        <w:t>bitor 1</w:t>
      </w:r>
      <w:r w:rsidR="00697E7D" w:rsidRPr="00A04234">
        <w:rPr>
          <w:rFonts w:ascii="Book Antiqua" w:eastAsia="Book Antiqua" w:hAnsi="Book Antiqua" w:cs="Book Antiqua"/>
        </w:rPr>
        <w:t xml:space="preserve">, </w:t>
      </w:r>
      <w:r w:rsidR="00F565E2" w:rsidRPr="00A04234">
        <w:rPr>
          <w:rFonts w:ascii="Book Antiqua" w:hAnsi="Book Antiqua"/>
        </w:rPr>
        <w:t>le</w:t>
      </w:r>
      <w:r w:rsidR="0007769C" w:rsidRPr="00A04234">
        <w:rPr>
          <w:rFonts w:ascii="Book Antiqua" w:hAnsi="Book Antiqua"/>
        </w:rPr>
        <w:t>ucine rich alpha-2-glycoprotein 1</w:t>
      </w:r>
      <w:r w:rsidR="00697E7D" w:rsidRPr="00A04234">
        <w:rPr>
          <w:rFonts w:ascii="Book Antiqua" w:eastAsia="Book Antiqua" w:hAnsi="Book Antiqua" w:cs="Book Antiqua"/>
        </w:rPr>
        <w:t xml:space="preserve"> and CA 19-9 which was able to differentiate PDAC cases from healthy controls with an AUC of 0.887 (95%CI: 0.817</w:t>
      </w:r>
      <w:r w:rsidR="00E81FBB" w:rsidRPr="00A04234">
        <w:rPr>
          <w:rFonts w:ascii="Book Antiqua" w:eastAsia="Book Antiqua" w:hAnsi="Book Antiqua" w:cs="Book Antiqua"/>
        </w:rPr>
        <w:t>-</w:t>
      </w:r>
      <w:r w:rsidR="00697E7D" w:rsidRPr="00A04234">
        <w:rPr>
          <w:rFonts w:ascii="Book Antiqua" w:eastAsia="Book Antiqua" w:hAnsi="Book Antiqua" w:cs="Book Antiqua"/>
        </w:rPr>
        <w:t xml:space="preserve">0.957) in a blinded test set, which was a statistically significant improvement compared </w:t>
      </w:r>
      <w:r w:rsidR="00697E7D" w:rsidRPr="00A04234">
        <w:rPr>
          <w:rFonts w:ascii="Book Antiqua" w:eastAsia="Book Antiqua" w:hAnsi="Book Antiqua" w:cs="Book Antiqua"/>
        </w:rPr>
        <w:lastRenderedPageBreak/>
        <w:t>to CA 19-9 alone. The sensitivities at a fixed 95% and 99% specificity were 0.667 and 0.410 respectively, compared to the sensitivities of 0.538 and 0.462 respectively for CA 19-9</w:t>
      </w:r>
      <w:r w:rsidR="00697E7D" w:rsidRPr="00A04234">
        <w:rPr>
          <w:rFonts w:ascii="Book Antiqua" w:eastAsia="Book Antiqua" w:hAnsi="Book Antiqua" w:cs="Book Antiqua"/>
          <w:vertAlign w:val="superscript"/>
        </w:rPr>
        <w:t>[23]</w:t>
      </w:r>
      <w:r w:rsidR="00697E7D" w:rsidRPr="00A04234">
        <w:rPr>
          <w:rFonts w:ascii="Book Antiqua" w:eastAsia="Book Antiqua" w:hAnsi="Book Antiqua" w:cs="Book Antiqua"/>
        </w:rPr>
        <w:t>.</w:t>
      </w:r>
    </w:p>
    <w:p w14:paraId="4B527D7A" w14:textId="3E4360E1" w:rsidR="00A77B3E" w:rsidRPr="00A04234" w:rsidRDefault="00697E7D" w:rsidP="0048655F">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t xml:space="preserve">In terms of prognostic biomarkers, </w:t>
      </w:r>
      <w:r w:rsidR="00115BB3" w:rsidRPr="00A04234">
        <w:rPr>
          <w:rFonts w:ascii="Book Antiqua" w:eastAsia="Book Antiqua" w:hAnsi="Book Antiqua" w:cs="Book Antiqua"/>
        </w:rPr>
        <w:t>de Oliveira</w:t>
      </w:r>
      <w:r w:rsidRPr="00A04234">
        <w:rPr>
          <w:rFonts w:ascii="Book Antiqua" w:eastAsia="Book Antiqua" w:hAnsi="Book Antiqua" w:cs="Book Antiqua"/>
        </w:rPr>
        <w:t xml:space="preserve"> </w:t>
      </w:r>
      <w:r w:rsidRPr="00A04234">
        <w:rPr>
          <w:rFonts w:ascii="Book Antiqua" w:eastAsia="Book Antiqua" w:hAnsi="Book Antiqua" w:cs="Book Antiqua"/>
          <w:i/>
          <w:iCs/>
        </w:rPr>
        <w:t xml:space="preserve">et </w:t>
      </w:r>
      <w:proofErr w:type="gramStart"/>
      <w:r w:rsidRPr="00A04234">
        <w:rPr>
          <w:rFonts w:ascii="Book Antiqua" w:eastAsia="Book Antiqua" w:hAnsi="Book Antiqua" w:cs="Book Antiqua"/>
          <w:i/>
          <w:iCs/>
        </w:rPr>
        <w:t>al</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24]</w:t>
      </w:r>
      <w:r w:rsidRPr="00A04234">
        <w:rPr>
          <w:rFonts w:ascii="Book Antiqua" w:eastAsia="Book Antiqua" w:hAnsi="Book Antiqua" w:cs="Book Antiqua"/>
        </w:rPr>
        <w:t xml:space="preserve"> recently conducted a meta-analysis of </w:t>
      </w:r>
      <w:r w:rsidR="009B0C95" w:rsidRPr="00A04234">
        <w:rPr>
          <w:rFonts w:ascii="Book Antiqua" w:eastAsia="Book Antiqua" w:hAnsi="Book Antiqua" w:cs="Book Antiqua"/>
        </w:rPr>
        <w:t>MS</w:t>
      </w:r>
      <w:r w:rsidRPr="00A04234">
        <w:rPr>
          <w:rFonts w:ascii="Book Antiqua" w:eastAsia="Book Antiqua" w:hAnsi="Book Antiqua" w:cs="Book Antiqua"/>
        </w:rPr>
        <w:t xml:space="preserve"> data from two systematic reviews of PDAC </w:t>
      </w:r>
      <w:proofErr w:type="spellStart"/>
      <w:r w:rsidRPr="00A04234">
        <w:rPr>
          <w:rFonts w:ascii="Book Antiqua" w:eastAsia="Book Antiqua" w:hAnsi="Book Antiqua" w:cs="Book Antiqua"/>
        </w:rPr>
        <w:t>secretome</w:t>
      </w:r>
      <w:proofErr w:type="spellEnd"/>
      <w:r w:rsidRPr="00A04234">
        <w:rPr>
          <w:rFonts w:ascii="Book Antiqua" w:eastAsia="Book Antiqua" w:hAnsi="Book Antiqua" w:cs="Book Antiqua"/>
        </w:rPr>
        <w:t xml:space="preserve"> and proteome. No protein was found to be present in all the studies and so the authors selected those that were presented in at least 2 studies, generating a list of 39 secreted proteins. Further gene expression analysis of 4747 </w:t>
      </w:r>
      <w:proofErr w:type="spellStart"/>
      <w:r w:rsidRPr="00A04234">
        <w:rPr>
          <w:rFonts w:ascii="Book Antiqua" w:eastAsia="Book Antiqua" w:hAnsi="Book Antiqua" w:cs="Book Antiqua"/>
        </w:rPr>
        <w:t>tumours</w:t>
      </w:r>
      <w:proofErr w:type="spellEnd"/>
      <w:r w:rsidRPr="00A04234">
        <w:rPr>
          <w:rFonts w:ascii="Book Antiqua" w:eastAsia="Book Antiqua" w:hAnsi="Book Antiqua" w:cs="Book Antiqua"/>
        </w:rPr>
        <w:t xml:space="preserve"> (of 10 types of cancers) and 2737 corresponding normal tissues for these proteins revealed that 31 of these were unregulated in PDAC, and when </w:t>
      </w:r>
      <w:proofErr w:type="spellStart"/>
      <w:r w:rsidRPr="00A04234">
        <w:rPr>
          <w:rFonts w:ascii="Book Antiqua" w:eastAsia="Book Antiqua" w:hAnsi="Book Antiqua" w:cs="Book Antiqua"/>
        </w:rPr>
        <w:t>analysed</w:t>
      </w:r>
      <w:proofErr w:type="spellEnd"/>
      <w:r w:rsidRPr="00A04234">
        <w:rPr>
          <w:rFonts w:ascii="Book Antiqua" w:eastAsia="Book Antiqua" w:hAnsi="Book Antiqua" w:cs="Book Antiqua"/>
        </w:rPr>
        <w:t xml:space="preserve"> for 10 cancer types showed that all 39 genes were enriched in PDAC </w:t>
      </w:r>
      <w:r w:rsidRPr="00A04234">
        <w:rPr>
          <w:rFonts w:ascii="Book Antiqua" w:eastAsia="Book Antiqua" w:hAnsi="Book Antiqua" w:cs="Book Antiqua"/>
          <w:i/>
          <w:iCs/>
        </w:rPr>
        <w:t>vs</w:t>
      </w:r>
      <w:r w:rsidRPr="00A04234">
        <w:rPr>
          <w:rFonts w:ascii="Book Antiqua" w:eastAsia="Book Antiqua" w:hAnsi="Book Antiqua" w:cs="Book Antiqua"/>
        </w:rPr>
        <w:t xml:space="preserve"> the other types, with an opposite expression profile in </w:t>
      </w:r>
      <w:r w:rsidR="00115BB3" w:rsidRPr="00A04234">
        <w:rPr>
          <w:rFonts w:ascii="Book Antiqua" w:eastAsia="Book Antiqua" w:hAnsi="Book Antiqua" w:cs="Book Antiqua"/>
        </w:rPr>
        <w:t xml:space="preserve">acute myeloid </w:t>
      </w:r>
      <w:proofErr w:type="spellStart"/>
      <w:r w:rsidR="00115BB3" w:rsidRPr="00A04234">
        <w:rPr>
          <w:rFonts w:ascii="Book Antiqua" w:eastAsia="Book Antiqua" w:hAnsi="Book Antiqua" w:cs="Book Antiqua"/>
        </w:rPr>
        <w:t>leuka</w:t>
      </w:r>
      <w:r w:rsidRPr="00A04234">
        <w:rPr>
          <w:rFonts w:ascii="Book Antiqua" w:eastAsia="Book Antiqua" w:hAnsi="Book Antiqua" w:cs="Book Antiqua"/>
        </w:rPr>
        <w:t>emia</w:t>
      </w:r>
      <w:proofErr w:type="spellEnd"/>
      <w:r w:rsidRPr="00A04234">
        <w:rPr>
          <w:rFonts w:ascii="Book Antiqua" w:eastAsia="Book Antiqua" w:hAnsi="Book Antiqua" w:cs="Book Antiqua"/>
        </w:rPr>
        <w:t xml:space="preserve">. Further to this, the authors displayed a correlation between the gene expression for these proteins and significantly shorter survival (hazard ratio = 5.36) in PDAC patients, which was validated in three independent data </w:t>
      </w:r>
      <w:proofErr w:type="gramStart"/>
      <w:r w:rsidRPr="00A04234">
        <w:rPr>
          <w:rFonts w:ascii="Book Antiqua" w:eastAsia="Book Antiqua" w:hAnsi="Book Antiqua" w:cs="Book Antiqua"/>
        </w:rPr>
        <w:t>sets</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24]</w:t>
      </w:r>
      <w:r w:rsidRPr="00A04234">
        <w:rPr>
          <w:rFonts w:ascii="Book Antiqua" w:eastAsia="Book Antiqua" w:hAnsi="Book Antiqua" w:cs="Book Antiqua"/>
        </w:rPr>
        <w:t>.</w:t>
      </w:r>
    </w:p>
    <w:p w14:paraId="621C6E53" w14:textId="207972F3" w:rsidR="00A77B3E" w:rsidRPr="00A04234" w:rsidRDefault="00697E7D" w:rsidP="0048655F">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t xml:space="preserve">Peng </w:t>
      </w:r>
      <w:r w:rsidRPr="00A04234">
        <w:rPr>
          <w:rFonts w:ascii="Book Antiqua" w:eastAsia="Book Antiqua" w:hAnsi="Book Antiqua" w:cs="Book Antiqua"/>
          <w:i/>
          <w:iCs/>
        </w:rPr>
        <w:t xml:space="preserve">et </w:t>
      </w:r>
      <w:proofErr w:type="gramStart"/>
      <w:r w:rsidRPr="00A04234">
        <w:rPr>
          <w:rFonts w:ascii="Book Antiqua" w:eastAsia="Book Antiqua" w:hAnsi="Book Antiqua" w:cs="Book Antiqua"/>
          <w:i/>
          <w:iCs/>
        </w:rPr>
        <w:t>al</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25]</w:t>
      </w:r>
      <w:r w:rsidRPr="00A04234">
        <w:rPr>
          <w:rFonts w:ascii="Book Antiqua" w:eastAsia="Book Antiqua" w:hAnsi="Book Antiqua" w:cs="Book Antiqua"/>
        </w:rPr>
        <w:t xml:space="preserve"> developed a protein signature to predict response to chemotherapy through LC-MS/MS of prepared serum samples from 16 stage IV PDAC patients. The three protein biomarker candidates </w:t>
      </w:r>
      <w:r w:rsidR="0007769C" w:rsidRPr="00A04234">
        <w:rPr>
          <w:rFonts w:ascii="Book Antiqua" w:eastAsia="Book Antiqua" w:hAnsi="Book Antiqua" w:cs="Book Antiqua"/>
        </w:rPr>
        <w:t>vitamin-K dependent protein Z</w:t>
      </w:r>
      <w:r w:rsidRPr="00A04234">
        <w:rPr>
          <w:rFonts w:ascii="Book Antiqua" w:eastAsia="Book Antiqua" w:hAnsi="Book Antiqua" w:cs="Book Antiqua"/>
        </w:rPr>
        <w:t xml:space="preserve">, </w:t>
      </w:r>
      <w:r w:rsidR="0007769C" w:rsidRPr="00A04234">
        <w:rPr>
          <w:rFonts w:ascii="Book Antiqua" w:eastAsia="Book Antiqua" w:hAnsi="Book Antiqua" w:cs="Book Antiqua"/>
        </w:rPr>
        <w:t>sex hormone-binding globulin</w:t>
      </w:r>
      <w:r w:rsidRPr="00A04234">
        <w:rPr>
          <w:rFonts w:ascii="Book Antiqua" w:eastAsia="Book Antiqua" w:hAnsi="Book Antiqua" w:cs="Book Antiqua"/>
        </w:rPr>
        <w:t xml:space="preserve"> and </w:t>
      </w:r>
      <w:r w:rsidR="0007769C" w:rsidRPr="00A04234">
        <w:rPr>
          <w:rFonts w:ascii="Book Antiqua" w:eastAsia="Book Antiqua" w:hAnsi="Book Antiqua" w:cs="Book Antiqua"/>
        </w:rPr>
        <w:t>von Willebrand factor</w:t>
      </w:r>
      <w:r w:rsidRPr="00A04234">
        <w:rPr>
          <w:rFonts w:ascii="Book Antiqua" w:eastAsia="Book Antiqua" w:hAnsi="Book Antiqua" w:cs="Book Antiqua"/>
        </w:rPr>
        <w:t xml:space="preserve">, combined with CA 19-9 were used to make a biomarker panel, with biomarker </w:t>
      </w:r>
      <w:r w:rsidR="0007769C" w:rsidRPr="00A04234">
        <w:rPr>
          <w:rFonts w:ascii="Book Antiqua" w:eastAsia="Book Antiqua" w:hAnsi="Book Antiqua" w:cs="Book Antiqua"/>
        </w:rPr>
        <w:t>positive</w:t>
      </w:r>
      <w:r w:rsidRPr="00A04234">
        <w:rPr>
          <w:rFonts w:ascii="Book Antiqua" w:eastAsia="Book Antiqua" w:hAnsi="Book Antiqua" w:cs="Book Antiqua"/>
        </w:rPr>
        <w:t xml:space="preserve"> patients having significantly shorter median survival in both stage III and stage IV patients </w:t>
      </w:r>
      <w:r w:rsidR="00E81FBB" w:rsidRPr="00A04234">
        <w:rPr>
          <w:rFonts w:ascii="Book Antiqua" w:eastAsia="Book Antiqua" w:hAnsi="Book Antiqua" w:cs="Book Antiqua"/>
        </w:rPr>
        <w:t>[</w:t>
      </w:r>
      <w:r w:rsidRPr="00A04234">
        <w:rPr>
          <w:rFonts w:ascii="Book Antiqua" w:eastAsia="Book Antiqua" w:hAnsi="Book Antiqua" w:cs="Book Antiqua"/>
        </w:rPr>
        <w:t xml:space="preserve">8.7 </w:t>
      </w:r>
      <w:proofErr w:type="spellStart"/>
      <w:r w:rsidRPr="00A04234">
        <w:rPr>
          <w:rFonts w:ascii="Book Antiqua" w:eastAsia="Book Antiqua" w:hAnsi="Book Antiqua" w:cs="Book Antiqua"/>
        </w:rPr>
        <w:t>mo</w:t>
      </w:r>
      <w:proofErr w:type="spellEnd"/>
      <w:r w:rsidRPr="00A04234">
        <w:rPr>
          <w:rFonts w:ascii="Book Antiqua" w:eastAsia="Book Antiqua" w:hAnsi="Book Antiqua" w:cs="Book Antiqua"/>
        </w:rPr>
        <w:t xml:space="preserve"> (95%CI: 6</w:t>
      </w:r>
      <w:r w:rsidR="00E81FBB" w:rsidRPr="00A04234">
        <w:rPr>
          <w:rFonts w:ascii="Book Antiqua" w:eastAsia="Book Antiqua" w:hAnsi="Book Antiqua" w:cs="Book Antiqua"/>
        </w:rPr>
        <w:t>-</w:t>
      </w:r>
      <w:r w:rsidRPr="00A04234">
        <w:rPr>
          <w:rFonts w:ascii="Book Antiqua" w:eastAsia="Book Antiqua" w:hAnsi="Book Antiqua" w:cs="Book Antiqua"/>
        </w:rPr>
        <w:t xml:space="preserve">11.7) for biomarker </w:t>
      </w:r>
      <w:proofErr w:type="spellStart"/>
      <w:r w:rsidR="0007769C" w:rsidRPr="00A04234">
        <w:rPr>
          <w:rFonts w:ascii="Book Antiqua" w:eastAsia="Book Antiqua" w:hAnsi="Book Antiqua" w:cs="Book Antiqua"/>
        </w:rPr>
        <w:t>negtive</w:t>
      </w:r>
      <w:proofErr w:type="spellEnd"/>
      <w:r w:rsidRPr="00A04234">
        <w:rPr>
          <w:rFonts w:ascii="Book Antiqua" w:eastAsia="Book Antiqua" w:hAnsi="Book Antiqua" w:cs="Book Antiqua"/>
        </w:rPr>
        <w:t xml:space="preserve"> </w:t>
      </w:r>
      <w:r w:rsidRPr="00A04234">
        <w:rPr>
          <w:rFonts w:ascii="Book Antiqua" w:eastAsia="Book Antiqua" w:hAnsi="Book Antiqua" w:cs="Book Antiqua"/>
          <w:i/>
          <w:iCs/>
        </w:rPr>
        <w:t>vs</w:t>
      </w:r>
      <w:r w:rsidRPr="00A04234">
        <w:rPr>
          <w:rFonts w:ascii="Book Antiqua" w:eastAsia="Book Antiqua" w:hAnsi="Book Antiqua" w:cs="Book Antiqua"/>
        </w:rPr>
        <w:t xml:space="preserve"> 19.2 </w:t>
      </w:r>
      <w:proofErr w:type="spellStart"/>
      <w:r w:rsidRPr="00A04234">
        <w:rPr>
          <w:rFonts w:ascii="Book Antiqua" w:eastAsia="Book Antiqua" w:hAnsi="Book Antiqua" w:cs="Book Antiqua"/>
        </w:rPr>
        <w:t>mo</w:t>
      </w:r>
      <w:proofErr w:type="spellEnd"/>
      <w:r w:rsidRPr="00A04234">
        <w:rPr>
          <w:rFonts w:ascii="Book Antiqua" w:eastAsia="Book Antiqua" w:hAnsi="Book Antiqua" w:cs="Book Antiqua"/>
        </w:rPr>
        <w:t xml:space="preserve"> (95%CI: 11.4</w:t>
      </w:r>
      <w:r w:rsidR="00E81FBB" w:rsidRPr="00A04234">
        <w:rPr>
          <w:rFonts w:ascii="Book Antiqua" w:eastAsia="Book Antiqua" w:hAnsi="Book Antiqua" w:cs="Book Antiqua"/>
        </w:rPr>
        <w:t>-</w:t>
      </w:r>
      <w:r w:rsidRPr="00A04234">
        <w:rPr>
          <w:rFonts w:ascii="Book Antiqua" w:eastAsia="Book Antiqua" w:hAnsi="Book Antiqua" w:cs="Book Antiqua"/>
        </w:rPr>
        <w:t xml:space="preserve">22.1) for biomarker </w:t>
      </w:r>
      <w:r w:rsidR="0007769C" w:rsidRPr="00A04234">
        <w:rPr>
          <w:rFonts w:ascii="Book Antiqua" w:eastAsia="Book Antiqua" w:hAnsi="Book Antiqua" w:cs="Book Antiqua"/>
        </w:rPr>
        <w:t>positive</w:t>
      </w:r>
      <w:r w:rsidR="00E81FBB" w:rsidRPr="00A04234">
        <w:rPr>
          <w:rFonts w:ascii="Book Antiqua" w:eastAsia="Book Antiqua" w:hAnsi="Book Antiqua" w:cs="Book Antiqua"/>
        </w:rPr>
        <w:t>]</w:t>
      </w:r>
      <w:r w:rsidRPr="00A04234">
        <w:rPr>
          <w:rFonts w:ascii="Book Antiqua" w:eastAsia="Book Antiqua" w:hAnsi="Book Antiqua" w:cs="Book Antiqua"/>
        </w:rPr>
        <w:t>.</w:t>
      </w:r>
    </w:p>
    <w:p w14:paraId="4B9886C1" w14:textId="659699B4" w:rsidR="00A77B3E" w:rsidRPr="00A04234" w:rsidRDefault="00697E7D" w:rsidP="0048655F">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t xml:space="preserve">A meta-analysis of metabolomic biomarkers for </w:t>
      </w:r>
      <w:r w:rsidR="00E81FBB" w:rsidRPr="00A04234">
        <w:rPr>
          <w:rFonts w:ascii="Book Antiqua" w:eastAsia="Book Antiqua" w:hAnsi="Book Antiqua" w:cs="Book Antiqua"/>
        </w:rPr>
        <w:t>PC</w:t>
      </w:r>
      <w:r w:rsidRPr="00A04234">
        <w:rPr>
          <w:rFonts w:ascii="Book Antiqua" w:eastAsia="Book Antiqua" w:hAnsi="Book Antiqua" w:cs="Book Antiqua"/>
        </w:rPr>
        <w:t xml:space="preserve"> by Mehta </w:t>
      </w:r>
      <w:r w:rsidRPr="00A04234">
        <w:rPr>
          <w:rFonts w:ascii="Book Antiqua" w:eastAsia="Book Antiqua" w:hAnsi="Book Antiqua" w:cs="Book Antiqua"/>
          <w:i/>
          <w:iCs/>
        </w:rPr>
        <w:t xml:space="preserve">et </w:t>
      </w:r>
      <w:proofErr w:type="gramStart"/>
      <w:r w:rsidRPr="00A04234">
        <w:rPr>
          <w:rFonts w:ascii="Book Antiqua" w:eastAsia="Book Antiqua" w:hAnsi="Book Antiqua" w:cs="Book Antiqua"/>
          <w:i/>
          <w:iCs/>
        </w:rPr>
        <w:t>al</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26]</w:t>
      </w:r>
      <w:r w:rsidRPr="00A04234">
        <w:rPr>
          <w:rFonts w:ascii="Book Antiqua" w:eastAsia="Book Antiqua" w:hAnsi="Book Antiqua" w:cs="Book Antiqua"/>
        </w:rPr>
        <w:t xml:space="preserve"> yielded 21 deregulated blood based biomarkers that appeared in at least 2 studies. The authors developed a 10 metabolite diagnostic panel from these biomarkers which was tested on plasma samples of 192 patients from four diagnostic groups: </w:t>
      </w:r>
      <w:r w:rsidR="00E81FBB" w:rsidRPr="00A04234">
        <w:rPr>
          <w:rFonts w:ascii="Book Antiqua" w:eastAsia="Book Antiqua" w:hAnsi="Book Antiqua" w:cs="Book Antiqua"/>
        </w:rPr>
        <w:t>PC</w:t>
      </w:r>
      <w:r w:rsidRPr="00A04234">
        <w:rPr>
          <w:rFonts w:ascii="Book Antiqua" w:eastAsia="Book Antiqua" w:hAnsi="Book Antiqua" w:cs="Book Antiqua"/>
        </w:rPr>
        <w:t xml:space="preserve"> (</w:t>
      </w:r>
      <w:r w:rsidRPr="00A04234">
        <w:rPr>
          <w:rFonts w:ascii="Book Antiqua" w:eastAsia="Book Antiqua" w:hAnsi="Book Antiqua" w:cs="Book Antiqua"/>
          <w:i/>
          <w:iCs/>
        </w:rPr>
        <w:t>n</w:t>
      </w:r>
      <w:r w:rsidRPr="00A04234">
        <w:rPr>
          <w:rFonts w:ascii="Book Antiqua" w:eastAsia="Book Antiqua" w:hAnsi="Book Antiqua" w:cs="Book Antiqua"/>
        </w:rPr>
        <w:t xml:space="preserve"> = 59), </w:t>
      </w:r>
      <w:r w:rsidR="00E81FBB" w:rsidRPr="00A04234">
        <w:rPr>
          <w:rFonts w:ascii="Book Antiqua" w:eastAsia="Book Antiqua" w:hAnsi="Book Antiqua" w:cs="Book Antiqua"/>
        </w:rPr>
        <w:t>NC</w:t>
      </w:r>
      <w:r w:rsidRPr="00A04234">
        <w:rPr>
          <w:rFonts w:ascii="Book Antiqua" w:eastAsia="Book Antiqua" w:hAnsi="Book Antiqua" w:cs="Book Antiqua"/>
        </w:rPr>
        <w:t xml:space="preserve"> (</w:t>
      </w:r>
      <w:r w:rsidRPr="00A04234">
        <w:rPr>
          <w:rFonts w:ascii="Book Antiqua" w:eastAsia="Book Antiqua" w:hAnsi="Book Antiqua" w:cs="Book Antiqua"/>
          <w:i/>
          <w:iCs/>
        </w:rPr>
        <w:t>n</w:t>
      </w:r>
      <w:r w:rsidRPr="00A04234">
        <w:rPr>
          <w:rFonts w:ascii="Book Antiqua" w:eastAsia="Book Antiqua" w:hAnsi="Book Antiqua" w:cs="Book Antiqua"/>
        </w:rPr>
        <w:t xml:space="preserve"> = 48), colorectal cancer (CRC, </w:t>
      </w:r>
      <w:r w:rsidRPr="00A04234">
        <w:rPr>
          <w:rFonts w:ascii="Book Antiqua" w:eastAsia="Book Antiqua" w:hAnsi="Book Antiqua" w:cs="Book Antiqua"/>
          <w:i/>
          <w:iCs/>
        </w:rPr>
        <w:t>n</w:t>
      </w:r>
      <w:r w:rsidRPr="00A04234">
        <w:rPr>
          <w:rFonts w:ascii="Book Antiqua" w:eastAsia="Book Antiqua" w:hAnsi="Book Antiqua" w:cs="Book Antiqua"/>
        </w:rPr>
        <w:t xml:space="preserve"> = 66) and type 2 diabetes mellitus (T2DM, </w:t>
      </w:r>
      <w:r w:rsidRPr="00A04234">
        <w:rPr>
          <w:rFonts w:ascii="Book Antiqua" w:eastAsia="Book Antiqua" w:hAnsi="Book Antiqua" w:cs="Book Antiqua"/>
          <w:i/>
          <w:iCs/>
        </w:rPr>
        <w:t>n</w:t>
      </w:r>
      <w:r w:rsidRPr="00A04234">
        <w:rPr>
          <w:rFonts w:ascii="Book Antiqua" w:eastAsia="Book Antiqua" w:hAnsi="Book Antiqua" w:cs="Book Antiqua"/>
        </w:rPr>
        <w:t xml:space="preserve"> = 19). The AUC of </w:t>
      </w:r>
      <w:r w:rsidR="00E81FBB" w:rsidRPr="00A04234">
        <w:rPr>
          <w:rFonts w:ascii="Book Antiqua" w:eastAsia="Book Antiqua" w:hAnsi="Book Antiqua" w:cs="Book Antiqua"/>
        </w:rPr>
        <w:t>PC</w:t>
      </w:r>
      <w:r w:rsidRPr="00A04234">
        <w:rPr>
          <w:rFonts w:ascii="Book Antiqua" w:eastAsia="Book Antiqua" w:hAnsi="Book Antiqua" w:cs="Book Antiqua"/>
        </w:rPr>
        <w:t xml:space="preserve">, T2DM and CRC </w:t>
      </w:r>
      <w:r w:rsidRPr="00A04234">
        <w:rPr>
          <w:rFonts w:ascii="Book Antiqua" w:eastAsia="Book Antiqua" w:hAnsi="Book Antiqua" w:cs="Book Antiqua"/>
          <w:i/>
          <w:iCs/>
        </w:rPr>
        <w:t>vs</w:t>
      </w:r>
      <w:r w:rsidRPr="00A04234">
        <w:rPr>
          <w:rFonts w:ascii="Book Antiqua" w:eastAsia="Book Antiqua" w:hAnsi="Book Antiqua" w:cs="Book Antiqua"/>
        </w:rPr>
        <w:t xml:space="preserve"> </w:t>
      </w:r>
      <w:r w:rsidR="00E81FBB" w:rsidRPr="00A04234">
        <w:rPr>
          <w:rFonts w:ascii="Book Antiqua" w:eastAsia="Book Antiqua" w:hAnsi="Book Antiqua" w:cs="Book Antiqua"/>
        </w:rPr>
        <w:t>NC</w:t>
      </w:r>
      <w:r w:rsidRPr="00A04234">
        <w:rPr>
          <w:rFonts w:ascii="Book Antiqua" w:eastAsia="Book Antiqua" w:hAnsi="Book Antiqua" w:cs="Book Antiqua"/>
        </w:rPr>
        <w:t xml:space="preserve"> were 0.992 (95%CI: 0.977</w:t>
      </w:r>
      <w:r w:rsidR="00E81FBB" w:rsidRPr="00A04234">
        <w:rPr>
          <w:rFonts w:ascii="Book Antiqua" w:eastAsia="Book Antiqua" w:hAnsi="Book Antiqua" w:cs="Book Antiqua"/>
        </w:rPr>
        <w:t>-</w:t>
      </w:r>
      <w:r w:rsidRPr="00A04234">
        <w:rPr>
          <w:rFonts w:ascii="Book Antiqua" w:eastAsia="Book Antiqua" w:hAnsi="Book Antiqua" w:cs="Book Antiqua"/>
        </w:rPr>
        <w:t>1), 0.957 (95%CI: 0.868</w:t>
      </w:r>
      <w:r w:rsidR="00E81FBB" w:rsidRPr="00A04234">
        <w:rPr>
          <w:rFonts w:ascii="Book Antiqua" w:eastAsia="Book Antiqua" w:hAnsi="Book Antiqua" w:cs="Book Antiqua"/>
        </w:rPr>
        <w:t>-</w:t>
      </w:r>
      <w:r w:rsidRPr="00A04234">
        <w:rPr>
          <w:rFonts w:ascii="Book Antiqua" w:eastAsia="Book Antiqua" w:hAnsi="Book Antiqua" w:cs="Book Antiqua"/>
        </w:rPr>
        <w:t>1) and 0.986 (95%CI: 0.967</w:t>
      </w:r>
      <w:r w:rsidR="00E81FBB" w:rsidRPr="00A04234">
        <w:rPr>
          <w:rFonts w:ascii="Book Antiqua" w:eastAsia="Book Antiqua" w:hAnsi="Book Antiqua" w:cs="Book Antiqua"/>
        </w:rPr>
        <w:t>-</w:t>
      </w:r>
      <w:r w:rsidRPr="00A04234">
        <w:rPr>
          <w:rFonts w:ascii="Book Antiqua" w:eastAsia="Book Antiqua" w:hAnsi="Book Antiqua" w:cs="Book Antiqua"/>
        </w:rPr>
        <w:t xml:space="preserve">1) respectively. The AUC of PC </w:t>
      </w:r>
      <w:r w:rsidRPr="00A04234">
        <w:rPr>
          <w:rFonts w:ascii="Book Antiqua" w:eastAsia="Book Antiqua" w:hAnsi="Book Antiqua" w:cs="Book Antiqua"/>
          <w:i/>
          <w:iCs/>
        </w:rPr>
        <w:t>vs</w:t>
      </w:r>
      <w:r w:rsidRPr="00A04234">
        <w:rPr>
          <w:rFonts w:ascii="Book Antiqua" w:eastAsia="Book Antiqua" w:hAnsi="Book Antiqua" w:cs="Book Antiqua"/>
        </w:rPr>
        <w:t xml:space="preserve"> CRC was only 0.653 (95%CI: 0.543</w:t>
      </w:r>
      <w:r w:rsidR="00E81FBB" w:rsidRPr="00A04234">
        <w:rPr>
          <w:rFonts w:ascii="Book Antiqua" w:eastAsia="Book Antiqua" w:hAnsi="Book Antiqua" w:cs="Book Antiqua"/>
        </w:rPr>
        <w:t>-</w:t>
      </w:r>
      <w:r w:rsidRPr="00A04234">
        <w:rPr>
          <w:rFonts w:ascii="Book Antiqua" w:eastAsia="Book Antiqua" w:hAnsi="Book Antiqua" w:cs="Book Antiqua"/>
        </w:rPr>
        <w:t xml:space="preserve">0.757), suggesting a lack of specificity of the panel between these two groups. An index </w:t>
      </w:r>
      <w:r w:rsidRPr="00A04234">
        <w:rPr>
          <w:rFonts w:ascii="Book Antiqua" w:eastAsia="Book Antiqua" w:hAnsi="Book Antiqua" w:cs="Book Antiqua"/>
        </w:rPr>
        <w:lastRenderedPageBreak/>
        <w:t>of the 10 metabolite panel showed that higher index values correlated with increased risk of malignancy, with a value of ≥</w:t>
      </w:r>
      <w:r w:rsidR="00E81FBB" w:rsidRPr="00A04234">
        <w:rPr>
          <w:rFonts w:ascii="Book Antiqua" w:eastAsia="Book Antiqua" w:hAnsi="Book Antiqua" w:cs="Book Antiqua"/>
        </w:rPr>
        <w:t xml:space="preserve"> </w:t>
      </w:r>
      <w:r w:rsidRPr="00A04234">
        <w:rPr>
          <w:rFonts w:ascii="Book Antiqua" w:eastAsia="Book Antiqua" w:hAnsi="Book Antiqua" w:cs="Book Antiqua"/>
        </w:rPr>
        <w:t xml:space="preserve">12.5 representing a 100% risk of </w:t>
      </w:r>
      <w:proofErr w:type="gramStart"/>
      <w:r w:rsidRPr="00A04234">
        <w:rPr>
          <w:rFonts w:ascii="Book Antiqua" w:eastAsia="Book Antiqua" w:hAnsi="Book Antiqua" w:cs="Book Antiqua"/>
        </w:rPr>
        <w:t>PC</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26]</w:t>
      </w:r>
      <w:r w:rsidRPr="00A04234">
        <w:rPr>
          <w:rFonts w:ascii="Book Antiqua" w:eastAsia="Book Antiqua" w:hAnsi="Book Antiqua" w:cs="Book Antiqua"/>
        </w:rPr>
        <w:t>. While the authors used the term “pancreatic cancer”, in their study, the authors manually curated the literature to ensure the comparison groups were PDAC patients and controls.</w:t>
      </w:r>
    </w:p>
    <w:p w14:paraId="2D4F1277" w14:textId="7608AAFA" w:rsidR="00A77B3E" w:rsidRPr="00A04234" w:rsidRDefault="00697E7D" w:rsidP="00391975">
      <w:pPr>
        <w:adjustRightInd w:val="0"/>
        <w:snapToGrid w:val="0"/>
        <w:spacing w:line="360" w:lineRule="auto"/>
        <w:ind w:firstLineChars="100" w:firstLine="240"/>
        <w:jc w:val="both"/>
        <w:rPr>
          <w:rFonts w:ascii="Book Antiqua" w:eastAsia="Book Antiqua" w:hAnsi="Book Antiqua" w:cs="Book Antiqua"/>
        </w:rPr>
      </w:pPr>
      <w:r w:rsidRPr="00A04234">
        <w:rPr>
          <w:rFonts w:ascii="Book Antiqua" w:eastAsia="Book Antiqua" w:hAnsi="Book Antiqua" w:cs="Book Antiqua"/>
        </w:rPr>
        <w:t>More recently, Martín-</w:t>
      </w:r>
      <w:proofErr w:type="spellStart"/>
      <w:r w:rsidRPr="00A04234">
        <w:rPr>
          <w:rFonts w:ascii="Book Antiqua" w:eastAsia="Book Antiqua" w:hAnsi="Book Antiqua" w:cs="Book Antiqua"/>
        </w:rPr>
        <w:t>Blázquez</w:t>
      </w:r>
      <w:proofErr w:type="spellEnd"/>
      <w:r w:rsidRPr="00A04234">
        <w:rPr>
          <w:rFonts w:ascii="Book Antiqua" w:eastAsia="Book Antiqua" w:hAnsi="Book Antiqua" w:cs="Book Antiqua"/>
        </w:rPr>
        <w:t xml:space="preserve"> </w:t>
      </w:r>
      <w:r w:rsidRPr="00A04234">
        <w:rPr>
          <w:rFonts w:ascii="Book Antiqua" w:eastAsia="Book Antiqua" w:hAnsi="Book Antiqua" w:cs="Book Antiqua"/>
          <w:i/>
          <w:iCs/>
        </w:rPr>
        <w:t xml:space="preserve">et </w:t>
      </w:r>
      <w:proofErr w:type="gramStart"/>
      <w:r w:rsidRPr="00A04234">
        <w:rPr>
          <w:rFonts w:ascii="Book Antiqua" w:eastAsia="Book Antiqua" w:hAnsi="Book Antiqua" w:cs="Book Antiqua"/>
          <w:i/>
          <w:iCs/>
        </w:rPr>
        <w:t>al</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27]</w:t>
      </w:r>
      <w:r w:rsidRPr="00A04234">
        <w:rPr>
          <w:rFonts w:ascii="Book Antiqua" w:eastAsia="Book Antiqua" w:hAnsi="Book Antiqua" w:cs="Book Antiqua"/>
        </w:rPr>
        <w:t xml:space="preserve"> </w:t>
      </w:r>
      <w:proofErr w:type="spellStart"/>
      <w:r w:rsidRPr="00A04234">
        <w:rPr>
          <w:rFonts w:ascii="Book Antiqua" w:eastAsia="Book Antiqua" w:hAnsi="Book Antiqua" w:cs="Book Antiqua"/>
        </w:rPr>
        <w:t>analysed</w:t>
      </w:r>
      <w:proofErr w:type="spellEnd"/>
      <w:r w:rsidRPr="00A04234">
        <w:rPr>
          <w:rFonts w:ascii="Book Antiqua" w:eastAsia="Book Antiqua" w:hAnsi="Book Antiqua" w:cs="Book Antiqua"/>
        </w:rPr>
        <w:t xml:space="preserve"> serum from unresectable PDAC patients and </w:t>
      </w:r>
      <w:r w:rsidR="00E81FBB" w:rsidRPr="00A04234">
        <w:rPr>
          <w:rFonts w:ascii="Book Antiqua" w:eastAsia="Book Antiqua" w:hAnsi="Book Antiqua" w:cs="Book Antiqua"/>
        </w:rPr>
        <w:t>NC</w:t>
      </w:r>
      <w:r w:rsidRPr="00A04234">
        <w:rPr>
          <w:rFonts w:ascii="Book Antiqua" w:eastAsia="Book Antiqua" w:hAnsi="Book Antiqua" w:cs="Book Antiqua"/>
        </w:rPr>
        <w:t xml:space="preserve"> using reverse-phase </w:t>
      </w:r>
      <w:r w:rsidR="00F043F0" w:rsidRPr="00A04234">
        <w:rPr>
          <w:rFonts w:ascii="Book Antiqua" w:eastAsia="Book Antiqua" w:hAnsi="Book Antiqua" w:cs="Book Antiqua"/>
        </w:rPr>
        <w:t xml:space="preserve">liquid chromatography </w:t>
      </w:r>
      <w:r w:rsidRPr="00A04234">
        <w:rPr>
          <w:rFonts w:ascii="Book Antiqua" w:eastAsia="Book Antiqua" w:hAnsi="Book Antiqua" w:cs="Book Antiqua"/>
        </w:rPr>
        <w:t xml:space="preserve">and high-resolution </w:t>
      </w:r>
      <w:r w:rsidR="009B0C95" w:rsidRPr="00A04234">
        <w:rPr>
          <w:rFonts w:ascii="Book Antiqua" w:eastAsia="Book Antiqua" w:hAnsi="Book Antiqua" w:cs="Book Antiqua"/>
        </w:rPr>
        <w:t>MS</w:t>
      </w:r>
      <w:r w:rsidR="00E81FBB" w:rsidRPr="00A04234">
        <w:rPr>
          <w:rFonts w:ascii="Book Antiqua" w:eastAsia="Book Antiqua" w:hAnsi="Book Antiqua" w:cs="Book Antiqua"/>
        </w:rPr>
        <w:t xml:space="preserve"> </w:t>
      </w:r>
      <w:r w:rsidRPr="00A04234">
        <w:rPr>
          <w:rFonts w:ascii="Book Antiqua" w:eastAsia="Book Antiqua" w:hAnsi="Book Antiqua" w:cs="Book Antiqua"/>
        </w:rPr>
        <w:t>to identify 86 significant metabolites. With these, the researchers proposed a model of 9 markers that discriminated PDAC from healthy controls with an AUC of 0.992 (95%CI: 0.972</w:t>
      </w:r>
      <w:r w:rsidR="00E81FBB" w:rsidRPr="00A04234">
        <w:rPr>
          <w:rFonts w:ascii="Book Antiqua" w:eastAsia="Book Antiqua" w:hAnsi="Book Antiqua" w:cs="Book Antiqua"/>
        </w:rPr>
        <w:t>-</w:t>
      </w:r>
      <w:r w:rsidRPr="00A04234">
        <w:rPr>
          <w:rFonts w:ascii="Book Antiqua" w:eastAsia="Book Antiqua" w:hAnsi="Book Antiqua" w:cs="Book Antiqua"/>
        </w:rPr>
        <w:t xml:space="preserve">1.000). </w:t>
      </w:r>
      <w:r w:rsidR="00391975" w:rsidRPr="00A04234">
        <w:rPr>
          <w:rFonts w:ascii="Book Antiqua" w:eastAsia="Book Antiqua" w:hAnsi="Book Antiqua" w:cs="Book Antiqua"/>
        </w:rPr>
        <w:t xml:space="preserve">Table 2 </w:t>
      </w:r>
      <w:proofErr w:type="spellStart"/>
      <w:r w:rsidR="00391975" w:rsidRPr="00A04234">
        <w:rPr>
          <w:rFonts w:ascii="Book Antiqua" w:eastAsia="Book Antiqua" w:hAnsi="Book Antiqua" w:cs="Book Antiqua"/>
        </w:rPr>
        <w:t>summarises</w:t>
      </w:r>
      <w:proofErr w:type="spellEnd"/>
      <w:r w:rsidR="00391975" w:rsidRPr="00A04234">
        <w:rPr>
          <w:rFonts w:ascii="Book Antiqua" w:eastAsia="Book Antiqua" w:hAnsi="Book Antiqua" w:cs="Book Antiqua"/>
        </w:rPr>
        <w:t xml:space="preserve"> these molecular subtyping studies while Figure 1 demonstrates subtypes and biomarkers by “Omics” </w:t>
      </w:r>
      <w:proofErr w:type="gramStart"/>
      <w:r w:rsidR="00391975" w:rsidRPr="00A04234">
        <w:rPr>
          <w:rFonts w:ascii="Book Antiqua" w:eastAsia="Book Antiqua" w:hAnsi="Book Antiqua" w:cs="Book Antiqua"/>
        </w:rPr>
        <w:t>level</w:t>
      </w:r>
      <w:r w:rsidR="00391975" w:rsidRPr="00A04234">
        <w:rPr>
          <w:rFonts w:ascii="Book Antiqua" w:eastAsia="宋体" w:hAnsi="Book Antiqua" w:cs="宋体"/>
          <w:vertAlign w:val="superscript"/>
          <w:lang w:eastAsia="zh-CN"/>
        </w:rPr>
        <w:t>[</w:t>
      </w:r>
      <w:proofErr w:type="gramEnd"/>
      <w:r w:rsidR="00391975" w:rsidRPr="00A04234">
        <w:rPr>
          <w:rFonts w:ascii="Book Antiqua" w:eastAsia="宋体" w:hAnsi="Book Antiqua" w:cs="宋体"/>
          <w:vertAlign w:val="superscript"/>
          <w:lang w:eastAsia="zh-CN"/>
        </w:rPr>
        <w:t>28]</w:t>
      </w:r>
      <w:r w:rsidR="00391975" w:rsidRPr="00A04234">
        <w:rPr>
          <w:rFonts w:ascii="Book Antiqua" w:eastAsia="Book Antiqua" w:hAnsi="Book Antiqua" w:cs="Book Antiqua"/>
        </w:rPr>
        <w:t>.</w:t>
      </w:r>
    </w:p>
    <w:p w14:paraId="3C21C17D" w14:textId="77777777" w:rsidR="00391975" w:rsidRPr="00A04234" w:rsidRDefault="00391975" w:rsidP="0048655F">
      <w:pPr>
        <w:adjustRightInd w:val="0"/>
        <w:snapToGrid w:val="0"/>
        <w:spacing w:line="360" w:lineRule="auto"/>
        <w:jc w:val="both"/>
        <w:rPr>
          <w:rFonts w:ascii="Book Antiqua" w:hAnsi="Book Antiqua"/>
        </w:rPr>
      </w:pPr>
    </w:p>
    <w:p w14:paraId="4D8425E3"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caps/>
          <w:u w:val="single"/>
        </w:rPr>
        <w:t>CONCLUSION</w:t>
      </w:r>
    </w:p>
    <w:p w14:paraId="61AE5A51" w14:textId="1D3725AB" w:rsidR="00A77B3E" w:rsidRPr="00A04234" w:rsidRDefault="00697E7D" w:rsidP="0048655F">
      <w:pPr>
        <w:adjustRightInd w:val="0"/>
        <w:snapToGrid w:val="0"/>
        <w:spacing w:line="360" w:lineRule="auto"/>
        <w:jc w:val="both"/>
        <w:rPr>
          <w:rFonts w:ascii="Book Antiqua" w:hAnsi="Book Antiqua"/>
          <w:b/>
          <w:bCs/>
          <w:i/>
          <w:iCs/>
        </w:rPr>
      </w:pPr>
      <w:r w:rsidRPr="00A04234">
        <w:rPr>
          <w:rFonts w:ascii="Book Antiqua" w:eastAsia="Book Antiqua" w:hAnsi="Book Antiqua" w:cs="Book Antiqua"/>
          <w:b/>
          <w:bCs/>
          <w:i/>
          <w:iCs/>
        </w:rPr>
        <w:t>Closin</w:t>
      </w:r>
      <w:r w:rsidR="00E81FBB" w:rsidRPr="00A04234">
        <w:rPr>
          <w:rFonts w:ascii="Book Antiqua" w:eastAsia="Book Antiqua" w:hAnsi="Book Antiqua" w:cs="Book Antiqua"/>
          <w:b/>
          <w:bCs/>
          <w:i/>
          <w:iCs/>
        </w:rPr>
        <w:t>g thoughts and future considera</w:t>
      </w:r>
      <w:r w:rsidRPr="00A04234">
        <w:rPr>
          <w:rFonts w:ascii="Book Antiqua" w:eastAsia="Book Antiqua" w:hAnsi="Book Antiqua" w:cs="Book Antiqua"/>
          <w:b/>
          <w:bCs/>
          <w:i/>
          <w:iCs/>
        </w:rPr>
        <w:t>tions</w:t>
      </w:r>
    </w:p>
    <w:p w14:paraId="3BDE350B" w14:textId="43A1F353"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“Omics” technologies have allowed mining of massive amounts of data, giving new insights into the complex, heterogeneous nature of </w:t>
      </w:r>
      <w:r w:rsidR="009B0C95" w:rsidRPr="00A04234">
        <w:rPr>
          <w:rFonts w:ascii="Book Antiqua" w:eastAsia="Book Antiqua" w:hAnsi="Book Antiqua" w:cs="Book Antiqua"/>
        </w:rPr>
        <w:t>PDAC</w:t>
      </w:r>
      <w:r w:rsidRPr="00A04234">
        <w:rPr>
          <w:rFonts w:ascii="Book Antiqua" w:eastAsia="Book Antiqua" w:hAnsi="Book Antiqua" w:cs="Book Antiqua"/>
        </w:rPr>
        <w:t xml:space="preserve">. As described above, many studies have been done to describe molecular classifications and potential biomarkers, but none of these have yet been translated into clinical </w:t>
      </w:r>
      <w:proofErr w:type="gramStart"/>
      <w:r w:rsidRPr="00A04234">
        <w:rPr>
          <w:rFonts w:ascii="Book Antiqua" w:eastAsia="Book Antiqua" w:hAnsi="Book Antiqua" w:cs="Book Antiqua"/>
        </w:rPr>
        <w:t>practice</w:t>
      </w:r>
      <w:r w:rsidR="00682E19" w:rsidRPr="00A04234">
        <w:rPr>
          <w:rFonts w:ascii="Book Antiqua" w:eastAsia="Book Antiqua" w:hAnsi="Book Antiqua" w:cs="Book Antiqua"/>
          <w:vertAlign w:val="superscript"/>
        </w:rPr>
        <w:t>[</w:t>
      </w:r>
      <w:proofErr w:type="gramEnd"/>
      <w:r w:rsidR="00682E19" w:rsidRPr="00A04234">
        <w:rPr>
          <w:rFonts w:ascii="Book Antiqua" w:eastAsia="Book Antiqua" w:hAnsi="Book Antiqua" w:cs="Book Antiqua"/>
          <w:vertAlign w:val="superscript"/>
        </w:rPr>
        <w:t>28]</w:t>
      </w:r>
      <w:r w:rsidRPr="00A04234">
        <w:rPr>
          <w:rFonts w:ascii="Book Antiqua" w:eastAsia="Book Antiqua" w:hAnsi="Book Antiqua" w:cs="Book Antiqua"/>
        </w:rPr>
        <w:t xml:space="preserve">. Several trials, as reviewed by Du </w:t>
      </w:r>
      <w:r w:rsidRPr="00A04234">
        <w:rPr>
          <w:rFonts w:ascii="Book Antiqua" w:eastAsia="Book Antiqua" w:hAnsi="Book Antiqua" w:cs="Book Antiqua"/>
          <w:i/>
          <w:iCs/>
        </w:rPr>
        <w:t xml:space="preserve">et </w:t>
      </w:r>
      <w:proofErr w:type="gramStart"/>
      <w:r w:rsidRPr="00A04234">
        <w:rPr>
          <w:rFonts w:ascii="Book Antiqua" w:eastAsia="Book Antiqua" w:hAnsi="Book Antiqua" w:cs="Book Antiqua"/>
          <w:i/>
          <w:iCs/>
        </w:rPr>
        <w:t>al</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29]</w:t>
      </w:r>
      <w:r w:rsidRPr="00A04234">
        <w:rPr>
          <w:rFonts w:ascii="Book Antiqua" w:eastAsia="Book Antiqua" w:hAnsi="Book Antiqua" w:cs="Book Antiqua"/>
        </w:rPr>
        <w:t xml:space="preserve">, faced difficulties in sample procurement, low quality of samples and waiting time for sample analysis leading to patient deterioration or withdrawal. The authors suggest a multi-disciplinary approach with specialist input in sample acquisition in designated </w:t>
      </w:r>
      <w:proofErr w:type="spellStart"/>
      <w:r w:rsidRPr="00A04234">
        <w:rPr>
          <w:rFonts w:ascii="Book Antiqua" w:eastAsia="Book Antiqua" w:hAnsi="Book Antiqua" w:cs="Book Antiqua"/>
        </w:rPr>
        <w:t>centres</w:t>
      </w:r>
      <w:proofErr w:type="spellEnd"/>
      <w:r w:rsidRPr="00A04234">
        <w:rPr>
          <w:rFonts w:ascii="Book Antiqua" w:eastAsia="Book Antiqua" w:hAnsi="Book Antiqua" w:cs="Book Antiqua"/>
        </w:rPr>
        <w:t xml:space="preserve"> with high levels of experience. Issues regarding the technology should improve as these become more accessible to the clinical setting. Indeed, these difficulties were echoed by lessons learnt from the </w:t>
      </w:r>
      <w:r w:rsidR="00F043F0" w:rsidRPr="00A04234">
        <w:rPr>
          <w:rFonts w:ascii="Book Antiqua" w:eastAsia="Book Antiqua" w:hAnsi="Book Antiqua" w:cs="Book Antiqua"/>
        </w:rPr>
        <w:t>Individualized Molecular Pancreatic Cancer Therapy</w:t>
      </w:r>
      <w:r w:rsidRPr="00A04234">
        <w:rPr>
          <w:rFonts w:ascii="Book Antiqua" w:eastAsia="Book Antiqua" w:hAnsi="Book Antiqua" w:cs="Book Antiqua"/>
        </w:rPr>
        <w:t xml:space="preserve"> trial, a study that aimed to match patients with recurrent or metastatic </w:t>
      </w:r>
      <w:r w:rsidR="009B0C95" w:rsidRPr="00A04234">
        <w:rPr>
          <w:rFonts w:ascii="Book Antiqua" w:eastAsia="Book Antiqua" w:hAnsi="Book Antiqua" w:cs="Book Antiqua"/>
        </w:rPr>
        <w:t>PDAC</w:t>
      </w:r>
      <w:r w:rsidRPr="00A04234">
        <w:rPr>
          <w:rFonts w:ascii="Book Antiqua" w:eastAsia="Book Antiqua" w:hAnsi="Book Antiqua" w:cs="Book Antiqua"/>
        </w:rPr>
        <w:t xml:space="preserve"> to treatment based on genomic </w:t>
      </w:r>
      <w:proofErr w:type="gramStart"/>
      <w:r w:rsidRPr="00A04234">
        <w:rPr>
          <w:rFonts w:ascii="Book Antiqua" w:eastAsia="Book Antiqua" w:hAnsi="Book Antiqua" w:cs="Book Antiqua"/>
        </w:rPr>
        <w:t>data</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30]</w:t>
      </w:r>
      <w:r w:rsidRPr="00A04234">
        <w:rPr>
          <w:rFonts w:ascii="Book Antiqua" w:eastAsia="Book Antiqua" w:hAnsi="Book Antiqua" w:cs="Book Antiqua"/>
        </w:rPr>
        <w:t xml:space="preserve">. Unfortunately, no patients were able to be enrolled into the study largely due to the quick progression of PDAC and due to inadequate numbers meeting the eligibility criteria. The investigators described four criteria that would need to be met for such a study to take place: </w:t>
      </w:r>
      <w:r w:rsidR="00E81FBB" w:rsidRPr="00A04234">
        <w:rPr>
          <w:rFonts w:ascii="Book Antiqua" w:eastAsia="Book Antiqua" w:hAnsi="Book Antiqua" w:cs="Book Antiqua"/>
        </w:rPr>
        <w:t>(</w:t>
      </w:r>
      <w:r w:rsidRPr="00A04234">
        <w:rPr>
          <w:rFonts w:ascii="Book Antiqua" w:eastAsia="Book Antiqua" w:hAnsi="Book Antiqua" w:cs="Book Antiqua"/>
        </w:rPr>
        <w:t xml:space="preserve">1) </w:t>
      </w:r>
      <w:r w:rsidR="00E81FBB" w:rsidRPr="00A04234">
        <w:rPr>
          <w:rFonts w:ascii="Book Antiqua" w:eastAsia="Book Antiqua" w:hAnsi="Book Antiqua" w:cs="Book Antiqua"/>
        </w:rPr>
        <w:t>S</w:t>
      </w:r>
      <w:r w:rsidRPr="00A04234">
        <w:rPr>
          <w:rFonts w:ascii="Book Antiqua" w:eastAsia="Book Antiqua" w:hAnsi="Book Antiqua" w:cs="Book Antiqua"/>
        </w:rPr>
        <w:t>creening of a sufficient number of patients</w:t>
      </w:r>
      <w:r w:rsidR="00E81FBB" w:rsidRPr="00A04234">
        <w:rPr>
          <w:rFonts w:ascii="Book Antiqua" w:eastAsia="Book Antiqua" w:hAnsi="Book Antiqua" w:cs="Book Antiqua"/>
        </w:rPr>
        <w:t>;</w:t>
      </w:r>
      <w:r w:rsidRPr="00A04234">
        <w:rPr>
          <w:rFonts w:ascii="Book Antiqua" w:eastAsia="Book Antiqua" w:hAnsi="Book Antiqua" w:cs="Book Antiqua"/>
        </w:rPr>
        <w:t xml:space="preserve"> </w:t>
      </w:r>
      <w:r w:rsidR="00E81FBB" w:rsidRPr="00A04234">
        <w:rPr>
          <w:rFonts w:ascii="Book Antiqua" w:eastAsia="Book Antiqua" w:hAnsi="Book Antiqua" w:cs="Book Antiqua"/>
        </w:rPr>
        <w:t>(</w:t>
      </w:r>
      <w:r w:rsidRPr="00A04234">
        <w:rPr>
          <w:rFonts w:ascii="Book Antiqua" w:eastAsia="Book Antiqua" w:hAnsi="Book Antiqua" w:cs="Book Antiqua"/>
        </w:rPr>
        <w:t xml:space="preserve">2) </w:t>
      </w:r>
      <w:r w:rsidR="00E81FBB" w:rsidRPr="00A04234">
        <w:rPr>
          <w:rFonts w:ascii="Book Antiqua" w:eastAsia="Book Antiqua" w:hAnsi="Book Antiqua" w:cs="Book Antiqua"/>
        </w:rPr>
        <w:t>T</w:t>
      </w:r>
      <w:r w:rsidRPr="00A04234">
        <w:rPr>
          <w:rFonts w:ascii="Book Antiqua" w:eastAsia="Book Antiqua" w:hAnsi="Book Antiqua" w:cs="Book Antiqua"/>
        </w:rPr>
        <w:t xml:space="preserve">imely </w:t>
      </w:r>
      <w:r w:rsidRPr="00A04234">
        <w:rPr>
          <w:rFonts w:ascii="Book Antiqua" w:eastAsia="Book Antiqua" w:hAnsi="Book Antiqua" w:cs="Book Antiqua"/>
        </w:rPr>
        <w:lastRenderedPageBreak/>
        <w:t xml:space="preserve">acquisition of </w:t>
      </w:r>
      <w:proofErr w:type="spellStart"/>
      <w:r w:rsidRPr="00A04234">
        <w:rPr>
          <w:rFonts w:ascii="Book Antiqua" w:eastAsia="Book Antiqua" w:hAnsi="Book Antiqua" w:cs="Book Antiqua"/>
        </w:rPr>
        <w:t>tumour</w:t>
      </w:r>
      <w:proofErr w:type="spellEnd"/>
      <w:r w:rsidRPr="00A04234">
        <w:rPr>
          <w:rFonts w:ascii="Book Antiqua" w:eastAsia="Book Antiqua" w:hAnsi="Book Antiqua" w:cs="Book Antiqua"/>
        </w:rPr>
        <w:t xml:space="preserve"> material for analysis</w:t>
      </w:r>
      <w:r w:rsidR="00E81FBB" w:rsidRPr="00A04234">
        <w:rPr>
          <w:rFonts w:ascii="Book Antiqua" w:eastAsia="Book Antiqua" w:hAnsi="Book Antiqua" w:cs="Book Antiqua"/>
        </w:rPr>
        <w:t>;</w:t>
      </w:r>
      <w:r w:rsidRPr="00A04234">
        <w:rPr>
          <w:rFonts w:ascii="Book Antiqua" w:eastAsia="Book Antiqua" w:hAnsi="Book Antiqua" w:cs="Book Antiqua"/>
        </w:rPr>
        <w:t xml:space="preserve"> </w:t>
      </w:r>
      <w:r w:rsidR="00E81FBB" w:rsidRPr="00A04234">
        <w:rPr>
          <w:rFonts w:ascii="Book Antiqua" w:eastAsia="Book Antiqua" w:hAnsi="Book Antiqua" w:cs="Book Antiqua"/>
        </w:rPr>
        <w:t>(</w:t>
      </w:r>
      <w:r w:rsidRPr="00A04234">
        <w:rPr>
          <w:rFonts w:ascii="Book Antiqua" w:eastAsia="Book Antiqua" w:hAnsi="Book Antiqua" w:cs="Book Antiqua"/>
        </w:rPr>
        <w:t xml:space="preserve">3) </w:t>
      </w:r>
      <w:r w:rsidR="00E81FBB" w:rsidRPr="00A04234">
        <w:rPr>
          <w:rFonts w:ascii="Book Antiqua" w:eastAsia="Book Antiqua" w:hAnsi="Book Antiqua" w:cs="Book Antiqua"/>
        </w:rPr>
        <w:t>Q</w:t>
      </w:r>
      <w:r w:rsidRPr="00A04234">
        <w:rPr>
          <w:rFonts w:ascii="Book Antiqua" w:eastAsia="Book Antiqua" w:hAnsi="Book Antiqua" w:cs="Book Antiqua"/>
        </w:rPr>
        <w:t>uick turnaround time of usable data</w:t>
      </w:r>
      <w:r w:rsidR="00E81FBB" w:rsidRPr="00A04234">
        <w:rPr>
          <w:rFonts w:ascii="Book Antiqua" w:eastAsia="Book Antiqua" w:hAnsi="Book Antiqua" w:cs="Book Antiqua"/>
        </w:rPr>
        <w:t>;</w:t>
      </w:r>
      <w:r w:rsidRPr="00A04234">
        <w:rPr>
          <w:rFonts w:ascii="Book Antiqua" w:eastAsia="Book Antiqua" w:hAnsi="Book Antiqua" w:cs="Book Antiqua"/>
        </w:rPr>
        <w:t xml:space="preserve"> and </w:t>
      </w:r>
      <w:r w:rsidR="00E81FBB" w:rsidRPr="00A04234">
        <w:rPr>
          <w:rFonts w:ascii="Book Antiqua" w:eastAsia="Book Antiqua" w:hAnsi="Book Antiqua" w:cs="Book Antiqua"/>
        </w:rPr>
        <w:t>(</w:t>
      </w:r>
      <w:r w:rsidRPr="00A04234">
        <w:rPr>
          <w:rFonts w:ascii="Book Antiqua" w:eastAsia="Book Antiqua" w:hAnsi="Book Antiqua" w:cs="Book Antiqua"/>
        </w:rPr>
        <w:t xml:space="preserve">4) </w:t>
      </w:r>
      <w:r w:rsidR="00E81FBB" w:rsidRPr="00A04234">
        <w:rPr>
          <w:rFonts w:ascii="Book Antiqua" w:eastAsia="Book Antiqua" w:hAnsi="Book Antiqua" w:cs="Book Antiqua"/>
        </w:rPr>
        <w:t>E</w:t>
      </w:r>
      <w:r w:rsidRPr="00A04234">
        <w:rPr>
          <w:rFonts w:ascii="Book Antiqua" w:eastAsia="Book Antiqua" w:hAnsi="Book Antiqua" w:cs="Book Antiqua"/>
        </w:rPr>
        <w:t xml:space="preserve">ffective treatments or clinical trials for </w:t>
      </w:r>
      <w:proofErr w:type="gramStart"/>
      <w:r w:rsidRPr="00A04234">
        <w:rPr>
          <w:rFonts w:ascii="Book Antiqua" w:eastAsia="Book Antiqua" w:hAnsi="Book Antiqua" w:cs="Book Antiqua"/>
        </w:rPr>
        <w:t>enrollment</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30]</w:t>
      </w:r>
      <w:r w:rsidRPr="00A04234">
        <w:rPr>
          <w:rFonts w:ascii="Book Antiqua" w:eastAsia="Book Antiqua" w:hAnsi="Book Antiqua" w:cs="Book Antiqua"/>
        </w:rPr>
        <w:t xml:space="preserve">. Currently, there is an exciting initiative by </w:t>
      </w:r>
      <w:proofErr w:type="spellStart"/>
      <w:r w:rsidRPr="00A04234">
        <w:rPr>
          <w:rFonts w:ascii="Book Antiqua" w:eastAsia="Book Antiqua" w:hAnsi="Book Antiqua" w:cs="Book Antiqua"/>
        </w:rPr>
        <w:t>PrecisionPanc</w:t>
      </w:r>
      <w:proofErr w:type="spellEnd"/>
      <w:r w:rsidRPr="00A04234">
        <w:rPr>
          <w:rFonts w:ascii="Book Antiqua" w:eastAsia="Book Antiqua" w:hAnsi="Book Antiqua" w:cs="Book Antiqua"/>
        </w:rPr>
        <w:t xml:space="preserve"> in the </w:t>
      </w:r>
      <w:r w:rsidR="00E81FBB" w:rsidRPr="00A04234">
        <w:rPr>
          <w:rFonts w:ascii="Book Antiqua" w:eastAsia="Book Antiqua" w:hAnsi="Book Antiqua" w:cs="Book Antiqua"/>
        </w:rPr>
        <w:t>United Kingdom</w:t>
      </w:r>
      <w:r w:rsidRPr="00A04234">
        <w:rPr>
          <w:rFonts w:ascii="Book Antiqua" w:eastAsia="Book Antiqua" w:hAnsi="Book Antiqua" w:cs="Book Antiqua"/>
        </w:rPr>
        <w:t xml:space="preserve">, where through a “Master Protocol”, patients suspected or diagnosed with </w:t>
      </w:r>
      <w:r w:rsidR="009B0C95" w:rsidRPr="00A04234">
        <w:rPr>
          <w:rFonts w:ascii="Book Antiqua" w:eastAsia="Book Antiqua" w:hAnsi="Book Antiqua" w:cs="Book Antiqua"/>
        </w:rPr>
        <w:t>PDAC</w:t>
      </w:r>
      <w:r w:rsidRPr="00A04234">
        <w:rPr>
          <w:rFonts w:ascii="Book Antiqua" w:eastAsia="Book Antiqua" w:hAnsi="Book Antiqua" w:cs="Book Antiqua"/>
        </w:rPr>
        <w:t xml:space="preserve"> will undergo prospective molecular profiling to guide enrollment into one of their five PRIMUS </w:t>
      </w:r>
      <w:proofErr w:type="gramStart"/>
      <w:r w:rsidRPr="00A04234">
        <w:rPr>
          <w:rFonts w:ascii="Book Antiqua" w:eastAsia="Book Antiqua" w:hAnsi="Book Antiqua" w:cs="Book Antiqua"/>
        </w:rPr>
        <w:t>trials</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31]</w:t>
      </w:r>
      <w:r w:rsidRPr="00A04234">
        <w:rPr>
          <w:rFonts w:ascii="Book Antiqua" w:eastAsia="Book Antiqua" w:hAnsi="Book Antiqua" w:cs="Book Antiqua"/>
        </w:rPr>
        <w:t>.</w:t>
      </w:r>
    </w:p>
    <w:p w14:paraId="30A71A9F" w14:textId="7F0739ED" w:rsidR="00A77B3E" w:rsidRPr="00A04234" w:rsidRDefault="00697E7D" w:rsidP="0048655F">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t xml:space="preserve">Additionally, many of these studies are largely comparative, most of them describing the difference in data between disease and normal states. Few studies have correlated their findings with upstream/downstream “omics” data and so there is an obvious need for integrated analysis of multiple “omics” levels. An example of integrated analysis is seen in the study by The Cancer Genome Atlas Research Network, who performed genomic, transcriptomic and proteomic analysis of 150 PDAC specimens using whole-exon sequencing, DNA methylation assays, RNA sequencing and reverse phase protein </w:t>
      </w:r>
      <w:proofErr w:type="gramStart"/>
      <w:r w:rsidRPr="00A04234">
        <w:rPr>
          <w:rFonts w:ascii="Book Antiqua" w:eastAsia="Book Antiqua" w:hAnsi="Book Antiqua" w:cs="Book Antiqua"/>
        </w:rPr>
        <w:t>arrays</w:t>
      </w:r>
      <w:r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32]</w:t>
      </w:r>
      <w:r w:rsidRPr="00A04234">
        <w:rPr>
          <w:rFonts w:ascii="Book Antiqua" w:eastAsia="Book Antiqua" w:hAnsi="Book Antiqua" w:cs="Book Antiqua"/>
        </w:rPr>
        <w:t>. The authors described molecular profiles along each of these “</w:t>
      </w:r>
      <w:proofErr w:type="spellStart"/>
      <w:r w:rsidRPr="00A04234">
        <w:rPr>
          <w:rFonts w:ascii="Book Antiqua" w:eastAsia="Book Antiqua" w:hAnsi="Book Antiqua" w:cs="Book Antiqua"/>
        </w:rPr>
        <w:t>omic</w:t>
      </w:r>
      <w:proofErr w:type="spellEnd"/>
      <w:r w:rsidRPr="00A04234">
        <w:rPr>
          <w:rFonts w:ascii="Book Antiqua" w:eastAsia="Book Antiqua" w:hAnsi="Book Antiqua" w:cs="Book Antiqua"/>
        </w:rPr>
        <w:t xml:space="preserve">” levels, potential subtypes along transcriptomic and proteomic lines, potential therapeutic targets and through integrated analysis were able to describe some of the interplay between these levels, giving further insight into the complexity of </w:t>
      </w:r>
      <w:r w:rsidR="009B0C95" w:rsidRPr="00A04234">
        <w:rPr>
          <w:rFonts w:ascii="Book Antiqua" w:eastAsia="Book Antiqua" w:hAnsi="Book Antiqua" w:cs="Book Antiqua"/>
        </w:rPr>
        <w:t>PDAC</w:t>
      </w:r>
      <w:r w:rsidRPr="00A04234">
        <w:rPr>
          <w:rFonts w:ascii="Book Antiqua" w:eastAsia="Book Antiqua" w:hAnsi="Book Antiqua" w:cs="Book Antiqua"/>
        </w:rPr>
        <w:t xml:space="preserve">. Another example is the study by </w:t>
      </w:r>
      <w:proofErr w:type="spellStart"/>
      <w:r w:rsidRPr="00A04234">
        <w:rPr>
          <w:rFonts w:ascii="Book Antiqua" w:eastAsia="Book Antiqua" w:hAnsi="Book Antiqua" w:cs="Book Antiqua"/>
        </w:rPr>
        <w:t>Follia</w:t>
      </w:r>
      <w:proofErr w:type="spellEnd"/>
      <w:r w:rsidRPr="00A04234">
        <w:rPr>
          <w:rFonts w:ascii="Book Antiqua" w:eastAsia="Book Antiqua" w:hAnsi="Book Antiqua" w:cs="Book Antiqua"/>
        </w:rPr>
        <w:t xml:space="preserve"> </w:t>
      </w:r>
      <w:r w:rsidRPr="00A04234">
        <w:rPr>
          <w:rFonts w:ascii="Book Antiqua" w:eastAsia="Book Antiqua" w:hAnsi="Book Antiqua" w:cs="Book Antiqua"/>
          <w:i/>
          <w:iCs/>
        </w:rPr>
        <w:t>et al</w:t>
      </w:r>
      <w:r w:rsidRPr="00A04234">
        <w:rPr>
          <w:rFonts w:ascii="Book Antiqua" w:eastAsia="Book Antiqua" w:hAnsi="Book Antiqua" w:cs="Book Antiqua"/>
          <w:vertAlign w:val="superscript"/>
        </w:rPr>
        <w:t>[33]</w:t>
      </w:r>
      <w:r w:rsidRPr="00A04234">
        <w:rPr>
          <w:rFonts w:ascii="Book Antiqua" w:eastAsia="Book Antiqua" w:hAnsi="Book Antiqua" w:cs="Book Antiqua"/>
        </w:rPr>
        <w:t xml:space="preserve"> who used genomic and transcriptomic data to describe four metabolic subtypes of PDAC (2 glycolytic and 2 non-glycolytic) which they correlated with the subtypes described by Daemen </w:t>
      </w:r>
      <w:r w:rsidRPr="00A04234">
        <w:rPr>
          <w:rFonts w:ascii="Book Antiqua" w:eastAsia="Book Antiqua" w:hAnsi="Book Antiqua" w:cs="Book Antiqua"/>
          <w:i/>
          <w:iCs/>
        </w:rPr>
        <w:t>et al</w:t>
      </w:r>
      <w:r w:rsidRPr="00A04234">
        <w:rPr>
          <w:rFonts w:ascii="Book Antiqua" w:eastAsia="Book Antiqua" w:hAnsi="Book Antiqua" w:cs="Book Antiqua"/>
          <w:vertAlign w:val="superscript"/>
        </w:rPr>
        <w:t>[16]</w:t>
      </w:r>
      <w:r w:rsidRPr="00A04234">
        <w:rPr>
          <w:rFonts w:ascii="Book Antiqua" w:eastAsia="Book Antiqua" w:hAnsi="Book Antiqua" w:cs="Book Antiqua"/>
        </w:rPr>
        <w:t>.</w:t>
      </w:r>
    </w:p>
    <w:p w14:paraId="15B51377" w14:textId="3EAC52AC" w:rsidR="00A77B3E" w:rsidRPr="00A04234" w:rsidRDefault="00697E7D" w:rsidP="0048655F">
      <w:pPr>
        <w:adjustRightInd w:val="0"/>
        <w:snapToGrid w:val="0"/>
        <w:spacing w:line="360" w:lineRule="auto"/>
        <w:ind w:firstLineChars="100" w:firstLine="240"/>
        <w:jc w:val="both"/>
        <w:rPr>
          <w:rFonts w:ascii="Book Antiqua" w:hAnsi="Book Antiqua"/>
        </w:rPr>
      </w:pPr>
      <w:r w:rsidRPr="00A04234">
        <w:rPr>
          <w:rFonts w:ascii="Book Antiqua" w:eastAsia="Book Antiqua" w:hAnsi="Book Antiqua" w:cs="Book Antiqua"/>
        </w:rPr>
        <w:t xml:space="preserve">Finally, with such high throughput technologies being used, cancer research is moving into the realm of “big data”. “Wide” data sets (where the number of variables exceed the number of subjects) such as those produced by “omics'' technologies are better </w:t>
      </w:r>
      <w:proofErr w:type="spellStart"/>
      <w:r w:rsidRPr="00A04234">
        <w:rPr>
          <w:rFonts w:ascii="Book Antiqua" w:eastAsia="Book Antiqua" w:hAnsi="Book Antiqua" w:cs="Book Antiqua"/>
        </w:rPr>
        <w:t>analysed</w:t>
      </w:r>
      <w:proofErr w:type="spellEnd"/>
      <w:r w:rsidRPr="00A04234">
        <w:rPr>
          <w:rFonts w:ascii="Book Antiqua" w:eastAsia="Book Antiqua" w:hAnsi="Book Antiqua" w:cs="Book Antiqua"/>
        </w:rPr>
        <w:t xml:space="preserve"> through machine learning/artificial intelligence than traditional statistical </w:t>
      </w:r>
      <w:proofErr w:type="gramStart"/>
      <w:r w:rsidRPr="00A04234">
        <w:rPr>
          <w:rFonts w:ascii="Book Antiqua" w:eastAsia="Book Antiqua" w:hAnsi="Book Antiqua" w:cs="Book Antiqua"/>
        </w:rPr>
        <w:t>analysis</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34]</w:t>
      </w:r>
      <w:r w:rsidRPr="00A04234">
        <w:rPr>
          <w:rFonts w:ascii="Book Antiqua" w:eastAsia="Book Antiqua" w:hAnsi="Book Antiqua" w:cs="Book Antiqua"/>
        </w:rPr>
        <w:t xml:space="preserve">. Over the past few years, many studies have been done using machine learning methods for molecular subtyping and biomarker discovery in other types of malignancies, simultaneously using data from multiple “omics” levels and there is great potential for machine learning and artificial intelligence applications in PDAC </w:t>
      </w:r>
      <w:proofErr w:type="gramStart"/>
      <w:r w:rsidRPr="00A04234">
        <w:rPr>
          <w:rFonts w:ascii="Book Antiqua" w:eastAsia="Book Antiqua" w:hAnsi="Book Antiqua" w:cs="Book Antiqua"/>
        </w:rPr>
        <w:t>research</w:t>
      </w:r>
      <w:r w:rsidR="009B0C95" w:rsidRPr="00A04234">
        <w:rPr>
          <w:rFonts w:ascii="Book Antiqua" w:eastAsia="Book Antiqua" w:hAnsi="Book Antiqua" w:cs="Book Antiqua"/>
          <w:vertAlign w:val="superscript"/>
        </w:rPr>
        <w:t>[</w:t>
      </w:r>
      <w:proofErr w:type="gramEnd"/>
      <w:r w:rsidRPr="00A04234">
        <w:rPr>
          <w:rFonts w:ascii="Book Antiqua" w:eastAsia="Book Antiqua" w:hAnsi="Book Antiqua" w:cs="Book Antiqua"/>
          <w:vertAlign w:val="superscript"/>
        </w:rPr>
        <w:t>35]</w:t>
      </w:r>
      <w:r w:rsidRPr="00A04234">
        <w:rPr>
          <w:rFonts w:ascii="Book Antiqua" w:eastAsia="Book Antiqua" w:hAnsi="Book Antiqua" w:cs="Book Antiqua"/>
        </w:rPr>
        <w:t>.</w:t>
      </w:r>
    </w:p>
    <w:p w14:paraId="5EB87D91" w14:textId="77777777" w:rsidR="00A77B3E" w:rsidRPr="00A04234" w:rsidRDefault="00A77B3E" w:rsidP="0048655F">
      <w:pPr>
        <w:adjustRightInd w:val="0"/>
        <w:snapToGrid w:val="0"/>
        <w:spacing w:line="360" w:lineRule="auto"/>
        <w:jc w:val="both"/>
        <w:rPr>
          <w:rFonts w:ascii="Book Antiqua" w:hAnsi="Book Antiqua"/>
        </w:rPr>
      </w:pPr>
    </w:p>
    <w:p w14:paraId="66B60C80"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rPr>
        <w:lastRenderedPageBreak/>
        <w:t>REFERENCES</w:t>
      </w:r>
    </w:p>
    <w:p w14:paraId="710A68C2"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1 </w:t>
      </w:r>
      <w:proofErr w:type="spellStart"/>
      <w:r w:rsidRPr="00A04234">
        <w:rPr>
          <w:rFonts w:ascii="Book Antiqua" w:eastAsia="Book Antiqua" w:hAnsi="Book Antiqua" w:cs="Book Antiqua"/>
          <w:b/>
          <w:bCs/>
        </w:rPr>
        <w:t>Rawla</w:t>
      </w:r>
      <w:proofErr w:type="spellEnd"/>
      <w:r w:rsidRPr="00A04234">
        <w:rPr>
          <w:rFonts w:ascii="Book Antiqua" w:eastAsia="Book Antiqua" w:hAnsi="Book Antiqua" w:cs="Book Antiqua"/>
          <w:b/>
          <w:bCs/>
        </w:rPr>
        <w:t xml:space="preserve"> P</w:t>
      </w:r>
      <w:r w:rsidRPr="00A04234">
        <w:rPr>
          <w:rFonts w:ascii="Book Antiqua" w:eastAsia="Book Antiqua" w:hAnsi="Book Antiqua" w:cs="Book Antiqua"/>
        </w:rPr>
        <w:t xml:space="preserve">, </w:t>
      </w:r>
      <w:proofErr w:type="spellStart"/>
      <w:r w:rsidRPr="00A04234">
        <w:rPr>
          <w:rFonts w:ascii="Book Antiqua" w:eastAsia="Book Antiqua" w:hAnsi="Book Antiqua" w:cs="Book Antiqua"/>
        </w:rPr>
        <w:t>Sunkara</w:t>
      </w:r>
      <w:proofErr w:type="spellEnd"/>
      <w:r w:rsidRPr="00A04234">
        <w:rPr>
          <w:rFonts w:ascii="Book Antiqua" w:eastAsia="Book Antiqua" w:hAnsi="Book Antiqua" w:cs="Book Antiqua"/>
        </w:rPr>
        <w:t xml:space="preserve"> T, </w:t>
      </w:r>
      <w:proofErr w:type="spellStart"/>
      <w:r w:rsidRPr="00A04234">
        <w:rPr>
          <w:rFonts w:ascii="Book Antiqua" w:eastAsia="Book Antiqua" w:hAnsi="Book Antiqua" w:cs="Book Antiqua"/>
        </w:rPr>
        <w:t>Gaduputi</w:t>
      </w:r>
      <w:proofErr w:type="spellEnd"/>
      <w:r w:rsidRPr="00A04234">
        <w:rPr>
          <w:rFonts w:ascii="Book Antiqua" w:eastAsia="Book Antiqua" w:hAnsi="Book Antiqua" w:cs="Book Antiqua"/>
        </w:rPr>
        <w:t xml:space="preserve"> V. Epidemiology of Pancreatic Cancer: Global Trends, Etiology and Risk Factors. </w:t>
      </w:r>
      <w:r w:rsidRPr="00A04234">
        <w:rPr>
          <w:rFonts w:ascii="Book Antiqua" w:eastAsia="Book Antiqua" w:hAnsi="Book Antiqua" w:cs="Book Antiqua"/>
          <w:i/>
          <w:iCs/>
        </w:rPr>
        <w:t>World J Oncol</w:t>
      </w:r>
      <w:r w:rsidRPr="00A04234">
        <w:rPr>
          <w:rFonts w:ascii="Book Antiqua" w:eastAsia="Book Antiqua" w:hAnsi="Book Antiqua" w:cs="Book Antiqua"/>
        </w:rPr>
        <w:t xml:space="preserve"> 2019; </w:t>
      </w:r>
      <w:r w:rsidRPr="00A04234">
        <w:rPr>
          <w:rFonts w:ascii="Book Antiqua" w:eastAsia="Book Antiqua" w:hAnsi="Book Antiqua" w:cs="Book Antiqua"/>
          <w:b/>
          <w:bCs/>
        </w:rPr>
        <w:t>10</w:t>
      </w:r>
      <w:r w:rsidRPr="00A04234">
        <w:rPr>
          <w:rFonts w:ascii="Book Antiqua" w:eastAsia="Book Antiqua" w:hAnsi="Book Antiqua" w:cs="Book Antiqua"/>
        </w:rPr>
        <w:t>: 10-27 [PMID: 30834048 DOI: 10.14740/wjon1166]</w:t>
      </w:r>
    </w:p>
    <w:p w14:paraId="3761C7A6" w14:textId="7F95E3F9"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2 </w:t>
      </w:r>
      <w:r w:rsidRPr="00A04234">
        <w:rPr>
          <w:rFonts w:ascii="Book Antiqua" w:eastAsia="Book Antiqua" w:hAnsi="Book Antiqua" w:cs="Book Antiqua"/>
          <w:b/>
          <w:bCs/>
        </w:rPr>
        <w:t>International Agency for Research in Cancer, World Health Organization</w:t>
      </w:r>
      <w:r w:rsidRPr="00A04234">
        <w:rPr>
          <w:rFonts w:ascii="Book Antiqua" w:eastAsia="Book Antiqua" w:hAnsi="Book Antiqua" w:cs="Book Antiqua"/>
        </w:rPr>
        <w:t xml:space="preserve">. </w:t>
      </w:r>
      <w:proofErr w:type="spellStart"/>
      <w:r w:rsidRPr="00A04234">
        <w:rPr>
          <w:rFonts w:ascii="Book Antiqua" w:eastAsia="Book Antiqua" w:hAnsi="Book Antiqua" w:cs="Book Antiqua"/>
        </w:rPr>
        <w:t>Globocan</w:t>
      </w:r>
      <w:proofErr w:type="spellEnd"/>
      <w:r w:rsidRPr="00A04234">
        <w:rPr>
          <w:rFonts w:ascii="Book Antiqua" w:eastAsia="Book Antiqua" w:hAnsi="Book Antiqua" w:cs="Book Antiqua"/>
        </w:rPr>
        <w:t xml:space="preserve"> 2020 Pancreas Factsheet</w:t>
      </w:r>
      <w:r w:rsidR="00682E19" w:rsidRPr="00A04234">
        <w:rPr>
          <w:rFonts w:ascii="Book Antiqua" w:eastAsia="Book Antiqua" w:hAnsi="Book Antiqua" w:cs="Book Antiqua"/>
        </w:rPr>
        <w:t>.</w:t>
      </w:r>
      <w:r w:rsidRPr="00A04234">
        <w:rPr>
          <w:rFonts w:ascii="Book Antiqua" w:eastAsia="Book Antiqua" w:hAnsi="Book Antiqua" w:cs="Book Antiqua"/>
        </w:rPr>
        <w:t xml:space="preserve"> [cited 10 November 2020]. Available from: https://gco.iarc.fr/today/data/factsheets/cancers/13-Pancreas-fact-sheet.pdf</w:t>
      </w:r>
    </w:p>
    <w:p w14:paraId="3D34F7CF"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3 </w:t>
      </w:r>
      <w:proofErr w:type="spellStart"/>
      <w:r w:rsidRPr="00A04234">
        <w:rPr>
          <w:rFonts w:ascii="Book Antiqua" w:eastAsia="Book Antiqua" w:hAnsi="Book Antiqua" w:cs="Book Antiqua"/>
          <w:b/>
          <w:bCs/>
        </w:rPr>
        <w:t>Rahib</w:t>
      </w:r>
      <w:proofErr w:type="spellEnd"/>
      <w:r w:rsidRPr="00A04234">
        <w:rPr>
          <w:rFonts w:ascii="Book Antiqua" w:eastAsia="Book Antiqua" w:hAnsi="Book Antiqua" w:cs="Book Antiqua"/>
          <w:b/>
          <w:bCs/>
        </w:rPr>
        <w:t xml:space="preserve"> L</w:t>
      </w:r>
      <w:r w:rsidRPr="00A04234">
        <w:rPr>
          <w:rFonts w:ascii="Book Antiqua" w:eastAsia="Book Antiqua" w:hAnsi="Book Antiqua" w:cs="Book Antiqua"/>
        </w:rPr>
        <w:t xml:space="preserve">, Smith BD, Aizenberg R, </w:t>
      </w:r>
      <w:proofErr w:type="spellStart"/>
      <w:r w:rsidRPr="00A04234">
        <w:rPr>
          <w:rFonts w:ascii="Book Antiqua" w:eastAsia="Book Antiqua" w:hAnsi="Book Antiqua" w:cs="Book Antiqua"/>
        </w:rPr>
        <w:t>Rosenzweig</w:t>
      </w:r>
      <w:proofErr w:type="spellEnd"/>
      <w:r w:rsidRPr="00A04234">
        <w:rPr>
          <w:rFonts w:ascii="Book Antiqua" w:eastAsia="Book Antiqua" w:hAnsi="Book Antiqua" w:cs="Book Antiqua"/>
        </w:rPr>
        <w:t xml:space="preserve"> AB, </w:t>
      </w:r>
      <w:proofErr w:type="spellStart"/>
      <w:r w:rsidRPr="00A04234">
        <w:rPr>
          <w:rFonts w:ascii="Book Antiqua" w:eastAsia="Book Antiqua" w:hAnsi="Book Antiqua" w:cs="Book Antiqua"/>
        </w:rPr>
        <w:t>Fleshman</w:t>
      </w:r>
      <w:proofErr w:type="spellEnd"/>
      <w:r w:rsidRPr="00A04234">
        <w:rPr>
          <w:rFonts w:ascii="Book Antiqua" w:eastAsia="Book Antiqua" w:hAnsi="Book Antiqua" w:cs="Book Antiqua"/>
        </w:rPr>
        <w:t xml:space="preserve"> JM, </w:t>
      </w:r>
      <w:proofErr w:type="spellStart"/>
      <w:r w:rsidRPr="00A04234">
        <w:rPr>
          <w:rFonts w:ascii="Book Antiqua" w:eastAsia="Book Antiqua" w:hAnsi="Book Antiqua" w:cs="Book Antiqua"/>
        </w:rPr>
        <w:t>Matrisian</w:t>
      </w:r>
      <w:proofErr w:type="spellEnd"/>
      <w:r w:rsidRPr="00A04234">
        <w:rPr>
          <w:rFonts w:ascii="Book Antiqua" w:eastAsia="Book Antiqua" w:hAnsi="Book Antiqua" w:cs="Book Antiqua"/>
        </w:rPr>
        <w:t xml:space="preserve"> LM. Projecting cancer incidence and deaths to 2030: the unexpected burden of thyroid, liver, and pancreas cancers in the United States. </w:t>
      </w:r>
      <w:r w:rsidRPr="00A04234">
        <w:rPr>
          <w:rFonts w:ascii="Book Antiqua" w:eastAsia="Book Antiqua" w:hAnsi="Book Antiqua" w:cs="Book Antiqua"/>
          <w:i/>
          <w:iCs/>
        </w:rPr>
        <w:t>Cancer Res</w:t>
      </w:r>
      <w:r w:rsidRPr="00A04234">
        <w:rPr>
          <w:rFonts w:ascii="Book Antiqua" w:eastAsia="Book Antiqua" w:hAnsi="Book Antiqua" w:cs="Book Antiqua"/>
        </w:rPr>
        <w:t xml:space="preserve"> 2014; </w:t>
      </w:r>
      <w:r w:rsidRPr="00A04234">
        <w:rPr>
          <w:rFonts w:ascii="Book Antiqua" w:eastAsia="Book Antiqua" w:hAnsi="Book Antiqua" w:cs="Book Antiqua"/>
          <w:b/>
          <w:bCs/>
        </w:rPr>
        <w:t>74</w:t>
      </w:r>
      <w:r w:rsidRPr="00A04234">
        <w:rPr>
          <w:rFonts w:ascii="Book Antiqua" w:eastAsia="Book Antiqua" w:hAnsi="Book Antiqua" w:cs="Book Antiqua"/>
        </w:rPr>
        <w:t>: 2913-2921 [PMID: 24840647 DOI: 10.1158/0008-5472.CAN-14-0155]</w:t>
      </w:r>
    </w:p>
    <w:p w14:paraId="34138522"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4 </w:t>
      </w:r>
      <w:r w:rsidRPr="00A04234">
        <w:rPr>
          <w:rFonts w:ascii="Book Antiqua" w:eastAsia="Book Antiqua" w:hAnsi="Book Antiqua" w:cs="Book Antiqua"/>
          <w:b/>
          <w:bCs/>
        </w:rPr>
        <w:t>McGuigan A</w:t>
      </w:r>
      <w:r w:rsidRPr="00A04234">
        <w:rPr>
          <w:rFonts w:ascii="Book Antiqua" w:eastAsia="Book Antiqua" w:hAnsi="Book Antiqua" w:cs="Book Antiqua"/>
        </w:rPr>
        <w:t xml:space="preserve">, Kelly P, Turkington RC, Jones C, Coleman HG, McCain RS. Pancreatic cancer: A review of clinical diagnosis, epidemiology, treatment and outcomes. </w:t>
      </w:r>
      <w:r w:rsidRPr="00A04234">
        <w:rPr>
          <w:rFonts w:ascii="Book Antiqua" w:eastAsia="Book Antiqua" w:hAnsi="Book Antiqua" w:cs="Book Antiqua"/>
          <w:i/>
          <w:iCs/>
        </w:rPr>
        <w:t>World J Gastroenterol</w:t>
      </w:r>
      <w:r w:rsidRPr="00A04234">
        <w:rPr>
          <w:rFonts w:ascii="Book Antiqua" w:eastAsia="Book Antiqua" w:hAnsi="Book Antiqua" w:cs="Book Antiqua"/>
        </w:rPr>
        <w:t xml:space="preserve"> 2018; </w:t>
      </w:r>
      <w:r w:rsidRPr="00A04234">
        <w:rPr>
          <w:rFonts w:ascii="Book Antiqua" w:eastAsia="Book Antiqua" w:hAnsi="Book Antiqua" w:cs="Book Antiqua"/>
          <w:b/>
          <w:bCs/>
        </w:rPr>
        <w:t>24</w:t>
      </w:r>
      <w:r w:rsidRPr="00A04234">
        <w:rPr>
          <w:rFonts w:ascii="Book Antiqua" w:eastAsia="Book Antiqua" w:hAnsi="Book Antiqua" w:cs="Book Antiqua"/>
        </w:rPr>
        <w:t>: 4846-4861 [PMID: 30487695 DOI: 10.3748/wjg.v24.i43.4846]</w:t>
      </w:r>
    </w:p>
    <w:p w14:paraId="6BE74762"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5 </w:t>
      </w:r>
      <w:proofErr w:type="spellStart"/>
      <w:r w:rsidRPr="00A04234">
        <w:rPr>
          <w:rFonts w:ascii="Book Antiqua" w:eastAsia="Book Antiqua" w:hAnsi="Book Antiqua" w:cs="Book Antiqua"/>
          <w:b/>
          <w:bCs/>
        </w:rPr>
        <w:t>Hasin</w:t>
      </w:r>
      <w:proofErr w:type="spellEnd"/>
      <w:r w:rsidRPr="00A04234">
        <w:rPr>
          <w:rFonts w:ascii="Book Antiqua" w:eastAsia="Book Antiqua" w:hAnsi="Book Antiqua" w:cs="Book Antiqua"/>
          <w:b/>
          <w:bCs/>
        </w:rPr>
        <w:t xml:space="preserve"> Y</w:t>
      </w:r>
      <w:r w:rsidRPr="00A04234">
        <w:rPr>
          <w:rFonts w:ascii="Book Antiqua" w:eastAsia="Book Antiqua" w:hAnsi="Book Antiqua" w:cs="Book Antiqua"/>
        </w:rPr>
        <w:t xml:space="preserve">, </w:t>
      </w:r>
      <w:proofErr w:type="spellStart"/>
      <w:r w:rsidRPr="00A04234">
        <w:rPr>
          <w:rFonts w:ascii="Book Antiqua" w:eastAsia="Book Antiqua" w:hAnsi="Book Antiqua" w:cs="Book Antiqua"/>
        </w:rPr>
        <w:t>Seldin</w:t>
      </w:r>
      <w:proofErr w:type="spellEnd"/>
      <w:r w:rsidRPr="00A04234">
        <w:rPr>
          <w:rFonts w:ascii="Book Antiqua" w:eastAsia="Book Antiqua" w:hAnsi="Book Antiqua" w:cs="Book Antiqua"/>
        </w:rPr>
        <w:t xml:space="preserve"> M, </w:t>
      </w:r>
      <w:proofErr w:type="spellStart"/>
      <w:r w:rsidRPr="00A04234">
        <w:rPr>
          <w:rFonts w:ascii="Book Antiqua" w:eastAsia="Book Antiqua" w:hAnsi="Book Antiqua" w:cs="Book Antiqua"/>
        </w:rPr>
        <w:t>Lusis</w:t>
      </w:r>
      <w:proofErr w:type="spellEnd"/>
      <w:r w:rsidRPr="00A04234">
        <w:rPr>
          <w:rFonts w:ascii="Book Antiqua" w:eastAsia="Book Antiqua" w:hAnsi="Book Antiqua" w:cs="Book Antiqua"/>
        </w:rPr>
        <w:t xml:space="preserve"> A. Multi-omics approaches to disease. </w:t>
      </w:r>
      <w:r w:rsidRPr="00A04234">
        <w:rPr>
          <w:rFonts w:ascii="Book Antiqua" w:eastAsia="Book Antiqua" w:hAnsi="Book Antiqua" w:cs="Book Antiqua"/>
          <w:i/>
          <w:iCs/>
        </w:rPr>
        <w:t>Genome Biol</w:t>
      </w:r>
      <w:r w:rsidRPr="00A04234">
        <w:rPr>
          <w:rFonts w:ascii="Book Antiqua" w:eastAsia="Book Antiqua" w:hAnsi="Book Antiqua" w:cs="Book Antiqua"/>
        </w:rPr>
        <w:t xml:space="preserve"> 2017; </w:t>
      </w:r>
      <w:r w:rsidRPr="00A04234">
        <w:rPr>
          <w:rFonts w:ascii="Book Antiqua" w:eastAsia="Book Antiqua" w:hAnsi="Book Antiqua" w:cs="Book Antiqua"/>
          <w:b/>
          <w:bCs/>
        </w:rPr>
        <w:t>18</w:t>
      </w:r>
      <w:r w:rsidRPr="00A04234">
        <w:rPr>
          <w:rFonts w:ascii="Book Antiqua" w:eastAsia="Book Antiqua" w:hAnsi="Book Antiqua" w:cs="Book Antiqua"/>
        </w:rPr>
        <w:t>: 83 [PMID: 28476144 DOI: 10.1186/s13059-017-1215-1]</w:t>
      </w:r>
    </w:p>
    <w:p w14:paraId="22AA793C"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6 </w:t>
      </w:r>
      <w:r w:rsidRPr="00A04234">
        <w:rPr>
          <w:rFonts w:ascii="Book Antiqua" w:eastAsia="Book Antiqua" w:hAnsi="Book Antiqua" w:cs="Book Antiqua"/>
          <w:b/>
          <w:bCs/>
        </w:rPr>
        <w:t>Nakagawa H</w:t>
      </w:r>
      <w:r w:rsidRPr="00A04234">
        <w:rPr>
          <w:rFonts w:ascii="Book Antiqua" w:eastAsia="Book Antiqua" w:hAnsi="Book Antiqua" w:cs="Book Antiqua"/>
        </w:rPr>
        <w:t xml:space="preserve">, Fujita M. Whole genome sequencing analysis for cancer genomics and precision medicine. </w:t>
      </w:r>
      <w:r w:rsidRPr="00A04234">
        <w:rPr>
          <w:rFonts w:ascii="Book Antiqua" w:eastAsia="Book Antiqua" w:hAnsi="Book Antiqua" w:cs="Book Antiqua"/>
          <w:i/>
          <w:iCs/>
        </w:rPr>
        <w:t>Cancer Sci</w:t>
      </w:r>
      <w:r w:rsidRPr="00A04234">
        <w:rPr>
          <w:rFonts w:ascii="Book Antiqua" w:eastAsia="Book Antiqua" w:hAnsi="Book Antiqua" w:cs="Book Antiqua"/>
        </w:rPr>
        <w:t xml:space="preserve"> 2018; </w:t>
      </w:r>
      <w:r w:rsidRPr="00A04234">
        <w:rPr>
          <w:rFonts w:ascii="Book Antiqua" w:eastAsia="Book Antiqua" w:hAnsi="Book Antiqua" w:cs="Book Antiqua"/>
          <w:b/>
          <w:bCs/>
        </w:rPr>
        <w:t>109</w:t>
      </w:r>
      <w:r w:rsidRPr="00A04234">
        <w:rPr>
          <w:rFonts w:ascii="Book Antiqua" w:eastAsia="Book Antiqua" w:hAnsi="Book Antiqua" w:cs="Book Antiqua"/>
        </w:rPr>
        <w:t>: 513-522 [PMID: 29345757 DOI: 10.1111/cas.13505]</w:t>
      </w:r>
    </w:p>
    <w:p w14:paraId="00F9A561" w14:textId="1640EEF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7 </w:t>
      </w:r>
      <w:proofErr w:type="spellStart"/>
      <w:r w:rsidRPr="00A04234">
        <w:rPr>
          <w:rFonts w:ascii="Book Antiqua" w:eastAsia="Book Antiqua" w:hAnsi="Book Antiqua" w:cs="Book Antiqua"/>
          <w:b/>
          <w:bCs/>
        </w:rPr>
        <w:t>Kamps</w:t>
      </w:r>
      <w:proofErr w:type="spellEnd"/>
      <w:r w:rsidRPr="00A04234">
        <w:rPr>
          <w:rFonts w:ascii="Book Antiqua" w:eastAsia="Book Antiqua" w:hAnsi="Book Antiqua" w:cs="Book Antiqua"/>
          <w:b/>
          <w:bCs/>
        </w:rPr>
        <w:t xml:space="preserve"> R</w:t>
      </w:r>
      <w:r w:rsidRPr="00A04234">
        <w:rPr>
          <w:rFonts w:ascii="Book Antiqua" w:eastAsia="Book Antiqua" w:hAnsi="Book Antiqua" w:cs="Book Antiqua"/>
        </w:rPr>
        <w:t xml:space="preserve">, </w:t>
      </w:r>
      <w:proofErr w:type="spellStart"/>
      <w:r w:rsidRPr="00A04234">
        <w:rPr>
          <w:rFonts w:ascii="Book Antiqua" w:eastAsia="Book Antiqua" w:hAnsi="Book Antiqua" w:cs="Book Antiqua"/>
        </w:rPr>
        <w:t>Brandão</w:t>
      </w:r>
      <w:proofErr w:type="spellEnd"/>
      <w:r w:rsidRPr="00A04234">
        <w:rPr>
          <w:rFonts w:ascii="Book Antiqua" w:eastAsia="Book Antiqua" w:hAnsi="Book Antiqua" w:cs="Book Antiqua"/>
        </w:rPr>
        <w:t xml:space="preserve"> RD, Bosch BJ, </w:t>
      </w:r>
      <w:proofErr w:type="spellStart"/>
      <w:r w:rsidRPr="00A04234">
        <w:rPr>
          <w:rFonts w:ascii="Book Antiqua" w:eastAsia="Book Antiqua" w:hAnsi="Book Antiqua" w:cs="Book Antiqua"/>
        </w:rPr>
        <w:t>Paulussen</w:t>
      </w:r>
      <w:proofErr w:type="spellEnd"/>
      <w:r w:rsidRPr="00A04234">
        <w:rPr>
          <w:rFonts w:ascii="Book Antiqua" w:eastAsia="Book Antiqua" w:hAnsi="Book Antiqua" w:cs="Book Antiqua"/>
        </w:rPr>
        <w:t xml:space="preserve"> AD, </w:t>
      </w:r>
      <w:proofErr w:type="spellStart"/>
      <w:r w:rsidRPr="00A04234">
        <w:rPr>
          <w:rFonts w:ascii="Book Antiqua" w:eastAsia="Book Antiqua" w:hAnsi="Book Antiqua" w:cs="Book Antiqua"/>
        </w:rPr>
        <w:t>Xanthoulea</w:t>
      </w:r>
      <w:proofErr w:type="spellEnd"/>
      <w:r w:rsidRPr="00A04234">
        <w:rPr>
          <w:rFonts w:ascii="Book Antiqua" w:eastAsia="Book Antiqua" w:hAnsi="Book Antiqua" w:cs="Book Antiqua"/>
        </w:rPr>
        <w:t xml:space="preserve"> S, Blok MJ, Romano A. Next-Generation Sequencing in Oncology: Genetic Diagnosis, Risk Prediction and Cancer Classification. </w:t>
      </w:r>
      <w:r w:rsidRPr="00A04234">
        <w:rPr>
          <w:rFonts w:ascii="Book Antiqua" w:eastAsia="Book Antiqua" w:hAnsi="Book Antiqua" w:cs="Book Antiqua"/>
          <w:i/>
          <w:iCs/>
        </w:rPr>
        <w:t>Int J Mol Sci</w:t>
      </w:r>
      <w:r w:rsidRPr="00A04234">
        <w:rPr>
          <w:rFonts w:ascii="Book Antiqua" w:eastAsia="Book Antiqua" w:hAnsi="Book Antiqua" w:cs="Book Antiqua"/>
        </w:rPr>
        <w:t xml:space="preserve"> 2017; </w:t>
      </w:r>
      <w:r w:rsidRPr="00A04234">
        <w:rPr>
          <w:rFonts w:ascii="Book Antiqua" w:eastAsia="Book Antiqua" w:hAnsi="Book Antiqua" w:cs="Book Antiqua"/>
          <w:b/>
          <w:bCs/>
        </w:rPr>
        <w:t>18</w:t>
      </w:r>
      <w:r w:rsidR="00E81FBB" w:rsidRPr="00A04234">
        <w:rPr>
          <w:rFonts w:ascii="Book Antiqua" w:eastAsia="Book Antiqua" w:hAnsi="Book Antiqua" w:cs="Book Antiqua"/>
        </w:rPr>
        <w:t>: 308</w:t>
      </w:r>
      <w:r w:rsidRPr="00A04234">
        <w:rPr>
          <w:rFonts w:ascii="Book Antiqua" w:eastAsia="Book Antiqua" w:hAnsi="Book Antiqua" w:cs="Book Antiqua"/>
        </w:rPr>
        <w:t xml:space="preserve"> [PMID: 28146134 DOI: 10.3390/ijms18020308]</w:t>
      </w:r>
    </w:p>
    <w:p w14:paraId="044A1EA8"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8 </w:t>
      </w:r>
      <w:r w:rsidRPr="00A04234">
        <w:rPr>
          <w:rFonts w:ascii="Book Antiqua" w:eastAsia="Book Antiqua" w:hAnsi="Book Antiqua" w:cs="Book Antiqua"/>
          <w:b/>
          <w:bCs/>
        </w:rPr>
        <w:t>Ansari D</w:t>
      </w:r>
      <w:r w:rsidRPr="00A04234">
        <w:rPr>
          <w:rFonts w:ascii="Book Antiqua" w:eastAsia="Book Antiqua" w:hAnsi="Book Antiqua" w:cs="Book Antiqua"/>
        </w:rPr>
        <w:t xml:space="preserve">, </w:t>
      </w:r>
      <w:proofErr w:type="spellStart"/>
      <w:r w:rsidRPr="00A04234">
        <w:rPr>
          <w:rFonts w:ascii="Book Antiqua" w:eastAsia="Book Antiqua" w:hAnsi="Book Antiqua" w:cs="Book Antiqua"/>
        </w:rPr>
        <w:t>Torén</w:t>
      </w:r>
      <w:proofErr w:type="spellEnd"/>
      <w:r w:rsidRPr="00A04234">
        <w:rPr>
          <w:rFonts w:ascii="Book Antiqua" w:eastAsia="Book Antiqua" w:hAnsi="Book Antiqua" w:cs="Book Antiqua"/>
        </w:rPr>
        <w:t xml:space="preserve"> W, Zhou Q, Hu D, Andersson R. Proteomic and genomic profiling of pancreatic cancer. </w:t>
      </w:r>
      <w:r w:rsidRPr="00A04234">
        <w:rPr>
          <w:rFonts w:ascii="Book Antiqua" w:eastAsia="Book Antiqua" w:hAnsi="Book Antiqua" w:cs="Book Antiqua"/>
          <w:i/>
          <w:iCs/>
        </w:rPr>
        <w:t xml:space="preserve">Cell </w:t>
      </w:r>
      <w:proofErr w:type="spellStart"/>
      <w:r w:rsidRPr="00A04234">
        <w:rPr>
          <w:rFonts w:ascii="Book Antiqua" w:eastAsia="Book Antiqua" w:hAnsi="Book Antiqua" w:cs="Book Antiqua"/>
          <w:i/>
          <w:iCs/>
        </w:rPr>
        <w:t>Biol</w:t>
      </w:r>
      <w:proofErr w:type="spellEnd"/>
      <w:r w:rsidRPr="00A04234">
        <w:rPr>
          <w:rFonts w:ascii="Book Antiqua" w:eastAsia="Book Antiqua" w:hAnsi="Book Antiqua" w:cs="Book Antiqua"/>
          <w:i/>
          <w:iCs/>
        </w:rPr>
        <w:t xml:space="preserve"> </w:t>
      </w:r>
      <w:proofErr w:type="spellStart"/>
      <w:r w:rsidRPr="00A04234">
        <w:rPr>
          <w:rFonts w:ascii="Book Antiqua" w:eastAsia="Book Antiqua" w:hAnsi="Book Antiqua" w:cs="Book Antiqua"/>
          <w:i/>
          <w:iCs/>
        </w:rPr>
        <w:t>Toxicol</w:t>
      </w:r>
      <w:proofErr w:type="spellEnd"/>
      <w:r w:rsidRPr="00A04234">
        <w:rPr>
          <w:rFonts w:ascii="Book Antiqua" w:eastAsia="Book Antiqua" w:hAnsi="Book Antiqua" w:cs="Book Antiqua"/>
        </w:rPr>
        <w:t xml:space="preserve"> 2019; </w:t>
      </w:r>
      <w:r w:rsidRPr="00A04234">
        <w:rPr>
          <w:rFonts w:ascii="Book Antiqua" w:eastAsia="Book Antiqua" w:hAnsi="Book Antiqua" w:cs="Book Antiqua"/>
          <w:b/>
          <w:bCs/>
        </w:rPr>
        <w:t>35</w:t>
      </w:r>
      <w:r w:rsidRPr="00A04234">
        <w:rPr>
          <w:rFonts w:ascii="Book Antiqua" w:eastAsia="Book Antiqua" w:hAnsi="Book Antiqua" w:cs="Book Antiqua"/>
        </w:rPr>
        <w:t>: 333-343 [PMID: 30771135 DOI: 10.1007/s10565-019-09465-9]</w:t>
      </w:r>
    </w:p>
    <w:p w14:paraId="2A86D126" w14:textId="3457BE25"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9 </w:t>
      </w:r>
      <w:r w:rsidRPr="00A04234">
        <w:rPr>
          <w:rFonts w:ascii="Book Antiqua" w:eastAsia="Book Antiqua" w:hAnsi="Book Antiqua" w:cs="Book Antiqua"/>
          <w:b/>
          <w:bCs/>
        </w:rPr>
        <w:t>Horgan RP,</w:t>
      </w:r>
      <w:r w:rsidRPr="00A04234">
        <w:rPr>
          <w:rFonts w:ascii="Book Antiqua" w:eastAsia="Book Antiqua" w:hAnsi="Book Antiqua" w:cs="Book Antiqua"/>
        </w:rPr>
        <w:t xml:space="preserve"> Kenny LC. ‘</w:t>
      </w:r>
      <w:proofErr w:type="spellStart"/>
      <w:r w:rsidRPr="00A04234">
        <w:rPr>
          <w:rFonts w:ascii="Book Antiqua" w:eastAsia="Book Antiqua" w:hAnsi="Book Antiqua" w:cs="Book Antiqua"/>
        </w:rPr>
        <w:t>Omic</w:t>
      </w:r>
      <w:proofErr w:type="spellEnd"/>
      <w:r w:rsidRPr="00A04234">
        <w:rPr>
          <w:rFonts w:ascii="Book Antiqua" w:eastAsia="Book Antiqua" w:hAnsi="Book Antiqua" w:cs="Book Antiqua"/>
        </w:rPr>
        <w:t>’ technologies: genomics, transcriptomics, proteomics and metabolomics</w:t>
      </w:r>
      <w:r w:rsidR="00E81FBB" w:rsidRPr="00A04234">
        <w:rPr>
          <w:rFonts w:ascii="Book Antiqua" w:eastAsia="Book Antiqua" w:hAnsi="Book Antiqua" w:cs="Book Antiqua"/>
        </w:rPr>
        <w:t>.</w:t>
      </w:r>
      <w:r w:rsidRPr="00A04234">
        <w:rPr>
          <w:rFonts w:ascii="Book Antiqua" w:eastAsia="Book Antiqua" w:hAnsi="Book Antiqua" w:cs="Book Antiqua"/>
        </w:rPr>
        <w:t xml:space="preserve"> The Obstetrician </w:t>
      </w:r>
      <w:r w:rsidR="00491B53" w:rsidRPr="00A04234">
        <w:rPr>
          <w:rFonts w:ascii="Book Antiqua" w:eastAsia="Book Antiqua" w:hAnsi="Book Antiqua" w:cs="Book Antiqua"/>
        </w:rPr>
        <w:t>and</w:t>
      </w:r>
      <w:r w:rsidRPr="00A04234">
        <w:rPr>
          <w:rFonts w:ascii="Book Antiqua" w:eastAsia="Book Antiqua" w:hAnsi="Book Antiqua" w:cs="Book Antiqua"/>
        </w:rPr>
        <w:t xml:space="preserve"> </w:t>
      </w:r>
      <w:proofErr w:type="spellStart"/>
      <w:r w:rsidRPr="00A04234">
        <w:rPr>
          <w:rFonts w:ascii="Book Antiqua" w:eastAsia="Book Antiqua" w:hAnsi="Book Antiqua" w:cs="Book Antiqua"/>
        </w:rPr>
        <w:t>Gynaecologist</w:t>
      </w:r>
      <w:proofErr w:type="spellEnd"/>
      <w:r w:rsidRPr="00A04234">
        <w:rPr>
          <w:rFonts w:ascii="Book Antiqua" w:eastAsia="Book Antiqua" w:hAnsi="Book Antiqua" w:cs="Book Antiqua"/>
        </w:rPr>
        <w:t xml:space="preserve">. </w:t>
      </w:r>
      <w:r w:rsidRPr="00A04234">
        <w:rPr>
          <w:rFonts w:ascii="Book Antiqua" w:eastAsia="Book Antiqua" w:hAnsi="Book Antiqua" w:cs="Book Antiqua"/>
          <w:i/>
          <w:iCs/>
        </w:rPr>
        <w:t xml:space="preserve">Obstetrician </w:t>
      </w:r>
      <w:proofErr w:type="spellStart"/>
      <w:r w:rsidRPr="00A04234">
        <w:rPr>
          <w:rFonts w:ascii="Book Antiqua" w:eastAsia="Book Antiqua" w:hAnsi="Book Antiqua" w:cs="Book Antiqua"/>
          <w:i/>
          <w:iCs/>
        </w:rPr>
        <w:t>Gynaecologist</w:t>
      </w:r>
      <w:proofErr w:type="spellEnd"/>
      <w:r w:rsidRPr="00A04234">
        <w:rPr>
          <w:rFonts w:ascii="Book Antiqua" w:eastAsia="Book Antiqua" w:hAnsi="Book Antiqua" w:cs="Book Antiqua"/>
        </w:rPr>
        <w:t xml:space="preserve"> 2011; </w:t>
      </w:r>
      <w:r w:rsidRPr="00A04234">
        <w:rPr>
          <w:rFonts w:ascii="Book Antiqua" w:eastAsia="Book Antiqua" w:hAnsi="Book Antiqua" w:cs="Book Antiqua"/>
          <w:b/>
          <w:bCs/>
        </w:rPr>
        <w:t>13</w:t>
      </w:r>
      <w:r w:rsidRPr="00A04234">
        <w:rPr>
          <w:rFonts w:ascii="Book Antiqua" w:eastAsia="Book Antiqua" w:hAnsi="Book Antiqua" w:cs="Book Antiqua"/>
        </w:rPr>
        <w:t>: 189-195 [DOI:</w:t>
      </w:r>
      <w:r w:rsidR="00E81FBB" w:rsidRPr="00A04234">
        <w:rPr>
          <w:rFonts w:ascii="Book Antiqua" w:eastAsia="Book Antiqua" w:hAnsi="Book Antiqua" w:cs="Book Antiqua"/>
        </w:rPr>
        <w:t xml:space="preserve"> </w:t>
      </w:r>
      <w:r w:rsidRPr="00A04234">
        <w:rPr>
          <w:rFonts w:ascii="Book Antiqua" w:eastAsia="Book Antiqua" w:hAnsi="Book Antiqua" w:cs="Book Antiqua"/>
        </w:rPr>
        <w:t>10.1576/toag.13.3.189.27672]</w:t>
      </w:r>
    </w:p>
    <w:p w14:paraId="11127409"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lastRenderedPageBreak/>
        <w:t xml:space="preserve">10 </w:t>
      </w:r>
      <w:r w:rsidRPr="00A04234">
        <w:rPr>
          <w:rFonts w:ascii="Book Antiqua" w:eastAsia="Book Antiqua" w:hAnsi="Book Antiqua" w:cs="Book Antiqua"/>
          <w:b/>
          <w:bCs/>
        </w:rPr>
        <w:t>Clish CB</w:t>
      </w:r>
      <w:r w:rsidRPr="00A04234">
        <w:rPr>
          <w:rFonts w:ascii="Book Antiqua" w:eastAsia="Book Antiqua" w:hAnsi="Book Antiqua" w:cs="Book Antiqua"/>
        </w:rPr>
        <w:t xml:space="preserve">. Metabolomics: an emerging but powerful tool for precision medicine. </w:t>
      </w:r>
      <w:r w:rsidRPr="00A04234">
        <w:rPr>
          <w:rFonts w:ascii="Book Antiqua" w:eastAsia="Book Antiqua" w:hAnsi="Book Antiqua" w:cs="Book Antiqua"/>
          <w:i/>
          <w:iCs/>
        </w:rPr>
        <w:t xml:space="preserve">Cold Spring </w:t>
      </w:r>
      <w:proofErr w:type="spellStart"/>
      <w:r w:rsidRPr="00A04234">
        <w:rPr>
          <w:rFonts w:ascii="Book Antiqua" w:eastAsia="Book Antiqua" w:hAnsi="Book Antiqua" w:cs="Book Antiqua"/>
          <w:i/>
          <w:iCs/>
        </w:rPr>
        <w:t>Harb</w:t>
      </w:r>
      <w:proofErr w:type="spellEnd"/>
      <w:r w:rsidRPr="00A04234">
        <w:rPr>
          <w:rFonts w:ascii="Book Antiqua" w:eastAsia="Book Antiqua" w:hAnsi="Book Antiqua" w:cs="Book Antiqua"/>
          <w:i/>
          <w:iCs/>
        </w:rPr>
        <w:t xml:space="preserve"> </w:t>
      </w:r>
      <w:proofErr w:type="spellStart"/>
      <w:r w:rsidRPr="00A04234">
        <w:rPr>
          <w:rFonts w:ascii="Book Antiqua" w:eastAsia="Book Antiqua" w:hAnsi="Book Antiqua" w:cs="Book Antiqua"/>
          <w:i/>
          <w:iCs/>
        </w:rPr>
        <w:t>Mol</w:t>
      </w:r>
      <w:proofErr w:type="spellEnd"/>
      <w:r w:rsidRPr="00A04234">
        <w:rPr>
          <w:rFonts w:ascii="Book Antiqua" w:eastAsia="Book Antiqua" w:hAnsi="Book Antiqua" w:cs="Book Antiqua"/>
          <w:i/>
          <w:iCs/>
        </w:rPr>
        <w:t xml:space="preserve"> Case Stud</w:t>
      </w:r>
      <w:r w:rsidRPr="00A04234">
        <w:rPr>
          <w:rFonts w:ascii="Book Antiqua" w:eastAsia="Book Antiqua" w:hAnsi="Book Antiqua" w:cs="Book Antiqua"/>
        </w:rPr>
        <w:t xml:space="preserve"> 2015; </w:t>
      </w:r>
      <w:r w:rsidRPr="00A04234">
        <w:rPr>
          <w:rFonts w:ascii="Book Antiqua" w:eastAsia="Book Antiqua" w:hAnsi="Book Antiqua" w:cs="Book Antiqua"/>
          <w:b/>
          <w:bCs/>
        </w:rPr>
        <w:t>1</w:t>
      </w:r>
      <w:r w:rsidRPr="00A04234">
        <w:rPr>
          <w:rFonts w:ascii="Book Antiqua" w:eastAsia="Book Antiqua" w:hAnsi="Book Antiqua" w:cs="Book Antiqua"/>
        </w:rPr>
        <w:t>: a000588 [PMID: 27148576 DOI: 10.1101/mcs.a000588]</w:t>
      </w:r>
    </w:p>
    <w:p w14:paraId="0BFA2D90"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11 </w:t>
      </w:r>
      <w:r w:rsidRPr="00A04234">
        <w:rPr>
          <w:rFonts w:ascii="Book Antiqua" w:eastAsia="Book Antiqua" w:hAnsi="Book Antiqua" w:cs="Book Antiqua"/>
          <w:b/>
          <w:bCs/>
        </w:rPr>
        <w:t>Waddell N</w:t>
      </w:r>
      <w:r w:rsidRPr="00A04234">
        <w:rPr>
          <w:rFonts w:ascii="Book Antiqua" w:eastAsia="Book Antiqua" w:hAnsi="Book Antiqua" w:cs="Book Antiqua"/>
        </w:rPr>
        <w:t xml:space="preserve">, </w:t>
      </w:r>
      <w:proofErr w:type="spellStart"/>
      <w:r w:rsidRPr="00A04234">
        <w:rPr>
          <w:rFonts w:ascii="Book Antiqua" w:eastAsia="Book Antiqua" w:hAnsi="Book Antiqua" w:cs="Book Antiqua"/>
        </w:rPr>
        <w:t>Pajic</w:t>
      </w:r>
      <w:proofErr w:type="spellEnd"/>
      <w:r w:rsidRPr="00A04234">
        <w:rPr>
          <w:rFonts w:ascii="Book Antiqua" w:eastAsia="Book Antiqua" w:hAnsi="Book Antiqua" w:cs="Book Antiqua"/>
        </w:rPr>
        <w:t xml:space="preserve"> M, Patch AM, Chang DK, </w:t>
      </w:r>
      <w:proofErr w:type="spellStart"/>
      <w:r w:rsidRPr="00A04234">
        <w:rPr>
          <w:rFonts w:ascii="Book Antiqua" w:eastAsia="Book Antiqua" w:hAnsi="Book Antiqua" w:cs="Book Antiqua"/>
        </w:rPr>
        <w:t>Kassahn</w:t>
      </w:r>
      <w:proofErr w:type="spellEnd"/>
      <w:r w:rsidRPr="00A04234">
        <w:rPr>
          <w:rFonts w:ascii="Book Antiqua" w:eastAsia="Book Antiqua" w:hAnsi="Book Antiqua" w:cs="Book Antiqua"/>
        </w:rPr>
        <w:t xml:space="preserve"> KS, Bailey P, Johns AL, Miller D, </w:t>
      </w:r>
      <w:proofErr w:type="spellStart"/>
      <w:r w:rsidRPr="00A04234">
        <w:rPr>
          <w:rFonts w:ascii="Book Antiqua" w:eastAsia="Book Antiqua" w:hAnsi="Book Antiqua" w:cs="Book Antiqua"/>
        </w:rPr>
        <w:t>Nones</w:t>
      </w:r>
      <w:proofErr w:type="spellEnd"/>
      <w:r w:rsidRPr="00A04234">
        <w:rPr>
          <w:rFonts w:ascii="Book Antiqua" w:eastAsia="Book Antiqua" w:hAnsi="Book Antiqua" w:cs="Book Antiqua"/>
        </w:rPr>
        <w:t xml:space="preserve"> K, </w:t>
      </w:r>
      <w:proofErr w:type="spellStart"/>
      <w:r w:rsidRPr="00A04234">
        <w:rPr>
          <w:rFonts w:ascii="Book Antiqua" w:eastAsia="Book Antiqua" w:hAnsi="Book Antiqua" w:cs="Book Antiqua"/>
        </w:rPr>
        <w:t>Quek</w:t>
      </w:r>
      <w:proofErr w:type="spellEnd"/>
      <w:r w:rsidRPr="00A04234">
        <w:rPr>
          <w:rFonts w:ascii="Book Antiqua" w:eastAsia="Book Antiqua" w:hAnsi="Book Antiqua" w:cs="Book Antiqua"/>
        </w:rPr>
        <w:t xml:space="preserve"> K, Quinn MC, Robertson AJ, </w:t>
      </w:r>
      <w:proofErr w:type="spellStart"/>
      <w:r w:rsidRPr="00A04234">
        <w:rPr>
          <w:rFonts w:ascii="Book Antiqua" w:eastAsia="Book Antiqua" w:hAnsi="Book Antiqua" w:cs="Book Antiqua"/>
        </w:rPr>
        <w:t>Fadlullah</w:t>
      </w:r>
      <w:proofErr w:type="spellEnd"/>
      <w:r w:rsidRPr="00A04234">
        <w:rPr>
          <w:rFonts w:ascii="Book Antiqua" w:eastAsia="Book Antiqua" w:hAnsi="Book Antiqua" w:cs="Book Antiqua"/>
        </w:rPr>
        <w:t xml:space="preserve"> MZ, </w:t>
      </w:r>
      <w:proofErr w:type="spellStart"/>
      <w:r w:rsidRPr="00A04234">
        <w:rPr>
          <w:rFonts w:ascii="Book Antiqua" w:eastAsia="Book Antiqua" w:hAnsi="Book Antiqua" w:cs="Book Antiqua"/>
        </w:rPr>
        <w:t>Bruxner</w:t>
      </w:r>
      <w:proofErr w:type="spellEnd"/>
      <w:r w:rsidRPr="00A04234">
        <w:rPr>
          <w:rFonts w:ascii="Book Antiqua" w:eastAsia="Book Antiqua" w:hAnsi="Book Antiqua" w:cs="Book Antiqua"/>
        </w:rPr>
        <w:t xml:space="preserve"> TJ, Christ AN, </w:t>
      </w:r>
      <w:proofErr w:type="spellStart"/>
      <w:r w:rsidRPr="00A04234">
        <w:rPr>
          <w:rFonts w:ascii="Book Antiqua" w:eastAsia="Book Antiqua" w:hAnsi="Book Antiqua" w:cs="Book Antiqua"/>
        </w:rPr>
        <w:t>Harliwong</w:t>
      </w:r>
      <w:proofErr w:type="spellEnd"/>
      <w:r w:rsidRPr="00A04234">
        <w:rPr>
          <w:rFonts w:ascii="Book Antiqua" w:eastAsia="Book Antiqua" w:hAnsi="Book Antiqua" w:cs="Book Antiqua"/>
        </w:rPr>
        <w:t xml:space="preserve"> I, </w:t>
      </w:r>
      <w:proofErr w:type="spellStart"/>
      <w:r w:rsidRPr="00A04234">
        <w:rPr>
          <w:rFonts w:ascii="Book Antiqua" w:eastAsia="Book Antiqua" w:hAnsi="Book Antiqua" w:cs="Book Antiqua"/>
        </w:rPr>
        <w:t>Idrisoglu</w:t>
      </w:r>
      <w:proofErr w:type="spellEnd"/>
      <w:r w:rsidRPr="00A04234">
        <w:rPr>
          <w:rFonts w:ascii="Book Antiqua" w:eastAsia="Book Antiqua" w:hAnsi="Book Antiqua" w:cs="Book Antiqua"/>
        </w:rPr>
        <w:t xml:space="preserve"> S, Manning S, </w:t>
      </w:r>
      <w:proofErr w:type="spellStart"/>
      <w:r w:rsidRPr="00A04234">
        <w:rPr>
          <w:rFonts w:ascii="Book Antiqua" w:eastAsia="Book Antiqua" w:hAnsi="Book Antiqua" w:cs="Book Antiqua"/>
        </w:rPr>
        <w:t>Nourse</w:t>
      </w:r>
      <w:proofErr w:type="spellEnd"/>
      <w:r w:rsidRPr="00A04234">
        <w:rPr>
          <w:rFonts w:ascii="Book Antiqua" w:eastAsia="Book Antiqua" w:hAnsi="Book Antiqua" w:cs="Book Antiqua"/>
        </w:rPr>
        <w:t xml:space="preserve"> C, </w:t>
      </w:r>
      <w:proofErr w:type="spellStart"/>
      <w:r w:rsidRPr="00A04234">
        <w:rPr>
          <w:rFonts w:ascii="Book Antiqua" w:eastAsia="Book Antiqua" w:hAnsi="Book Antiqua" w:cs="Book Antiqua"/>
        </w:rPr>
        <w:t>Nourbakhsh</w:t>
      </w:r>
      <w:proofErr w:type="spellEnd"/>
      <w:r w:rsidRPr="00A04234">
        <w:rPr>
          <w:rFonts w:ascii="Book Antiqua" w:eastAsia="Book Antiqua" w:hAnsi="Book Antiqua" w:cs="Book Antiqua"/>
        </w:rPr>
        <w:t xml:space="preserve"> E, Wani S, Wilson PJ, Markham E, </w:t>
      </w:r>
      <w:proofErr w:type="spellStart"/>
      <w:r w:rsidRPr="00A04234">
        <w:rPr>
          <w:rFonts w:ascii="Book Antiqua" w:eastAsia="Book Antiqua" w:hAnsi="Book Antiqua" w:cs="Book Antiqua"/>
        </w:rPr>
        <w:t>Cloonan</w:t>
      </w:r>
      <w:proofErr w:type="spellEnd"/>
      <w:r w:rsidRPr="00A04234">
        <w:rPr>
          <w:rFonts w:ascii="Book Antiqua" w:eastAsia="Book Antiqua" w:hAnsi="Book Antiqua" w:cs="Book Antiqua"/>
        </w:rPr>
        <w:t xml:space="preserve"> N, Anderson MJ, Fink JL, Holmes O, </w:t>
      </w:r>
      <w:proofErr w:type="spellStart"/>
      <w:r w:rsidRPr="00A04234">
        <w:rPr>
          <w:rFonts w:ascii="Book Antiqua" w:eastAsia="Book Antiqua" w:hAnsi="Book Antiqua" w:cs="Book Antiqua"/>
        </w:rPr>
        <w:t>Kazakoff</w:t>
      </w:r>
      <w:proofErr w:type="spellEnd"/>
      <w:r w:rsidRPr="00A04234">
        <w:rPr>
          <w:rFonts w:ascii="Book Antiqua" w:eastAsia="Book Antiqua" w:hAnsi="Book Antiqua" w:cs="Book Antiqua"/>
        </w:rPr>
        <w:t xml:space="preserve"> SH, Leonard C, Newell F, Poudel B, Song S, Taylor D, Waddell N, Wood S, Xu Q, Wu J, </w:t>
      </w:r>
      <w:proofErr w:type="spellStart"/>
      <w:r w:rsidRPr="00A04234">
        <w:rPr>
          <w:rFonts w:ascii="Book Antiqua" w:eastAsia="Book Antiqua" w:hAnsi="Book Antiqua" w:cs="Book Antiqua"/>
        </w:rPr>
        <w:t>Pinese</w:t>
      </w:r>
      <w:proofErr w:type="spellEnd"/>
      <w:r w:rsidRPr="00A04234">
        <w:rPr>
          <w:rFonts w:ascii="Book Antiqua" w:eastAsia="Book Antiqua" w:hAnsi="Book Antiqua" w:cs="Book Antiqua"/>
        </w:rPr>
        <w:t xml:space="preserve"> M, Cowley MJ, Lee HC, Jones MD, </w:t>
      </w:r>
      <w:proofErr w:type="spellStart"/>
      <w:r w:rsidRPr="00A04234">
        <w:rPr>
          <w:rFonts w:ascii="Book Antiqua" w:eastAsia="Book Antiqua" w:hAnsi="Book Antiqua" w:cs="Book Antiqua"/>
        </w:rPr>
        <w:t>Nagrial</w:t>
      </w:r>
      <w:proofErr w:type="spellEnd"/>
      <w:r w:rsidRPr="00A04234">
        <w:rPr>
          <w:rFonts w:ascii="Book Antiqua" w:eastAsia="Book Antiqua" w:hAnsi="Book Antiqua" w:cs="Book Antiqua"/>
        </w:rPr>
        <w:t xml:space="preserve"> AM, </w:t>
      </w:r>
      <w:proofErr w:type="spellStart"/>
      <w:r w:rsidRPr="00A04234">
        <w:rPr>
          <w:rFonts w:ascii="Book Antiqua" w:eastAsia="Book Antiqua" w:hAnsi="Book Antiqua" w:cs="Book Antiqua"/>
        </w:rPr>
        <w:t>Humphris</w:t>
      </w:r>
      <w:proofErr w:type="spellEnd"/>
      <w:r w:rsidRPr="00A04234">
        <w:rPr>
          <w:rFonts w:ascii="Book Antiqua" w:eastAsia="Book Antiqua" w:hAnsi="Book Antiqua" w:cs="Book Antiqua"/>
        </w:rPr>
        <w:t xml:space="preserve"> J, </w:t>
      </w:r>
      <w:proofErr w:type="spellStart"/>
      <w:r w:rsidRPr="00A04234">
        <w:rPr>
          <w:rFonts w:ascii="Book Antiqua" w:eastAsia="Book Antiqua" w:hAnsi="Book Antiqua" w:cs="Book Antiqua"/>
        </w:rPr>
        <w:t>Chantrill</w:t>
      </w:r>
      <w:proofErr w:type="spellEnd"/>
      <w:r w:rsidRPr="00A04234">
        <w:rPr>
          <w:rFonts w:ascii="Book Antiqua" w:eastAsia="Book Antiqua" w:hAnsi="Book Antiqua" w:cs="Book Antiqua"/>
        </w:rPr>
        <w:t xml:space="preserve"> LA, Chin V, Steinmann AM, Mawson A, Humphrey ES, Colvin EK, Chou A, Scarlett CJ, </w:t>
      </w:r>
      <w:proofErr w:type="spellStart"/>
      <w:r w:rsidRPr="00A04234">
        <w:rPr>
          <w:rFonts w:ascii="Book Antiqua" w:eastAsia="Book Antiqua" w:hAnsi="Book Antiqua" w:cs="Book Antiqua"/>
        </w:rPr>
        <w:t>Pinho</w:t>
      </w:r>
      <w:proofErr w:type="spellEnd"/>
      <w:r w:rsidRPr="00A04234">
        <w:rPr>
          <w:rFonts w:ascii="Book Antiqua" w:eastAsia="Book Antiqua" w:hAnsi="Book Antiqua" w:cs="Book Antiqua"/>
        </w:rPr>
        <w:t xml:space="preserve"> AV, </w:t>
      </w:r>
      <w:proofErr w:type="spellStart"/>
      <w:r w:rsidRPr="00A04234">
        <w:rPr>
          <w:rFonts w:ascii="Book Antiqua" w:eastAsia="Book Antiqua" w:hAnsi="Book Antiqua" w:cs="Book Antiqua"/>
        </w:rPr>
        <w:t>Giry-Laterriere</w:t>
      </w:r>
      <w:proofErr w:type="spellEnd"/>
      <w:r w:rsidRPr="00A04234">
        <w:rPr>
          <w:rFonts w:ascii="Book Antiqua" w:eastAsia="Book Antiqua" w:hAnsi="Book Antiqua" w:cs="Book Antiqua"/>
        </w:rPr>
        <w:t xml:space="preserve"> M, </w:t>
      </w:r>
      <w:proofErr w:type="spellStart"/>
      <w:r w:rsidRPr="00A04234">
        <w:rPr>
          <w:rFonts w:ascii="Book Antiqua" w:eastAsia="Book Antiqua" w:hAnsi="Book Antiqua" w:cs="Book Antiqua"/>
        </w:rPr>
        <w:t>Rooman</w:t>
      </w:r>
      <w:proofErr w:type="spellEnd"/>
      <w:r w:rsidRPr="00A04234">
        <w:rPr>
          <w:rFonts w:ascii="Book Antiqua" w:eastAsia="Book Antiqua" w:hAnsi="Book Antiqua" w:cs="Book Antiqua"/>
        </w:rPr>
        <w:t xml:space="preserve"> I, </w:t>
      </w:r>
      <w:proofErr w:type="spellStart"/>
      <w:r w:rsidRPr="00A04234">
        <w:rPr>
          <w:rFonts w:ascii="Book Antiqua" w:eastAsia="Book Antiqua" w:hAnsi="Book Antiqua" w:cs="Book Antiqua"/>
        </w:rPr>
        <w:t>Samra</w:t>
      </w:r>
      <w:proofErr w:type="spellEnd"/>
      <w:r w:rsidRPr="00A04234">
        <w:rPr>
          <w:rFonts w:ascii="Book Antiqua" w:eastAsia="Book Antiqua" w:hAnsi="Book Antiqua" w:cs="Book Antiqua"/>
        </w:rPr>
        <w:t xml:space="preserve"> JS, Kench JG, Pettitt JA, Merrett ND, Toon C, </w:t>
      </w:r>
      <w:proofErr w:type="spellStart"/>
      <w:r w:rsidRPr="00A04234">
        <w:rPr>
          <w:rFonts w:ascii="Book Antiqua" w:eastAsia="Book Antiqua" w:hAnsi="Book Antiqua" w:cs="Book Antiqua"/>
        </w:rPr>
        <w:t>Epari</w:t>
      </w:r>
      <w:proofErr w:type="spellEnd"/>
      <w:r w:rsidRPr="00A04234">
        <w:rPr>
          <w:rFonts w:ascii="Book Antiqua" w:eastAsia="Book Antiqua" w:hAnsi="Book Antiqua" w:cs="Book Antiqua"/>
        </w:rPr>
        <w:t xml:space="preserve"> K, Nguyen NQ, Barbour A, Zeps N, Jamieson NB, Graham JS, </w:t>
      </w:r>
      <w:proofErr w:type="spellStart"/>
      <w:r w:rsidRPr="00A04234">
        <w:rPr>
          <w:rFonts w:ascii="Book Antiqua" w:eastAsia="Book Antiqua" w:hAnsi="Book Antiqua" w:cs="Book Antiqua"/>
        </w:rPr>
        <w:t>Niclou</w:t>
      </w:r>
      <w:proofErr w:type="spellEnd"/>
      <w:r w:rsidRPr="00A04234">
        <w:rPr>
          <w:rFonts w:ascii="Book Antiqua" w:eastAsia="Book Antiqua" w:hAnsi="Book Antiqua" w:cs="Book Antiqua"/>
        </w:rPr>
        <w:t xml:space="preserve"> SP, </w:t>
      </w:r>
      <w:proofErr w:type="spellStart"/>
      <w:r w:rsidRPr="00A04234">
        <w:rPr>
          <w:rFonts w:ascii="Book Antiqua" w:eastAsia="Book Antiqua" w:hAnsi="Book Antiqua" w:cs="Book Antiqua"/>
        </w:rPr>
        <w:t>Bjerkvig</w:t>
      </w:r>
      <w:proofErr w:type="spellEnd"/>
      <w:r w:rsidRPr="00A04234">
        <w:rPr>
          <w:rFonts w:ascii="Book Antiqua" w:eastAsia="Book Antiqua" w:hAnsi="Book Antiqua" w:cs="Book Antiqua"/>
        </w:rPr>
        <w:t xml:space="preserve"> R, </w:t>
      </w:r>
      <w:proofErr w:type="spellStart"/>
      <w:r w:rsidRPr="00A04234">
        <w:rPr>
          <w:rFonts w:ascii="Book Antiqua" w:eastAsia="Book Antiqua" w:hAnsi="Book Antiqua" w:cs="Book Antiqua"/>
        </w:rPr>
        <w:t>Grützmann</w:t>
      </w:r>
      <w:proofErr w:type="spellEnd"/>
      <w:r w:rsidRPr="00A04234">
        <w:rPr>
          <w:rFonts w:ascii="Book Antiqua" w:eastAsia="Book Antiqua" w:hAnsi="Book Antiqua" w:cs="Book Antiqua"/>
        </w:rPr>
        <w:t xml:space="preserve"> R, </w:t>
      </w:r>
      <w:proofErr w:type="spellStart"/>
      <w:r w:rsidRPr="00A04234">
        <w:rPr>
          <w:rFonts w:ascii="Book Antiqua" w:eastAsia="Book Antiqua" w:hAnsi="Book Antiqua" w:cs="Book Antiqua"/>
        </w:rPr>
        <w:t>Aust</w:t>
      </w:r>
      <w:proofErr w:type="spellEnd"/>
      <w:r w:rsidRPr="00A04234">
        <w:rPr>
          <w:rFonts w:ascii="Book Antiqua" w:eastAsia="Book Antiqua" w:hAnsi="Book Antiqua" w:cs="Book Antiqua"/>
        </w:rPr>
        <w:t xml:space="preserve"> D, </w:t>
      </w:r>
      <w:proofErr w:type="spellStart"/>
      <w:r w:rsidRPr="00A04234">
        <w:rPr>
          <w:rFonts w:ascii="Book Antiqua" w:eastAsia="Book Antiqua" w:hAnsi="Book Antiqua" w:cs="Book Antiqua"/>
        </w:rPr>
        <w:t>Hruban</w:t>
      </w:r>
      <w:proofErr w:type="spellEnd"/>
      <w:r w:rsidRPr="00A04234">
        <w:rPr>
          <w:rFonts w:ascii="Book Antiqua" w:eastAsia="Book Antiqua" w:hAnsi="Book Antiqua" w:cs="Book Antiqua"/>
        </w:rPr>
        <w:t xml:space="preserve"> RH, Maitra A, </w:t>
      </w:r>
      <w:proofErr w:type="spellStart"/>
      <w:r w:rsidRPr="00A04234">
        <w:rPr>
          <w:rFonts w:ascii="Book Antiqua" w:eastAsia="Book Antiqua" w:hAnsi="Book Antiqua" w:cs="Book Antiqua"/>
        </w:rPr>
        <w:t>Iacobuzio</w:t>
      </w:r>
      <w:proofErr w:type="spellEnd"/>
      <w:r w:rsidRPr="00A04234">
        <w:rPr>
          <w:rFonts w:ascii="Book Antiqua" w:eastAsia="Book Antiqua" w:hAnsi="Book Antiqua" w:cs="Book Antiqua"/>
        </w:rPr>
        <w:t xml:space="preserve">-Donahue CA, Wolfgang CL, Morgan RA, Lawlor RT, </w:t>
      </w:r>
      <w:proofErr w:type="spellStart"/>
      <w:r w:rsidRPr="00A04234">
        <w:rPr>
          <w:rFonts w:ascii="Book Antiqua" w:eastAsia="Book Antiqua" w:hAnsi="Book Antiqua" w:cs="Book Antiqua"/>
        </w:rPr>
        <w:t>Corbo</w:t>
      </w:r>
      <w:proofErr w:type="spellEnd"/>
      <w:r w:rsidRPr="00A04234">
        <w:rPr>
          <w:rFonts w:ascii="Book Antiqua" w:eastAsia="Book Antiqua" w:hAnsi="Book Antiqua" w:cs="Book Antiqua"/>
        </w:rPr>
        <w:t xml:space="preserve"> V, </w:t>
      </w:r>
      <w:proofErr w:type="spellStart"/>
      <w:r w:rsidRPr="00A04234">
        <w:rPr>
          <w:rFonts w:ascii="Book Antiqua" w:eastAsia="Book Antiqua" w:hAnsi="Book Antiqua" w:cs="Book Antiqua"/>
        </w:rPr>
        <w:t>Bassi</w:t>
      </w:r>
      <w:proofErr w:type="spellEnd"/>
      <w:r w:rsidRPr="00A04234">
        <w:rPr>
          <w:rFonts w:ascii="Book Antiqua" w:eastAsia="Book Antiqua" w:hAnsi="Book Antiqua" w:cs="Book Antiqua"/>
        </w:rPr>
        <w:t xml:space="preserve"> C, </w:t>
      </w:r>
      <w:proofErr w:type="spellStart"/>
      <w:r w:rsidRPr="00A04234">
        <w:rPr>
          <w:rFonts w:ascii="Book Antiqua" w:eastAsia="Book Antiqua" w:hAnsi="Book Antiqua" w:cs="Book Antiqua"/>
        </w:rPr>
        <w:t>Falconi</w:t>
      </w:r>
      <w:proofErr w:type="spellEnd"/>
      <w:r w:rsidRPr="00A04234">
        <w:rPr>
          <w:rFonts w:ascii="Book Antiqua" w:eastAsia="Book Antiqua" w:hAnsi="Book Antiqua" w:cs="Book Antiqua"/>
        </w:rPr>
        <w:t xml:space="preserve"> M, Zamboni G, </w:t>
      </w:r>
      <w:proofErr w:type="spellStart"/>
      <w:r w:rsidRPr="00A04234">
        <w:rPr>
          <w:rFonts w:ascii="Book Antiqua" w:eastAsia="Book Antiqua" w:hAnsi="Book Antiqua" w:cs="Book Antiqua"/>
        </w:rPr>
        <w:t>Tortora</w:t>
      </w:r>
      <w:proofErr w:type="spellEnd"/>
      <w:r w:rsidRPr="00A04234">
        <w:rPr>
          <w:rFonts w:ascii="Book Antiqua" w:eastAsia="Book Antiqua" w:hAnsi="Book Antiqua" w:cs="Book Antiqua"/>
        </w:rPr>
        <w:t xml:space="preserve"> G, </w:t>
      </w:r>
      <w:proofErr w:type="spellStart"/>
      <w:r w:rsidRPr="00A04234">
        <w:rPr>
          <w:rFonts w:ascii="Book Antiqua" w:eastAsia="Book Antiqua" w:hAnsi="Book Antiqua" w:cs="Book Antiqua"/>
        </w:rPr>
        <w:t>Tempero</w:t>
      </w:r>
      <w:proofErr w:type="spellEnd"/>
      <w:r w:rsidRPr="00A04234">
        <w:rPr>
          <w:rFonts w:ascii="Book Antiqua" w:eastAsia="Book Antiqua" w:hAnsi="Book Antiqua" w:cs="Book Antiqua"/>
        </w:rPr>
        <w:t xml:space="preserve"> MA; Australian Pancreatic Cancer Genome Initiative, Gill AJ, </w:t>
      </w:r>
      <w:proofErr w:type="spellStart"/>
      <w:r w:rsidRPr="00A04234">
        <w:rPr>
          <w:rFonts w:ascii="Book Antiqua" w:eastAsia="Book Antiqua" w:hAnsi="Book Antiqua" w:cs="Book Antiqua"/>
        </w:rPr>
        <w:t>Eshleman</w:t>
      </w:r>
      <w:proofErr w:type="spellEnd"/>
      <w:r w:rsidRPr="00A04234">
        <w:rPr>
          <w:rFonts w:ascii="Book Antiqua" w:eastAsia="Book Antiqua" w:hAnsi="Book Antiqua" w:cs="Book Antiqua"/>
        </w:rPr>
        <w:t xml:space="preserve"> JR, </w:t>
      </w:r>
      <w:proofErr w:type="spellStart"/>
      <w:r w:rsidRPr="00A04234">
        <w:rPr>
          <w:rFonts w:ascii="Book Antiqua" w:eastAsia="Book Antiqua" w:hAnsi="Book Antiqua" w:cs="Book Antiqua"/>
        </w:rPr>
        <w:t>Pilarsky</w:t>
      </w:r>
      <w:proofErr w:type="spellEnd"/>
      <w:r w:rsidRPr="00A04234">
        <w:rPr>
          <w:rFonts w:ascii="Book Antiqua" w:eastAsia="Book Antiqua" w:hAnsi="Book Antiqua" w:cs="Book Antiqua"/>
        </w:rPr>
        <w:t xml:space="preserve"> C, </w:t>
      </w:r>
      <w:proofErr w:type="spellStart"/>
      <w:r w:rsidRPr="00A04234">
        <w:rPr>
          <w:rFonts w:ascii="Book Antiqua" w:eastAsia="Book Antiqua" w:hAnsi="Book Antiqua" w:cs="Book Antiqua"/>
        </w:rPr>
        <w:t>Scarpa</w:t>
      </w:r>
      <w:proofErr w:type="spellEnd"/>
      <w:r w:rsidRPr="00A04234">
        <w:rPr>
          <w:rFonts w:ascii="Book Antiqua" w:eastAsia="Book Antiqua" w:hAnsi="Book Antiqua" w:cs="Book Antiqua"/>
        </w:rPr>
        <w:t xml:space="preserve"> A, Musgrove EA, Pearson JV, </w:t>
      </w:r>
      <w:proofErr w:type="spellStart"/>
      <w:r w:rsidRPr="00A04234">
        <w:rPr>
          <w:rFonts w:ascii="Book Antiqua" w:eastAsia="Book Antiqua" w:hAnsi="Book Antiqua" w:cs="Book Antiqua"/>
        </w:rPr>
        <w:t>Biankin</w:t>
      </w:r>
      <w:proofErr w:type="spellEnd"/>
      <w:r w:rsidRPr="00A04234">
        <w:rPr>
          <w:rFonts w:ascii="Book Antiqua" w:eastAsia="Book Antiqua" w:hAnsi="Book Antiqua" w:cs="Book Antiqua"/>
        </w:rPr>
        <w:t xml:space="preserve"> AV, </w:t>
      </w:r>
      <w:proofErr w:type="spellStart"/>
      <w:r w:rsidRPr="00A04234">
        <w:rPr>
          <w:rFonts w:ascii="Book Antiqua" w:eastAsia="Book Antiqua" w:hAnsi="Book Antiqua" w:cs="Book Antiqua"/>
        </w:rPr>
        <w:t>Grimmond</w:t>
      </w:r>
      <w:proofErr w:type="spellEnd"/>
      <w:r w:rsidRPr="00A04234">
        <w:rPr>
          <w:rFonts w:ascii="Book Antiqua" w:eastAsia="Book Antiqua" w:hAnsi="Book Antiqua" w:cs="Book Antiqua"/>
        </w:rPr>
        <w:t xml:space="preserve"> SM. Whole genomes redefine the mutational landscape of pancreatic cancer. </w:t>
      </w:r>
      <w:r w:rsidRPr="00A04234">
        <w:rPr>
          <w:rFonts w:ascii="Book Antiqua" w:eastAsia="Book Antiqua" w:hAnsi="Book Antiqua" w:cs="Book Antiqua"/>
          <w:i/>
          <w:iCs/>
        </w:rPr>
        <w:t>Nature</w:t>
      </w:r>
      <w:r w:rsidRPr="00A04234">
        <w:rPr>
          <w:rFonts w:ascii="Book Antiqua" w:eastAsia="Book Antiqua" w:hAnsi="Book Antiqua" w:cs="Book Antiqua"/>
        </w:rPr>
        <w:t xml:space="preserve"> 2015; </w:t>
      </w:r>
      <w:r w:rsidRPr="00A04234">
        <w:rPr>
          <w:rFonts w:ascii="Book Antiqua" w:eastAsia="Book Antiqua" w:hAnsi="Book Antiqua" w:cs="Book Antiqua"/>
          <w:b/>
          <w:bCs/>
        </w:rPr>
        <w:t>518</w:t>
      </w:r>
      <w:r w:rsidRPr="00A04234">
        <w:rPr>
          <w:rFonts w:ascii="Book Antiqua" w:eastAsia="Book Antiqua" w:hAnsi="Book Antiqua" w:cs="Book Antiqua"/>
        </w:rPr>
        <w:t>: 495-501 [PMID: 25719666 DOI: 10.1038/nature14169]</w:t>
      </w:r>
    </w:p>
    <w:p w14:paraId="17B2B68F"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12 </w:t>
      </w:r>
      <w:proofErr w:type="spellStart"/>
      <w:r w:rsidRPr="00A04234">
        <w:rPr>
          <w:rFonts w:ascii="Book Antiqua" w:eastAsia="Book Antiqua" w:hAnsi="Book Antiqua" w:cs="Book Antiqua"/>
          <w:b/>
          <w:bCs/>
        </w:rPr>
        <w:t>Singhi</w:t>
      </w:r>
      <w:proofErr w:type="spellEnd"/>
      <w:r w:rsidRPr="00A04234">
        <w:rPr>
          <w:rFonts w:ascii="Book Antiqua" w:eastAsia="Book Antiqua" w:hAnsi="Book Antiqua" w:cs="Book Antiqua"/>
          <w:b/>
          <w:bCs/>
        </w:rPr>
        <w:t xml:space="preserve"> AD</w:t>
      </w:r>
      <w:r w:rsidRPr="00A04234">
        <w:rPr>
          <w:rFonts w:ascii="Book Antiqua" w:eastAsia="Book Antiqua" w:hAnsi="Book Antiqua" w:cs="Book Antiqua"/>
        </w:rPr>
        <w:t xml:space="preserve">, George B, </w:t>
      </w:r>
      <w:proofErr w:type="spellStart"/>
      <w:r w:rsidRPr="00A04234">
        <w:rPr>
          <w:rFonts w:ascii="Book Antiqua" w:eastAsia="Book Antiqua" w:hAnsi="Book Antiqua" w:cs="Book Antiqua"/>
        </w:rPr>
        <w:t>Greenbowe</w:t>
      </w:r>
      <w:proofErr w:type="spellEnd"/>
      <w:r w:rsidRPr="00A04234">
        <w:rPr>
          <w:rFonts w:ascii="Book Antiqua" w:eastAsia="Book Antiqua" w:hAnsi="Book Antiqua" w:cs="Book Antiqua"/>
        </w:rPr>
        <w:t xml:space="preserve"> JR, Chung J, Suh J, Maitra A, </w:t>
      </w:r>
      <w:proofErr w:type="spellStart"/>
      <w:r w:rsidRPr="00A04234">
        <w:rPr>
          <w:rFonts w:ascii="Book Antiqua" w:eastAsia="Book Antiqua" w:hAnsi="Book Antiqua" w:cs="Book Antiqua"/>
        </w:rPr>
        <w:t>Klempner</w:t>
      </w:r>
      <w:proofErr w:type="spellEnd"/>
      <w:r w:rsidRPr="00A04234">
        <w:rPr>
          <w:rFonts w:ascii="Book Antiqua" w:eastAsia="Book Antiqua" w:hAnsi="Book Antiqua" w:cs="Book Antiqua"/>
        </w:rPr>
        <w:t xml:space="preserve"> SJ, </w:t>
      </w:r>
      <w:proofErr w:type="spellStart"/>
      <w:r w:rsidRPr="00A04234">
        <w:rPr>
          <w:rFonts w:ascii="Book Antiqua" w:eastAsia="Book Antiqua" w:hAnsi="Book Antiqua" w:cs="Book Antiqua"/>
        </w:rPr>
        <w:t>Hendifar</w:t>
      </w:r>
      <w:proofErr w:type="spellEnd"/>
      <w:r w:rsidRPr="00A04234">
        <w:rPr>
          <w:rFonts w:ascii="Book Antiqua" w:eastAsia="Book Antiqua" w:hAnsi="Book Antiqua" w:cs="Book Antiqua"/>
        </w:rPr>
        <w:t xml:space="preserve"> A, Milind JM, Golan T, Brand RE, </w:t>
      </w:r>
      <w:proofErr w:type="spellStart"/>
      <w:r w:rsidRPr="00A04234">
        <w:rPr>
          <w:rFonts w:ascii="Book Antiqua" w:eastAsia="Book Antiqua" w:hAnsi="Book Antiqua" w:cs="Book Antiqua"/>
        </w:rPr>
        <w:t>Zureikat</w:t>
      </w:r>
      <w:proofErr w:type="spellEnd"/>
      <w:r w:rsidRPr="00A04234">
        <w:rPr>
          <w:rFonts w:ascii="Book Antiqua" w:eastAsia="Book Antiqua" w:hAnsi="Book Antiqua" w:cs="Book Antiqua"/>
        </w:rPr>
        <w:t xml:space="preserve"> AH, Roy S, Schrock AB, Miller VA, Ross JS, Ali SM, </w:t>
      </w:r>
      <w:proofErr w:type="spellStart"/>
      <w:r w:rsidRPr="00A04234">
        <w:rPr>
          <w:rFonts w:ascii="Book Antiqua" w:eastAsia="Book Antiqua" w:hAnsi="Book Antiqua" w:cs="Book Antiqua"/>
        </w:rPr>
        <w:t>Bahary</w:t>
      </w:r>
      <w:proofErr w:type="spellEnd"/>
      <w:r w:rsidRPr="00A04234">
        <w:rPr>
          <w:rFonts w:ascii="Book Antiqua" w:eastAsia="Book Antiqua" w:hAnsi="Book Antiqua" w:cs="Book Antiqua"/>
        </w:rPr>
        <w:t xml:space="preserve"> N. Real-Time Targeted Genome Profile Analysis of Pancreatic Ductal Adenocarcinomas Identifies Genetic Alterations That Might Be Targeted With Existing Drugs or Used as Biomarkers. </w:t>
      </w:r>
      <w:r w:rsidRPr="00A04234">
        <w:rPr>
          <w:rFonts w:ascii="Book Antiqua" w:eastAsia="Book Antiqua" w:hAnsi="Book Antiqua" w:cs="Book Antiqua"/>
          <w:i/>
          <w:iCs/>
        </w:rPr>
        <w:t>Gastroenterology</w:t>
      </w:r>
      <w:r w:rsidRPr="00A04234">
        <w:rPr>
          <w:rFonts w:ascii="Book Antiqua" w:eastAsia="Book Antiqua" w:hAnsi="Book Antiqua" w:cs="Book Antiqua"/>
        </w:rPr>
        <w:t xml:space="preserve"> 2019; </w:t>
      </w:r>
      <w:r w:rsidRPr="00A04234">
        <w:rPr>
          <w:rFonts w:ascii="Book Antiqua" w:eastAsia="Book Antiqua" w:hAnsi="Book Antiqua" w:cs="Book Antiqua"/>
          <w:b/>
          <w:bCs/>
        </w:rPr>
        <w:t>156</w:t>
      </w:r>
      <w:r w:rsidRPr="00A04234">
        <w:rPr>
          <w:rFonts w:ascii="Book Antiqua" w:eastAsia="Book Antiqua" w:hAnsi="Book Antiqua" w:cs="Book Antiqua"/>
        </w:rPr>
        <w:t>: 2242-2253.e4 [PMID: 30836094 DOI: 10.1053/j.gastro.2019.02.037]</w:t>
      </w:r>
    </w:p>
    <w:p w14:paraId="3E12417C"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13 </w:t>
      </w:r>
      <w:r w:rsidRPr="00A04234">
        <w:rPr>
          <w:rFonts w:ascii="Book Antiqua" w:eastAsia="Book Antiqua" w:hAnsi="Book Antiqua" w:cs="Book Antiqua"/>
          <w:b/>
          <w:bCs/>
        </w:rPr>
        <w:t>Aguirre AJ</w:t>
      </w:r>
      <w:r w:rsidRPr="00A04234">
        <w:rPr>
          <w:rFonts w:ascii="Book Antiqua" w:eastAsia="Book Antiqua" w:hAnsi="Book Antiqua" w:cs="Book Antiqua"/>
        </w:rPr>
        <w:t xml:space="preserve">, Nowak JA, </w:t>
      </w:r>
      <w:proofErr w:type="spellStart"/>
      <w:r w:rsidRPr="00A04234">
        <w:rPr>
          <w:rFonts w:ascii="Book Antiqua" w:eastAsia="Book Antiqua" w:hAnsi="Book Antiqua" w:cs="Book Antiqua"/>
        </w:rPr>
        <w:t>Camarda</w:t>
      </w:r>
      <w:proofErr w:type="spellEnd"/>
      <w:r w:rsidRPr="00A04234">
        <w:rPr>
          <w:rFonts w:ascii="Book Antiqua" w:eastAsia="Book Antiqua" w:hAnsi="Book Antiqua" w:cs="Book Antiqua"/>
        </w:rPr>
        <w:t xml:space="preserve"> ND, Moffitt RA, </w:t>
      </w:r>
      <w:proofErr w:type="spellStart"/>
      <w:r w:rsidRPr="00A04234">
        <w:rPr>
          <w:rFonts w:ascii="Book Antiqua" w:eastAsia="Book Antiqua" w:hAnsi="Book Antiqua" w:cs="Book Antiqua"/>
        </w:rPr>
        <w:t>Ghazani</w:t>
      </w:r>
      <w:proofErr w:type="spellEnd"/>
      <w:r w:rsidRPr="00A04234">
        <w:rPr>
          <w:rFonts w:ascii="Book Antiqua" w:eastAsia="Book Antiqua" w:hAnsi="Book Antiqua" w:cs="Book Antiqua"/>
        </w:rPr>
        <w:t xml:space="preserve"> AA, </w:t>
      </w:r>
      <w:proofErr w:type="spellStart"/>
      <w:r w:rsidRPr="00A04234">
        <w:rPr>
          <w:rFonts w:ascii="Book Antiqua" w:eastAsia="Book Antiqua" w:hAnsi="Book Antiqua" w:cs="Book Antiqua"/>
        </w:rPr>
        <w:t>Hazar-Rethinam</w:t>
      </w:r>
      <w:proofErr w:type="spellEnd"/>
      <w:r w:rsidRPr="00A04234">
        <w:rPr>
          <w:rFonts w:ascii="Book Antiqua" w:eastAsia="Book Antiqua" w:hAnsi="Book Antiqua" w:cs="Book Antiqua"/>
        </w:rPr>
        <w:t xml:space="preserve"> M, Raghavan S, Kim J, </w:t>
      </w:r>
      <w:proofErr w:type="spellStart"/>
      <w:r w:rsidRPr="00A04234">
        <w:rPr>
          <w:rFonts w:ascii="Book Antiqua" w:eastAsia="Book Antiqua" w:hAnsi="Book Antiqua" w:cs="Book Antiqua"/>
        </w:rPr>
        <w:t>Brais</w:t>
      </w:r>
      <w:proofErr w:type="spellEnd"/>
      <w:r w:rsidRPr="00A04234">
        <w:rPr>
          <w:rFonts w:ascii="Book Antiqua" w:eastAsia="Book Antiqua" w:hAnsi="Book Antiqua" w:cs="Book Antiqua"/>
        </w:rPr>
        <w:t xml:space="preserve"> LK, </w:t>
      </w:r>
      <w:proofErr w:type="spellStart"/>
      <w:r w:rsidRPr="00A04234">
        <w:rPr>
          <w:rFonts w:ascii="Book Antiqua" w:eastAsia="Book Antiqua" w:hAnsi="Book Antiqua" w:cs="Book Antiqua"/>
        </w:rPr>
        <w:t>Ragon</w:t>
      </w:r>
      <w:proofErr w:type="spellEnd"/>
      <w:r w:rsidRPr="00A04234">
        <w:rPr>
          <w:rFonts w:ascii="Book Antiqua" w:eastAsia="Book Antiqua" w:hAnsi="Book Antiqua" w:cs="Book Antiqua"/>
        </w:rPr>
        <w:t xml:space="preserve"> D, Welch MW, Reilly E, McCabe D, Marini L, </w:t>
      </w:r>
      <w:proofErr w:type="spellStart"/>
      <w:r w:rsidRPr="00A04234">
        <w:rPr>
          <w:rFonts w:ascii="Book Antiqua" w:eastAsia="Book Antiqua" w:hAnsi="Book Antiqua" w:cs="Book Antiqua"/>
        </w:rPr>
        <w:t>Anderka</w:t>
      </w:r>
      <w:proofErr w:type="spellEnd"/>
      <w:r w:rsidRPr="00A04234">
        <w:rPr>
          <w:rFonts w:ascii="Book Antiqua" w:eastAsia="Book Antiqua" w:hAnsi="Book Antiqua" w:cs="Book Antiqua"/>
        </w:rPr>
        <w:t xml:space="preserve"> K, </w:t>
      </w:r>
      <w:proofErr w:type="spellStart"/>
      <w:r w:rsidRPr="00A04234">
        <w:rPr>
          <w:rFonts w:ascii="Book Antiqua" w:eastAsia="Book Antiqua" w:hAnsi="Book Antiqua" w:cs="Book Antiqua"/>
        </w:rPr>
        <w:t>Helvie</w:t>
      </w:r>
      <w:proofErr w:type="spellEnd"/>
      <w:r w:rsidRPr="00A04234">
        <w:rPr>
          <w:rFonts w:ascii="Book Antiqua" w:eastAsia="Book Antiqua" w:hAnsi="Book Antiqua" w:cs="Book Antiqua"/>
        </w:rPr>
        <w:t xml:space="preserve"> K, Oliver N, Babic A, Da Silva A, </w:t>
      </w:r>
      <w:proofErr w:type="spellStart"/>
      <w:r w:rsidRPr="00A04234">
        <w:rPr>
          <w:rFonts w:ascii="Book Antiqua" w:eastAsia="Book Antiqua" w:hAnsi="Book Antiqua" w:cs="Book Antiqua"/>
        </w:rPr>
        <w:t>Nadres</w:t>
      </w:r>
      <w:proofErr w:type="spellEnd"/>
      <w:r w:rsidRPr="00A04234">
        <w:rPr>
          <w:rFonts w:ascii="Book Antiqua" w:eastAsia="Book Antiqua" w:hAnsi="Book Antiqua" w:cs="Book Antiqua"/>
        </w:rPr>
        <w:t xml:space="preserve"> B, Van </w:t>
      </w:r>
      <w:proofErr w:type="spellStart"/>
      <w:r w:rsidRPr="00A04234">
        <w:rPr>
          <w:rFonts w:ascii="Book Antiqua" w:eastAsia="Book Antiqua" w:hAnsi="Book Antiqua" w:cs="Book Antiqua"/>
        </w:rPr>
        <w:t>Seventer</w:t>
      </w:r>
      <w:proofErr w:type="spellEnd"/>
      <w:r w:rsidRPr="00A04234">
        <w:rPr>
          <w:rFonts w:ascii="Book Antiqua" w:eastAsia="Book Antiqua" w:hAnsi="Book Antiqua" w:cs="Book Antiqua"/>
        </w:rPr>
        <w:t xml:space="preserve"> EE, </w:t>
      </w:r>
      <w:proofErr w:type="spellStart"/>
      <w:r w:rsidRPr="00A04234">
        <w:rPr>
          <w:rFonts w:ascii="Book Antiqua" w:eastAsia="Book Antiqua" w:hAnsi="Book Antiqua" w:cs="Book Antiqua"/>
        </w:rPr>
        <w:t>Shahzade</w:t>
      </w:r>
      <w:proofErr w:type="spellEnd"/>
      <w:r w:rsidRPr="00A04234">
        <w:rPr>
          <w:rFonts w:ascii="Book Antiqua" w:eastAsia="Book Antiqua" w:hAnsi="Book Antiqua" w:cs="Book Antiqua"/>
        </w:rPr>
        <w:t xml:space="preserve"> HA, St Pierre JP, Burke KP, Clancy T, Cleary JM, Doyle LA, </w:t>
      </w:r>
      <w:proofErr w:type="spellStart"/>
      <w:r w:rsidRPr="00A04234">
        <w:rPr>
          <w:rFonts w:ascii="Book Antiqua" w:eastAsia="Book Antiqua" w:hAnsi="Book Antiqua" w:cs="Book Antiqua"/>
        </w:rPr>
        <w:t>Jajoo</w:t>
      </w:r>
      <w:proofErr w:type="spellEnd"/>
      <w:r w:rsidRPr="00A04234">
        <w:rPr>
          <w:rFonts w:ascii="Book Antiqua" w:eastAsia="Book Antiqua" w:hAnsi="Book Antiqua" w:cs="Book Antiqua"/>
        </w:rPr>
        <w:t xml:space="preserve"> K, </w:t>
      </w:r>
      <w:proofErr w:type="spellStart"/>
      <w:r w:rsidRPr="00A04234">
        <w:rPr>
          <w:rFonts w:ascii="Book Antiqua" w:eastAsia="Book Antiqua" w:hAnsi="Book Antiqua" w:cs="Book Antiqua"/>
        </w:rPr>
        <w:t>McCleary</w:t>
      </w:r>
      <w:proofErr w:type="spellEnd"/>
      <w:r w:rsidRPr="00A04234">
        <w:rPr>
          <w:rFonts w:ascii="Book Antiqua" w:eastAsia="Book Antiqua" w:hAnsi="Book Antiqua" w:cs="Book Antiqua"/>
        </w:rPr>
        <w:t xml:space="preserve"> NJ, </w:t>
      </w:r>
      <w:proofErr w:type="spellStart"/>
      <w:r w:rsidRPr="00A04234">
        <w:rPr>
          <w:rFonts w:ascii="Book Antiqua" w:eastAsia="Book Antiqua" w:hAnsi="Book Antiqua" w:cs="Book Antiqua"/>
        </w:rPr>
        <w:t>Meyerhardt</w:t>
      </w:r>
      <w:proofErr w:type="spellEnd"/>
      <w:r w:rsidRPr="00A04234">
        <w:rPr>
          <w:rFonts w:ascii="Book Antiqua" w:eastAsia="Book Antiqua" w:hAnsi="Book Antiqua" w:cs="Book Antiqua"/>
        </w:rPr>
        <w:t xml:space="preserve"> JA, Murphy JE, Ng K, Patel AK, Perez K, Rosenthal MH, </w:t>
      </w:r>
      <w:proofErr w:type="spellStart"/>
      <w:r w:rsidRPr="00A04234">
        <w:rPr>
          <w:rFonts w:ascii="Book Antiqua" w:eastAsia="Book Antiqua" w:hAnsi="Book Antiqua" w:cs="Book Antiqua"/>
        </w:rPr>
        <w:t>Rubinson</w:t>
      </w:r>
      <w:proofErr w:type="spellEnd"/>
      <w:r w:rsidRPr="00A04234">
        <w:rPr>
          <w:rFonts w:ascii="Book Antiqua" w:eastAsia="Book Antiqua" w:hAnsi="Book Antiqua" w:cs="Book Antiqua"/>
        </w:rPr>
        <w:t xml:space="preserve"> DA, </w:t>
      </w:r>
      <w:proofErr w:type="spellStart"/>
      <w:r w:rsidRPr="00A04234">
        <w:rPr>
          <w:rFonts w:ascii="Book Antiqua" w:eastAsia="Book Antiqua" w:hAnsi="Book Antiqua" w:cs="Book Antiqua"/>
        </w:rPr>
        <w:t>Ryou</w:t>
      </w:r>
      <w:proofErr w:type="spellEnd"/>
      <w:r w:rsidRPr="00A04234">
        <w:rPr>
          <w:rFonts w:ascii="Book Antiqua" w:eastAsia="Book Antiqua" w:hAnsi="Book Antiqua" w:cs="Book Antiqua"/>
        </w:rPr>
        <w:t xml:space="preserve"> M, Shapiro GI, </w:t>
      </w:r>
      <w:proofErr w:type="spellStart"/>
      <w:r w:rsidRPr="00A04234">
        <w:rPr>
          <w:rFonts w:ascii="Book Antiqua" w:eastAsia="Book Antiqua" w:hAnsi="Book Antiqua" w:cs="Book Antiqua"/>
        </w:rPr>
        <w:t>Sicinska</w:t>
      </w:r>
      <w:proofErr w:type="spellEnd"/>
      <w:r w:rsidRPr="00A04234">
        <w:rPr>
          <w:rFonts w:ascii="Book Antiqua" w:eastAsia="Book Antiqua" w:hAnsi="Book Antiqua" w:cs="Book Antiqua"/>
        </w:rPr>
        <w:t xml:space="preserve"> E, Silverman SG, Nagy RJ, </w:t>
      </w:r>
      <w:proofErr w:type="spellStart"/>
      <w:r w:rsidRPr="00A04234">
        <w:rPr>
          <w:rFonts w:ascii="Book Antiqua" w:eastAsia="Book Antiqua" w:hAnsi="Book Antiqua" w:cs="Book Antiqua"/>
        </w:rPr>
        <w:t>Lanman</w:t>
      </w:r>
      <w:proofErr w:type="spellEnd"/>
      <w:r w:rsidRPr="00A04234">
        <w:rPr>
          <w:rFonts w:ascii="Book Antiqua" w:eastAsia="Book Antiqua" w:hAnsi="Book Antiqua" w:cs="Book Antiqua"/>
        </w:rPr>
        <w:t xml:space="preserve"> RB, </w:t>
      </w:r>
      <w:proofErr w:type="spellStart"/>
      <w:r w:rsidRPr="00A04234">
        <w:rPr>
          <w:rFonts w:ascii="Book Antiqua" w:eastAsia="Book Antiqua" w:hAnsi="Book Antiqua" w:cs="Book Antiqua"/>
        </w:rPr>
        <w:t>Knoerzer</w:t>
      </w:r>
      <w:proofErr w:type="spellEnd"/>
      <w:r w:rsidRPr="00A04234">
        <w:rPr>
          <w:rFonts w:ascii="Book Antiqua" w:eastAsia="Book Antiqua" w:hAnsi="Book Antiqua" w:cs="Book Antiqua"/>
        </w:rPr>
        <w:t xml:space="preserve"> D, </w:t>
      </w:r>
      <w:proofErr w:type="spellStart"/>
      <w:r w:rsidRPr="00A04234">
        <w:rPr>
          <w:rFonts w:ascii="Book Antiqua" w:eastAsia="Book Antiqua" w:hAnsi="Book Antiqua" w:cs="Book Antiqua"/>
        </w:rPr>
        <w:lastRenderedPageBreak/>
        <w:t>Welsch</w:t>
      </w:r>
      <w:proofErr w:type="spellEnd"/>
      <w:r w:rsidRPr="00A04234">
        <w:rPr>
          <w:rFonts w:ascii="Book Antiqua" w:eastAsia="Book Antiqua" w:hAnsi="Book Antiqua" w:cs="Book Antiqua"/>
        </w:rPr>
        <w:t xml:space="preserve"> DJ, </w:t>
      </w:r>
      <w:proofErr w:type="spellStart"/>
      <w:r w:rsidRPr="00A04234">
        <w:rPr>
          <w:rFonts w:ascii="Book Antiqua" w:eastAsia="Book Antiqua" w:hAnsi="Book Antiqua" w:cs="Book Antiqua"/>
        </w:rPr>
        <w:t>Yurgelun</w:t>
      </w:r>
      <w:proofErr w:type="spellEnd"/>
      <w:r w:rsidRPr="00A04234">
        <w:rPr>
          <w:rFonts w:ascii="Book Antiqua" w:eastAsia="Book Antiqua" w:hAnsi="Book Antiqua" w:cs="Book Antiqua"/>
        </w:rPr>
        <w:t xml:space="preserve"> MB, Fuchs CS, Garraway LA, Getz G, </w:t>
      </w:r>
      <w:proofErr w:type="spellStart"/>
      <w:r w:rsidRPr="00A04234">
        <w:rPr>
          <w:rFonts w:ascii="Book Antiqua" w:eastAsia="Book Antiqua" w:hAnsi="Book Antiqua" w:cs="Book Antiqua"/>
        </w:rPr>
        <w:t>Hornick</w:t>
      </w:r>
      <w:proofErr w:type="spellEnd"/>
      <w:r w:rsidRPr="00A04234">
        <w:rPr>
          <w:rFonts w:ascii="Book Antiqua" w:eastAsia="Book Antiqua" w:hAnsi="Book Antiqua" w:cs="Book Antiqua"/>
        </w:rPr>
        <w:t xml:space="preserve"> JL, Johnson BE, </w:t>
      </w:r>
      <w:proofErr w:type="spellStart"/>
      <w:r w:rsidRPr="00A04234">
        <w:rPr>
          <w:rFonts w:ascii="Book Antiqua" w:eastAsia="Book Antiqua" w:hAnsi="Book Antiqua" w:cs="Book Antiqua"/>
        </w:rPr>
        <w:t>Kulke</w:t>
      </w:r>
      <w:proofErr w:type="spellEnd"/>
      <w:r w:rsidRPr="00A04234">
        <w:rPr>
          <w:rFonts w:ascii="Book Antiqua" w:eastAsia="Book Antiqua" w:hAnsi="Book Antiqua" w:cs="Book Antiqua"/>
        </w:rPr>
        <w:t xml:space="preserve"> MH, Mayer RJ, Miller JW, </w:t>
      </w:r>
      <w:proofErr w:type="spellStart"/>
      <w:r w:rsidRPr="00A04234">
        <w:rPr>
          <w:rFonts w:ascii="Book Antiqua" w:eastAsia="Book Antiqua" w:hAnsi="Book Antiqua" w:cs="Book Antiqua"/>
        </w:rPr>
        <w:t>Shyn</w:t>
      </w:r>
      <w:proofErr w:type="spellEnd"/>
      <w:r w:rsidRPr="00A04234">
        <w:rPr>
          <w:rFonts w:ascii="Book Antiqua" w:eastAsia="Book Antiqua" w:hAnsi="Book Antiqua" w:cs="Book Antiqua"/>
        </w:rPr>
        <w:t xml:space="preserve"> PB, </w:t>
      </w:r>
      <w:proofErr w:type="spellStart"/>
      <w:r w:rsidRPr="00A04234">
        <w:rPr>
          <w:rFonts w:ascii="Book Antiqua" w:eastAsia="Book Antiqua" w:hAnsi="Book Antiqua" w:cs="Book Antiqua"/>
        </w:rPr>
        <w:t>Tuveson</w:t>
      </w:r>
      <w:proofErr w:type="spellEnd"/>
      <w:r w:rsidRPr="00A04234">
        <w:rPr>
          <w:rFonts w:ascii="Book Antiqua" w:eastAsia="Book Antiqua" w:hAnsi="Book Antiqua" w:cs="Book Antiqua"/>
        </w:rPr>
        <w:t xml:space="preserve"> DA, Wagle N, Yeh JJ, Hahn WC, Corcoran RB, Carter SL, </w:t>
      </w:r>
      <w:proofErr w:type="spellStart"/>
      <w:r w:rsidRPr="00A04234">
        <w:rPr>
          <w:rFonts w:ascii="Book Antiqua" w:eastAsia="Book Antiqua" w:hAnsi="Book Antiqua" w:cs="Book Antiqua"/>
        </w:rPr>
        <w:t>Wolpin</w:t>
      </w:r>
      <w:proofErr w:type="spellEnd"/>
      <w:r w:rsidRPr="00A04234">
        <w:rPr>
          <w:rFonts w:ascii="Book Antiqua" w:eastAsia="Book Antiqua" w:hAnsi="Book Antiqua" w:cs="Book Antiqua"/>
        </w:rPr>
        <w:t xml:space="preserve"> BM. Real-time Genomic Characterization of Advanced Pancreatic Cancer to Enable Precision Medicine. </w:t>
      </w:r>
      <w:r w:rsidRPr="00A04234">
        <w:rPr>
          <w:rFonts w:ascii="Book Antiqua" w:eastAsia="Book Antiqua" w:hAnsi="Book Antiqua" w:cs="Book Antiqua"/>
          <w:i/>
          <w:iCs/>
        </w:rPr>
        <w:t xml:space="preserve">Cancer </w:t>
      </w:r>
      <w:proofErr w:type="spellStart"/>
      <w:r w:rsidRPr="00A04234">
        <w:rPr>
          <w:rFonts w:ascii="Book Antiqua" w:eastAsia="Book Antiqua" w:hAnsi="Book Antiqua" w:cs="Book Antiqua"/>
          <w:i/>
          <w:iCs/>
        </w:rPr>
        <w:t>Discov</w:t>
      </w:r>
      <w:proofErr w:type="spellEnd"/>
      <w:r w:rsidRPr="00A04234">
        <w:rPr>
          <w:rFonts w:ascii="Book Antiqua" w:eastAsia="Book Antiqua" w:hAnsi="Book Antiqua" w:cs="Book Antiqua"/>
        </w:rPr>
        <w:t xml:space="preserve"> 2018; </w:t>
      </w:r>
      <w:r w:rsidRPr="00A04234">
        <w:rPr>
          <w:rFonts w:ascii="Book Antiqua" w:eastAsia="Book Antiqua" w:hAnsi="Book Antiqua" w:cs="Book Antiqua"/>
          <w:b/>
          <w:bCs/>
        </w:rPr>
        <w:t>8</w:t>
      </w:r>
      <w:r w:rsidRPr="00A04234">
        <w:rPr>
          <w:rFonts w:ascii="Book Antiqua" w:eastAsia="Book Antiqua" w:hAnsi="Book Antiqua" w:cs="Book Antiqua"/>
        </w:rPr>
        <w:t>: 1096-1111 [PMID: 29903880 DOI: 10.1158/2159-8290.CD-18-0275]</w:t>
      </w:r>
    </w:p>
    <w:p w14:paraId="5D6716B6"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14 </w:t>
      </w:r>
      <w:r w:rsidRPr="00A04234">
        <w:rPr>
          <w:rFonts w:ascii="Book Antiqua" w:eastAsia="Book Antiqua" w:hAnsi="Book Antiqua" w:cs="Book Antiqua"/>
          <w:b/>
          <w:bCs/>
        </w:rPr>
        <w:t>Law HC</w:t>
      </w:r>
      <w:r w:rsidRPr="00A04234">
        <w:rPr>
          <w:rFonts w:ascii="Book Antiqua" w:eastAsia="Book Antiqua" w:hAnsi="Book Antiqua" w:cs="Book Antiqua"/>
        </w:rPr>
        <w:t xml:space="preserve">, </w:t>
      </w:r>
      <w:proofErr w:type="spellStart"/>
      <w:r w:rsidRPr="00A04234">
        <w:rPr>
          <w:rFonts w:ascii="Book Antiqua" w:eastAsia="Book Antiqua" w:hAnsi="Book Antiqua" w:cs="Book Antiqua"/>
        </w:rPr>
        <w:t>Lagundžin</w:t>
      </w:r>
      <w:proofErr w:type="spellEnd"/>
      <w:r w:rsidRPr="00A04234">
        <w:rPr>
          <w:rFonts w:ascii="Book Antiqua" w:eastAsia="Book Antiqua" w:hAnsi="Book Antiqua" w:cs="Book Antiqua"/>
        </w:rPr>
        <w:t xml:space="preserve"> D, Clement EJ, </w:t>
      </w:r>
      <w:proofErr w:type="spellStart"/>
      <w:r w:rsidRPr="00A04234">
        <w:rPr>
          <w:rFonts w:ascii="Book Antiqua" w:eastAsia="Book Antiqua" w:hAnsi="Book Antiqua" w:cs="Book Antiqua"/>
        </w:rPr>
        <w:t>Qiao</w:t>
      </w:r>
      <w:proofErr w:type="spellEnd"/>
      <w:r w:rsidRPr="00A04234">
        <w:rPr>
          <w:rFonts w:ascii="Book Antiqua" w:eastAsia="Book Antiqua" w:hAnsi="Book Antiqua" w:cs="Book Antiqua"/>
        </w:rPr>
        <w:t xml:space="preserve"> F, Wagner ZS, Krieger KL, Costanzo-Garvey D, </w:t>
      </w:r>
      <w:proofErr w:type="spellStart"/>
      <w:r w:rsidRPr="00A04234">
        <w:rPr>
          <w:rFonts w:ascii="Book Antiqua" w:eastAsia="Book Antiqua" w:hAnsi="Book Antiqua" w:cs="Book Antiqua"/>
        </w:rPr>
        <w:t>Caffrey</w:t>
      </w:r>
      <w:proofErr w:type="spellEnd"/>
      <w:r w:rsidRPr="00A04234">
        <w:rPr>
          <w:rFonts w:ascii="Book Antiqua" w:eastAsia="Book Antiqua" w:hAnsi="Book Antiqua" w:cs="Book Antiqua"/>
        </w:rPr>
        <w:t xml:space="preserve"> TC, </w:t>
      </w:r>
      <w:proofErr w:type="spellStart"/>
      <w:r w:rsidRPr="00A04234">
        <w:rPr>
          <w:rFonts w:ascii="Book Antiqua" w:eastAsia="Book Antiqua" w:hAnsi="Book Antiqua" w:cs="Book Antiqua"/>
        </w:rPr>
        <w:t>Grem</w:t>
      </w:r>
      <w:proofErr w:type="spellEnd"/>
      <w:r w:rsidRPr="00A04234">
        <w:rPr>
          <w:rFonts w:ascii="Book Antiqua" w:eastAsia="Book Antiqua" w:hAnsi="Book Antiqua" w:cs="Book Antiqua"/>
        </w:rPr>
        <w:t xml:space="preserve"> JL, </w:t>
      </w:r>
      <w:proofErr w:type="spellStart"/>
      <w:r w:rsidRPr="00A04234">
        <w:rPr>
          <w:rFonts w:ascii="Book Antiqua" w:eastAsia="Book Antiqua" w:hAnsi="Book Antiqua" w:cs="Book Antiqua"/>
        </w:rPr>
        <w:t>DiMaio</w:t>
      </w:r>
      <w:proofErr w:type="spellEnd"/>
      <w:r w:rsidRPr="00A04234">
        <w:rPr>
          <w:rFonts w:ascii="Book Antiqua" w:eastAsia="Book Antiqua" w:hAnsi="Book Antiqua" w:cs="Book Antiqua"/>
        </w:rPr>
        <w:t xml:space="preserve"> DJ, </w:t>
      </w:r>
      <w:proofErr w:type="spellStart"/>
      <w:r w:rsidRPr="00A04234">
        <w:rPr>
          <w:rFonts w:ascii="Book Antiqua" w:eastAsia="Book Antiqua" w:hAnsi="Book Antiqua" w:cs="Book Antiqua"/>
        </w:rPr>
        <w:t>Grandgenett</w:t>
      </w:r>
      <w:proofErr w:type="spellEnd"/>
      <w:r w:rsidRPr="00A04234">
        <w:rPr>
          <w:rFonts w:ascii="Book Antiqua" w:eastAsia="Book Antiqua" w:hAnsi="Book Antiqua" w:cs="Book Antiqua"/>
        </w:rPr>
        <w:t xml:space="preserve"> PM, Cook LM, Fisher KW, Yu F, Hollingsworth MA, Woods NT. The Proteomic Landscape of Pancreatic Ductal Adenocarcinoma Liver Metastases Identifies Molecular Subtypes and Associations with Clinical Response. </w:t>
      </w:r>
      <w:r w:rsidRPr="00A04234">
        <w:rPr>
          <w:rFonts w:ascii="Book Antiqua" w:eastAsia="Book Antiqua" w:hAnsi="Book Antiqua" w:cs="Book Antiqua"/>
          <w:i/>
          <w:iCs/>
        </w:rPr>
        <w:t>Clin Cancer Res</w:t>
      </w:r>
      <w:r w:rsidRPr="00A04234">
        <w:rPr>
          <w:rFonts w:ascii="Book Antiqua" w:eastAsia="Book Antiqua" w:hAnsi="Book Antiqua" w:cs="Book Antiqua"/>
        </w:rPr>
        <w:t xml:space="preserve"> 2020; </w:t>
      </w:r>
      <w:r w:rsidRPr="00A04234">
        <w:rPr>
          <w:rFonts w:ascii="Book Antiqua" w:eastAsia="Book Antiqua" w:hAnsi="Book Antiqua" w:cs="Book Antiqua"/>
          <w:b/>
          <w:bCs/>
        </w:rPr>
        <w:t>26</w:t>
      </w:r>
      <w:r w:rsidRPr="00A04234">
        <w:rPr>
          <w:rFonts w:ascii="Book Antiqua" w:eastAsia="Book Antiqua" w:hAnsi="Book Antiqua" w:cs="Book Antiqua"/>
        </w:rPr>
        <w:t>: 1065-1076 [PMID: 31848187 DOI: 10.1158/1078-0432.CCR-19-1496]</w:t>
      </w:r>
    </w:p>
    <w:p w14:paraId="56DF3269"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15 </w:t>
      </w:r>
      <w:r w:rsidRPr="00A04234">
        <w:rPr>
          <w:rFonts w:ascii="Book Antiqua" w:eastAsia="Book Antiqua" w:hAnsi="Book Antiqua" w:cs="Book Antiqua"/>
          <w:b/>
          <w:bCs/>
        </w:rPr>
        <w:t>Humphrey ES</w:t>
      </w:r>
      <w:r w:rsidRPr="00A04234">
        <w:rPr>
          <w:rFonts w:ascii="Book Antiqua" w:eastAsia="Book Antiqua" w:hAnsi="Book Antiqua" w:cs="Book Antiqua"/>
        </w:rPr>
        <w:t xml:space="preserve">, Su SP, </w:t>
      </w:r>
      <w:proofErr w:type="spellStart"/>
      <w:r w:rsidRPr="00A04234">
        <w:rPr>
          <w:rFonts w:ascii="Book Antiqua" w:eastAsia="Book Antiqua" w:hAnsi="Book Antiqua" w:cs="Book Antiqua"/>
        </w:rPr>
        <w:t>Nagrial</w:t>
      </w:r>
      <w:proofErr w:type="spellEnd"/>
      <w:r w:rsidRPr="00A04234">
        <w:rPr>
          <w:rFonts w:ascii="Book Antiqua" w:eastAsia="Book Antiqua" w:hAnsi="Book Antiqua" w:cs="Book Antiqua"/>
        </w:rPr>
        <w:t xml:space="preserve"> AM, </w:t>
      </w:r>
      <w:proofErr w:type="spellStart"/>
      <w:r w:rsidRPr="00A04234">
        <w:rPr>
          <w:rFonts w:ascii="Book Antiqua" w:eastAsia="Book Antiqua" w:hAnsi="Book Antiqua" w:cs="Book Antiqua"/>
        </w:rPr>
        <w:t>Hochgräfe</w:t>
      </w:r>
      <w:proofErr w:type="spellEnd"/>
      <w:r w:rsidRPr="00A04234">
        <w:rPr>
          <w:rFonts w:ascii="Book Antiqua" w:eastAsia="Book Antiqua" w:hAnsi="Book Antiqua" w:cs="Book Antiqua"/>
        </w:rPr>
        <w:t xml:space="preserve"> F, </w:t>
      </w:r>
      <w:proofErr w:type="spellStart"/>
      <w:r w:rsidRPr="00A04234">
        <w:rPr>
          <w:rFonts w:ascii="Book Antiqua" w:eastAsia="Book Antiqua" w:hAnsi="Book Antiqua" w:cs="Book Antiqua"/>
        </w:rPr>
        <w:t>Pajic</w:t>
      </w:r>
      <w:proofErr w:type="spellEnd"/>
      <w:r w:rsidRPr="00A04234">
        <w:rPr>
          <w:rFonts w:ascii="Book Antiqua" w:eastAsia="Book Antiqua" w:hAnsi="Book Antiqua" w:cs="Book Antiqua"/>
        </w:rPr>
        <w:t xml:space="preserve"> M, </w:t>
      </w:r>
      <w:proofErr w:type="spellStart"/>
      <w:r w:rsidRPr="00A04234">
        <w:rPr>
          <w:rFonts w:ascii="Book Antiqua" w:eastAsia="Book Antiqua" w:hAnsi="Book Antiqua" w:cs="Book Antiqua"/>
        </w:rPr>
        <w:t>Lehrbach</w:t>
      </w:r>
      <w:proofErr w:type="spellEnd"/>
      <w:r w:rsidRPr="00A04234">
        <w:rPr>
          <w:rFonts w:ascii="Book Antiqua" w:eastAsia="Book Antiqua" w:hAnsi="Book Antiqua" w:cs="Book Antiqua"/>
        </w:rPr>
        <w:t xml:space="preserve"> GM, Parton RG, Yap AS, Horvath LG, Chang DK, </w:t>
      </w:r>
      <w:proofErr w:type="spellStart"/>
      <w:r w:rsidRPr="00A04234">
        <w:rPr>
          <w:rFonts w:ascii="Book Antiqua" w:eastAsia="Book Antiqua" w:hAnsi="Book Antiqua" w:cs="Book Antiqua"/>
        </w:rPr>
        <w:t>Biankin</w:t>
      </w:r>
      <w:proofErr w:type="spellEnd"/>
      <w:r w:rsidRPr="00A04234">
        <w:rPr>
          <w:rFonts w:ascii="Book Antiqua" w:eastAsia="Book Antiqua" w:hAnsi="Book Antiqua" w:cs="Book Antiqua"/>
        </w:rPr>
        <w:t xml:space="preserve"> AV, Wu J, Daly RJ. Resolution of Novel Pancreatic Ductal Adenocarcinoma Subtypes by Global </w:t>
      </w:r>
      <w:proofErr w:type="spellStart"/>
      <w:r w:rsidRPr="00A04234">
        <w:rPr>
          <w:rFonts w:ascii="Book Antiqua" w:eastAsia="Book Antiqua" w:hAnsi="Book Antiqua" w:cs="Book Antiqua"/>
        </w:rPr>
        <w:t>Phosphotyrosine</w:t>
      </w:r>
      <w:proofErr w:type="spellEnd"/>
      <w:r w:rsidRPr="00A04234">
        <w:rPr>
          <w:rFonts w:ascii="Book Antiqua" w:eastAsia="Book Antiqua" w:hAnsi="Book Antiqua" w:cs="Book Antiqua"/>
        </w:rPr>
        <w:t xml:space="preserve"> Profiling. </w:t>
      </w:r>
      <w:r w:rsidRPr="00A04234">
        <w:rPr>
          <w:rFonts w:ascii="Book Antiqua" w:eastAsia="Book Antiqua" w:hAnsi="Book Antiqua" w:cs="Book Antiqua"/>
          <w:i/>
          <w:iCs/>
        </w:rPr>
        <w:t>Mol Cell Proteomics</w:t>
      </w:r>
      <w:r w:rsidRPr="00A04234">
        <w:rPr>
          <w:rFonts w:ascii="Book Antiqua" w:eastAsia="Book Antiqua" w:hAnsi="Book Antiqua" w:cs="Book Antiqua"/>
        </w:rPr>
        <w:t xml:space="preserve"> 2016; </w:t>
      </w:r>
      <w:r w:rsidRPr="00A04234">
        <w:rPr>
          <w:rFonts w:ascii="Book Antiqua" w:eastAsia="Book Antiqua" w:hAnsi="Book Antiqua" w:cs="Book Antiqua"/>
          <w:b/>
          <w:bCs/>
        </w:rPr>
        <w:t>15</w:t>
      </w:r>
      <w:r w:rsidRPr="00A04234">
        <w:rPr>
          <w:rFonts w:ascii="Book Antiqua" w:eastAsia="Book Antiqua" w:hAnsi="Book Antiqua" w:cs="Book Antiqua"/>
        </w:rPr>
        <w:t>: 2671-2685 [PMID: 27259358 DOI: 10.1074/mcp.M116.058313]</w:t>
      </w:r>
    </w:p>
    <w:p w14:paraId="4B9DCE5F"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16 </w:t>
      </w:r>
      <w:r w:rsidRPr="00A04234">
        <w:rPr>
          <w:rFonts w:ascii="Book Antiqua" w:eastAsia="Book Antiqua" w:hAnsi="Book Antiqua" w:cs="Book Antiqua"/>
          <w:b/>
          <w:bCs/>
        </w:rPr>
        <w:t>Daemen A</w:t>
      </w:r>
      <w:r w:rsidRPr="00A04234">
        <w:rPr>
          <w:rFonts w:ascii="Book Antiqua" w:eastAsia="Book Antiqua" w:hAnsi="Book Antiqua" w:cs="Book Antiqua"/>
        </w:rPr>
        <w:t xml:space="preserve">, Peterson D, </w:t>
      </w:r>
      <w:proofErr w:type="spellStart"/>
      <w:r w:rsidRPr="00A04234">
        <w:rPr>
          <w:rFonts w:ascii="Book Antiqua" w:eastAsia="Book Antiqua" w:hAnsi="Book Antiqua" w:cs="Book Antiqua"/>
        </w:rPr>
        <w:t>Sahu</w:t>
      </w:r>
      <w:proofErr w:type="spellEnd"/>
      <w:r w:rsidRPr="00A04234">
        <w:rPr>
          <w:rFonts w:ascii="Book Antiqua" w:eastAsia="Book Antiqua" w:hAnsi="Book Antiqua" w:cs="Book Antiqua"/>
        </w:rPr>
        <w:t xml:space="preserve"> N, McCord R, Du X, Liu B, </w:t>
      </w:r>
      <w:proofErr w:type="spellStart"/>
      <w:r w:rsidRPr="00A04234">
        <w:rPr>
          <w:rFonts w:ascii="Book Antiqua" w:eastAsia="Book Antiqua" w:hAnsi="Book Antiqua" w:cs="Book Antiqua"/>
        </w:rPr>
        <w:t>Kowanetz</w:t>
      </w:r>
      <w:proofErr w:type="spellEnd"/>
      <w:r w:rsidRPr="00A04234">
        <w:rPr>
          <w:rFonts w:ascii="Book Antiqua" w:eastAsia="Book Antiqua" w:hAnsi="Book Antiqua" w:cs="Book Antiqua"/>
        </w:rPr>
        <w:t xml:space="preserve"> K, Hong R, Moffat J, Gao M, Boudreau A, </w:t>
      </w:r>
      <w:proofErr w:type="spellStart"/>
      <w:r w:rsidRPr="00A04234">
        <w:rPr>
          <w:rFonts w:ascii="Book Antiqua" w:eastAsia="Book Antiqua" w:hAnsi="Book Antiqua" w:cs="Book Antiqua"/>
        </w:rPr>
        <w:t>Mroue</w:t>
      </w:r>
      <w:proofErr w:type="spellEnd"/>
      <w:r w:rsidRPr="00A04234">
        <w:rPr>
          <w:rFonts w:ascii="Book Antiqua" w:eastAsia="Book Antiqua" w:hAnsi="Book Antiqua" w:cs="Book Antiqua"/>
        </w:rPr>
        <w:t xml:space="preserve"> R, Corson L, O'Brien T, Qing J, Sampath D, Merchant M, </w:t>
      </w:r>
      <w:proofErr w:type="spellStart"/>
      <w:r w:rsidRPr="00A04234">
        <w:rPr>
          <w:rFonts w:ascii="Book Antiqua" w:eastAsia="Book Antiqua" w:hAnsi="Book Antiqua" w:cs="Book Antiqua"/>
        </w:rPr>
        <w:t>Yauch</w:t>
      </w:r>
      <w:proofErr w:type="spellEnd"/>
      <w:r w:rsidRPr="00A04234">
        <w:rPr>
          <w:rFonts w:ascii="Book Antiqua" w:eastAsia="Book Antiqua" w:hAnsi="Book Antiqua" w:cs="Book Antiqua"/>
        </w:rPr>
        <w:t xml:space="preserve"> R, Manning G, </w:t>
      </w:r>
      <w:proofErr w:type="spellStart"/>
      <w:r w:rsidRPr="00A04234">
        <w:rPr>
          <w:rFonts w:ascii="Book Antiqua" w:eastAsia="Book Antiqua" w:hAnsi="Book Antiqua" w:cs="Book Antiqua"/>
        </w:rPr>
        <w:t>Settleman</w:t>
      </w:r>
      <w:proofErr w:type="spellEnd"/>
      <w:r w:rsidRPr="00A04234">
        <w:rPr>
          <w:rFonts w:ascii="Book Antiqua" w:eastAsia="Book Antiqua" w:hAnsi="Book Antiqua" w:cs="Book Antiqua"/>
        </w:rPr>
        <w:t xml:space="preserve"> J, </w:t>
      </w:r>
      <w:proofErr w:type="spellStart"/>
      <w:r w:rsidRPr="00A04234">
        <w:rPr>
          <w:rFonts w:ascii="Book Antiqua" w:eastAsia="Book Antiqua" w:hAnsi="Book Antiqua" w:cs="Book Antiqua"/>
        </w:rPr>
        <w:t>Hatzivassiliou</w:t>
      </w:r>
      <w:proofErr w:type="spellEnd"/>
      <w:r w:rsidRPr="00A04234">
        <w:rPr>
          <w:rFonts w:ascii="Book Antiqua" w:eastAsia="Book Antiqua" w:hAnsi="Book Antiqua" w:cs="Book Antiqua"/>
        </w:rPr>
        <w:t xml:space="preserve"> G, Evangelista M. Metabolite profiling stratifies pancreatic ductal adenocarcinomas into subtypes with distinct sensitivities to metabolic inhibitors. </w:t>
      </w:r>
      <w:r w:rsidRPr="00A04234">
        <w:rPr>
          <w:rFonts w:ascii="Book Antiqua" w:eastAsia="Book Antiqua" w:hAnsi="Book Antiqua" w:cs="Book Antiqua"/>
          <w:i/>
          <w:iCs/>
        </w:rPr>
        <w:t xml:space="preserve">Proc Natl </w:t>
      </w:r>
      <w:proofErr w:type="spellStart"/>
      <w:r w:rsidRPr="00A04234">
        <w:rPr>
          <w:rFonts w:ascii="Book Antiqua" w:eastAsia="Book Antiqua" w:hAnsi="Book Antiqua" w:cs="Book Antiqua"/>
          <w:i/>
          <w:iCs/>
        </w:rPr>
        <w:t>Acad</w:t>
      </w:r>
      <w:proofErr w:type="spellEnd"/>
      <w:r w:rsidRPr="00A04234">
        <w:rPr>
          <w:rFonts w:ascii="Book Antiqua" w:eastAsia="Book Antiqua" w:hAnsi="Book Antiqua" w:cs="Book Antiqua"/>
          <w:i/>
          <w:iCs/>
        </w:rPr>
        <w:t xml:space="preserve"> </w:t>
      </w:r>
      <w:proofErr w:type="spellStart"/>
      <w:r w:rsidRPr="00A04234">
        <w:rPr>
          <w:rFonts w:ascii="Book Antiqua" w:eastAsia="Book Antiqua" w:hAnsi="Book Antiqua" w:cs="Book Antiqua"/>
          <w:i/>
          <w:iCs/>
        </w:rPr>
        <w:t>Sci</w:t>
      </w:r>
      <w:proofErr w:type="spellEnd"/>
      <w:r w:rsidRPr="00A04234">
        <w:rPr>
          <w:rFonts w:ascii="Book Antiqua" w:eastAsia="Book Antiqua" w:hAnsi="Book Antiqua" w:cs="Book Antiqua"/>
          <w:i/>
          <w:iCs/>
        </w:rPr>
        <w:t xml:space="preserve"> U S A</w:t>
      </w:r>
      <w:r w:rsidRPr="00A04234">
        <w:rPr>
          <w:rFonts w:ascii="Book Antiqua" w:eastAsia="Book Antiqua" w:hAnsi="Book Antiqua" w:cs="Book Antiqua"/>
        </w:rPr>
        <w:t xml:space="preserve"> 2015; </w:t>
      </w:r>
      <w:r w:rsidRPr="00A04234">
        <w:rPr>
          <w:rFonts w:ascii="Book Antiqua" w:eastAsia="Book Antiqua" w:hAnsi="Book Antiqua" w:cs="Book Antiqua"/>
          <w:b/>
          <w:bCs/>
        </w:rPr>
        <w:t>112</w:t>
      </w:r>
      <w:r w:rsidRPr="00A04234">
        <w:rPr>
          <w:rFonts w:ascii="Book Antiqua" w:eastAsia="Book Antiqua" w:hAnsi="Book Antiqua" w:cs="Book Antiqua"/>
        </w:rPr>
        <w:t>: E4410-E4417 [PMID: 26216984 DOI: 10.1073/pnas.1501605112]</w:t>
      </w:r>
    </w:p>
    <w:p w14:paraId="0002DF64" w14:textId="156CFE9E"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17 </w:t>
      </w:r>
      <w:proofErr w:type="spellStart"/>
      <w:r w:rsidRPr="00A04234">
        <w:rPr>
          <w:rFonts w:ascii="Book Antiqua" w:eastAsia="Book Antiqua" w:hAnsi="Book Antiqua" w:cs="Book Antiqua"/>
          <w:b/>
          <w:bCs/>
        </w:rPr>
        <w:t>Khomiak</w:t>
      </w:r>
      <w:proofErr w:type="spellEnd"/>
      <w:r w:rsidRPr="00A04234">
        <w:rPr>
          <w:rFonts w:ascii="Book Antiqua" w:eastAsia="Book Antiqua" w:hAnsi="Book Antiqua" w:cs="Book Antiqua"/>
          <w:b/>
          <w:bCs/>
        </w:rPr>
        <w:t xml:space="preserve"> A</w:t>
      </w:r>
      <w:r w:rsidRPr="00A04234">
        <w:rPr>
          <w:rFonts w:ascii="Book Antiqua" w:eastAsia="Book Antiqua" w:hAnsi="Book Antiqua" w:cs="Book Antiqua"/>
        </w:rPr>
        <w:t xml:space="preserve">, Brunner M, </w:t>
      </w:r>
      <w:proofErr w:type="spellStart"/>
      <w:r w:rsidRPr="00A04234">
        <w:rPr>
          <w:rFonts w:ascii="Book Antiqua" w:eastAsia="Book Antiqua" w:hAnsi="Book Antiqua" w:cs="Book Antiqua"/>
        </w:rPr>
        <w:t>Kordes</w:t>
      </w:r>
      <w:proofErr w:type="spellEnd"/>
      <w:r w:rsidRPr="00A04234">
        <w:rPr>
          <w:rFonts w:ascii="Book Antiqua" w:eastAsia="Book Antiqua" w:hAnsi="Book Antiqua" w:cs="Book Antiqua"/>
        </w:rPr>
        <w:t xml:space="preserve"> M, </w:t>
      </w:r>
      <w:proofErr w:type="spellStart"/>
      <w:r w:rsidRPr="00A04234">
        <w:rPr>
          <w:rFonts w:ascii="Book Antiqua" w:eastAsia="Book Antiqua" w:hAnsi="Book Antiqua" w:cs="Book Antiqua"/>
        </w:rPr>
        <w:t>Lindblad</w:t>
      </w:r>
      <w:proofErr w:type="spellEnd"/>
      <w:r w:rsidRPr="00A04234">
        <w:rPr>
          <w:rFonts w:ascii="Book Antiqua" w:eastAsia="Book Antiqua" w:hAnsi="Book Antiqua" w:cs="Book Antiqua"/>
        </w:rPr>
        <w:t xml:space="preserve"> S, </w:t>
      </w:r>
      <w:proofErr w:type="spellStart"/>
      <w:r w:rsidRPr="00A04234">
        <w:rPr>
          <w:rFonts w:ascii="Book Antiqua" w:eastAsia="Book Antiqua" w:hAnsi="Book Antiqua" w:cs="Book Antiqua"/>
        </w:rPr>
        <w:t>Miksch</w:t>
      </w:r>
      <w:proofErr w:type="spellEnd"/>
      <w:r w:rsidRPr="00A04234">
        <w:rPr>
          <w:rFonts w:ascii="Book Antiqua" w:eastAsia="Book Antiqua" w:hAnsi="Book Antiqua" w:cs="Book Antiqua"/>
        </w:rPr>
        <w:t xml:space="preserve"> RC, </w:t>
      </w:r>
      <w:proofErr w:type="spellStart"/>
      <w:r w:rsidRPr="00A04234">
        <w:rPr>
          <w:rFonts w:ascii="Book Antiqua" w:eastAsia="Book Antiqua" w:hAnsi="Book Antiqua" w:cs="Book Antiqua"/>
        </w:rPr>
        <w:t>Öhlund</w:t>
      </w:r>
      <w:proofErr w:type="spellEnd"/>
      <w:r w:rsidRPr="00A04234">
        <w:rPr>
          <w:rFonts w:ascii="Book Antiqua" w:eastAsia="Book Antiqua" w:hAnsi="Book Antiqua" w:cs="Book Antiqua"/>
        </w:rPr>
        <w:t xml:space="preserve"> D, Regel I. Recent Discoveries of Diagnostic, Prognostic and Predictive Biomarkers for Pancreatic Cancer. </w:t>
      </w:r>
      <w:r w:rsidRPr="00A04234">
        <w:rPr>
          <w:rFonts w:ascii="Book Antiqua" w:eastAsia="Book Antiqua" w:hAnsi="Book Antiqua" w:cs="Book Antiqua"/>
          <w:i/>
          <w:iCs/>
        </w:rPr>
        <w:t>Cancers (Basel)</w:t>
      </w:r>
      <w:r w:rsidRPr="00A04234">
        <w:rPr>
          <w:rFonts w:ascii="Book Antiqua" w:eastAsia="Book Antiqua" w:hAnsi="Book Antiqua" w:cs="Book Antiqua"/>
        </w:rPr>
        <w:t xml:space="preserve"> 2020; </w:t>
      </w:r>
      <w:r w:rsidRPr="00A04234">
        <w:rPr>
          <w:rFonts w:ascii="Book Antiqua" w:eastAsia="Book Antiqua" w:hAnsi="Book Antiqua" w:cs="Book Antiqua"/>
          <w:b/>
          <w:bCs/>
        </w:rPr>
        <w:t>12</w:t>
      </w:r>
      <w:r w:rsidR="00E81FBB" w:rsidRPr="00A04234">
        <w:rPr>
          <w:rFonts w:ascii="Book Antiqua" w:eastAsia="Book Antiqua" w:hAnsi="Book Antiqua" w:cs="Book Antiqua"/>
        </w:rPr>
        <w:t>: 3234</w:t>
      </w:r>
      <w:r w:rsidRPr="00A04234">
        <w:rPr>
          <w:rFonts w:ascii="Book Antiqua" w:eastAsia="Book Antiqua" w:hAnsi="Book Antiqua" w:cs="Book Antiqua"/>
        </w:rPr>
        <w:t xml:space="preserve"> [PMID: 33147766 DOI: 10.3390/cancers12113234]</w:t>
      </w:r>
    </w:p>
    <w:p w14:paraId="0940C0BF"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18 </w:t>
      </w:r>
      <w:proofErr w:type="spellStart"/>
      <w:r w:rsidRPr="00A04234">
        <w:rPr>
          <w:rFonts w:ascii="Book Antiqua" w:eastAsia="Book Antiqua" w:hAnsi="Book Antiqua" w:cs="Book Antiqua"/>
          <w:b/>
          <w:bCs/>
        </w:rPr>
        <w:t>Goonetilleke</w:t>
      </w:r>
      <w:proofErr w:type="spellEnd"/>
      <w:r w:rsidRPr="00A04234">
        <w:rPr>
          <w:rFonts w:ascii="Book Antiqua" w:eastAsia="Book Antiqua" w:hAnsi="Book Antiqua" w:cs="Book Antiqua"/>
          <w:b/>
          <w:bCs/>
        </w:rPr>
        <w:t xml:space="preserve"> KS</w:t>
      </w:r>
      <w:r w:rsidRPr="00A04234">
        <w:rPr>
          <w:rFonts w:ascii="Book Antiqua" w:eastAsia="Book Antiqua" w:hAnsi="Book Antiqua" w:cs="Book Antiqua"/>
        </w:rPr>
        <w:t xml:space="preserve">, </w:t>
      </w:r>
      <w:proofErr w:type="spellStart"/>
      <w:r w:rsidRPr="00A04234">
        <w:rPr>
          <w:rFonts w:ascii="Book Antiqua" w:eastAsia="Book Antiqua" w:hAnsi="Book Antiqua" w:cs="Book Antiqua"/>
        </w:rPr>
        <w:t>Siriwardena</w:t>
      </w:r>
      <w:proofErr w:type="spellEnd"/>
      <w:r w:rsidRPr="00A04234">
        <w:rPr>
          <w:rFonts w:ascii="Book Antiqua" w:eastAsia="Book Antiqua" w:hAnsi="Book Antiqua" w:cs="Book Antiqua"/>
        </w:rPr>
        <w:t xml:space="preserve"> AK. Systematic review of carbohydrate antigen (CA 19-9) as a biochemical marker in the diagnosis of pancreatic cancer. </w:t>
      </w:r>
      <w:r w:rsidRPr="00A04234">
        <w:rPr>
          <w:rFonts w:ascii="Book Antiqua" w:eastAsia="Book Antiqua" w:hAnsi="Book Antiqua" w:cs="Book Antiqua"/>
          <w:i/>
          <w:iCs/>
        </w:rPr>
        <w:t>Eur J Surg Oncol</w:t>
      </w:r>
      <w:r w:rsidRPr="00A04234">
        <w:rPr>
          <w:rFonts w:ascii="Book Antiqua" w:eastAsia="Book Antiqua" w:hAnsi="Book Antiqua" w:cs="Book Antiqua"/>
        </w:rPr>
        <w:t xml:space="preserve"> 2007; </w:t>
      </w:r>
      <w:r w:rsidRPr="00A04234">
        <w:rPr>
          <w:rFonts w:ascii="Book Antiqua" w:eastAsia="Book Antiqua" w:hAnsi="Book Antiqua" w:cs="Book Antiqua"/>
          <w:b/>
          <w:bCs/>
        </w:rPr>
        <w:t>33</w:t>
      </w:r>
      <w:r w:rsidRPr="00A04234">
        <w:rPr>
          <w:rFonts w:ascii="Book Antiqua" w:eastAsia="Book Antiqua" w:hAnsi="Book Antiqua" w:cs="Book Antiqua"/>
        </w:rPr>
        <w:t>: 266-270 [PMID: 17097848 DOI: 10.1016/j.ejso.2006.10.004]</w:t>
      </w:r>
    </w:p>
    <w:p w14:paraId="142F0275" w14:textId="5C4A6FA3"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lastRenderedPageBreak/>
        <w:t xml:space="preserve">19 </w:t>
      </w:r>
      <w:proofErr w:type="spellStart"/>
      <w:r w:rsidRPr="00A04234">
        <w:rPr>
          <w:rFonts w:ascii="Book Antiqua" w:eastAsia="Book Antiqua" w:hAnsi="Book Antiqua" w:cs="Book Antiqua"/>
          <w:b/>
          <w:bCs/>
        </w:rPr>
        <w:t>Marrugo-Ramírez</w:t>
      </w:r>
      <w:proofErr w:type="spellEnd"/>
      <w:r w:rsidRPr="00A04234">
        <w:rPr>
          <w:rFonts w:ascii="Book Antiqua" w:eastAsia="Book Antiqua" w:hAnsi="Book Antiqua" w:cs="Book Antiqua"/>
          <w:b/>
          <w:bCs/>
        </w:rPr>
        <w:t xml:space="preserve"> J</w:t>
      </w:r>
      <w:r w:rsidRPr="00A04234">
        <w:rPr>
          <w:rFonts w:ascii="Book Antiqua" w:eastAsia="Book Antiqua" w:hAnsi="Book Antiqua" w:cs="Book Antiqua"/>
        </w:rPr>
        <w:t xml:space="preserve">, Mir M, </w:t>
      </w:r>
      <w:proofErr w:type="spellStart"/>
      <w:r w:rsidRPr="00A04234">
        <w:rPr>
          <w:rFonts w:ascii="Book Antiqua" w:eastAsia="Book Antiqua" w:hAnsi="Book Antiqua" w:cs="Book Antiqua"/>
        </w:rPr>
        <w:t>Samitier</w:t>
      </w:r>
      <w:proofErr w:type="spellEnd"/>
      <w:r w:rsidRPr="00A04234">
        <w:rPr>
          <w:rFonts w:ascii="Book Antiqua" w:eastAsia="Book Antiqua" w:hAnsi="Book Antiqua" w:cs="Book Antiqua"/>
        </w:rPr>
        <w:t xml:space="preserve"> J. Blood-Based Cancer Biomarkers in Liquid Biopsy: A Promising Non-Invasive Alternative to Tissue Biopsy. </w:t>
      </w:r>
      <w:r w:rsidRPr="00A04234">
        <w:rPr>
          <w:rFonts w:ascii="Book Antiqua" w:eastAsia="Book Antiqua" w:hAnsi="Book Antiqua" w:cs="Book Antiqua"/>
          <w:i/>
          <w:iCs/>
        </w:rPr>
        <w:t>Int J Mol Sci</w:t>
      </w:r>
      <w:r w:rsidRPr="00A04234">
        <w:rPr>
          <w:rFonts w:ascii="Book Antiqua" w:eastAsia="Book Antiqua" w:hAnsi="Book Antiqua" w:cs="Book Antiqua"/>
        </w:rPr>
        <w:t xml:space="preserve"> 2018; </w:t>
      </w:r>
      <w:r w:rsidRPr="00A04234">
        <w:rPr>
          <w:rFonts w:ascii="Book Antiqua" w:eastAsia="Book Antiqua" w:hAnsi="Book Antiqua" w:cs="Book Antiqua"/>
          <w:b/>
          <w:bCs/>
        </w:rPr>
        <w:t>19</w:t>
      </w:r>
      <w:r w:rsidR="00E81FBB" w:rsidRPr="00A04234">
        <w:rPr>
          <w:rFonts w:ascii="Book Antiqua" w:eastAsia="Book Antiqua" w:hAnsi="Book Antiqua" w:cs="Book Antiqua"/>
        </w:rPr>
        <w:t>: 2877</w:t>
      </w:r>
      <w:r w:rsidRPr="00A04234">
        <w:rPr>
          <w:rFonts w:ascii="Book Antiqua" w:eastAsia="Book Antiqua" w:hAnsi="Book Antiqua" w:cs="Book Antiqua"/>
        </w:rPr>
        <w:t xml:space="preserve"> [PMID: 30248975 DOI: 10.3390/ijms19102877]</w:t>
      </w:r>
    </w:p>
    <w:p w14:paraId="6A7E041C"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20 </w:t>
      </w:r>
      <w:r w:rsidRPr="00A04234">
        <w:rPr>
          <w:rFonts w:ascii="Book Antiqua" w:eastAsia="Book Antiqua" w:hAnsi="Book Antiqua" w:cs="Book Antiqua"/>
          <w:b/>
          <w:bCs/>
        </w:rPr>
        <w:t>Zhu Y</w:t>
      </w:r>
      <w:r w:rsidRPr="00A04234">
        <w:rPr>
          <w:rFonts w:ascii="Book Antiqua" w:eastAsia="Book Antiqua" w:hAnsi="Book Antiqua" w:cs="Book Antiqua"/>
        </w:rPr>
        <w:t xml:space="preserve">, Zhang H, Chen N, </w:t>
      </w:r>
      <w:proofErr w:type="spellStart"/>
      <w:r w:rsidRPr="00A04234">
        <w:rPr>
          <w:rFonts w:ascii="Book Antiqua" w:eastAsia="Book Antiqua" w:hAnsi="Book Antiqua" w:cs="Book Antiqua"/>
        </w:rPr>
        <w:t>Hao</w:t>
      </w:r>
      <w:proofErr w:type="spellEnd"/>
      <w:r w:rsidRPr="00A04234">
        <w:rPr>
          <w:rFonts w:ascii="Book Antiqua" w:eastAsia="Book Antiqua" w:hAnsi="Book Antiqua" w:cs="Book Antiqua"/>
        </w:rPr>
        <w:t xml:space="preserve"> J, </w:t>
      </w:r>
      <w:proofErr w:type="spellStart"/>
      <w:r w:rsidRPr="00A04234">
        <w:rPr>
          <w:rFonts w:ascii="Book Antiqua" w:eastAsia="Book Antiqua" w:hAnsi="Book Antiqua" w:cs="Book Antiqua"/>
        </w:rPr>
        <w:t>Jin</w:t>
      </w:r>
      <w:proofErr w:type="spellEnd"/>
      <w:r w:rsidRPr="00A04234">
        <w:rPr>
          <w:rFonts w:ascii="Book Antiqua" w:eastAsia="Book Antiqua" w:hAnsi="Book Antiqua" w:cs="Book Antiqua"/>
        </w:rPr>
        <w:t xml:space="preserve"> H, Ma X. Diagnostic value of various liquid biopsy methods for pancreatic cancer: A systematic review and meta-analysis. </w:t>
      </w:r>
      <w:r w:rsidRPr="00A04234">
        <w:rPr>
          <w:rFonts w:ascii="Book Antiqua" w:eastAsia="Book Antiqua" w:hAnsi="Book Antiqua" w:cs="Book Antiqua"/>
          <w:i/>
          <w:iCs/>
        </w:rPr>
        <w:t>Medicine (Baltimore)</w:t>
      </w:r>
      <w:r w:rsidRPr="00A04234">
        <w:rPr>
          <w:rFonts w:ascii="Book Antiqua" w:eastAsia="Book Antiqua" w:hAnsi="Book Antiqua" w:cs="Book Antiqua"/>
        </w:rPr>
        <w:t xml:space="preserve"> 2020; </w:t>
      </w:r>
      <w:r w:rsidRPr="00A04234">
        <w:rPr>
          <w:rFonts w:ascii="Book Antiqua" w:eastAsia="Book Antiqua" w:hAnsi="Book Antiqua" w:cs="Book Antiqua"/>
          <w:b/>
          <w:bCs/>
        </w:rPr>
        <w:t>99</w:t>
      </w:r>
      <w:r w:rsidRPr="00A04234">
        <w:rPr>
          <w:rFonts w:ascii="Book Antiqua" w:eastAsia="Book Antiqua" w:hAnsi="Book Antiqua" w:cs="Book Antiqua"/>
        </w:rPr>
        <w:t>: e18581 [PMID: 32011436 DOI: 10.1097/MD.0000000000018581]</w:t>
      </w:r>
    </w:p>
    <w:p w14:paraId="7F70A373"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21 </w:t>
      </w:r>
      <w:r w:rsidRPr="00A04234">
        <w:rPr>
          <w:rFonts w:ascii="Book Antiqua" w:eastAsia="Book Antiqua" w:hAnsi="Book Antiqua" w:cs="Book Antiqua"/>
          <w:b/>
          <w:bCs/>
        </w:rPr>
        <w:t>Allard WJ</w:t>
      </w:r>
      <w:r w:rsidRPr="00A04234">
        <w:rPr>
          <w:rFonts w:ascii="Book Antiqua" w:eastAsia="Book Antiqua" w:hAnsi="Book Antiqua" w:cs="Book Antiqua"/>
        </w:rPr>
        <w:t xml:space="preserve">, Matera J, Miller MC, </w:t>
      </w:r>
      <w:proofErr w:type="spellStart"/>
      <w:r w:rsidRPr="00A04234">
        <w:rPr>
          <w:rFonts w:ascii="Book Antiqua" w:eastAsia="Book Antiqua" w:hAnsi="Book Antiqua" w:cs="Book Antiqua"/>
        </w:rPr>
        <w:t>Repollet</w:t>
      </w:r>
      <w:proofErr w:type="spellEnd"/>
      <w:r w:rsidRPr="00A04234">
        <w:rPr>
          <w:rFonts w:ascii="Book Antiqua" w:eastAsia="Book Antiqua" w:hAnsi="Book Antiqua" w:cs="Book Antiqua"/>
        </w:rPr>
        <w:t xml:space="preserve"> M, Connelly MC, Rao C, </w:t>
      </w:r>
      <w:proofErr w:type="spellStart"/>
      <w:r w:rsidRPr="00A04234">
        <w:rPr>
          <w:rFonts w:ascii="Book Antiqua" w:eastAsia="Book Antiqua" w:hAnsi="Book Antiqua" w:cs="Book Antiqua"/>
        </w:rPr>
        <w:t>Tibbe</w:t>
      </w:r>
      <w:proofErr w:type="spellEnd"/>
      <w:r w:rsidRPr="00A04234">
        <w:rPr>
          <w:rFonts w:ascii="Book Antiqua" w:eastAsia="Book Antiqua" w:hAnsi="Book Antiqua" w:cs="Book Antiqua"/>
        </w:rPr>
        <w:t xml:space="preserve"> AG, </w:t>
      </w:r>
      <w:proofErr w:type="spellStart"/>
      <w:r w:rsidRPr="00A04234">
        <w:rPr>
          <w:rFonts w:ascii="Book Antiqua" w:eastAsia="Book Antiqua" w:hAnsi="Book Antiqua" w:cs="Book Antiqua"/>
        </w:rPr>
        <w:t>Uhr</w:t>
      </w:r>
      <w:proofErr w:type="spellEnd"/>
      <w:r w:rsidRPr="00A04234">
        <w:rPr>
          <w:rFonts w:ascii="Book Antiqua" w:eastAsia="Book Antiqua" w:hAnsi="Book Antiqua" w:cs="Book Antiqua"/>
        </w:rPr>
        <w:t xml:space="preserve"> JW, </w:t>
      </w:r>
      <w:proofErr w:type="spellStart"/>
      <w:r w:rsidRPr="00A04234">
        <w:rPr>
          <w:rFonts w:ascii="Book Antiqua" w:eastAsia="Book Antiqua" w:hAnsi="Book Antiqua" w:cs="Book Antiqua"/>
        </w:rPr>
        <w:t>Terstappen</w:t>
      </w:r>
      <w:proofErr w:type="spellEnd"/>
      <w:r w:rsidRPr="00A04234">
        <w:rPr>
          <w:rFonts w:ascii="Book Antiqua" w:eastAsia="Book Antiqua" w:hAnsi="Book Antiqua" w:cs="Book Antiqua"/>
        </w:rPr>
        <w:t xml:space="preserve"> LW. Tumor cells circulate in the peripheral blood of all major carcinomas but not in healthy subjects or patients with nonmalignant diseases. </w:t>
      </w:r>
      <w:r w:rsidRPr="00A04234">
        <w:rPr>
          <w:rFonts w:ascii="Book Antiqua" w:eastAsia="Book Antiqua" w:hAnsi="Book Antiqua" w:cs="Book Antiqua"/>
          <w:i/>
          <w:iCs/>
        </w:rPr>
        <w:t>Clin Cancer Res</w:t>
      </w:r>
      <w:r w:rsidRPr="00A04234">
        <w:rPr>
          <w:rFonts w:ascii="Book Antiqua" w:eastAsia="Book Antiqua" w:hAnsi="Book Antiqua" w:cs="Book Antiqua"/>
        </w:rPr>
        <w:t xml:space="preserve"> 2004; </w:t>
      </w:r>
      <w:r w:rsidRPr="00A04234">
        <w:rPr>
          <w:rFonts w:ascii="Book Antiqua" w:eastAsia="Book Antiqua" w:hAnsi="Book Antiqua" w:cs="Book Antiqua"/>
          <w:b/>
          <w:bCs/>
        </w:rPr>
        <w:t>10</w:t>
      </w:r>
      <w:r w:rsidRPr="00A04234">
        <w:rPr>
          <w:rFonts w:ascii="Book Antiqua" w:eastAsia="Book Antiqua" w:hAnsi="Book Antiqua" w:cs="Book Antiqua"/>
        </w:rPr>
        <w:t>: 6897-6904 [PMID: 15501967 DOI: 10.1158/1078-0432.CCR-04-0378]</w:t>
      </w:r>
    </w:p>
    <w:p w14:paraId="1F3B6798" w14:textId="2905FBC9"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22 </w:t>
      </w:r>
      <w:proofErr w:type="spellStart"/>
      <w:r w:rsidRPr="00A04234">
        <w:rPr>
          <w:rFonts w:ascii="Book Antiqua" w:eastAsia="Book Antiqua" w:hAnsi="Book Antiqua" w:cs="Book Antiqua"/>
          <w:b/>
          <w:bCs/>
        </w:rPr>
        <w:t>Grunvald</w:t>
      </w:r>
      <w:proofErr w:type="spellEnd"/>
      <w:r w:rsidRPr="00A04234">
        <w:rPr>
          <w:rFonts w:ascii="Book Antiqua" w:eastAsia="Book Antiqua" w:hAnsi="Book Antiqua" w:cs="Book Antiqua"/>
          <w:b/>
          <w:bCs/>
        </w:rPr>
        <w:t xml:space="preserve"> MW</w:t>
      </w:r>
      <w:r w:rsidRPr="00A04234">
        <w:rPr>
          <w:rFonts w:ascii="Book Antiqua" w:eastAsia="Book Antiqua" w:hAnsi="Book Antiqua" w:cs="Book Antiqua"/>
        </w:rPr>
        <w:t xml:space="preserve">, Jacobson RA, </w:t>
      </w:r>
      <w:proofErr w:type="spellStart"/>
      <w:r w:rsidRPr="00A04234">
        <w:rPr>
          <w:rFonts w:ascii="Book Antiqua" w:eastAsia="Book Antiqua" w:hAnsi="Book Antiqua" w:cs="Book Antiqua"/>
        </w:rPr>
        <w:t>Kuzel</w:t>
      </w:r>
      <w:proofErr w:type="spellEnd"/>
      <w:r w:rsidRPr="00A04234">
        <w:rPr>
          <w:rFonts w:ascii="Book Antiqua" w:eastAsia="Book Antiqua" w:hAnsi="Book Antiqua" w:cs="Book Antiqua"/>
        </w:rPr>
        <w:t xml:space="preserve"> TM, Pappas SG, Masood A. Current Status of Circulating Tumor DNA Liquid Biopsy in Pancreatic Cancer. </w:t>
      </w:r>
      <w:r w:rsidRPr="00A04234">
        <w:rPr>
          <w:rFonts w:ascii="Book Antiqua" w:eastAsia="Book Antiqua" w:hAnsi="Book Antiqua" w:cs="Book Antiqua"/>
          <w:i/>
          <w:iCs/>
        </w:rPr>
        <w:t>Int J Mol Sci</w:t>
      </w:r>
      <w:r w:rsidRPr="00A04234">
        <w:rPr>
          <w:rFonts w:ascii="Book Antiqua" w:eastAsia="Book Antiqua" w:hAnsi="Book Antiqua" w:cs="Book Antiqua"/>
        </w:rPr>
        <w:t xml:space="preserve"> 2020; </w:t>
      </w:r>
      <w:r w:rsidRPr="00A04234">
        <w:rPr>
          <w:rFonts w:ascii="Book Antiqua" w:eastAsia="Book Antiqua" w:hAnsi="Book Antiqua" w:cs="Book Antiqua"/>
          <w:b/>
          <w:bCs/>
        </w:rPr>
        <w:t>21</w:t>
      </w:r>
      <w:r w:rsidR="00E81FBB" w:rsidRPr="00A04234">
        <w:rPr>
          <w:rFonts w:ascii="Book Antiqua" w:eastAsia="Book Antiqua" w:hAnsi="Book Antiqua" w:cs="Book Antiqua"/>
        </w:rPr>
        <w:t>: 7651</w:t>
      </w:r>
      <w:r w:rsidRPr="00A04234">
        <w:rPr>
          <w:rFonts w:ascii="Book Antiqua" w:eastAsia="Book Antiqua" w:hAnsi="Book Antiqua" w:cs="Book Antiqua"/>
        </w:rPr>
        <w:t xml:space="preserve"> [PMID: 33081107 DOI: 10.3390/ijms21207651]</w:t>
      </w:r>
    </w:p>
    <w:p w14:paraId="4501EC97" w14:textId="524B14B0"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23 </w:t>
      </w:r>
      <w:proofErr w:type="spellStart"/>
      <w:r w:rsidRPr="00A04234">
        <w:rPr>
          <w:rFonts w:ascii="Book Antiqua" w:eastAsia="Book Antiqua" w:hAnsi="Book Antiqua" w:cs="Book Antiqua"/>
          <w:b/>
          <w:bCs/>
        </w:rPr>
        <w:t>Capello</w:t>
      </w:r>
      <w:proofErr w:type="spellEnd"/>
      <w:r w:rsidRPr="00A04234">
        <w:rPr>
          <w:rFonts w:ascii="Book Antiqua" w:eastAsia="Book Antiqua" w:hAnsi="Book Antiqua" w:cs="Book Antiqua"/>
          <w:b/>
          <w:bCs/>
        </w:rPr>
        <w:t xml:space="preserve"> M</w:t>
      </w:r>
      <w:r w:rsidRPr="00A04234">
        <w:rPr>
          <w:rFonts w:ascii="Book Antiqua" w:eastAsia="Book Antiqua" w:hAnsi="Book Antiqua" w:cs="Book Antiqua"/>
        </w:rPr>
        <w:t xml:space="preserve">, </w:t>
      </w:r>
      <w:proofErr w:type="spellStart"/>
      <w:r w:rsidRPr="00A04234">
        <w:rPr>
          <w:rFonts w:ascii="Book Antiqua" w:eastAsia="Book Antiqua" w:hAnsi="Book Antiqua" w:cs="Book Antiqua"/>
        </w:rPr>
        <w:t>Bantis</w:t>
      </w:r>
      <w:proofErr w:type="spellEnd"/>
      <w:r w:rsidRPr="00A04234">
        <w:rPr>
          <w:rFonts w:ascii="Book Antiqua" w:eastAsia="Book Antiqua" w:hAnsi="Book Antiqua" w:cs="Book Antiqua"/>
        </w:rPr>
        <w:t xml:space="preserve"> LE, </w:t>
      </w:r>
      <w:proofErr w:type="spellStart"/>
      <w:r w:rsidRPr="00A04234">
        <w:rPr>
          <w:rFonts w:ascii="Book Antiqua" w:eastAsia="Book Antiqua" w:hAnsi="Book Antiqua" w:cs="Book Antiqua"/>
        </w:rPr>
        <w:t>Scelo</w:t>
      </w:r>
      <w:proofErr w:type="spellEnd"/>
      <w:r w:rsidRPr="00A04234">
        <w:rPr>
          <w:rFonts w:ascii="Book Antiqua" w:eastAsia="Book Antiqua" w:hAnsi="Book Antiqua" w:cs="Book Antiqua"/>
        </w:rPr>
        <w:t xml:space="preserve"> G, Zhao Y, Li P, Dhillon DS, Patel NJ, </w:t>
      </w:r>
      <w:proofErr w:type="spellStart"/>
      <w:r w:rsidRPr="00A04234">
        <w:rPr>
          <w:rFonts w:ascii="Book Antiqua" w:eastAsia="Book Antiqua" w:hAnsi="Book Antiqua" w:cs="Book Antiqua"/>
        </w:rPr>
        <w:t>Kundnani</w:t>
      </w:r>
      <w:proofErr w:type="spellEnd"/>
      <w:r w:rsidRPr="00A04234">
        <w:rPr>
          <w:rFonts w:ascii="Book Antiqua" w:eastAsia="Book Antiqua" w:hAnsi="Book Antiqua" w:cs="Book Antiqua"/>
        </w:rPr>
        <w:t xml:space="preserve"> DL, Wang H, </w:t>
      </w:r>
      <w:proofErr w:type="spellStart"/>
      <w:r w:rsidRPr="00A04234">
        <w:rPr>
          <w:rFonts w:ascii="Book Antiqua" w:eastAsia="Book Antiqua" w:hAnsi="Book Antiqua" w:cs="Book Antiqua"/>
        </w:rPr>
        <w:t>Abbruzzese</w:t>
      </w:r>
      <w:proofErr w:type="spellEnd"/>
      <w:r w:rsidRPr="00A04234">
        <w:rPr>
          <w:rFonts w:ascii="Book Antiqua" w:eastAsia="Book Antiqua" w:hAnsi="Book Antiqua" w:cs="Book Antiqua"/>
        </w:rPr>
        <w:t xml:space="preserve"> JL, Maitra A, </w:t>
      </w:r>
      <w:proofErr w:type="spellStart"/>
      <w:r w:rsidRPr="00A04234">
        <w:rPr>
          <w:rFonts w:ascii="Book Antiqua" w:eastAsia="Book Antiqua" w:hAnsi="Book Antiqua" w:cs="Book Antiqua"/>
        </w:rPr>
        <w:t>Tempero</w:t>
      </w:r>
      <w:proofErr w:type="spellEnd"/>
      <w:r w:rsidRPr="00A04234">
        <w:rPr>
          <w:rFonts w:ascii="Book Antiqua" w:eastAsia="Book Antiqua" w:hAnsi="Book Antiqua" w:cs="Book Antiqua"/>
        </w:rPr>
        <w:t xml:space="preserve"> MA, Brand R, </w:t>
      </w:r>
      <w:proofErr w:type="spellStart"/>
      <w:r w:rsidRPr="00A04234">
        <w:rPr>
          <w:rFonts w:ascii="Book Antiqua" w:eastAsia="Book Antiqua" w:hAnsi="Book Antiqua" w:cs="Book Antiqua"/>
        </w:rPr>
        <w:t>Firpo</w:t>
      </w:r>
      <w:proofErr w:type="spellEnd"/>
      <w:r w:rsidRPr="00A04234">
        <w:rPr>
          <w:rFonts w:ascii="Book Antiqua" w:eastAsia="Book Antiqua" w:hAnsi="Book Antiqua" w:cs="Book Antiqua"/>
        </w:rPr>
        <w:t xml:space="preserve"> MA, </w:t>
      </w:r>
      <w:proofErr w:type="spellStart"/>
      <w:r w:rsidRPr="00A04234">
        <w:rPr>
          <w:rFonts w:ascii="Book Antiqua" w:eastAsia="Book Antiqua" w:hAnsi="Book Antiqua" w:cs="Book Antiqua"/>
        </w:rPr>
        <w:t>Mulvihill</w:t>
      </w:r>
      <w:proofErr w:type="spellEnd"/>
      <w:r w:rsidRPr="00A04234">
        <w:rPr>
          <w:rFonts w:ascii="Book Antiqua" w:eastAsia="Book Antiqua" w:hAnsi="Book Antiqua" w:cs="Book Antiqua"/>
        </w:rPr>
        <w:t xml:space="preserve"> SJ, Katz MH, Brennan P, Feng Z, Taguchi A, </w:t>
      </w:r>
      <w:proofErr w:type="spellStart"/>
      <w:r w:rsidRPr="00A04234">
        <w:rPr>
          <w:rFonts w:ascii="Book Antiqua" w:eastAsia="Book Antiqua" w:hAnsi="Book Antiqua" w:cs="Book Antiqua"/>
        </w:rPr>
        <w:t>Hanash</w:t>
      </w:r>
      <w:proofErr w:type="spellEnd"/>
      <w:r w:rsidRPr="00A04234">
        <w:rPr>
          <w:rFonts w:ascii="Book Antiqua" w:eastAsia="Book Antiqua" w:hAnsi="Book Antiqua" w:cs="Book Antiqua"/>
        </w:rPr>
        <w:t xml:space="preserve"> SM. Sequential Validation of Blood-Based Protein Biomarker Candidates for Early-Stage Pancreatic Cancer. </w:t>
      </w:r>
      <w:r w:rsidRPr="00A04234">
        <w:rPr>
          <w:rFonts w:ascii="Book Antiqua" w:eastAsia="Book Antiqua" w:hAnsi="Book Antiqua" w:cs="Book Antiqua"/>
          <w:i/>
          <w:iCs/>
        </w:rPr>
        <w:t>J Natl Cancer Inst</w:t>
      </w:r>
      <w:r w:rsidRPr="00A04234">
        <w:rPr>
          <w:rFonts w:ascii="Book Antiqua" w:eastAsia="Book Antiqua" w:hAnsi="Book Antiqua" w:cs="Book Antiqua"/>
        </w:rPr>
        <w:t xml:space="preserve"> 2017; </w:t>
      </w:r>
      <w:r w:rsidRPr="00A04234">
        <w:rPr>
          <w:rFonts w:ascii="Book Antiqua" w:eastAsia="Book Antiqua" w:hAnsi="Book Antiqua" w:cs="Book Antiqua"/>
          <w:b/>
          <w:bCs/>
        </w:rPr>
        <w:t>109</w:t>
      </w:r>
      <w:r w:rsidR="00E81FBB" w:rsidRPr="00A04234">
        <w:rPr>
          <w:rFonts w:ascii="Book Antiqua" w:eastAsia="Book Antiqua" w:hAnsi="Book Antiqua" w:cs="Book Antiqua"/>
        </w:rPr>
        <w:t>: djw266</w:t>
      </w:r>
      <w:r w:rsidRPr="00A04234">
        <w:rPr>
          <w:rFonts w:ascii="Book Antiqua" w:eastAsia="Book Antiqua" w:hAnsi="Book Antiqua" w:cs="Book Antiqua"/>
        </w:rPr>
        <w:t xml:space="preserve"> [PMID: 28376157 DOI: 10.1093/</w:t>
      </w:r>
      <w:proofErr w:type="spellStart"/>
      <w:r w:rsidRPr="00A04234">
        <w:rPr>
          <w:rFonts w:ascii="Book Antiqua" w:eastAsia="Book Antiqua" w:hAnsi="Book Antiqua" w:cs="Book Antiqua"/>
        </w:rPr>
        <w:t>jnci</w:t>
      </w:r>
      <w:proofErr w:type="spellEnd"/>
      <w:r w:rsidRPr="00A04234">
        <w:rPr>
          <w:rFonts w:ascii="Book Antiqua" w:eastAsia="Book Antiqua" w:hAnsi="Book Antiqua" w:cs="Book Antiqua"/>
        </w:rPr>
        <w:t>/djw266]</w:t>
      </w:r>
    </w:p>
    <w:p w14:paraId="75DE236F" w14:textId="1EC7AEE4"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24 </w:t>
      </w:r>
      <w:r w:rsidRPr="00A04234">
        <w:rPr>
          <w:rFonts w:ascii="Book Antiqua" w:eastAsia="Book Antiqua" w:hAnsi="Book Antiqua" w:cs="Book Antiqua"/>
          <w:b/>
          <w:bCs/>
        </w:rPr>
        <w:t>de Oliveira G</w:t>
      </w:r>
      <w:r w:rsidRPr="00A04234">
        <w:rPr>
          <w:rFonts w:ascii="Book Antiqua" w:eastAsia="Book Antiqua" w:hAnsi="Book Antiqua" w:cs="Book Antiqua"/>
        </w:rPr>
        <w:t xml:space="preserve">, Freire PP, </w:t>
      </w:r>
      <w:proofErr w:type="spellStart"/>
      <w:r w:rsidRPr="00A04234">
        <w:rPr>
          <w:rFonts w:ascii="Book Antiqua" w:eastAsia="Book Antiqua" w:hAnsi="Book Antiqua" w:cs="Book Antiqua"/>
        </w:rPr>
        <w:t>Cury</w:t>
      </w:r>
      <w:proofErr w:type="spellEnd"/>
      <w:r w:rsidRPr="00A04234">
        <w:rPr>
          <w:rFonts w:ascii="Book Antiqua" w:eastAsia="Book Antiqua" w:hAnsi="Book Antiqua" w:cs="Book Antiqua"/>
        </w:rPr>
        <w:t xml:space="preserve"> SS, de </w:t>
      </w:r>
      <w:proofErr w:type="spellStart"/>
      <w:r w:rsidRPr="00A04234">
        <w:rPr>
          <w:rFonts w:ascii="Book Antiqua" w:eastAsia="Book Antiqua" w:hAnsi="Book Antiqua" w:cs="Book Antiqua"/>
        </w:rPr>
        <w:t>Moraes</w:t>
      </w:r>
      <w:proofErr w:type="spellEnd"/>
      <w:r w:rsidRPr="00A04234">
        <w:rPr>
          <w:rFonts w:ascii="Book Antiqua" w:eastAsia="Book Antiqua" w:hAnsi="Book Antiqua" w:cs="Book Antiqua"/>
        </w:rPr>
        <w:t xml:space="preserve"> D, Oliveira JS, Dal-Pai-Silva M, Reis PP, Carvalho RF. An Integrated Meta-Analysis of </w:t>
      </w:r>
      <w:proofErr w:type="spellStart"/>
      <w:r w:rsidRPr="00A04234">
        <w:rPr>
          <w:rFonts w:ascii="Book Antiqua" w:eastAsia="Book Antiqua" w:hAnsi="Book Antiqua" w:cs="Book Antiqua"/>
        </w:rPr>
        <w:t>Secretome</w:t>
      </w:r>
      <w:proofErr w:type="spellEnd"/>
      <w:r w:rsidRPr="00A04234">
        <w:rPr>
          <w:rFonts w:ascii="Book Antiqua" w:eastAsia="Book Antiqua" w:hAnsi="Book Antiqua" w:cs="Book Antiqua"/>
        </w:rPr>
        <w:t xml:space="preserve"> and Proteome Identify Potential Biomarkers of Pancreatic Ductal Adenocarcinoma. </w:t>
      </w:r>
      <w:r w:rsidRPr="00A04234">
        <w:rPr>
          <w:rFonts w:ascii="Book Antiqua" w:eastAsia="Book Antiqua" w:hAnsi="Book Antiqua" w:cs="Book Antiqua"/>
          <w:i/>
          <w:iCs/>
        </w:rPr>
        <w:t>Cancers (Basel)</w:t>
      </w:r>
      <w:r w:rsidRPr="00A04234">
        <w:rPr>
          <w:rFonts w:ascii="Book Antiqua" w:eastAsia="Book Antiqua" w:hAnsi="Book Antiqua" w:cs="Book Antiqua"/>
        </w:rPr>
        <w:t xml:space="preserve"> 2020; </w:t>
      </w:r>
      <w:r w:rsidRPr="00A04234">
        <w:rPr>
          <w:rFonts w:ascii="Book Antiqua" w:eastAsia="Book Antiqua" w:hAnsi="Book Antiqua" w:cs="Book Antiqua"/>
          <w:b/>
          <w:bCs/>
        </w:rPr>
        <w:t>12</w:t>
      </w:r>
      <w:r w:rsidR="00E81FBB" w:rsidRPr="00A04234">
        <w:rPr>
          <w:rFonts w:ascii="Book Antiqua" w:eastAsia="Book Antiqua" w:hAnsi="Book Antiqua" w:cs="Book Antiqua"/>
        </w:rPr>
        <w:t>: 716</w:t>
      </w:r>
      <w:r w:rsidRPr="00A04234">
        <w:rPr>
          <w:rFonts w:ascii="Book Antiqua" w:eastAsia="Book Antiqua" w:hAnsi="Book Antiqua" w:cs="Book Antiqua"/>
        </w:rPr>
        <w:t xml:space="preserve"> [PMID: 32197468 DOI: 10.3390/cancers12030716]</w:t>
      </w:r>
    </w:p>
    <w:p w14:paraId="66025D92"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25 </w:t>
      </w:r>
      <w:r w:rsidRPr="00A04234">
        <w:rPr>
          <w:rFonts w:ascii="Book Antiqua" w:eastAsia="Book Antiqua" w:hAnsi="Book Antiqua" w:cs="Book Antiqua"/>
          <w:b/>
          <w:bCs/>
        </w:rPr>
        <w:t>Peng H</w:t>
      </w:r>
      <w:r w:rsidRPr="00A04234">
        <w:rPr>
          <w:rFonts w:ascii="Book Antiqua" w:eastAsia="Book Antiqua" w:hAnsi="Book Antiqua" w:cs="Book Antiqua"/>
        </w:rPr>
        <w:t xml:space="preserve">, Chen R, </w:t>
      </w:r>
      <w:proofErr w:type="spellStart"/>
      <w:r w:rsidRPr="00A04234">
        <w:rPr>
          <w:rFonts w:ascii="Book Antiqua" w:eastAsia="Book Antiqua" w:hAnsi="Book Antiqua" w:cs="Book Antiqua"/>
        </w:rPr>
        <w:t>Brentnall</w:t>
      </w:r>
      <w:proofErr w:type="spellEnd"/>
      <w:r w:rsidRPr="00A04234">
        <w:rPr>
          <w:rFonts w:ascii="Book Antiqua" w:eastAsia="Book Antiqua" w:hAnsi="Book Antiqua" w:cs="Book Antiqua"/>
        </w:rPr>
        <w:t xml:space="preserve"> TA, </w:t>
      </w:r>
      <w:proofErr w:type="spellStart"/>
      <w:r w:rsidRPr="00A04234">
        <w:rPr>
          <w:rFonts w:ascii="Book Antiqua" w:eastAsia="Book Antiqua" w:hAnsi="Book Antiqua" w:cs="Book Antiqua"/>
        </w:rPr>
        <w:t>Eng</w:t>
      </w:r>
      <w:proofErr w:type="spellEnd"/>
      <w:r w:rsidRPr="00A04234">
        <w:rPr>
          <w:rFonts w:ascii="Book Antiqua" w:eastAsia="Book Antiqua" w:hAnsi="Book Antiqua" w:cs="Book Antiqua"/>
        </w:rPr>
        <w:t xml:space="preserve"> JK, </w:t>
      </w:r>
      <w:proofErr w:type="spellStart"/>
      <w:r w:rsidRPr="00A04234">
        <w:rPr>
          <w:rFonts w:ascii="Book Antiqua" w:eastAsia="Book Antiqua" w:hAnsi="Book Antiqua" w:cs="Book Antiqua"/>
        </w:rPr>
        <w:t>Picozzi</w:t>
      </w:r>
      <w:proofErr w:type="spellEnd"/>
      <w:r w:rsidRPr="00A04234">
        <w:rPr>
          <w:rFonts w:ascii="Book Antiqua" w:eastAsia="Book Antiqua" w:hAnsi="Book Antiqua" w:cs="Book Antiqua"/>
        </w:rPr>
        <w:t xml:space="preserve"> VJ, Pan S. Predictive proteomic signatures for response of pancreatic cancer patients receiving chemotherapy. </w:t>
      </w:r>
      <w:r w:rsidRPr="00A04234">
        <w:rPr>
          <w:rFonts w:ascii="Book Antiqua" w:eastAsia="Book Antiqua" w:hAnsi="Book Antiqua" w:cs="Book Antiqua"/>
          <w:i/>
          <w:iCs/>
        </w:rPr>
        <w:t>Clin Proteomics</w:t>
      </w:r>
      <w:r w:rsidRPr="00A04234">
        <w:rPr>
          <w:rFonts w:ascii="Book Antiqua" w:eastAsia="Book Antiqua" w:hAnsi="Book Antiqua" w:cs="Book Antiqua"/>
        </w:rPr>
        <w:t xml:space="preserve"> 2019; </w:t>
      </w:r>
      <w:r w:rsidRPr="00A04234">
        <w:rPr>
          <w:rFonts w:ascii="Book Antiqua" w:eastAsia="Book Antiqua" w:hAnsi="Book Antiqua" w:cs="Book Antiqua"/>
          <w:b/>
          <w:bCs/>
        </w:rPr>
        <w:t>16</w:t>
      </w:r>
      <w:r w:rsidRPr="00A04234">
        <w:rPr>
          <w:rFonts w:ascii="Book Antiqua" w:eastAsia="Book Antiqua" w:hAnsi="Book Antiqua" w:cs="Book Antiqua"/>
        </w:rPr>
        <w:t>: 31 [PMID: 31346328 DOI: 10.1186/s12014-019-9251-3]</w:t>
      </w:r>
    </w:p>
    <w:p w14:paraId="03CC9ACF"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26 </w:t>
      </w:r>
      <w:r w:rsidRPr="00A04234">
        <w:rPr>
          <w:rFonts w:ascii="Book Antiqua" w:eastAsia="Book Antiqua" w:hAnsi="Book Antiqua" w:cs="Book Antiqua"/>
          <w:b/>
          <w:bCs/>
        </w:rPr>
        <w:t>Mehta KY</w:t>
      </w:r>
      <w:r w:rsidRPr="00A04234">
        <w:rPr>
          <w:rFonts w:ascii="Book Antiqua" w:eastAsia="Book Antiqua" w:hAnsi="Book Antiqua" w:cs="Book Antiqua"/>
        </w:rPr>
        <w:t xml:space="preserve">, Wu HJ, Menon SS, </w:t>
      </w:r>
      <w:proofErr w:type="spellStart"/>
      <w:r w:rsidRPr="00A04234">
        <w:rPr>
          <w:rFonts w:ascii="Book Antiqua" w:eastAsia="Book Antiqua" w:hAnsi="Book Antiqua" w:cs="Book Antiqua"/>
        </w:rPr>
        <w:t>Fallah</w:t>
      </w:r>
      <w:proofErr w:type="spellEnd"/>
      <w:r w:rsidRPr="00A04234">
        <w:rPr>
          <w:rFonts w:ascii="Book Antiqua" w:eastAsia="Book Antiqua" w:hAnsi="Book Antiqua" w:cs="Book Antiqua"/>
        </w:rPr>
        <w:t xml:space="preserve"> Y, </w:t>
      </w:r>
      <w:proofErr w:type="spellStart"/>
      <w:r w:rsidRPr="00A04234">
        <w:rPr>
          <w:rFonts w:ascii="Book Antiqua" w:eastAsia="Book Antiqua" w:hAnsi="Book Antiqua" w:cs="Book Antiqua"/>
        </w:rPr>
        <w:t>Zhong</w:t>
      </w:r>
      <w:proofErr w:type="spellEnd"/>
      <w:r w:rsidRPr="00A04234">
        <w:rPr>
          <w:rFonts w:ascii="Book Antiqua" w:eastAsia="Book Antiqua" w:hAnsi="Book Antiqua" w:cs="Book Antiqua"/>
        </w:rPr>
        <w:t xml:space="preserve"> X, </w:t>
      </w:r>
      <w:proofErr w:type="spellStart"/>
      <w:r w:rsidRPr="00A04234">
        <w:rPr>
          <w:rFonts w:ascii="Book Antiqua" w:eastAsia="Book Antiqua" w:hAnsi="Book Antiqua" w:cs="Book Antiqua"/>
        </w:rPr>
        <w:t>Rizk</w:t>
      </w:r>
      <w:proofErr w:type="spellEnd"/>
      <w:r w:rsidRPr="00A04234">
        <w:rPr>
          <w:rFonts w:ascii="Book Antiqua" w:eastAsia="Book Antiqua" w:hAnsi="Book Antiqua" w:cs="Book Antiqua"/>
        </w:rPr>
        <w:t xml:space="preserve"> N, Unger K, </w:t>
      </w:r>
      <w:proofErr w:type="spellStart"/>
      <w:r w:rsidRPr="00A04234">
        <w:rPr>
          <w:rFonts w:ascii="Book Antiqua" w:eastAsia="Book Antiqua" w:hAnsi="Book Antiqua" w:cs="Book Antiqua"/>
        </w:rPr>
        <w:t>Mapstone</w:t>
      </w:r>
      <w:proofErr w:type="spellEnd"/>
      <w:r w:rsidRPr="00A04234">
        <w:rPr>
          <w:rFonts w:ascii="Book Antiqua" w:eastAsia="Book Antiqua" w:hAnsi="Book Antiqua" w:cs="Book Antiqua"/>
        </w:rPr>
        <w:t xml:space="preserve"> M, </w:t>
      </w:r>
      <w:proofErr w:type="spellStart"/>
      <w:r w:rsidRPr="00A04234">
        <w:rPr>
          <w:rFonts w:ascii="Book Antiqua" w:eastAsia="Book Antiqua" w:hAnsi="Book Antiqua" w:cs="Book Antiqua"/>
        </w:rPr>
        <w:t>Fiandaca</w:t>
      </w:r>
      <w:proofErr w:type="spellEnd"/>
      <w:r w:rsidRPr="00A04234">
        <w:rPr>
          <w:rFonts w:ascii="Book Antiqua" w:eastAsia="Book Antiqua" w:hAnsi="Book Antiqua" w:cs="Book Antiqua"/>
        </w:rPr>
        <w:t xml:space="preserve"> MS, Federoff HJ, Cheema AK. Metabolomic biomarkers of pancreatic cancer: a meta-analysis study. </w:t>
      </w:r>
      <w:proofErr w:type="spellStart"/>
      <w:r w:rsidRPr="00A04234">
        <w:rPr>
          <w:rFonts w:ascii="Book Antiqua" w:eastAsia="Book Antiqua" w:hAnsi="Book Antiqua" w:cs="Book Antiqua"/>
          <w:i/>
          <w:iCs/>
        </w:rPr>
        <w:t>Oncotarget</w:t>
      </w:r>
      <w:proofErr w:type="spellEnd"/>
      <w:r w:rsidRPr="00A04234">
        <w:rPr>
          <w:rFonts w:ascii="Book Antiqua" w:eastAsia="Book Antiqua" w:hAnsi="Book Antiqua" w:cs="Book Antiqua"/>
        </w:rPr>
        <w:t xml:space="preserve"> 2017; </w:t>
      </w:r>
      <w:r w:rsidRPr="00A04234">
        <w:rPr>
          <w:rFonts w:ascii="Book Antiqua" w:eastAsia="Book Antiqua" w:hAnsi="Book Antiqua" w:cs="Book Antiqua"/>
          <w:b/>
          <w:bCs/>
        </w:rPr>
        <w:t>8</w:t>
      </w:r>
      <w:r w:rsidRPr="00A04234">
        <w:rPr>
          <w:rFonts w:ascii="Book Antiqua" w:eastAsia="Book Antiqua" w:hAnsi="Book Antiqua" w:cs="Book Antiqua"/>
        </w:rPr>
        <w:t>: 68899-68915 [PMID: 28978166 DOI: 10.18632/oncotarget.20324]</w:t>
      </w:r>
    </w:p>
    <w:p w14:paraId="5B5BB8D6" w14:textId="2C970E50"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lastRenderedPageBreak/>
        <w:t xml:space="preserve">27 </w:t>
      </w:r>
      <w:r w:rsidRPr="00A04234">
        <w:rPr>
          <w:rFonts w:ascii="Book Antiqua" w:eastAsia="Book Antiqua" w:hAnsi="Book Antiqua" w:cs="Book Antiqua"/>
          <w:b/>
          <w:bCs/>
        </w:rPr>
        <w:t>Martín-</w:t>
      </w:r>
      <w:proofErr w:type="spellStart"/>
      <w:r w:rsidRPr="00A04234">
        <w:rPr>
          <w:rFonts w:ascii="Book Antiqua" w:eastAsia="Book Antiqua" w:hAnsi="Book Antiqua" w:cs="Book Antiqua"/>
          <w:b/>
          <w:bCs/>
        </w:rPr>
        <w:t>Blázquez</w:t>
      </w:r>
      <w:proofErr w:type="spellEnd"/>
      <w:r w:rsidRPr="00A04234">
        <w:rPr>
          <w:rFonts w:ascii="Book Antiqua" w:eastAsia="Book Antiqua" w:hAnsi="Book Antiqua" w:cs="Book Antiqua"/>
          <w:b/>
          <w:bCs/>
        </w:rPr>
        <w:t xml:space="preserve"> A</w:t>
      </w:r>
      <w:r w:rsidRPr="00A04234">
        <w:rPr>
          <w:rFonts w:ascii="Book Antiqua" w:eastAsia="Book Antiqua" w:hAnsi="Book Antiqua" w:cs="Book Antiqua"/>
        </w:rPr>
        <w:t xml:space="preserve">, Jiménez-Luna C, </w:t>
      </w:r>
      <w:proofErr w:type="spellStart"/>
      <w:r w:rsidRPr="00A04234">
        <w:rPr>
          <w:rFonts w:ascii="Book Antiqua" w:eastAsia="Book Antiqua" w:hAnsi="Book Antiqua" w:cs="Book Antiqua"/>
        </w:rPr>
        <w:t>Díaz</w:t>
      </w:r>
      <w:proofErr w:type="spellEnd"/>
      <w:r w:rsidRPr="00A04234">
        <w:rPr>
          <w:rFonts w:ascii="Book Antiqua" w:eastAsia="Book Antiqua" w:hAnsi="Book Antiqua" w:cs="Book Antiqua"/>
        </w:rPr>
        <w:t xml:space="preserve"> C, </w:t>
      </w:r>
      <w:proofErr w:type="spellStart"/>
      <w:r w:rsidRPr="00A04234">
        <w:rPr>
          <w:rFonts w:ascii="Book Antiqua" w:eastAsia="Book Antiqua" w:hAnsi="Book Antiqua" w:cs="Book Antiqua"/>
        </w:rPr>
        <w:t>Martínez-Galán</w:t>
      </w:r>
      <w:proofErr w:type="spellEnd"/>
      <w:r w:rsidRPr="00A04234">
        <w:rPr>
          <w:rFonts w:ascii="Book Antiqua" w:eastAsia="Book Antiqua" w:hAnsi="Book Antiqua" w:cs="Book Antiqua"/>
        </w:rPr>
        <w:t xml:space="preserve"> J, </w:t>
      </w:r>
      <w:proofErr w:type="spellStart"/>
      <w:r w:rsidRPr="00A04234">
        <w:rPr>
          <w:rFonts w:ascii="Book Antiqua" w:eastAsia="Book Antiqua" w:hAnsi="Book Antiqua" w:cs="Book Antiqua"/>
        </w:rPr>
        <w:t>Prados</w:t>
      </w:r>
      <w:proofErr w:type="spellEnd"/>
      <w:r w:rsidRPr="00A04234">
        <w:rPr>
          <w:rFonts w:ascii="Book Antiqua" w:eastAsia="Book Antiqua" w:hAnsi="Book Antiqua" w:cs="Book Antiqua"/>
        </w:rPr>
        <w:t xml:space="preserve"> J, Vicente F, </w:t>
      </w:r>
      <w:proofErr w:type="spellStart"/>
      <w:r w:rsidRPr="00A04234">
        <w:rPr>
          <w:rFonts w:ascii="Book Antiqua" w:eastAsia="Book Antiqua" w:hAnsi="Book Antiqua" w:cs="Book Antiqua"/>
        </w:rPr>
        <w:t>Melguizo</w:t>
      </w:r>
      <w:proofErr w:type="spellEnd"/>
      <w:r w:rsidRPr="00A04234">
        <w:rPr>
          <w:rFonts w:ascii="Book Antiqua" w:eastAsia="Book Antiqua" w:hAnsi="Book Antiqua" w:cs="Book Antiqua"/>
        </w:rPr>
        <w:t xml:space="preserve"> C, </w:t>
      </w:r>
      <w:proofErr w:type="spellStart"/>
      <w:r w:rsidRPr="00A04234">
        <w:rPr>
          <w:rFonts w:ascii="Book Antiqua" w:eastAsia="Book Antiqua" w:hAnsi="Book Antiqua" w:cs="Book Antiqua"/>
        </w:rPr>
        <w:t>Genilloud</w:t>
      </w:r>
      <w:proofErr w:type="spellEnd"/>
      <w:r w:rsidRPr="00A04234">
        <w:rPr>
          <w:rFonts w:ascii="Book Antiqua" w:eastAsia="Book Antiqua" w:hAnsi="Book Antiqua" w:cs="Book Antiqua"/>
        </w:rPr>
        <w:t xml:space="preserve"> O, Pérez Del Palacio J, Caba O. Discovery of Pancreatic Adenocarcinoma Biomarkers by Untargeted Metabolomics. </w:t>
      </w:r>
      <w:r w:rsidRPr="00A04234">
        <w:rPr>
          <w:rFonts w:ascii="Book Antiqua" w:eastAsia="Book Antiqua" w:hAnsi="Book Antiqua" w:cs="Book Antiqua"/>
          <w:i/>
          <w:iCs/>
        </w:rPr>
        <w:t>Cancers (Basel)</w:t>
      </w:r>
      <w:r w:rsidRPr="00A04234">
        <w:rPr>
          <w:rFonts w:ascii="Book Antiqua" w:eastAsia="Book Antiqua" w:hAnsi="Book Antiqua" w:cs="Book Antiqua"/>
        </w:rPr>
        <w:t xml:space="preserve"> 2020; </w:t>
      </w:r>
      <w:r w:rsidRPr="00A04234">
        <w:rPr>
          <w:rFonts w:ascii="Book Antiqua" w:eastAsia="Book Antiqua" w:hAnsi="Book Antiqua" w:cs="Book Antiqua"/>
          <w:b/>
          <w:bCs/>
        </w:rPr>
        <w:t>12</w:t>
      </w:r>
      <w:r w:rsidR="00E81FBB" w:rsidRPr="00A04234">
        <w:rPr>
          <w:rFonts w:ascii="Book Antiqua" w:eastAsia="Book Antiqua" w:hAnsi="Book Antiqua" w:cs="Book Antiqua"/>
        </w:rPr>
        <w:t>: 1002</w:t>
      </w:r>
      <w:r w:rsidRPr="00A04234">
        <w:rPr>
          <w:rFonts w:ascii="Book Antiqua" w:eastAsia="Book Antiqua" w:hAnsi="Book Antiqua" w:cs="Book Antiqua"/>
        </w:rPr>
        <w:t xml:space="preserve"> [PMID: 32325731 DOI: 10.3390/cancers12041002]</w:t>
      </w:r>
    </w:p>
    <w:p w14:paraId="68CEC813" w14:textId="2526607E"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28 </w:t>
      </w:r>
      <w:r w:rsidRPr="00A04234">
        <w:rPr>
          <w:rFonts w:ascii="Book Antiqua" w:eastAsia="Book Antiqua" w:hAnsi="Book Antiqua" w:cs="Book Antiqua"/>
          <w:b/>
          <w:bCs/>
        </w:rPr>
        <w:t>Watanabe</w:t>
      </w:r>
      <w:r w:rsidRPr="00A04234">
        <w:rPr>
          <w:rFonts w:ascii="Book Antiqua" w:eastAsia="Book Antiqua" w:hAnsi="Book Antiqua" w:cs="Book Antiqua"/>
        </w:rPr>
        <w:t>. DNA double-strand B</w:t>
      </w:r>
      <w:r w:rsidR="00E81FBB" w:rsidRPr="00A04234">
        <w:rPr>
          <w:rFonts w:ascii="Book Antiqua" w:eastAsia="Book Antiqua" w:hAnsi="Book Antiqua" w:cs="Book Antiqua"/>
        </w:rPr>
        <w:t xml:space="preserve">; </w:t>
      </w:r>
      <w:r w:rsidRPr="00A04234">
        <w:rPr>
          <w:rFonts w:ascii="Book Antiqua" w:eastAsia="Book Antiqua" w:hAnsi="Book Antiqua" w:cs="Book Antiqua"/>
        </w:rPr>
        <w:t>2018</w:t>
      </w:r>
      <w:r w:rsidR="00682E19" w:rsidRPr="00A04234">
        <w:rPr>
          <w:rFonts w:ascii="Book Antiqua" w:eastAsia="Book Antiqua" w:hAnsi="Book Antiqua" w:cs="Book Antiqua"/>
        </w:rPr>
        <w:t>.</w:t>
      </w:r>
      <w:r w:rsidR="00E81FBB" w:rsidRPr="00A04234">
        <w:rPr>
          <w:rFonts w:ascii="Book Antiqua" w:eastAsia="Book Antiqua" w:hAnsi="Book Antiqua" w:cs="Book Antiqua"/>
        </w:rPr>
        <w:t xml:space="preserve"> [cited 10 November 2020].</w:t>
      </w:r>
      <w:r w:rsidRPr="00A04234">
        <w:rPr>
          <w:rFonts w:ascii="Book Antiqua" w:eastAsia="Book Antiqua" w:hAnsi="Book Antiqua" w:cs="Book Antiqua"/>
        </w:rPr>
        <w:t xml:space="preserve"> </w:t>
      </w:r>
      <w:proofErr w:type="spellStart"/>
      <w:r w:rsidRPr="00A04234">
        <w:rPr>
          <w:rFonts w:ascii="Book Antiqua" w:eastAsia="Book Antiqua" w:hAnsi="Book Antiqua" w:cs="Book Antiqua"/>
        </w:rPr>
        <w:t>DataBase</w:t>
      </w:r>
      <w:proofErr w:type="spellEnd"/>
      <w:r w:rsidR="00E81FBB" w:rsidRPr="00A04234">
        <w:rPr>
          <w:rFonts w:ascii="Book Antiqua" w:eastAsia="Book Antiqua" w:hAnsi="Book Antiqua" w:cs="Book Antiqua"/>
        </w:rPr>
        <w:t>:</w:t>
      </w:r>
      <w:r w:rsidRPr="00A04234">
        <w:rPr>
          <w:rFonts w:ascii="Book Antiqua" w:eastAsia="Book Antiqua" w:hAnsi="Book Antiqua" w:cs="Book Antiqua"/>
        </w:rPr>
        <w:t xml:space="preserve"> Center for Life Science (DBCLS)</w:t>
      </w:r>
      <w:r w:rsidR="00E81FBB" w:rsidRPr="00A04234">
        <w:rPr>
          <w:rFonts w:ascii="Book Antiqua" w:eastAsia="Book Antiqua" w:hAnsi="Book Antiqua" w:cs="Book Antiqua"/>
        </w:rPr>
        <w:t xml:space="preserve">. Available from: </w:t>
      </w:r>
      <w:r w:rsidRPr="00A04234">
        <w:rPr>
          <w:rFonts w:ascii="Book Antiqua" w:eastAsia="Book Antiqua" w:hAnsi="Book Antiqua" w:cs="Book Antiqua"/>
        </w:rPr>
        <w:t>https://doi.org/10.7875/togopic.2018.23</w:t>
      </w:r>
    </w:p>
    <w:p w14:paraId="5FDE750A"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29 </w:t>
      </w:r>
      <w:r w:rsidRPr="00A04234">
        <w:rPr>
          <w:rFonts w:ascii="Book Antiqua" w:eastAsia="Book Antiqua" w:hAnsi="Book Antiqua" w:cs="Book Antiqua"/>
          <w:b/>
          <w:bCs/>
        </w:rPr>
        <w:t>Du Y</w:t>
      </w:r>
      <w:r w:rsidRPr="00A04234">
        <w:rPr>
          <w:rFonts w:ascii="Book Antiqua" w:eastAsia="Book Antiqua" w:hAnsi="Book Antiqua" w:cs="Book Antiqua"/>
        </w:rPr>
        <w:t xml:space="preserve">, Zhao B, Liu Z, Ren X, Zhao W, Li Z, You L, Zhao Y. Molecular Subtyping of Pancreatic Cancer: Translating Genomics and Transcriptomics into the Clinic. </w:t>
      </w:r>
      <w:r w:rsidRPr="00A04234">
        <w:rPr>
          <w:rFonts w:ascii="Book Antiqua" w:eastAsia="Book Antiqua" w:hAnsi="Book Antiqua" w:cs="Book Antiqua"/>
          <w:i/>
          <w:iCs/>
        </w:rPr>
        <w:t>J Cancer</w:t>
      </w:r>
      <w:r w:rsidRPr="00A04234">
        <w:rPr>
          <w:rFonts w:ascii="Book Antiqua" w:eastAsia="Book Antiqua" w:hAnsi="Book Antiqua" w:cs="Book Antiqua"/>
        </w:rPr>
        <w:t xml:space="preserve"> 2017; </w:t>
      </w:r>
      <w:r w:rsidRPr="00A04234">
        <w:rPr>
          <w:rFonts w:ascii="Book Antiqua" w:eastAsia="Book Antiqua" w:hAnsi="Book Antiqua" w:cs="Book Antiqua"/>
          <w:b/>
          <w:bCs/>
        </w:rPr>
        <w:t>8</w:t>
      </w:r>
      <w:r w:rsidRPr="00A04234">
        <w:rPr>
          <w:rFonts w:ascii="Book Antiqua" w:eastAsia="Book Antiqua" w:hAnsi="Book Antiqua" w:cs="Book Antiqua"/>
        </w:rPr>
        <w:t>: 513-522 [PMID: 28367231 DOI: 10.7150/jca.17622]</w:t>
      </w:r>
    </w:p>
    <w:p w14:paraId="743CEF4D"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30 </w:t>
      </w:r>
      <w:proofErr w:type="spellStart"/>
      <w:r w:rsidRPr="00A04234">
        <w:rPr>
          <w:rFonts w:ascii="Book Antiqua" w:eastAsia="Book Antiqua" w:hAnsi="Book Antiqua" w:cs="Book Antiqua"/>
          <w:b/>
          <w:bCs/>
        </w:rPr>
        <w:t>Chantrill</w:t>
      </w:r>
      <w:proofErr w:type="spellEnd"/>
      <w:r w:rsidRPr="00A04234">
        <w:rPr>
          <w:rFonts w:ascii="Book Antiqua" w:eastAsia="Book Antiqua" w:hAnsi="Book Antiqua" w:cs="Book Antiqua"/>
          <w:b/>
          <w:bCs/>
        </w:rPr>
        <w:t xml:space="preserve"> LA</w:t>
      </w:r>
      <w:r w:rsidRPr="00A04234">
        <w:rPr>
          <w:rFonts w:ascii="Book Antiqua" w:eastAsia="Book Antiqua" w:hAnsi="Book Antiqua" w:cs="Book Antiqua"/>
        </w:rPr>
        <w:t xml:space="preserve">, </w:t>
      </w:r>
      <w:proofErr w:type="spellStart"/>
      <w:r w:rsidRPr="00A04234">
        <w:rPr>
          <w:rFonts w:ascii="Book Antiqua" w:eastAsia="Book Antiqua" w:hAnsi="Book Antiqua" w:cs="Book Antiqua"/>
        </w:rPr>
        <w:t>Nagrial</w:t>
      </w:r>
      <w:proofErr w:type="spellEnd"/>
      <w:r w:rsidRPr="00A04234">
        <w:rPr>
          <w:rFonts w:ascii="Book Antiqua" w:eastAsia="Book Antiqua" w:hAnsi="Book Antiqua" w:cs="Book Antiqua"/>
        </w:rPr>
        <w:t xml:space="preserve"> AM, Watson C, Johns AL, Martyn-Smith M, Simpson S, Mead S, Jones MD, Samra JS, Gill AJ, Watson N, Chin VT, </w:t>
      </w:r>
      <w:proofErr w:type="spellStart"/>
      <w:r w:rsidRPr="00A04234">
        <w:rPr>
          <w:rFonts w:ascii="Book Antiqua" w:eastAsia="Book Antiqua" w:hAnsi="Book Antiqua" w:cs="Book Antiqua"/>
        </w:rPr>
        <w:t>Humphris</w:t>
      </w:r>
      <w:proofErr w:type="spellEnd"/>
      <w:r w:rsidRPr="00A04234">
        <w:rPr>
          <w:rFonts w:ascii="Book Antiqua" w:eastAsia="Book Antiqua" w:hAnsi="Book Antiqua" w:cs="Book Antiqua"/>
        </w:rPr>
        <w:t xml:space="preserve"> JL, Chou A, Brown B, Morey A, </w:t>
      </w:r>
      <w:proofErr w:type="spellStart"/>
      <w:r w:rsidRPr="00A04234">
        <w:rPr>
          <w:rFonts w:ascii="Book Antiqua" w:eastAsia="Book Antiqua" w:hAnsi="Book Antiqua" w:cs="Book Antiqua"/>
        </w:rPr>
        <w:t>Pajic</w:t>
      </w:r>
      <w:proofErr w:type="spellEnd"/>
      <w:r w:rsidRPr="00A04234">
        <w:rPr>
          <w:rFonts w:ascii="Book Antiqua" w:eastAsia="Book Antiqua" w:hAnsi="Book Antiqua" w:cs="Book Antiqua"/>
        </w:rPr>
        <w:t xml:space="preserve"> M, </w:t>
      </w:r>
      <w:proofErr w:type="spellStart"/>
      <w:r w:rsidRPr="00A04234">
        <w:rPr>
          <w:rFonts w:ascii="Book Antiqua" w:eastAsia="Book Antiqua" w:hAnsi="Book Antiqua" w:cs="Book Antiqua"/>
        </w:rPr>
        <w:t>Grimmond</w:t>
      </w:r>
      <w:proofErr w:type="spellEnd"/>
      <w:r w:rsidRPr="00A04234">
        <w:rPr>
          <w:rFonts w:ascii="Book Antiqua" w:eastAsia="Book Antiqua" w:hAnsi="Book Antiqua" w:cs="Book Antiqua"/>
        </w:rPr>
        <w:t xml:space="preserve"> SM, Chang DK, Thomas D, Sebastian L, </w:t>
      </w:r>
      <w:proofErr w:type="spellStart"/>
      <w:r w:rsidRPr="00A04234">
        <w:rPr>
          <w:rFonts w:ascii="Book Antiqua" w:eastAsia="Book Antiqua" w:hAnsi="Book Antiqua" w:cs="Book Antiqua"/>
        </w:rPr>
        <w:t>Sjoquist</w:t>
      </w:r>
      <w:proofErr w:type="spellEnd"/>
      <w:r w:rsidRPr="00A04234">
        <w:rPr>
          <w:rFonts w:ascii="Book Antiqua" w:eastAsia="Book Antiqua" w:hAnsi="Book Antiqua" w:cs="Book Antiqua"/>
        </w:rPr>
        <w:t xml:space="preserve"> K, Yip S, </w:t>
      </w:r>
      <w:proofErr w:type="spellStart"/>
      <w:r w:rsidRPr="00A04234">
        <w:rPr>
          <w:rFonts w:ascii="Book Antiqua" w:eastAsia="Book Antiqua" w:hAnsi="Book Antiqua" w:cs="Book Antiqua"/>
        </w:rPr>
        <w:t>Pavlakis</w:t>
      </w:r>
      <w:proofErr w:type="spellEnd"/>
      <w:r w:rsidRPr="00A04234">
        <w:rPr>
          <w:rFonts w:ascii="Book Antiqua" w:eastAsia="Book Antiqua" w:hAnsi="Book Antiqua" w:cs="Book Antiqua"/>
        </w:rPr>
        <w:t xml:space="preserve"> N, </w:t>
      </w:r>
      <w:proofErr w:type="spellStart"/>
      <w:r w:rsidRPr="00A04234">
        <w:rPr>
          <w:rFonts w:ascii="Book Antiqua" w:eastAsia="Book Antiqua" w:hAnsi="Book Antiqua" w:cs="Book Antiqua"/>
        </w:rPr>
        <w:t>Asghari</w:t>
      </w:r>
      <w:proofErr w:type="spellEnd"/>
      <w:r w:rsidRPr="00A04234">
        <w:rPr>
          <w:rFonts w:ascii="Book Antiqua" w:eastAsia="Book Antiqua" w:hAnsi="Book Antiqua" w:cs="Book Antiqua"/>
        </w:rPr>
        <w:t xml:space="preserve"> R, Harvey S, </w:t>
      </w:r>
      <w:proofErr w:type="spellStart"/>
      <w:r w:rsidRPr="00A04234">
        <w:rPr>
          <w:rFonts w:ascii="Book Antiqua" w:eastAsia="Book Antiqua" w:hAnsi="Book Antiqua" w:cs="Book Antiqua"/>
        </w:rPr>
        <w:t>Grimison</w:t>
      </w:r>
      <w:proofErr w:type="spellEnd"/>
      <w:r w:rsidRPr="00A04234">
        <w:rPr>
          <w:rFonts w:ascii="Book Antiqua" w:eastAsia="Book Antiqua" w:hAnsi="Book Antiqua" w:cs="Book Antiqua"/>
        </w:rPr>
        <w:t xml:space="preserve"> P, </w:t>
      </w:r>
      <w:proofErr w:type="spellStart"/>
      <w:r w:rsidRPr="00A04234">
        <w:rPr>
          <w:rFonts w:ascii="Book Antiqua" w:eastAsia="Book Antiqua" w:hAnsi="Book Antiqua" w:cs="Book Antiqua"/>
        </w:rPr>
        <w:t>Simes</w:t>
      </w:r>
      <w:proofErr w:type="spellEnd"/>
      <w:r w:rsidRPr="00A04234">
        <w:rPr>
          <w:rFonts w:ascii="Book Antiqua" w:eastAsia="Book Antiqua" w:hAnsi="Book Antiqua" w:cs="Book Antiqua"/>
        </w:rPr>
        <w:t xml:space="preserve"> J, </w:t>
      </w:r>
      <w:proofErr w:type="spellStart"/>
      <w:r w:rsidRPr="00A04234">
        <w:rPr>
          <w:rFonts w:ascii="Book Antiqua" w:eastAsia="Book Antiqua" w:hAnsi="Book Antiqua" w:cs="Book Antiqua"/>
        </w:rPr>
        <w:t>Biankin</w:t>
      </w:r>
      <w:proofErr w:type="spellEnd"/>
      <w:r w:rsidRPr="00A04234">
        <w:rPr>
          <w:rFonts w:ascii="Book Antiqua" w:eastAsia="Book Antiqua" w:hAnsi="Book Antiqua" w:cs="Book Antiqua"/>
        </w:rPr>
        <w:t xml:space="preserve"> AV; Australian Pancreatic Cancer Genome Initiative (APGI); Individualized Molecular Pancreatic Cancer Therapy (</w:t>
      </w:r>
      <w:proofErr w:type="spellStart"/>
      <w:r w:rsidRPr="00A04234">
        <w:rPr>
          <w:rFonts w:ascii="Book Antiqua" w:eastAsia="Book Antiqua" w:hAnsi="Book Antiqua" w:cs="Book Antiqua"/>
        </w:rPr>
        <w:t>IMPaCT</w:t>
      </w:r>
      <w:proofErr w:type="spellEnd"/>
      <w:r w:rsidRPr="00A04234">
        <w:rPr>
          <w:rFonts w:ascii="Book Antiqua" w:eastAsia="Book Antiqua" w:hAnsi="Book Antiqua" w:cs="Book Antiqua"/>
        </w:rPr>
        <w:t>) Trial Management Committee of the Australasian Gastrointestinal Trials Group (AGITG). Precision Medicine for Advanced Pancreas Cancer: The Individualized Molecular Pancreatic Cancer Therapy (</w:t>
      </w:r>
      <w:proofErr w:type="spellStart"/>
      <w:r w:rsidRPr="00A04234">
        <w:rPr>
          <w:rFonts w:ascii="Book Antiqua" w:eastAsia="Book Antiqua" w:hAnsi="Book Antiqua" w:cs="Book Antiqua"/>
        </w:rPr>
        <w:t>IMPaCT</w:t>
      </w:r>
      <w:proofErr w:type="spellEnd"/>
      <w:r w:rsidRPr="00A04234">
        <w:rPr>
          <w:rFonts w:ascii="Book Antiqua" w:eastAsia="Book Antiqua" w:hAnsi="Book Antiqua" w:cs="Book Antiqua"/>
        </w:rPr>
        <w:t xml:space="preserve">) Trial. </w:t>
      </w:r>
      <w:r w:rsidRPr="00A04234">
        <w:rPr>
          <w:rFonts w:ascii="Book Antiqua" w:eastAsia="Book Antiqua" w:hAnsi="Book Antiqua" w:cs="Book Antiqua"/>
          <w:i/>
          <w:iCs/>
        </w:rPr>
        <w:t>Clin Cancer Res</w:t>
      </w:r>
      <w:r w:rsidRPr="00A04234">
        <w:rPr>
          <w:rFonts w:ascii="Book Antiqua" w:eastAsia="Book Antiqua" w:hAnsi="Book Antiqua" w:cs="Book Antiqua"/>
        </w:rPr>
        <w:t xml:space="preserve"> 2015; </w:t>
      </w:r>
      <w:r w:rsidRPr="00A04234">
        <w:rPr>
          <w:rFonts w:ascii="Book Antiqua" w:eastAsia="Book Antiqua" w:hAnsi="Book Antiqua" w:cs="Book Antiqua"/>
          <w:b/>
          <w:bCs/>
        </w:rPr>
        <w:t>21</w:t>
      </w:r>
      <w:r w:rsidRPr="00A04234">
        <w:rPr>
          <w:rFonts w:ascii="Book Antiqua" w:eastAsia="Book Antiqua" w:hAnsi="Book Antiqua" w:cs="Book Antiqua"/>
        </w:rPr>
        <w:t>: 2029-2037 [PMID: 25896973 DOI: 10.1158/1078-0432.CCR-15-0426]</w:t>
      </w:r>
    </w:p>
    <w:p w14:paraId="60B541AD" w14:textId="3E5392B6"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31 </w:t>
      </w:r>
      <w:r w:rsidRPr="00A04234">
        <w:rPr>
          <w:rFonts w:ascii="Book Antiqua" w:eastAsia="Book Antiqua" w:hAnsi="Book Antiqua" w:cs="Book Antiqua"/>
          <w:b/>
          <w:bCs/>
        </w:rPr>
        <w:t>Dixon-Hughes J</w:t>
      </w:r>
      <w:r w:rsidRPr="00A04234">
        <w:rPr>
          <w:rFonts w:ascii="Book Antiqua" w:eastAsia="Book Antiqua" w:hAnsi="Book Antiqua" w:cs="Book Antiqua"/>
        </w:rPr>
        <w:t>. Precision-</w:t>
      </w:r>
      <w:proofErr w:type="spellStart"/>
      <w:r w:rsidRPr="00A04234">
        <w:rPr>
          <w:rFonts w:ascii="Book Antiqua" w:eastAsia="Book Antiqua" w:hAnsi="Book Antiqua" w:cs="Book Antiqua"/>
        </w:rPr>
        <w:t>Panc</w:t>
      </w:r>
      <w:proofErr w:type="spellEnd"/>
      <w:r w:rsidRPr="00A04234">
        <w:rPr>
          <w:rFonts w:ascii="Book Antiqua" w:eastAsia="Book Antiqua" w:hAnsi="Book Antiqua" w:cs="Book Antiqua"/>
        </w:rPr>
        <w:t xml:space="preserve"> Master Protocol: </w:t>
      </w:r>
      <w:proofErr w:type="spellStart"/>
      <w:r w:rsidRPr="00A04234">
        <w:rPr>
          <w:rFonts w:ascii="Book Antiqua" w:eastAsia="Book Antiqua" w:hAnsi="Book Antiqua" w:cs="Book Antiqua"/>
        </w:rPr>
        <w:t>Personalising</w:t>
      </w:r>
      <w:proofErr w:type="spellEnd"/>
      <w:r w:rsidRPr="00A04234">
        <w:rPr>
          <w:rFonts w:ascii="Book Antiqua" w:eastAsia="Book Antiqua" w:hAnsi="Book Antiqua" w:cs="Book Antiqua"/>
        </w:rPr>
        <w:t xml:space="preserve"> Treatment </w:t>
      </w:r>
      <w:proofErr w:type="gramStart"/>
      <w:r w:rsidRPr="00A04234">
        <w:rPr>
          <w:rFonts w:ascii="Book Antiqua" w:eastAsia="Book Antiqua" w:hAnsi="Book Antiqua" w:cs="Book Antiqua"/>
        </w:rPr>
        <w:t>For</w:t>
      </w:r>
      <w:proofErr w:type="gramEnd"/>
      <w:r w:rsidRPr="00A04234">
        <w:rPr>
          <w:rFonts w:ascii="Book Antiqua" w:eastAsia="Book Antiqua" w:hAnsi="Book Antiqua" w:cs="Book Antiqua"/>
        </w:rPr>
        <w:t xml:space="preserve"> Pancreatic Cancer [accessed 2020 Dec 27]. In: ClinicalTrials.gov [Internet]. Bethesda (MD): U.S National Library of Medicine. Available from: https://clinicaltrials.gov/ct2/show/NCT04161417 ClinicalTrials.gov Identifier: NCT04161417</w:t>
      </w:r>
    </w:p>
    <w:p w14:paraId="24A5687C" w14:textId="1FD33434"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32 </w:t>
      </w:r>
      <w:r w:rsidRPr="00A04234">
        <w:rPr>
          <w:rFonts w:ascii="Book Antiqua" w:eastAsia="Book Antiqua" w:hAnsi="Book Antiqua" w:cs="Book Antiqua"/>
          <w:b/>
          <w:bCs/>
        </w:rPr>
        <w:t xml:space="preserve">Cancer Genome Atlas Research Network. </w:t>
      </w:r>
      <w:r w:rsidRPr="00A04234">
        <w:rPr>
          <w:rFonts w:ascii="Book Antiqua" w:eastAsia="Book Antiqua" w:hAnsi="Book Antiqua" w:cs="Book Antiqua"/>
        </w:rPr>
        <w:t xml:space="preserve">Cancer Genome Atlas Research Network. Integrated Genomic Characterization of Pancreatic Ductal Adenocarcinoma. </w:t>
      </w:r>
      <w:r w:rsidRPr="00A04234">
        <w:rPr>
          <w:rFonts w:ascii="Book Antiqua" w:eastAsia="Book Antiqua" w:hAnsi="Book Antiqua" w:cs="Book Antiqua"/>
          <w:i/>
          <w:iCs/>
        </w:rPr>
        <w:t>Cancer Cell</w:t>
      </w:r>
      <w:r w:rsidRPr="00A04234">
        <w:rPr>
          <w:rFonts w:ascii="Book Antiqua" w:eastAsia="Book Antiqua" w:hAnsi="Book Antiqua" w:cs="Book Antiqua"/>
        </w:rPr>
        <w:t xml:space="preserve"> 2017; </w:t>
      </w:r>
      <w:r w:rsidRPr="00A04234">
        <w:rPr>
          <w:rFonts w:ascii="Book Antiqua" w:eastAsia="Book Antiqua" w:hAnsi="Book Antiqua" w:cs="Book Antiqua"/>
          <w:b/>
          <w:bCs/>
        </w:rPr>
        <w:t>32</w:t>
      </w:r>
      <w:r w:rsidRPr="00A04234">
        <w:rPr>
          <w:rFonts w:ascii="Book Antiqua" w:eastAsia="Book Antiqua" w:hAnsi="Book Antiqua" w:cs="Book Antiqua"/>
        </w:rPr>
        <w:t>: 185-203 [PMID: 28810144 DOI: 10.1016/j.ccell.2017.07.007]</w:t>
      </w:r>
    </w:p>
    <w:p w14:paraId="78A62054"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33 </w:t>
      </w:r>
      <w:proofErr w:type="spellStart"/>
      <w:r w:rsidRPr="00A04234">
        <w:rPr>
          <w:rFonts w:ascii="Book Antiqua" w:eastAsia="Book Antiqua" w:hAnsi="Book Antiqua" w:cs="Book Antiqua"/>
          <w:b/>
          <w:bCs/>
        </w:rPr>
        <w:t>Follia</w:t>
      </w:r>
      <w:proofErr w:type="spellEnd"/>
      <w:r w:rsidRPr="00A04234">
        <w:rPr>
          <w:rFonts w:ascii="Book Antiqua" w:eastAsia="Book Antiqua" w:hAnsi="Book Antiqua" w:cs="Book Antiqua"/>
          <w:b/>
          <w:bCs/>
        </w:rPr>
        <w:t xml:space="preserve"> L</w:t>
      </w:r>
      <w:r w:rsidRPr="00A04234">
        <w:rPr>
          <w:rFonts w:ascii="Book Antiqua" w:eastAsia="Book Antiqua" w:hAnsi="Book Antiqua" w:cs="Book Antiqua"/>
        </w:rPr>
        <w:t xml:space="preserve">, Ferrero G, </w:t>
      </w:r>
      <w:proofErr w:type="spellStart"/>
      <w:r w:rsidRPr="00A04234">
        <w:rPr>
          <w:rFonts w:ascii="Book Antiqua" w:eastAsia="Book Antiqua" w:hAnsi="Book Antiqua" w:cs="Book Antiqua"/>
        </w:rPr>
        <w:t>Mandili</w:t>
      </w:r>
      <w:proofErr w:type="spellEnd"/>
      <w:r w:rsidRPr="00A04234">
        <w:rPr>
          <w:rFonts w:ascii="Book Antiqua" w:eastAsia="Book Antiqua" w:hAnsi="Book Antiqua" w:cs="Book Antiqua"/>
        </w:rPr>
        <w:t xml:space="preserve"> G, </w:t>
      </w:r>
      <w:proofErr w:type="spellStart"/>
      <w:r w:rsidRPr="00A04234">
        <w:rPr>
          <w:rFonts w:ascii="Book Antiqua" w:eastAsia="Book Antiqua" w:hAnsi="Book Antiqua" w:cs="Book Antiqua"/>
        </w:rPr>
        <w:t>Beccuti</w:t>
      </w:r>
      <w:proofErr w:type="spellEnd"/>
      <w:r w:rsidRPr="00A04234">
        <w:rPr>
          <w:rFonts w:ascii="Book Antiqua" w:eastAsia="Book Antiqua" w:hAnsi="Book Antiqua" w:cs="Book Antiqua"/>
        </w:rPr>
        <w:t xml:space="preserve"> M, Giordano D, </w:t>
      </w:r>
      <w:proofErr w:type="spellStart"/>
      <w:r w:rsidRPr="00A04234">
        <w:rPr>
          <w:rFonts w:ascii="Book Antiqua" w:eastAsia="Book Antiqua" w:hAnsi="Book Antiqua" w:cs="Book Antiqua"/>
        </w:rPr>
        <w:t>Spadi</w:t>
      </w:r>
      <w:proofErr w:type="spellEnd"/>
      <w:r w:rsidRPr="00A04234">
        <w:rPr>
          <w:rFonts w:ascii="Book Antiqua" w:eastAsia="Book Antiqua" w:hAnsi="Book Antiqua" w:cs="Book Antiqua"/>
        </w:rPr>
        <w:t xml:space="preserve"> R, </w:t>
      </w:r>
      <w:proofErr w:type="spellStart"/>
      <w:r w:rsidRPr="00A04234">
        <w:rPr>
          <w:rFonts w:ascii="Book Antiqua" w:eastAsia="Book Antiqua" w:hAnsi="Book Antiqua" w:cs="Book Antiqua"/>
        </w:rPr>
        <w:t>Satolli</w:t>
      </w:r>
      <w:proofErr w:type="spellEnd"/>
      <w:r w:rsidRPr="00A04234">
        <w:rPr>
          <w:rFonts w:ascii="Book Antiqua" w:eastAsia="Book Antiqua" w:hAnsi="Book Antiqua" w:cs="Book Antiqua"/>
        </w:rPr>
        <w:t xml:space="preserve"> MA, Evangelista A, Katayama H, Hong W, </w:t>
      </w:r>
      <w:proofErr w:type="spellStart"/>
      <w:r w:rsidRPr="00A04234">
        <w:rPr>
          <w:rFonts w:ascii="Book Antiqua" w:eastAsia="Book Antiqua" w:hAnsi="Book Antiqua" w:cs="Book Antiqua"/>
        </w:rPr>
        <w:t>Momin</w:t>
      </w:r>
      <w:proofErr w:type="spellEnd"/>
      <w:r w:rsidRPr="00A04234">
        <w:rPr>
          <w:rFonts w:ascii="Book Antiqua" w:eastAsia="Book Antiqua" w:hAnsi="Book Antiqua" w:cs="Book Antiqua"/>
        </w:rPr>
        <w:t xml:space="preserve"> AA, </w:t>
      </w:r>
      <w:proofErr w:type="spellStart"/>
      <w:r w:rsidRPr="00A04234">
        <w:rPr>
          <w:rFonts w:ascii="Book Antiqua" w:eastAsia="Book Antiqua" w:hAnsi="Book Antiqua" w:cs="Book Antiqua"/>
        </w:rPr>
        <w:t>Capello</w:t>
      </w:r>
      <w:proofErr w:type="spellEnd"/>
      <w:r w:rsidRPr="00A04234">
        <w:rPr>
          <w:rFonts w:ascii="Book Antiqua" w:eastAsia="Book Antiqua" w:hAnsi="Book Antiqua" w:cs="Book Antiqua"/>
        </w:rPr>
        <w:t xml:space="preserve"> M, </w:t>
      </w:r>
      <w:proofErr w:type="spellStart"/>
      <w:r w:rsidRPr="00A04234">
        <w:rPr>
          <w:rFonts w:ascii="Book Antiqua" w:eastAsia="Book Antiqua" w:hAnsi="Book Antiqua" w:cs="Book Antiqua"/>
        </w:rPr>
        <w:t>Hanash</w:t>
      </w:r>
      <w:proofErr w:type="spellEnd"/>
      <w:r w:rsidRPr="00A04234">
        <w:rPr>
          <w:rFonts w:ascii="Book Antiqua" w:eastAsia="Book Antiqua" w:hAnsi="Book Antiqua" w:cs="Book Antiqua"/>
        </w:rPr>
        <w:t xml:space="preserve"> SM, </w:t>
      </w:r>
      <w:proofErr w:type="spellStart"/>
      <w:r w:rsidRPr="00A04234">
        <w:rPr>
          <w:rFonts w:ascii="Book Antiqua" w:eastAsia="Book Antiqua" w:hAnsi="Book Antiqua" w:cs="Book Antiqua"/>
        </w:rPr>
        <w:t>Novelli</w:t>
      </w:r>
      <w:proofErr w:type="spellEnd"/>
      <w:r w:rsidRPr="00A04234">
        <w:rPr>
          <w:rFonts w:ascii="Book Antiqua" w:eastAsia="Book Antiqua" w:hAnsi="Book Antiqua" w:cs="Book Antiqua"/>
        </w:rPr>
        <w:t xml:space="preserve"> F, Cordero F. Integrative Analysis of Novel Metabolic Subtypes in Pancreatic Cancer </w:t>
      </w:r>
      <w:r w:rsidRPr="00A04234">
        <w:rPr>
          <w:rFonts w:ascii="Book Antiqua" w:eastAsia="Book Antiqua" w:hAnsi="Book Antiqua" w:cs="Book Antiqua"/>
        </w:rPr>
        <w:lastRenderedPageBreak/>
        <w:t xml:space="preserve">Fosters New Prognostic Biomarkers. </w:t>
      </w:r>
      <w:r w:rsidRPr="00A04234">
        <w:rPr>
          <w:rFonts w:ascii="Book Antiqua" w:eastAsia="Book Antiqua" w:hAnsi="Book Antiqua" w:cs="Book Antiqua"/>
          <w:i/>
          <w:iCs/>
        </w:rPr>
        <w:t>Front Oncol</w:t>
      </w:r>
      <w:r w:rsidRPr="00A04234">
        <w:rPr>
          <w:rFonts w:ascii="Book Antiqua" w:eastAsia="Book Antiqua" w:hAnsi="Book Antiqua" w:cs="Book Antiqua"/>
        </w:rPr>
        <w:t xml:space="preserve"> 2019; </w:t>
      </w:r>
      <w:r w:rsidRPr="00A04234">
        <w:rPr>
          <w:rFonts w:ascii="Book Antiqua" w:eastAsia="Book Antiqua" w:hAnsi="Book Antiqua" w:cs="Book Antiqua"/>
          <w:b/>
          <w:bCs/>
        </w:rPr>
        <w:t>9</w:t>
      </w:r>
      <w:r w:rsidRPr="00A04234">
        <w:rPr>
          <w:rFonts w:ascii="Book Antiqua" w:eastAsia="Book Antiqua" w:hAnsi="Book Antiqua" w:cs="Book Antiqua"/>
        </w:rPr>
        <w:t>: 115 [PMID: 30873387 DOI: 10.3389/fonc.2019.00115]</w:t>
      </w:r>
    </w:p>
    <w:p w14:paraId="18333B11"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34 </w:t>
      </w:r>
      <w:proofErr w:type="spellStart"/>
      <w:r w:rsidRPr="00A04234">
        <w:rPr>
          <w:rFonts w:ascii="Book Antiqua" w:eastAsia="Book Antiqua" w:hAnsi="Book Antiqua" w:cs="Book Antiqua"/>
          <w:b/>
          <w:bCs/>
        </w:rPr>
        <w:t>Bzdok</w:t>
      </w:r>
      <w:proofErr w:type="spellEnd"/>
      <w:r w:rsidRPr="00A04234">
        <w:rPr>
          <w:rFonts w:ascii="Book Antiqua" w:eastAsia="Book Antiqua" w:hAnsi="Book Antiqua" w:cs="Book Antiqua"/>
          <w:b/>
          <w:bCs/>
        </w:rPr>
        <w:t xml:space="preserve"> D</w:t>
      </w:r>
      <w:r w:rsidRPr="00A04234">
        <w:rPr>
          <w:rFonts w:ascii="Book Antiqua" w:eastAsia="Book Antiqua" w:hAnsi="Book Antiqua" w:cs="Book Antiqua"/>
        </w:rPr>
        <w:t xml:space="preserve">, Altman N, </w:t>
      </w:r>
      <w:proofErr w:type="spellStart"/>
      <w:r w:rsidRPr="00A04234">
        <w:rPr>
          <w:rFonts w:ascii="Book Antiqua" w:eastAsia="Book Antiqua" w:hAnsi="Book Antiqua" w:cs="Book Antiqua"/>
        </w:rPr>
        <w:t>Krzywinski</w:t>
      </w:r>
      <w:proofErr w:type="spellEnd"/>
      <w:r w:rsidRPr="00A04234">
        <w:rPr>
          <w:rFonts w:ascii="Book Antiqua" w:eastAsia="Book Antiqua" w:hAnsi="Book Antiqua" w:cs="Book Antiqua"/>
        </w:rPr>
        <w:t xml:space="preserve"> M. Statistics </w:t>
      </w:r>
      <w:r w:rsidRPr="00A04234">
        <w:rPr>
          <w:rFonts w:ascii="Book Antiqua" w:eastAsia="Book Antiqua" w:hAnsi="Book Antiqua" w:cs="Book Antiqua"/>
          <w:i/>
          <w:iCs/>
        </w:rPr>
        <w:t>vs</w:t>
      </w:r>
      <w:r w:rsidRPr="00A04234">
        <w:rPr>
          <w:rFonts w:ascii="Book Antiqua" w:eastAsia="Book Antiqua" w:hAnsi="Book Antiqua" w:cs="Book Antiqua"/>
        </w:rPr>
        <w:t xml:space="preserve"> machine learning. </w:t>
      </w:r>
      <w:r w:rsidRPr="00A04234">
        <w:rPr>
          <w:rFonts w:ascii="Book Antiqua" w:eastAsia="Book Antiqua" w:hAnsi="Book Antiqua" w:cs="Book Antiqua"/>
          <w:i/>
          <w:iCs/>
        </w:rPr>
        <w:t>Nat Methods</w:t>
      </w:r>
      <w:r w:rsidRPr="00A04234">
        <w:rPr>
          <w:rFonts w:ascii="Book Antiqua" w:eastAsia="Book Antiqua" w:hAnsi="Book Antiqua" w:cs="Book Antiqua"/>
        </w:rPr>
        <w:t xml:space="preserve"> 2018; </w:t>
      </w:r>
      <w:r w:rsidRPr="00A04234">
        <w:rPr>
          <w:rFonts w:ascii="Book Antiqua" w:eastAsia="Book Antiqua" w:hAnsi="Book Antiqua" w:cs="Book Antiqua"/>
          <w:b/>
          <w:bCs/>
        </w:rPr>
        <w:t>15</w:t>
      </w:r>
      <w:r w:rsidRPr="00A04234">
        <w:rPr>
          <w:rFonts w:ascii="Book Antiqua" w:eastAsia="Book Antiqua" w:hAnsi="Book Antiqua" w:cs="Book Antiqua"/>
        </w:rPr>
        <w:t>: 233-234 [PMID: 30100822 DOI: 10.1038/nmeth.4642]</w:t>
      </w:r>
    </w:p>
    <w:p w14:paraId="006DBB18"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 xml:space="preserve">35 </w:t>
      </w:r>
      <w:proofErr w:type="spellStart"/>
      <w:r w:rsidRPr="00A04234">
        <w:rPr>
          <w:rFonts w:ascii="Book Antiqua" w:eastAsia="Book Antiqua" w:hAnsi="Book Antiqua" w:cs="Book Antiqua"/>
          <w:b/>
          <w:bCs/>
        </w:rPr>
        <w:t>Nicora</w:t>
      </w:r>
      <w:proofErr w:type="spellEnd"/>
      <w:r w:rsidRPr="00A04234">
        <w:rPr>
          <w:rFonts w:ascii="Book Antiqua" w:eastAsia="Book Antiqua" w:hAnsi="Book Antiqua" w:cs="Book Antiqua"/>
          <w:b/>
          <w:bCs/>
        </w:rPr>
        <w:t xml:space="preserve"> G</w:t>
      </w:r>
      <w:r w:rsidRPr="00A04234">
        <w:rPr>
          <w:rFonts w:ascii="Book Antiqua" w:eastAsia="Book Antiqua" w:hAnsi="Book Antiqua" w:cs="Book Antiqua"/>
        </w:rPr>
        <w:t xml:space="preserve">, </w:t>
      </w:r>
      <w:proofErr w:type="spellStart"/>
      <w:r w:rsidRPr="00A04234">
        <w:rPr>
          <w:rFonts w:ascii="Book Antiqua" w:eastAsia="Book Antiqua" w:hAnsi="Book Antiqua" w:cs="Book Antiqua"/>
        </w:rPr>
        <w:t>Vitali</w:t>
      </w:r>
      <w:proofErr w:type="spellEnd"/>
      <w:r w:rsidRPr="00A04234">
        <w:rPr>
          <w:rFonts w:ascii="Book Antiqua" w:eastAsia="Book Antiqua" w:hAnsi="Book Antiqua" w:cs="Book Antiqua"/>
        </w:rPr>
        <w:t xml:space="preserve"> F, </w:t>
      </w:r>
      <w:proofErr w:type="spellStart"/>
      <w:r w:rsidRPr="00A04234">
        <w:rPr>
          <w:rFonts w:ascii="Book Antiqua" w:eastAsia="Book Antiqua" w:hAnsi="Book Antiqua" w:cs="Book Antiqua"/>
        </w:rPr>
        <w:t>Dagliati</w:t>
      </w:r>
      <w:proofErr w:type="spellEnd"/>
      <w:r w:rsidRPr="00A04234">
        <w:rPr>
          <w:rFonts w:ascii="Book Antiqua" w:eastAsia="Book Antiqua" w:hAnsi="Book Antiqua" w:cs="Book Antiqua"/>
        </w:rPr>
        <w:t xml:space="preserve"> A, </w:t>
      </w:r>
      <w:proofErr w:type="spellStart"/>
      <w:r w:rsidRPr="00A04234">
        <w:rPr>
          <w:rFonts w:ascii="Book Antiqua" w:eastAsia="Book Antiqua" w:hAnsi="Book Antiqua" w:cs="Book Antiqua"/>
        </w:rPr>
        <w:t>Geifman</w:t>
      </w:r>
      <w:proofErr w:type="spellEnd"/>
      <w:r w:rsidRPr="00A04234">
        <w:rPr>
          <w:rFonts w:ascii="Book Antiqua" w:eastAsia="Book Antiqua" w:hAnsi="Book Antiqua" w:cs="Book Antiqua"/>
        </w:rPr>
        <w:t xml:space="preserve"> N, </w:t>
      </w:r>
      <w:proofErr w:type="spellStart"/>
      <w:r w:rsidRPr="00A04234">
        <w:rPr>
          <w:rFonts w:ascii="Book Antiqua" w:eastAsia="Book Antiqua" w:hAnsi="Book Antiqua" w:cs="Book Antiqua"/>
        </w:rPr>
        <w:t>Bellazzi</w:t>
      </w:r>
      <w:proofErr w:type="spellEnd"/>
      <w:r w:rsidRPr="00A04234">
        <w:rPr>
          <w:rFonts w:ascii="Book Antiqua" w:eastAsia="Book Antiqua" w:hAnsi="Book Antiqua" w:cs="Book Antiqua"/>
        </w:rPr>
        <w:t xml:space="preserve"> R. Integrated Multi-Omics Analyses in Oncology: A Review of Machine Learning Methods and Tools. </w:t>
      </w:r>
      <w:r w:rsidRPr="00A04234">
        <w:rPr>
          <w:rFonts w:ascii="Book Antiqua" w:eastAsia="Book Antiqua" w:hAnsi="Book Antiqua" w:cs="Book Antiqua"/>
          <w:i/>
          <w:iCs/>
        </w:rPr>
        <w:t>Front Oncol</w:t>
      </w:r>
      <w:r w:rsidRPr="00A04234">
        <w:rPr>
          <w:rFonts w:ascii="Book Antiqua" w:eastAsia="Book Antiqua" w:hAnsi="Book Antiqua" w:cs="Book Antiqua"/>
        </w:rPr>
        <w:t xml:space="preserve"> 2020; </w:t>
      </w:r>
      <w:r w:rsidRPr="00A04234">
        <w:rPr>
          <w:rFonts w:ascii="Book Antiqua" w:eastAsia="Book Antiqua" w:hAnsi="Book Antiqua" w:cs="Book Antiqua"/>
          <w:b/>
          <w:bCs/>
        </w:rPr>
        <w:t>10</w:t>
      </w:r>
      <w:r w:rsidRPr="00A04234">
        <w:rPr>
          <w:rFonts w:ascii="Book Antiqua" w:eastAsia="Book Antiqua" w:hAnsi="Book Antiqua" w:cs="Book Antiqua"/>
        </w:rPr>
        <w:t>: 1030 [PMID: 32695678 DOI: 10.3389/fonc.2020.01030]</w:t>
      </w:r>
    </w:p>
    <w:p w14:paraId="0CAF38E0" w14:textId="77777777" w:rsidR="00A77B3E" w:rsidRPr="00A04234" w:rsidRDefault="00A77B3E" w:rsidP="0048655F">
      <w:pPr>
        <w:adjustRightInd w:val="0"/>
        <w:snapToGrid w:val="0"/>
        <w:spacing w:line="360" w:lineRule="auto"/>
        <w:jc w:val="both"/>
        <w:rPr>
          <w:rFonts w:ascii="Book Antiqua" w:hAnsi="Book Antiqua"/>
        </w:rPr>
        <w:sectPr w:rsidR="00A77B3E" w:rsidRPr="00A04234">
          <w:pgSz w:w="12240" w:h="15840"/>
          <w:pgMar w:top="1440" w:right="1440" w:bottom="1440" w:left="1440" w:header="720" w:footer="720" w:gutter="0"/>
          <w:cols w:space="720"/>
          <w:docGrid w:linePitch="360"/>
        </w:sectPr>
      </w:pPr>
    </w:p>
    <w:p w14:paraId="3925A2D9"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rPr>
        <w:lastRenderedPageBreak/>
        <w:t>Footnotes</w:t>
      </w:r>
    </w:p>
    <w:p w14:paraId="73E52A05"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bCs/>
        </w:rPr>
        <w:t xml:space="preserve">Conflict-of-interest statement: </w:t>
      </w:r>
      <w:r w:rsidRPr="00A04234">
        <w:rPr>
          <w:rFonts w:ascii="Book Antiqua" w:eastAsia="Book Antiqua" w:hAnsi="Book Antiqua" w:cs="Book Antiqua"/>
        </w:rPr>
        <w:t>Authors declare no conflict of interest in this article.</w:t>
      </w:r>
    </w:p>
    <w:p w14:paraId="3989F967" w14:textId="77777777" w:rsidR="00A77B3E" w:rsidRPr="00A04234" w:rsidRDefault="00A77B3E" w:rsidP="0048655F">
      <w:pPr>
        <w:adjustRightInd w:val="0"/>
        <w:snapToGrid w:val="0"/>
        <w:spacing w:line="360" w:lineRule="auto"/>
        <w:jc w:val="both"/>
        <w:rPr>
          <w:rFonts w:ascii="Book Antiqua" w:hAnsi="Book Antiqua"/>
        </w:rPr>
      </w:pPr>
    </w:p>
    <w:p w14:paraId="7D31BA5B"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bCs/>
        </w:rPr>
        <w:t xml:space="preserve">Open-Access: </w:t>
      </w:r>
      <w:r w:rsidRPr="00A0423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04234">
        <w:rPr>
          <w:rFonts w:ascii="Book Antiqua" w:eastAsia="Book Antiqua" w:hAnsi="Book Antiqua" w:cs="Book Antiqua"/>
        </w:rPr>
        <w:t>NonCommercial</w:t>
      </w:r>
      <w:proofErr w:type="spellEnd"/>
      <w:r w:rsidRPr="00A0423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C7425F" w14:textId="77777777" w:rsidR="00A77B3E" w:rsidRPr="00A04234" w:rsidRDefault="00A77B3E" w:rsidP="0048655F">
      <w:pPr>
        <w:adjustRightInd w:val="0"/>
        <w:snapToGrid w:val="0"/>
        <w:spacing w:line="360" w:lineRule="auto"/>
        <w:jc w:val="both"/>
        <w:rPr>
          <w:rFonts w:ascii="Book Antiqua" w:hAnsi="Book Antiqua"/>
        </w:rPr>
      </w:pPr>
    </w:p>
    <w:p w14:paraId="324A2688" w14:textId="417B2B22"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rPr>
        <w:t xml:space="preserve">Manuscript source: </w:t>
      </w:r>
      <w:r w:rsidRPr="00A04234">
        <w:rPr>
          <w:rFonts w:ascii="Book Antiqua" w:eastAsia="Book Antiqua" w:hAnsi="Book Antiqua" w:cs="Book Antiqua"/>
        </w:rPr>
        <w:t>Invit</w:t>
      </w:r>
      <w:r w:rsidR="00E1210B" w:rsidRPr="00A04234">
        <w:rPr>
          <w:rFonts w:ascii="Book Antiqua" w:eastAsia="Book Antiqua" w:hAnsi="Book Antiqua" w:cs="Book Antiqua"/>
        </w:rPr>
        <w:t>ed ma</w:t>
      </w:r>
      <w:r w:rsidRPr="00A04234">
        <w:rPr>
          <w:rFonts w:ascii="Book Antiqua" w:eastAsia="Book Antiqua" w:hAnsi="Book Antiqua" w:cs="Book Antiqua"/>
        </w:rPr>
        <w:t>nuscript</w:t>
      </w:r>
    </w:p>
    <w:p w14:paraId="61B4F829" w14:textId="77777777" w:rsidR="00A77B3E" w:rsidRPr="00A04234" w:rsidRDefault="00A77B3E" w:rsidP="0048655F">
      <w:pPr>
        <w:adjustRightInd w:val="0"/>
        <w:snapToGrid w:val="0"/>
        <w:spacing w:line="360" w:lineRule="auto"/>
        <w:jc w:val="both"/>
        <w:rPr>
          <w:rFonts w:ascii="Book Antiqua" w:hAnsi="Book Antiqua"/>
        </w:rPr>
      </w:pPr>
    </w:p>
    <w:p w14:paraId="76A1250B"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rPr>
        <w:t xml:space="preserve">Peer-review started: </w:t>
      </w:r>
      <w:r w:rsidRPr="00A04234">
        <w:rPr>
          <w:rFonts w:ascii="Book Antiqua" w:eastAsia="Book Antiqua" w:hAnsi="Book Antiqua" w:cs="Book Antiqua"/>
        </w:rPr>
        <w:t>January 25, 2021</w:t>
      </w:r>
    </w:p>
    <w:p w14:paraId="1F170345"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rPr>
        <w:t xml:space="preserve">First decision: </w:t>
      </w:r>
      <w:r w:rsidRPr="00A04234">
        <w:rPr>
          <w:rFonts w:ascii="Book Antiqua" w:eastAsia="Book Antiqua" w:hAnsi="Book Antiqua" w:cs="Book Antiqua"/>
        </w:rPr>
        <w:t>March 29, 2021</w:t>
      </w:r>
    </w:p>
    <w:p w14:paraId="50E533AD"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rPr>
        <w:t xml:space="preserve">Article in press: </w:t>
      </w:r>
    </w:p>
    <w:p w14:paraId="03FC43E0" w14:textId="77777777" w:rsidR="00A77B3E" w:rsidRPr="00A04234" w:rsidRDefault="00A77B3E" w:rsidP="0048655F">
      <w:pPr>
        <w:adjustRightInd w:val="0"/>
        <w:snapToGrid w:val="0"/>
        <w:spacing w:line="360" w:lineRule="auto"/>
        <w:jc w:val="both"/>
        <w:rPr>
          <w:rFonts w:ascii="Book Antiqua" w:hAnsi="Book Antiqua"/>
        </w:rPr>
      </w:pPr>
    </w:p>
    <w:p w14:paraId="7FC49B8C" w14:textId="7425CC40"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rPr>
        <w:t xml:space="preserve">Specialty type: </w:t>
      </w:r>
      <w:r w:rsidR="00682E19" w:rsidRPr="00A04234">
        <w:rPr>
          <w:rFonts w:ascii="Book Antiqua" w:eastAsia="Book Antiqua" w:hAnsi="Book Antiqua" w:cs="Book Antiqua"/>
        </w:rPr>
        <w:t>Gastroenterology and hepatology</w:t>
      </w:r>
    </w:p>
    <w:p w14:paraId="34904C63"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rPr>
        <w:t xml:space="preserve">Country/Territory of origin: </w:t>
      </w:r>
      <w:r w:rsidRPr="00A04234">
        <w:rPr>
          <w:rFonts w:ascii="Book Antiqua" w:eastAsia="Book Antiqua" w:hAnsi="Book Antiqua" w:cs="Book Antiqua"/>
        </w:rPr>
        <w:t>United Kingdom</w:t>
      </w:r>
    </w:p>
    <w:p w14:paraId="1ECF35A1"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rPr>
        <w:t>Peer-review report’s scientific quality classification</w:t>
      </w:r>
    </w:p>
    <w:p w14:paraId="0E4915CB"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Grade A (Excellent): 0</w:t>
      </w:r>
    </w:p>
    <w:p w14:paraId="24D5B7FB"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Grade B (Very good): 0</w:t>
      </w:r>
    </w:p>
    <w:p w14:paraId="35FFEA9B"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Grade C (Good): C</w:t>
      </w:r>
    </w:p>
    <w:p w14:paraId="35D80EA8"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Grade D (Fair): 0</w:t>
      </w:r>
    </w:p>
    <w:p w14:paraId="3CB70E69"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rPr>
        <w:t>Grade E (Poor): 0</w:t>
      </w:r>
    </w:p>
    <w:p w14:paraId="55B0A1A4" w14:textId="77777777" w:rsidR="00A77B3E" w:rsidRPr="00A04234" w:rsidRDefault="00A77B3E" w:rsidP="0048655F">
      <w:pPr>
        <w:adjustRightInd w:val="0"/>
        <w:snapToGrid w:val="0"/>
        <w:spacing w:line="360" w:lineRule="auto"/>
        <w:jc w:val="both"/>
        <w:rPr>
          <w:rFonts w:ascii="Book Antiqua" w:hAnsi="Book Antiqua"/>
        </w:rPr>
      </w:pPr>
    </w:p>
    <w:p w14:paraId="74360610" w14:textId="77777777" w:rsidR="00A77B3E" w:rsidRPr="00A04234" w:rsidRDefault="00697E7D" w:rsidP="0048655F">
      <w:pPr>
        <w:adjustRightInd w:val="0"/>
        <w:snapToGrid w:val="0"/>
        <w:spacing w:line="360" w:lineRule="auto"/>
        <w:jc w:val="both"/>
        <w:rPr>
          <w:rFonts w:ascii="Book Antiqua" w:hAnsi="Book Antiqua"/>
        </w:rPr>
        <w:sectPr w:rsidR="00A77B3E" w:rsidRPr="00A04234">
          <w:pgSz w:w="12240" w:h="15840"/>
          <w:pgMar w:top="1440" w:right="1440" w:bottom="1440" w:left="1440" w:header="720" w:footer="720" w:gutter="0"/>
          <w:cols w:space="720"/>
          <w:docGrid w:linePitch="360"/>
        </w:sectPr>
      </w:pPr>
      <w:r w:rsidRPr="00A04234">
        <w:rPr>
          <w:rFonts w:ascii="Book Antiqua" w:eastAsia="Book Antiqua" w:hAnsi="Book Antiqua" w:cs="Book Antiqua"/>
          <w:b/>
        </w:rPr>
        <w:t xml:space="preserve">P-Reviewer: </w:t>
      </w:r>
      <w:r w:rsidRPr="00A04234">
        <w:rPr>
          <w:rFonts w:ascii="Book Antiqua" w:eastAsia="Book Antiqua" w:hAnsi="Book Antiqua" w:cs="Book Antiqua"/>
        </w:rPr>
        <w:t>Singh I</w:t>
      </w:r>
      <w:r w:rsidRPr="00A04234">
        <w:rPr>
          <w:rFonts w:ascii="Book Antiqua" w:eastAsia="Book Antiqua" w:hAnsi="Book Antiqua" w:cs="Book Antiqua"/>
          <w:b/>
        </w:rPr>
        <w:t xml:space="preserve"> S-Editor: </w:t>
      </w:r>
      <w:r w:rsidRPr="00A04234">
        <w:rPr>
          <w:rFonts w:ascii="Book Antiqua" w:eastAsia="Book Antiqua" w:hAnsi="Book Antiqua" w:cs="Book Antiqua"/>
        </w:rPr>
        <w:t>Liu M</w:t>
      </w:r>
      <w:r w:rsidRPr="00A04234">
        <w:rPr>
          <w:rFonts w:ascii="Book Antiqua" w:eastAsia="Book Antiqua" w:hAnsi="Book Antiqua" w:cs="Book Antiqua"/>
          <w:b/>
        </w:rPr>
        <w:t xml:space="preserve"> L-Editor:  P-Editor: </w:t>
      </w:r>
    </w:p>
    <w:p w14:paraId="57938CD2" w14:textId="77777777" w:rsidR="00A77B3E" w:rsidRPr="00A04234" w:rsidRDefault="00697E7D" w:rsidP="0048655F">
      <w:pPr>
        <w:adjustRightInd w:val="0"/>
        <w:snapToGrid w:val="0"/>
        <w:spacing w:line="360" w:lineRule="auto"/>
        <w:jc w:val="both"/>
        <w:rPr>
          <w:rFonts w:ascii="Book Antiqua" w:hAnsi="Book Antiqua"/>
        </w:rPr>
      </w:pPr>
      <w:r w:rsidRPr="00A04234">
        <w:rPr>
          <w:rFonts w:ascii="Book Antiqua" w:eastAsia="Book Antiqua" w:hAnsi="Book Antiqua" w:cs="Book Antiqua"/>
          <w:b/>
        </w:rPr>
        <w:lastRenderedPageBreak/>
        <w:t>Figure Legends</w:t>
      </w:r>
    </w:p>
    <w:p w14:paraId="5383EB3F" w14:textId="1FEA55B9" w:rsidR="0048655F" w:rsidRPr="00A04234" w:rsidRDefault="00697E7D" w:rsidP="0048655F">
      <w:pPr>
        <w:keepNext/>
        <w:widowControl w:val="0"/>
        <w:pBdr>
          <w:top w:val="nil"/>
          <w:left w:val="nil"/>
          <w:bottom w:val="nil"/>
          <w:right w:val="nil"/>
          <w:between w:val="nil"/>
        </w:pBdr>
        <w:adjustRightInd w:val="0"/>
        <w:snapToGrid w:val="0"/>
        <w:spacing w:line="360" w:lineRule="auto"/>
        <w:ind w:hanging="200"/>
        <w:jc w:val="both"/>
        <w:rPr>
          <w:rFonts w:ascii="Book Antiqua" w:hAnsi="Book Antiqua"/>
        </w:rPr>
      </w:pPr>
      <w:r w:rsidRPr="00A04234">
        <w:rPr>
          <w:rFonts w:ascii="Book Antiqua" w:hAnsi="Book Antiqua"/>
          <w:noProof/>
          <w:lang w:eastAsia="zh-CN"/>
        </w:rPr>
        <w:drawing>
          <wp:inline distT="0" distB="0" distL="0" distR="0" wp14:anchorId="269F8147" wp14:editId="1BE379BF">
            <wp:extent cx="4688096" cy="2336352"/>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1441" cy="2338019"/>
                    </a:xfrm>
                    <a:prstGeom prst="rect">
                      <a:avLst/>
                    </a:prstGeom>
                    <a:noFill/>
                  </pic:spPr>
                </pic:pic>
              </a:graphicData>
            </a:graphic>
          </wp:inline>
        </w:drawing>
      </w:r>
    </w:p>
    <w:p w14:paraId="06E4A861" w14:textId="6128A592" w:rsidR="0048655F" w:rsidRPr="00A04234" w:rsidRDefault="0048655F" w:rsidP="0048655F">
      <w:pPr>
        <w:pBdr>
          <w:top w:val="nil"/>
          <w:left w:val="nil"/>
          <w:bottom w:val="nil"/>
          <w:right w:val="nil"/>
          <w:between w:val="nil"/>
        </w:pBdr>
        <w:adjustRightInd w:val="0"/>
        <w:snapToGrid w:val="0"/>
        <w:spacing w:line="360" w:lineRule="auto"/>
        <w:jc w:val="both"/>
        <w:rPr>
          <w:rFonts w:ascii="Book Antiqua" w:hAnsi="Book Antiqua"/>
        </w:rPr>
      </w:pPr>
      <w:r w:rsidRPr="00A04234">
        <w:rPr>
          <w:rFonts w:ascii="Book Antiqua" w:hAnsi="Book Antiqua"/>
          <w:b/>
          <w:bCs/>
        </w:rPr>
        <w:t>Figure 1 Genomic, proteomic and metabolomic subtypes and biomarkers of pancreatic cancer.</w:t>
      </w:r>
      <w:r w:rsidRPr="00A04234">
        <w:rPr>
          <w:rFonts w:ascii="Book Antiqua" w:hAnsi="Book Antiqua"/>
        </w:rPr>
        <w:t xml:space="preserve"> </w:t>
      </w:r>
      <w:r w:rsidR="00491B53" w:rsidRPr="00A04234">
        <w:rPr>
          <w:rFonts w:ascii="Book Antiqua" w:hAnsi="Book Antiqua"/>
        </w:rPr>
        <w:t>D</w:t>
      </w:r>
      <w:r w:rsidRPr="00A04234">
        <w:rPr>
          <w:rFonts w:ascii="Book Antiqua" w:hAnsi="Book Antiqua"/>
        </w:rPr>
        <w:t xml:space="preserve">ouble stranded </w:t>
      </w:r>
      <w:r w:rsidR="00491B53" w:rsidRPr="00A04234">
        <w:rPr>
          <w:rFonts w:ascii="Book Antiqua" w:hAnsi="Book Antiqua"/>
        </w:rPr>
        <w:t>DNA</w:t>
      </w:r>
      <w:r w:rsidRPr="00A04234">
        <w:rPr>
          <w:rFonts w:ascii="Book Antiqua" w:hAnsi="Book Antiqua"/>
        </w:rPr>
        <w:t xml:space="preserve"> </w:t>
      </w:r>
      <w:proofErr w:type="gramStart"/>
      <w:r w:rsidRPr="00A04234">
        <w:rPr>
          <w:rFonts w:ascii="Book Antiqua" w:hAnsi="Book Antiqua"/>
        </w:rPr>
        <w:t>image</w:t>
      </w:r>
      <w:r w:rsidRPr="00A04234">
        <w:rPr>
          <w:rFonts w:ascii="Book Antiqua" w:hAnsi="Book Antiqua"/>
          <w:vertAlign w:val="superscript"/>
        </w:rPr>
        <w:t>[</w:t>
      </w:r>
      <w:proofErr w:type="gramEnd"/>
      <w:r w:rsidRPr="00A04234">
        <w:rPr>
          <w:rFonts w:ascii="Book Antiqua" w:hAnsi="Book Antiqua"/>
          <w:vertAlign w:val="superscript"/>
        </w:rPr>
        <w:t>28]</w:t>
      </w:r>
      <w:r w:rsidR="00491B53" w:rsidRPr="00A04234">
        <w:rPr>
          <w:rFonts w:ascii="Book Antiqua" w:hAnsi="Book Antiqua"/>
        </w:rPr>
        <w:t>.</w:t>
      </w:r>
      <w:r w:rsidR="003B52DE" w:rsidRPr="00A04234">
        <w:rPr>
          <w:rFonts w:ascii="Book Antiqua" w:hAnsi="Book Antiqua"/>
        </w:rPr>
        <w:t xml:space="preserve"> CTC: Circulating </w:t>
      </w:r>
      <w:proofErr w:type="spellStart"/>
      <w:r w:rsidR="003B52DE" w:rsidRPr="00A04234">
        <w:rPr>
          <w:rFonts w:ascii="Book Antiqua" w:hAnsi="Book Antiqua"/>
        </w:rPr>
        <w:t>tumour</w:t>
      </w:r>
      <w:proofErr w:type="spellEnd"/>
      <w:r w:rsidR="003B52DE" w:rsidRPr="00A04234">
        <w:rPr>
          <w:rFonts w:ascii="Book Antiqua" w:hAnsi="Book Antiqua"/>
        </w:rPr>
        <w:t xml:space="preserve"> cells; </w:t>
      </w:r>
      <w:proofErr w:type="spellStart"/>
      <w:r w:rsidR="003B52DE" w:rsidRPr="00A04234">
        <w:rPr>
          <w:rFonts w:ascii="Book Antiqua" w:hAnsi="Book Antiqua"/>
        </w:rPr>
        <w:t>ctDNA</w:t>
      </w:r>
      <w:proofErr w:type="spellEnd"/>
      <w:r w:rsidR="003B52DE" w:rsidRPr="00A04234">
        <w:rPr>
          <w:rFonts w:ascii="Book Antiqua" w:hAnsi="Book Antiqua"/>
        </w:rPr>
        <w:t xml:space="preserve">: Circulating </w:t>
      </w:r>
      <w:proofErr w:type="spellStart"/>
      <w:r w:rsidR="003B52DE" w:rsidRPr="00A04234">
        <w:rPr>
          <w:rFonts w:ascii="Book Antiqua" w:hAnsi="Book Antiqua"/>
        </w:rPr>
        <w:t>tumour</w:t>
      </w:r>
      <w:proofErr w:type="spellEnd"/>
      <w:r w:rsidR="003B52DE" w:rsidRPr="00A04234">
        <w:rPr>
          <w:rFonts w:ascii="Book Antiqua" w:hAnsi="Book Antiqua"/>
        </w:rPr>
        <w:t xml:space="preserve"> DNA; </w:t>
      </w:r>
      <w:r w:rsidR="00F043F0" w:rsidRPr="00A04234">
        <w:rPr>
          <w:rFonts w:ascii="Book Antiqua" w:hAnsi="Book Antiqua"/>
        </w:rPr>
        <w:t xml:space="preserve">PZ: Vitamin-K dependent protein Z; SHBG: Sex hormone-binding globulin; VWF: </w:t>
      </w:r>
      <w:r w:rsidR="00F565E2" w:rsidRPr="00A04234">
        <w:rPr>
          <w:rFonts w:ascii="Book Antiqua" w:hAnsi="Book Antiqua"/>
        </w:rPr>
        <w:t>V</w:t>
      </w:r>
      <w:r w:rsidR="00F043F0" w:rsidRPr="00A04234">
        <w:rPr>
          <w:rFonts w:ascii="Book Antiqua" w:hAnsi="Book Antiqua"/>
        </w:rPr>
        <w:t>on Willebrand Factor</w:t>
      </w:r>
      <w:r w:rsidR="00F565E2" w:rsidRPr="00A04234">
        <w:rPr>
          <w:rFonts w:ascii="Book Antiqua" w:hAnsi="Book Antiqua"/>
        </w:rPr>
        <w:t>.</w:t>
      </w:r>
    </w:p>
    <w:p w14:paraId="28AB77AD" w14:textId="74B739E9" w:rsidR="0048655F" w:rsidRPr="00A04234" w:rsidRDefault="0048655F" w:rsidP="0048655F">
      <w:pPr>
        <w:adjustRightInd w:val="0"/>
        <w:snapToGrid w:val="0"/>
        <w:spacing w:line="360" w:lineRule="auto"/>
        <w:jc w:val="both"/>
        <w:rPr>
          <w:rFonts w:ascii="Book Antiqua" w:hAnsi="Book Antiqua"/>
          <w:b/>
          <w:bCs/>
        </w:rPr>
      </w:pPr>
      <w:r w:rsidRPr="00A04234">
        <w:rPr>
          <w:rFonts w:ascii="Book Antiqua" w:hAnsi="Book Antiqua"/>
        </w:rPr>
        <w:br w:type="page"/>
      </w:r>
      <w:r w:rsidRPr="00A04234">
        <w:rPr>
          <w:rFonts w:ascii="Book Antiqua" w:hAnsi="Book Antiqua"/>
          <w:b/>
          <w:bCs/>
        </w:rPr>
        <w:lastRenderedPageBreak/>
        <w:t>Table 1</w:t>
      </w:r>
      <w:r w:rsidR="00491B53" w:rsidRPr="00A04234">
        <w:rPr>
          <w:rFonts w:ascii="Book Antiqua" w:hAnsi="Book Antiqua"/>
          <w:b/>
          <w:bCs/>
        </w:rPr>
        <w:t xml:space="preserve"> </w:t>
      </w:r>
      <w:r w:rsidRPr="00A04234">
        <w:rPr>
          <w:rFonts w:ascii="Book Antiqua" w:hAnsi="Book Antiqua"/>
          <w:b/>
          <w:bCs/>
        </w:rPr>
        <w:t>S</w:t>
      </w:r>
      <w:r w:rsidR="00491B53" w:rsidRPr="00A04234">
        <w:rPr>
          <w:rFonts w:ascii="Book Antiqua" w:hAnsi="Book Antiqua"/>
          <w:b/>
          <w:bCs/>
        </w:rPr>
        <w:t>ummary of molecular subtyping studies</w:t>
      </w:r>
    </w:p>
    <w:tbl>
      <w:tblPr>
        <w:tblW w:w="9478" w:type="dxa"/>
        <w:tblLayout w:type="fixed"/>
        <w:tblLook w:val="0660" w:firstRow="1" w:lastRow="1" w:firstColumn="0" w:lastColumn="0" w:noHBand="1" w:noVBand="1"/>
      </w:tblPr>
      <w:tblGrid>
        <w:gridCol w:w="2852"/>
        <w:gridCol w:w="2851"/>
        <w:gridCol w:w="3775"/>
      </w:tblGrid>
      <w:tr w:rsidR="00F565E2" w:rsidRPr="00A04234" w14:paraId="38B43CAF" w14:textId="77777777" w:rsidTr="00682E19">
        <w:trPr>
          <w:trHeight w:val="290"/>
        </w:trPr>
        <w:tc>
          <w:tcPr>
            <w:tcW w:w="2852" w:type="dxa"/>
            <w:vMerge w:val="restart"/>
            <w:tcBorders>
              <w:top w:val="single" w:sz="4" w:space="0" w:color="auto"/>
            </w:tcBorders>
          </w:tcPr>
          <w:p w14:paraId="551AED3B" w14:textId="394CD751" w:rsidR="00491B53" w:rsidRPr="00A04234" w:rsidRDefault="00491B53" w:rsidP="0048655F">
            <w:pPr>
              <w:adjustRightInd w:val="0"/>
              <w:snapToGrid w:val="0"/>
              <w:spacing w:line="360" w:lineRule="auto"/>
              <w:jc w:val="both"/>
              <w:rPr>
                <w:rFonts w:ascii="Book Antiqua" w:hAnsi="Book Antiqua"/>
                <w:b/>
                <w:bCs/>
              </w:rPr>
            </w:pPr>
            <w:r w:rsidRPr="00A04234">
              <w:rPr>
                <w:rFonts w:ascii="Book Antiqua" w:hAnsi="Book Antiqua"/>
                <w:b/>
                <w:bCs/>
              </w:rPr>
              <w:t>Ref.</w:t>
            </w:r>
          </w:p>
        </w:tc>
        <w:tc>
          <w:tcPr>
            <w:tcW w:w="2851" w:type="dxa"/>
            <w:tcBorders>
              <w:top w:val="single" w:sz="4" w:space="0" w:color="auto"/>
            </w:tcBorders>
          </w:tcPr>
          <w:p w14:paraId="050BD1EB" w14:textId="77777777" w:rsidR="00491B53" w:rsidRPr="00A04234" w:rsidRDefault="00491B53" w:rsidP="0048655F">
            <w:pPr>
              <w:adjustRightInd w:val="0"/>
              <w:snapToGrid w:val="0"/>
              <w:spacing w:line="360" w:lineRule="auto"/>
              <w:jc w:val="both"/>
              <w:rPr>
                <w:rFonts w:ascii="Book Antiqua" w:hAnsi="Book Antiqua"/>
                <w:b/>
                <w:bCs/>
              </w:rPr>
            </w:pPr>
            <w:r w:rsidRPr="00A04234">
              <w:rPr>
                <w:rFonts w:ascii="Book Antiqua" w:hAnsi="Book Antiqua"/>
                <w:b/>
                <w:bCs/>
              </w:rPr>
              <w:t>Subtypes</w:t>
            </w:r>
          </w:p>
        </w:tc>
        <w:tc>
          <w:tcPr>
            <w:tcW w:w="3775" w:type="dxa"/>
            <w:tcBorders>
              <w:top w:val="single" w:sz="4" w:space="0" w:color="auto"/>
            </w:tcBorders>
          </w:tcPr>
          <w:p w14:paraId="3180E3E9" w14:textId="77777777" w:rsidR="00491B53" w:rsidRPr="00A04234" w:rsidRDefault="00491B53" w:rsidP="0048655F">
            <w:pPr>
              <w:adjustRightInd w:val="0"/>
              <w:snapToGrid w:val="0"/>
              <w:spacing w:line="360" w:lineRule="auto"/>
              <w:jc w:val="both"/>
              <w:rPr>
                <w:rFonts w:ascii="Book Antiqua" w:hAnsi="Book Antiqua"/>
                <w:b/>
                <w:bCs/>
              </w:rPr>
            </w:pPr>
            <w:r w:rsidRPr="00A04234">
              <w:rPr>
                <w:rFonts w:ascii="Book Antiqua" w:hAnsi="Book Antiqua"/>
                <w:b/>
                <w:bCs/>
              </w:rPr>
              <w:t>Clinical significance</w:t>
            </w:r>
          </w:p>
        </w:tc>
      </w:tr>
      <w:tr w:rsidR="00F565E2" w:rsidRPr="00A04234" w14:paraId="26F818B5" w14:textId="77777777" w:rsidTr="00682E19">
        <w:trPr>
          <w:trHeight w:val="274"/>
        </w:trPr>
        <w:tc>
          <w:tcPr>
            <w:tcW w:w="2852" w:type="dxa"/>
            <w:vMerge/>
            <w:tcBorders>
              <w:bottom w:val="single" w:sz="4" w:space="0" w:color="auto"/>
            </w:tcBorders>
          </w:tcPr>
          <w:p w14:paraId="7588D3A6" w14:textId="77777777" w:rsidR="00491B53" w:rsidRPr="00A04234" w:rsidRDefault="00491B53" w:rsidP="0048655F">
            <w:pPr>
              <w:adjustRightInd w:val="0"/>
              <w:snapToGrid w:val="0"/>
              <w:spacing w:line="360" w:lineRule="auto"/>
              <w:jc w:val="both"/>
              <w:rPr>
                <w:rFonts w:ascii="Book Antiqua" w:hAnsi="Book Antiqua"/>
                <w:b/>
                <w:bCs/>
              </w:rPr>
            </w:pPr>
          </w:p>
        </w:tc>
        <w:tc>
          <w:tcPr>
            <w:tcW w:w="2851" w:type="dxa"/>
            <w:tcBorders>
              <w:bottom w:val="single" w:sz="4" w:space="0" w:color="auto"/>
            </w:tcBorders>
          </w:tcPr>
          <w:p w14:paraId="1D2C6B7C" w14:textId="77777777" w:rsidR="00491B53" w:rsidRPr="00A04234" w:rsidRDefault="00491B53" w:rsidP="0048655F">
            <w:pPr>
              <w:adjustRightInd w:val="0"/>
              <w:snapToGrid w:val="0"/>
              <w:spacing w:line="360" w:lineRule="auto"/>
              <w:jc w:val="both"/>
              <w:rPr>
                <w:rFonts w:ascii="Book Antiqua" w:hAnsi="Book Antiqua"/>
                <w:b/>
                <w:bCs/>
                <w:iCs/>
              </w:rPr>
            </w:pPr>
            <w:r w:rsidRPr="00A04234">
              <w:rPr>
                <w:rFonts w:ascii="Book Antiqua" w:hAnsi="Book Antiqua"/>
                <w:b/>
                <w:bCs/>
                <w:iCs/>
              </w:rPr>
              <w:t>Genomic</w:t>
            </w:r>
          </w:p>
        </w:tc>
        <w:tc>
          <w:tcPr>
            <w:tcW w:w="3775" w:type="dxa"/>
            <w:tcBorders>
              <w:bottom w:val="single" w:sz="4" w:space="0" w:color="auto"/>
            </w:tcBorders>
          </w:tcPr>
          <w:p w14:paraId="4C244857" w14:textId="77777777" w:rsidR="00491B53" w:rsidRPr="00A04234" w:rsidRDefault="00491B53" w:rsidP="0048655F">
            <w:pPr>
              <w:adjustRightInd w:val="0"/>
              <w:snapToGrid w:val="0"/>
              <w:spacing w:line="360" w:lineRule="auto"/>
              <w:jc w:val="both"/>
              <w:rPr>
                <w:rFonts w:ascii="Book Antiqua" w:hAnsi="Book Antiqua"/>
                <w:b/>
                <w:bCs/>
              </w:rPr>
            </w:pPr>
          </w:p>
        </w:tc>
      </w:tr>
      <w:tr w:rsidR="00F565E2" w:rsidRPr="00A04234" w14:paraId="29E56D15" w14:textId="77777777" w:rsidTr="00682E19">
        <w:trPr>
          <w:trHeight w:val="503"/>
        </w:trPr>
        <w:tc>
          <w:tcPr>
            <w:tcW w:w="2852" w:type="dxa"/>
            <w:tcBorders>
              <w:top w:val="single" w:sz="4" w:space="0" w:color="auto"/>
            </w:tcBorders>
          </w:tcPr>
          <w:p w14:paraId="16D8AF33" w14:textId="49CB7765" w:rsidR="0048655F" w:rsidRPr="00A04234" w:rsidRDefault="0048655F" w:rsidP="0048655F">
            <w:pPr>
              <w:adjustRightInd w:val="0"/>
              <w:snapToGrid w:val="0"/>
              <w:spacing w:line="360" w:lineRule="auto"/>
              <w:jc w:val="both"/>
              <w:rPr>
                <w:rFonts w:ascii="Book Antiqua" w:hAnsi="Book Antiqua"/>
                <w:vertAlign w:val="superscript"/>
              </w:rPr>
            </w:pPr>
            <w:r w:rsidRPr="00A04234">
              <w:rPr>
                <w:rFonts w:ascii="Book Antiqua" w:hAnsi="Book Antiqua"/>
              </w:rPr>
              <w:t xml:space="preserve">Waddell </w:t>
            </w:r>
            <w:r w:rsidR="00491B53" w:rsidRPr="00A04234">
              <w:rPr>
                <w:rFonts w:ascii="Book Antiqua" w:hAnsi="Book Antiqua"/>
                <w:i/>
              </w:rPr>
              <w:t>et al</w:t>
            </w:r>
            <w:r w:rsidRPr="00A04234">
              <w:rPr>
                <w:rFonts w:ascii="Book Antiqua" w:hAnsi="Book Antiqua"/>
                <w:vertAlign w:val="superscript"/>
              </w:rPr>
              <w:t>[11]</w:t>
            </w:r>
          </w:p>
        </w:tc>
        <w:tc>
          <w:tcPr>
            <w:tcW w:w="2851" w:type="dxa"/>
            <w:tcBorders>
              <w:top w:val="single" w:sz="4" w:space="0" w:color="auto"/>
            </w:tcBorders>
          </w:tcPr>
          <w:p w14:paraId="11C5EA08" w14:textId="7527B748"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Stable, locally re-arranged, scattered </w:t>
            </w:r>
            <w:r w:rsidR="00491B53" w:rsidRPr="00A04234">
              <w:rPr>
                <w:rFonts w:ascii="Book Antiqua" w:hAnsi="Book Antiqua"/>
              </w:rPr>
              <w:t>and</w:t>
            </w:r>
            <w:r w:rsidRPr="00A04234">
              <w:rPr>
                <w:rFonts w:ascii="Book Antiqua" w:hAnsi="Book Antiqua"/>
              </w:rPr>
              <w:t xml:space="preserve"> unstable  </w:t>
            </w:r>
          </w:p>
        </w:tc>
        <w:tc>
          <w:tcPr>
            <w:tcW w:w="3775" w:type="dxa"/>
            <w:tcBorders>
              <w:top w:val="single" w:sz="4" w:space="0" w:color="auto"/>
            </w:tcBorders>
          </w:tcPr>
          <w:p w14:paraId="70AFF8B7"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High BRCA mutational signature in the unstable subtype, sensitizing to </w:t>
            </w:r>
            <w:proofErr w:type="spellStart"/>
            <w:r w:rsidRPr="00A04234">
              <w:rPr>
                <w:rFonts w:ascii="Book Antiqua" w:hAnsi="Book Antiqua"/>
              </w:rPr>
              <w:t>PARPi</w:t>
            </w:r>
            <w:proofErr w:type="spellEnd"/>
            <w:r w:rsidRPr="00A04234">
              <w:rPr>
                <w:rFonts w:ascii="Book Antiqua" w:hAnsi="Book Antiqua"/>
              </w:rPr>
              <w:t xml:space="preserve"> and PBC</w:t>
            </w:r>
          </w:p>
        </w:tc>
      </w:tr>
      <w:tr w:rsidR="00F565E2" w:rsidRPr="00A04234" w14:paraId="5A8F0955" w14:textId="77777777" w:rsidTr="00682E19">
        <w:trPr>
          <w:trHeight w:val="503"/>
        </w:trPr>
        <w:tc>
          <w:tcPr>
            <w:tcW w:w="2852" w:type="dxa"/>
          </w:tcPr>
          <w:p w14:paraId="619687FB" w14:textId="0B1E7BCA" w:rsidR="0048655F" w:rsidRPr="00A04234" w:rsidRDefault="0048655F" w:rsidP="0048655F">
            <w:pPr>
              <w:adjustRightInd w:val="0"/>
              <w:snapToGrid w:val="0"/>
              <w:spacing w:line="360" w:lineRule="auto"/>
              <w:jc w:val="both"/>
              <w:rPr>
                <w:rFonts w:ascii="Book Antiqua" w:hAnsi="Book Antiqua"/>
                <w:vertAlign w:val="superscript"/>
              </w:rPr>
            </w:pPr>
            <w:proofErr w:type="spellStart"/>
            <w:r w:rsidRPr="00A04234">
              <w:rPr>
                <w:rFonts w:ascii="Book Antiqua" w:hAnsi="Book Antiqua"/>
              </w:rPr>
              <w:t>Singhi</w:t>
            </w:r>
            <w:proofErr w:type="spellEnd"/>
            <w:r w:rsidRPr="00A04234">
              <w:rPr>
                <w:rFonts w:ascii="Book Antiqua" w:hAnsi="Book Antiqua"/>
              </w:rPr>
              <w:t xml:space="preserve"> </w:t>
            </w:r>
            <w:r w:rsidR="00491B53" w:rsidRPr="00A04234">
              <w:rPr>
                <w:rFonts w:ascii="Book Antiqua" w:hAnsi="Book Antiqua"/>
                <w:i/>
              </w:rPr>
              <w:t>et al</w:t>
            </w:r>
            <w:r w:rsidRPr="00A04234">
              <w:rPr>
                <w:rFonts w:ascii="Book Antiqua" w:hAnsi="Book Antiqua"/>
                <w:vertAlign w:val="superscript"/>
              </w:rPr>
              <w:t>[12]</w:t>
            </w:r>
          </w:p>
        </w:tc>
        <w:tc>
          <w:tcPr>
            <w:tcW w:w="2851" w:type="dxa"/>
          </w:tcPr>
          <w:p w14:paraId="66EBA1B7"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w:t>
            </w:r>
          </w:p>
        </w:tc>
        <w:tc>
          <w:tcPr>
            <w:tcW w:w="3775" w:type="dxa"/>
          </w:tcPr>
          <w:p w14:paraId="78A7DB25" w14:textId="28D46FDD"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Real time genetic sequencing. 17% of specimens found to have sensitivities to available treatments. Potential therapeutic targets</w:t>
            </w:r>
          </w:p>
        </w:tc>
      </w:tr>
      <w:tr w:rsidR="00F565E2" w:rsidRPr="00A04234" w14:paraId="46DF1C2B" w14:textId="77777777" w:rsidTr="00682E19">
        <w:trPr>
          <w:trHeight w:val="503"/>
        </w:trPr>
        <w:tc>
          <w:tcPr>
            <w:tcW w:w="2852" w:type="dxa"/>
          </w:tcPr>
          <w:p w14:paraId="3C65FB7D" w14:textId="5D7F5BC3"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Aguirre </w:t>
            </w:r>
            <w:r w:rsidR="00491B53" w:rsidRPr="00A04234">
              <w:rPr>
                <w:rFonts w:ascii="Book Antiqua" w:hAnsi="Book Antiqua"/>
                <w:i/>
              </w:rPr>
              <w:t>et al</w:t>
            </w:r>
            <w:r w:rsidRPr="00A04234">
              <w:rPr>
                <w:rFonts w:ascii="Book Antiqua" w:hAnsi="Book Antiqua"/>
                <w:vertAlign w:val="superscript"/>
              </w:rPr>
              <w:t>[13]</w:t>
            </w:r>
            <w:r w:rsidRPr="00A04234">
              <w:rPr>
                <w:rFonts w:ascii="Book Antiqua" w:hAnsi="Book Antiqua"/>
              </w:rPr>
              <w:t xml:space="preserve"> </w:t>
            </w:r>
          </w:p>
        </w:tc>
        <w:tc>
          <w:tcPr>
            <w:tcW w:w="2851" w:type="dxa"/>
          </w:tcPr>
          <w:p w14:paraId="2F6DBCAF" w14:textId="4870C222" w:rsidR="0048655F" w:rsidRPr="00A04234" w:rsidRDefault="0048655F" w:rsidP="0048655F">
            <w:pPr>
              <w:adjustRightInd w:val="0"/>
              <w:snapToGrid w:val="0"/>
              <w:spacing w:line="360" w:lineRule="auto"/>
              <w:jc w:val="both"/>
              <w:rPr>
                <w:rFonts w:ascii="Book Antiqua" w:hAnsi="Book Antiqua"/>
              </w:rPr>
            </w:pPr>
            <w:proofErr w:type="spellStart"/>
            <w:r w:rsidRPr="00A04234">
              <w:rPr>
                <w:rFonts w:ascii="Book Antiqua" w:hAnsi="Book Antiqua"/>
              </w:rPr>
              <w:t>SigA</w:t>
            </w:r>
            <w:proofErr w:type="spellEnd"/>
            <w:r w:rsidRPr="00A04234">
              <w:rPr>
                <w:rFonts w:ascii="Book Antiqua" w:hAnsi="Book Antiqua"/>
              </w:rPr>
              <w:t xml:space="preserve">, </w:t>
            </w:r>
            <w:proofErr w:type="spellStart"/>
            <w:r w:rsidRPr="00A04234">
              <w:rPr>
                <w:rFonts w:ascii="Book Antiqua" w:hAnsi="Book Antiqua"/>
              </w:rPr>
              <w:t>SigB</w:t>
            </w:r>
            <w:proofErr w:type="spellEnd"/>
            <w:r w:rsidRPr="00A04234">
              <w:rPr>
                <w:rFonts w:ascii="Book Antiqua" w:hAnsi="Book Antiqua"/>
              </w:rPr>
              <w:t xml:space="preserve"> </w:t>
            </w:r>
            <w:r w:rsidR="00491B53" w:rsidRPr="00A04234">
              <w:rPr>
                <w:rFonts w:ascii="Book Antiqua" w:hAnsi="Book Antiqua"/>
              </w:rPr>
              <w:t>and</w:t>
            </w:r>
            <w:r w:rsidRPr="00A04234">
              <w:rPr>
                <w:rFonts w:ascii="Book Antiqua" w:hAnsi="Book Antiqua"/>
              </w:rPr>
              <w:t xml:space="preserve"> </w:t>
            </w:r>
            <w:proofErr w:type="spellStart"/>
            <w:r w:rsidRPr="00A04234">
              <w:rPr>
                <w:rFonts w:ascii="Book Antiqua" w:hAnsi="Book Antiqua"/>
              </w:rPr>
              <w:t>SigC</w:t>
            </w:r>
            <w:proofErr w:type="spellEnd"/>
          </w:p>
        </w:tc>
        <w:tc>
          <w:tcPr>
            <w:tcW w:w="3775" w:type="dxa"/>
          </w:tcPr>
          <w:p w14:paraId="1FEC49FC" w14:textId="30D7FAA5"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Potential targets in 40% of patients. 48% eligible for trials/off-label use. </w:t>
            </w:r>
            <w:r w:rsidR="00491B53" w:rsidRPr="00A04234">
              <w:rPr>
                <w:rFonts w:ascii="Book Antiqua" w:hAnsi="Book Antiqua"/>
              </w:rPr>
              <w:t xml:space="preserve">Of </w:t>
            </w:r>
            <w:r w:rsidRPr="00A04234">
              <w:rPr>
                <w:rFonts w:ascii="Book Antiqua" w:hAnsi="Book Antiqua"/>
              </w:rPr>
              <w:t>24% enrolled onto a clinical trial</w:t>
            </w:r>
          </w:p>
        </w:tc>
      </w:tr>
      <w:tr w:rsidR="00F565E2" w:rsidRPr="00A04234" w14:paraId="631522A3" w14:textId="77777777" w:rsidTr="00682E19">
        <w:trPr>
          <w:trHeight w:val="290"/>
        </w:trPr>
        <w:tc>
          <w:tcPr>
            <w:tcW w:w="2852" w:type="dxa"/>
          </w:tcPr>
          <w:p w14:paraId="78486C5E" w14:textId="77777777" w:rsidR="0048655F" w:rsidRPr="00A04234" w:rsidRDefault="0048655F" w:rsidP="0048655F">
            <w:pPr>
              <w:adjustRightInd w:val="0"/>
              <w:snapToGrid w:val="0"/>
              <w:spacing w:line="360" w:lineRule="auto"/>
              <w:jc w:val="both"/>
              <w:rPr>
                <w:rFonts w:ascii="Book Antiqua" w:hAnsi="Book Antiqua"/>
              </w:rPr>
            </w:pPr>
          </w:p>
        </w:tc>
        <w:tc>
          <w:tcPr>
            <w:tcW w:w="2851" w:type="dxa"/>
          </w:tcPr>
          <w:p w14:paraId="0D724EAF" w14:textId="77777777" w:rsidR="0048655F" w:rsidRPr="00A04234" w:rsidRDefault="0048655F" w:rsidP="0048655F">
            <w:pPr>
              <w:adjustRightInd w:val="0"/>
              <w:snapToGrid w:val="0"/>
              <w:spacing w:line="360" w:lineRule="auto"/>
              <w:jc w:val="both"/>
              <w:rPr>
                <w:rFonts w:ascii="Book Antiqua" w:hAnsi="Book Antiqua"/>
                <w:iCs/>
              </w:rPr>
            </w:pPr>
            <w:r w:rsidRPr="00A04234">
              <w:rPr>
                <w:rFonts w:ascii="Book Antiqua" w:hAnsi="Book Antiqua"/>
                <w:iCs/>
              </w:rPr>
              <w:t>Proteomic</w:t>
            </w:r>
          </w:p>
        </w:tc>
        <w:tc>
          <w:tcPr>
            <w:tcW w:w="3775" w:type="dxa"/>
          </w:tcPr>
          <w:p w14:paraId="75413EDA" w14:textId="77777777" w:rsidR="0048655F" w:rsidRPr="00A04234" w:rsidRDefault="0048655F" w:rsidP="0048655F">
            <w:pPr>
              <w:adjustRightInd w:val="0"/>
              <w:snapToGrid w:val="0"/>
              <w:spacing w:line="360" w:lineRule="auto"/>
              <w:jc w:val="both"/>
              <w:rPr>
                <w:rFonts w:ascii="Book Antiqua" w:hAnsi="Book Antiqua"/>
              </w:rPr>
            </w:pPr>
          </w:p>
        </w:tc>
      </w:tr>
      <w:tr w:rsidR="00F565E2" w:rsidRPr="00A04234" w14:paraId="681491AF" w14:textId="77777777" w:rsidTr="00682E19">
        <w:trPr>
          <w:trHeight w:val="488"/>
        </w:trPr>
        <w:tc>
          <w:tcPr>
            <w:tcW w:w="2852" w:type="dxa"/>
          </w:tcPr>
          <w:p w14:paraId="3CDEA15B" w14:textId="0E5F89D5" w:rsidR="0048655F" w:rsidRPr="00A04234" w:rsidRDefault="0048655F" w:rsidP="0048655F">
            <w:pPr>
              <w:adjustRightInd w:val="0"/>
              <w:snapToGrid w:val="0"/>
              <w:spacing w:line="360" w:lineRule="auto"/>
              <w:jc w:val="both"/>
              <w:rPr>
                <w:rFonts w:ascii="Book Antiqua" w:hAnsi="Book Antiqua"/>
                <w:vertAlign w:val="superscript"/>
              </w:rPr>
            </w:pPr>
            <w:r w:rsidRPr="00A04234">
              <w:rPr>
                <w:rFonts w:ascii="Book Antiqua" w:hAnsi="Book Antiqua"/>
              </w:rPr>
              <w:t xml:space="preserve">Law </w:t>
            </w:r>
            <w:r w:rsidR="00491B53" w:rsidRPr="00A04234">
              <w:rPr>
                <w:rFonts w:ascii="Book Antiqua" w:hAnsi="Book Antiqua"/>
                <w:i/>
              </w:rPr>
              <w:t>et al</w:t>
            </w:r>
            <w:r w:rsidRPr="00A04234">
              <w:rPr>
                <w:rFonts w:ascii="Book Antiqua" w:hAnsi="Book Antiqua"/>
                <w:vertAlign w:val="superscript"/>
              </w:rPr>
              <w:t>[14]</w:t>
            </w:r>
          </w:p>
        </w:tc>
        <w:tc>
          <w:tcPr>
            <w:tcW w:w="2851" w:type="dxa"/>
          </w:tcPr>
          <w:p w14:paraId="43E0E73E" w14:textId="3A10C379"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Inflammatory, proliferative, progenitor-like </w:t>
            </w:r>
            <w:r w:rsidR="00491B53" w:rsidRPr="00A04234">
              <w:rPr>
                <w:rFonts w:ascii="Book Antiqua" w:hAnsi="Book Antiqua"/>
              </w:rPr>
              <w:t>and</w:t>
            </w:r>
            <w:r w:rsidRPr="00A04234">
              <w:rPr>
                <w:rFonts w:ascii="Book Antiqua" w:hAnsi="Book Antiqua"/>
              </w:rPr>
              <w:t xml:space="preserve"> metabolic</w:t>
            </w:r>
          </w:p>
        </w:tc>
        <w:tc>
          <w:tcPr>
            <w:tcW w:w="3775" w:type="dxa"/>
          </w:tcPr>
          <w:p w14:paraId="28AE398D" w14:textId="77777777" w:rsidR="00491B53" w:rsidRPr="00A04234" w:rsidRDefault="004314F2" w:rsidP="0048655F">
            <w:pPr>
              <w:adjustRightInd w:val="0"/>
              <w:snapToGrid w:val="0"/>
              <w:spacing w:line="360" w:lineRule="auto"/>
              <w:jc w:val="both"/>
              <w:rPr>
                <w:rFonts w:ascii="Book Antiqua" w:hAnsi="Book Antiqua"/>
              </w:rPr>
            </w:pPr>
            <w:sdt>
              <w:sdtPr>
                <w:rPr>
                  <w:rFonts w:ascii="Book Antiqua" w:hAnsi="Book Antiqua"/>
                </w:rPr>
                <w:tag w:val="goog_rdk_1"/>
                <w:id w:val="-2106024176"/>
              </w:sdtPr>
              <w:sdtEndPr/>
              <w:sdtContent>
                <w:r w:rsidR="0048655F" w:rsidRPr="00A04234">
                  <w:rPr>
                    <w:rFonts w:ascii="Book Antiqua" w:eastAsia="Cardo" w:hAnsi="Book Antiqua" w:cs="Cardo"/>
                  </w:rPr>
                  <w:t>↓</w:t>
                </w:r>
              </w:sdtContent>
            </w:sdt>
            <w:r w:rsidR="00491B53" w:rsidRPr="00A04234">
              <w:rPr>
                <w:rFonts w:ascii="Book Antiqua" w:eastAsia="Cardo" w:hAnsi="Book Antiqua" w:cs="Cardo"/>
              </w:rPr>
              <w:t xml:space="preserve"> </w:t>
            </w:r>
            <w:r w:rsidR="00491B53" w:rsidRPr="00A04234">
              <w:rPr>
                <w:rFonts w:ascii="Book Antiqua" w:hAnsi="Book Antiqua"/>
              </w:rPr>
              <w:t>R</w:t>
            </w:r>
            <w:r w:rsidR="0048655F" w:rsidRPr="00A04234">
              <w:rPr>
                <w:rFonts w:ascii="Book Antiqua" w:hAnsi="Book Antiqua"/>
              </w:rPr>
              <w:t>isk of death in metabolic and progenitor-like subtypes treated with</w:t>
            </w:r>
            <w:r w:rsidR="00491B53" w:rsidRPr="00A04234">
              <w:rPr>
                <w:rFonts w:ascii="Book Antiqua" w:hAnsi="Book Antiqua"/>
              </w:rPr>
              <w:t xml:space="preserve"> </w:t>
            </w:r>
            <w:proofErr w:type="spellStart"/>
            <w:r w:rsidR="0048655F" w:rsidRPr="00A04234">
              <w:rPr>
                <w:rFonts w:ascii="Book Antiqua" w:hAnsi="Book Antiqua"/>
              </w:rPr>
              <w:t>FOLFIRINOX+Gemcitabine</w:t>
            </w:r>
            <w:proofErr w:type="spellEnd"/>
            <w:r w:rsidR="0048655F" w:rsidRPr="00A04234">
              <w:rPr>
                <w:rFonts w:ascii="Book Antiqua" w:hAnsi="Book Antiqua"/>
              </w:rPr>
              <w:t>.</w:t>
            </w:r>
          </w:p>
          <w:p w14:paraId="2613FE6E" w14:textId="3E785052" w:rsidR="0048655F" w:rsidRPr="00A04234" w:rsidRDefault="004314F2" w:rsidP="0048655F">
            <w:pPr>
              <w:adjustRightInd w:val="0"/>
              <w:snapToGrid w:val="0"/>
              <w:spacing w:line="360" w:lineRule="auto"/>
              <w:jc w:val="both"/>
              <w:rPr>
                <w:rFonts w:ascii="Book Antiqua" w:hAnsi="Book Antiqua"/>
              </w:rPr>
            </w:pPr>
            <w:sdt>
              <w:sdtPr>
                <w:rPr>
                  <w:rFonts w:ascii="Book Antiqua" w:hAnsi="Book Antiqua"/>
                </w:rPr>
                <w:tag w:val="goog_rdk_2"/>
                <w:id w:val="-1933885106"/>
              </w:sdtPr>
              <w:sdtEndPr/>
              <w:sdtContent>
                <w:r w:rsidR="00491B53" w:rsidRPr="00A04234">
                  <w:rPr>
                    <w:rFonts w:ascii="Book Antiqua" w:hAnsi="Book Antiqua"/>
                  </w:rPr>
                  <w:t xml:space="preserve"> </w:t>
                </w:r>
                <w:r w:rsidR="0048655F" w:rsidRPr="00A04234">
                  <w:rPr>
                    <w:rFonts w:ascii="Book Antiqua" w:eastAsia="Cardo" w:hAnsi="Book Antiqua" w:cs="Cardo"/>
                  </w:rPr>
                  <w:t>↑</w:t>
                </w:r>
                <w:r w:rsidR="00491B53" w:rsidRPr="00A04234">
                  <w:rPr>
                    <w:rFonts w:ascii="Book Antiqua" w:eastAsia="Cardo" w:hAnsi="Book Antiqua" w:cs="Cardo"/>
                  </w:rPr>
                  <w:t xml:space="preserve"> </w:t>
                </w:r>
              </w:sdtContent>
            </w:sdt>
            <w:r w:rsidR="00491B53" w:rsidRPr="00A04234">
              <w:rPr>
                <w:rFonts w:ascii="Book Antiqua" w:hAnsi="Book Antiqua"/>
              </w:rPr>
              <w:t>S</w:t>
            </w:r>
            <w:r w:rsidR="0048655F" w:rsidRPr="00A04234">
              <w:rPr>
                <w:rFonts w:ascii="Book Antiqua" w:hAnsi="Book Antiqua"/>
              </w:rPr>
              <w:t>urvival in progenitor-like subtype treated with gemcitabine. SHMT1 a potential mediator of gemcitabine resistance</w:t>
            </w:r>
          </w:p>
        </w:tc>
      </w:tr>
      <w:tr w:rsidR="00F565E2" w:rsidRPr="00A04234" w14:paraId="7BD04933" w14:textId="77777777" w:rsidTr="00682E19">
        <w:trPr>
          <w:trHeight w:val="503"/>
        </w:trPr>
        <w:tc>
          <w:tcPr>
            <w:tcW w:w="2852" w:type="dxa"/>
          </w:tcPr>
          <w:p w14:paraId="7825CA9A" w14:textId="220A19B7" w:rsidR="0048655F" w:rsidRPr="00A04234" w:rsidRDefault="0048655F" w:rsidP="0048655F">
            <w:pPr>
              <w:adjustRightInd w:val="0"/>
              <w:snapToGrid w:val="0"/>
              <w:spacing w:line="360" w:lineRule="auto"/>
              <w:jc w:val="both"/>
              <w:rPr>
                <w:rFonts w:ascii="Book Antiqua" w:hAnsi="Book Antiqua"/>
                <w:vertAlign w:val="superscript"/>
              </w:rPr>
            </w:pPr>
            <w:r w:rsidRPr="00A04234">
              <w:rPr>
                <w:rFonts w:ascii="Book Antiqua" w:hAnsi="Book Antiqua"/>
              </w:rPr>
              <w:t xml:space="preserve">Humphrey </w:t>
            </w:r>
            <w:r w:rsidR="00491B53" w:rsidRPr="00A04234">
              <w:rPr>
                <w:rFonts w:ascii="Book Antiqua" w:hAnsi="Book Antiqua"/>
                <w:i/>
              </w:rPr>
              <w:t>et al</w:t>
            </w:r>
            <w:r w:rsidRPr="00A04234">
              <w:rPr>
                <w:rFonts w:ascii="Book Antiqua" w:hAnsi="Book Antiqua"/>
                <w:vertAlign w:val="superscript"/>
              </w:rPr>
              <w:t>[15]</w:t>
            </w:r>
          </w:p>
        </w:tc>
        <w:tc>
          <w:tcPr>
            <w:tcW w:w="2851" w:type="dxa"/>
          </w:tcPr>
          <w:p w14:paraId="5CDA6297" w14:textId="7F326B30"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TKCC subtypes 1, 2 </w:t>
            </w:r>
            <w:r w:rsidR="00491B53" w:rsidRPr="00A04234">
              <w:rPr>
                <w:rFonts w:ascii="Book Antiqua" w:hAnsi="Book Antiqua"/>
              </w:rPr>
              <w:t>and</w:t>
            </w:r>
            <w:r w:rsidRPr="00A04234">
              <w:rPr>
                <w:rFonts w:ascii="Book Antiqua" w:hAnsi="Book Antiqua"/>
              </w:rPr>
              <w:t xml:space="preserve"> 3</w:t>
            </w:r>
          </w:p>
          <w:p w14:paraId="41052361" w14:textId="223915A5"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ATCC subtypes 1, 2 </w:t>
            </w:r>
            <w:r w:rsidR="00491B53" w:rsidRPr="00A04234">
              <w:rPr>
                <w:rFonts w:ascii="Book Antiqua" w:hAnsi="Book Antiqua"/>
              </w:rPr>
              <w:t>and</w:t>
            </w:r>
            <w:r w:rsidRPr="00A04234">
              <w:rPr>
                <w:rFonts w:ascii="Book Antiqua" w:hAnsi="Book Antiqua"/>
              </w:rPr>
              <w:t xml:space="preserve"> 3</w:t>
            </w:r>
          </w:p>
        </w:tc>
        <w:tc>
          <w:tcPr>
            <w:tcW w:w="3775" w:type="dxa"/>
          </w:tcPr>
          <w:p w14:paraId="7D2B28FC"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Subtypes 3 in both cohorts showed increased sensitivity to erlotinib, potentially mediated by tyrosine phosphorylation of </w:t>
            </w:r>
            <w:r w:rsidRPr="00A04234">
              <w:rPr>
                <w:rFonts w:ascii="Book Antiqua" w:hAnsi="Book Antiqua"/>
              </w:rPr>
              <w:lastRenderedPageBreak/>
              <w:t>RTK sites</w:t>
            </w:r>
          </w:p>
        </w:tc>
      </w:tr>
      <w:tr w:rsidR="00F565E2" w:rsidRPr="00A04234" w14:paraId="6C129188" w14:textId="77777777" w:rsidTr="00682E19">
        <w:trPr>
          <w:trHeight w:val="503"/>
        </w:trPr>
        <w:tc>
          <w:tcPr>
            <w:tcW w:w="2852" w:type="dxa"/>
          </w:tcPr>
          <w:p w14:paraId="00951AE6" w14:textId="77777777" w:rsidR="0048655F" w:rsidRPr="00A04234" w:rsidRDefault="0048655F" w:rsidP="0048655F">
            <w:pPr>
              <w:adjustRightInd w:val="0"/>
              <w:snapToGrid w:val="0"/>
              <w:spacing w:line="360" w:lineRule="auto"/>
              <w:jc w:val="both"/>
              <w:rPr>
                <w:rFonts w:ascii="Book Antiqua" w:hAnsi="Book Antiqua"/>
              </w:rPr>
            </w:pPr>
          </w:p>
        </w:tc>
        <w:tc>
          <w:tcPr>
            <w:tcW w:w="2851" w:type="dxa"/>
          </w:tcPr>
          <w:p w14:paraId="73359649" w14:textId="77777777" w:rsidR="0048655F" w:rsidRPr="00A04234" w:rsidRDefault="0048655F" w:rsidP="0048655F">
            <w:pPr>
              <w:adjustRightInd w:val="0"/>
              <w:snapToGrid w:val="0"/>
              <w:spacing w:line="360" w:lineRule="auto"/>
              <w:jc w:val="both"/>
              <w:rPr>
                <w:rFonts w:ascii="Book Antiqua" w:hAnsi="Book Antiqua"/>
                <w:iCs/>
              </w:rPr>
            </w:pPr>
            <w:r w:rsidRPr="00A04234">
              <w:rPr>
                <w:rFonts w:ascii="Book Antiqua" w:hAnsi="Book Antiqua"/>
                <w:iCs/>
              </w:rPr>
              <w:t>Metabolomic</w:t>
            </w:r>
          </w:p>
        </w:tc>
        <w:tc>
          <w:tcPr>
            <w:tcW w:w="3775" w:type="dxa"/>
          </w:tcPr>
          <w:p w14:paraId="69D35937" w14:textId="77777777" w:rsidR="0048655F" w:rsidRPr="00A04234" w:rsidRDefault="0048655F" w:rsidP="0048655F">
            <w:pPr>
              <w:adjustRightInd w:val="0"/>
              <w:snapToGrid w:val="0"/>
              <w:spacing w:line="360" w:lineRule="auto"/>
              <w:jc w:val="both"/>
              <w:rPr>
                <w:rFonts w:ascii="Book Antiqua" w:hAnsi="Book Antiqua"/>
              </w:rPr>
            </w:pPr>
          </w:p>
        </w:tc>
      </w:tr>
      <w:tr w:rsidR="00F565E2" w:rsidRPr="00A04234" w14:paraId="4ECCFB93" w14:textId="77777777" w:rsidTr="00682E19">
        <w:trPr>
          <w:trHeight w:val="503"/>
        </w:trPr>
        <w:tc>
          <w:tcPr>
            <w:tcW w:w="2852" w:type="dxa"/>
            <w:tcBorders>
              <w:bottom w:val="single" w:sz="4" w:space="0" w:color="auto"/>
            </w:tcBorders>
          </w:tcPr>
          <w:p w14:paraId="1F660698" w14:textId="45F79EB1" w:rsidR="0048655F" w:rsidRPr="00A04234" w:rsidRDefault="0048655F" w:rsidP="0048655F">
            <w:pPr>
              <w:adjustRightInd w:val="0"/>
              <w:snapToGrid w:val="0"/>
              <w:spacing w:line="360" w:lineRule="auto"/>
              <w:jc w:val="both"/>
              <w:rPr>
                <w:rFonts w:ascii="Book Antiqua" w:hAnsi="Book Antiqua"/>
                <w:vertAlign w:val="superscript"/>
              </w:rPr>
            </w:pPr>
            <w:bookmarkStart w:id="3" w:name="_Hlk78289257"/>
            <w:r w:rsidRPr="00A04234">
              <w:rPr>
                <w:rFonts w:ascii="Book Antiqua" w:hAnsi="Book Antiqua"/>
              </w:rPr>
              <w:t>Daemen</w:t>
            </w:r>
            <w:bookmarkEnd w:id="3"/>
            <w:r w:rsidRPr="00A04234">
              <w:rPr>
                <w:rFonts w:ascii="Book Antiqua" w:hAnsi="Book Antiqua"/>
              </w:rPr>
              <w:t xml:space="preserve"> </w:t>
            </w:r>
            <w:r w:rsidR="00491B53" w:rsidRPr="00A04234">
              <w:rPr>
                <w:rFonts w:ascii="Book Antiqua" w:hAnsi="Book Antiqua"/>
                <w:i/>
              </w:rPr>
              <w:t>et al</w:t>
            </w:r>
            <w:r w:rsidRPr="00A04234">
              <w:rPr>
                <w:rFonts w:ascii="Book Antiqua" w:hAnsi="Book Antiqua"/>
                <w:vertAlign w:val="superscript"/>
              </w:rPr>
              <w:t>[16]</w:t>
            </w:r>
          </w:p>
        </w:tc>
        <w:tc>
          <w:tcPr>
            <w:tcW w:w="2851" w:type="dxa"/>
            <w:tcBorders>
              <w:bottom w:val="single" w:sz="4" w:space="0" w:color="auto"/>
            </w:tcBorders>
          </w:tcPr>
          <w:p w14:paraId="2817B62F" w14:textId="4E30A150"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Slow proliferating, glycolytic </w:t>
            </w:r>
            <w:r w:rsidR="00491B53" w:rsidRPr="00A04234">
              <w:rPr>
                <w:rFonts w:ascii="Book Antiqua" w:hAnsi="Book Antiqua"/>
              </w:rPr>
              <w:t>and</w:t>
            </w:r>
            <w:r w:rsidRPr="00A04234">
              <w:rPr>
                <w:rFonts w:ascii="Book Antiqua" w:hAnsi="Book Antiqua"/>
              </w:rPr>
              <w:t xml:space="preserve"> lipogenic</w:t>
            </w:r>
          </w:p>
        </w:tc>
        <w:tc>
          <w:tcPr>
            <w:tcW w:w="3775" w:type="dxa"/>
            <w:tcBorders>
              <w:bottom w:val="single" w:sz="4" w:space="0" w:color="auto"/>
            </w:tcBorders>
          </w:tcPr>
          <w:p w14:paraId="30B4EF0F" w14:textId="54436BF1"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Glycolytic subtype sensitive to inhibitors of aerobic glycolysis, </w:t>
            </w:r>
            <w:proofErr w:type="spellStart"/>
            <w:r w:rsidRPr="00A04234">
              <w:rPr>
                <w:rFonts w:ascii="Book Antiqua" w:hAnsi="Book Antiqua"/>
              </w:rPr>
              <w:t>glutaminolysis</w:t>
            </w:r>
            <w:proofErr w:type="spellEnd"/>
            <w:r w:rsidRPr="00A04234">
              <w:rPr>
                <w:rFonts w:ascii="Book Antiqua" w:hAnsi="Book Antiqua"/>
              </w:rPr>
              <w:t>, γ-</w:t>
            </w:r>
            <w:proofErr w:type="spellStart"/>
            <w:r w:rsidRPr="00A04234">
              <w:rPr>
                <w:rFonts w:ascii="Book Antiqua" w:hAnsi="Book Antiqua"/>
              </w:rPr>
              <w:t>glutamylcysteine</w:t>
            </w:r>
            <w:proofErr w:type="spellEnd"/>
            <w:r w:rsidRPr="00A04234">
              <w:rPr>
                <w:rFonts w:ascii="Book Antiqua" w:hAnsi="Book Antiqua"/>
              </w:rPr>
              <w:t xml:space="preserve"> and </w:t>
            </w:r>
            <w:proofErr w:type="spellStart"/>
            <w:r w:rsidRPr="00A04234">
              <w:rPr>
                <w:rFonts w:ascii="Book Antiqua" w:hAnsi="Book Antiqua"/>
              </w:rPr>
              <w:t>xCT</w:t>
            </w:r>
            <w:proofErr w:type="spellEnd"/>
          </w:p>
          <w:p w14:paraId="2843DEF4"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Lipogenic subtype sensitive to lipid synthesis inhibitors</w:t>
            </w:r>
          </w:p>
        </w:tc>
      </w:tr>
    </w:tbl>
    <w:p w14:paraId="05864A86" w14:textId="4635D135" w:rsidR="00F043F0" w:rsidRPr="00A04234" w:rsidRDefault="00F043F0" w:rsidP="00F043F0">
      <w:pPr>
        <w:adjustRightInd w:val="0"/>
        <w:snapToGrid w:val="0"/>
        <w:spacing w:line="360" w:lineRule="auto"/>
        <w:jc w:val="both"/>
        <w:rPr>
          <w:rFonts w:ascii="Book Antiqua" w:hAnsi="Book Antiqua"/>
        </w:rPr>
      </w:pPr>
      <w:r w:rsidRPr="00A04234">
        <w:rPr>
          <w:rFonts w:ascii="Book Antiqua" w:hAnsi="Book Antiqua"/>
        </w:rPr>
        <w:t>BRCA; B</w:t>
      </w:r>
      <w:r w:rsidR="00F565E2" w:rsidRPr="00A04234">
        <w:rPr>
          <w:rFonts w:ascii="Book Antiqua" w:hAnsi="Book Antiqua"/>
        </w:rPr>
        <w:t>reast canc</w:t>
      </w:r>
      <w:r w:rsidRPr="00A04234">
        <w:rPr>
          <w:rFonts w:ascii="Book Antiqua" w:hAnsi="Book Antiqua"/>
        </w:rPr>
        <w:t xml:space="preserve">er gene; RTK: Receptor tyrosine kinase; PBC: </w:t>
      </w:r>
      <w:r w:rsidR="00F565E2" w:rsidRPr="00A04234">
        <w:rPr>
          <w:rFonts w:ascii="Book Antiqua" w:hAnsi="Book Antiqua"/>
        </w:rPr>
        <w:t>P</w:t>
      </w:r>
      <w:r w:rsidRPr="00A04234">
        <w:rPr>
          <w:rFonts w:ascii="Book Antiqua" w:hAnsi="Book Antiqua"/>
        </w:rPr>
        <w:t xml:space="preserve">latinum-based chemotherapy; </w:t>
      </w:r>
      <w:proofErr w:type="spellStart"/>
      <w:r w:rsidRPr="00A04234">
        <w:rPr>
          <w:rFonts w:ascii="Book Antiqua" w:hAnsi="Book Antiqua"/>
        </w:rPr>
        <w:t>PARPi</w:t>
      </w:r>
      <w:proofErr w:type="spellEnd"/>
      <w:r w:rsidRPr="00A04234">
        <w:rPr>
          <w:rFonts w:ascii="Book Antiqua" w:hAnsi="Book Antiqua"/>
        </w:rPr>
        <w:t xml:space="preserve">: </w:t>
      </w:r>
      <w:r w:rsidR="00F565E2" w:rsidRPr="00A04234">
        <w:rPr>
          <w:rFonts w:ascii="Book Antiqua" w:hAnsi="Book Antiqua"/>
        </w:rPr>
        <w:t>P</w:t>
      </w:r>
      <w:r w:rsidRPr="00A04234">
        <w:rPr>
          <w:rFonts w:ascii="Book Antiqua" w:hAnsi="Book Antiqua"/>
        </w:rPr>
        <w:t>oly</w:t>
      </w:r>
      <w:r w:rsidR="00682E19" w:rsidRPr="00A04234">
        <w:rPr>
          <w:rFonts w:ascii="Book Antiqua" w:hAnsi="Book Antiqua"/>
        </w:rPr>
        <w:t xml:space="preserve"> </w:t>
      </w:r>
      <w:r w:rsidRPr="00A04234">
        <w:rPr>
          <w:rFonts w:ascii="Book Antiqua" w:hAnsi="Book Antiqua"/>
        </w:rPr>
        <w:t xml:space="preserve">(ADP-ribose) polymerase inhibitors; </w:t>
      </w:r>
      <w:proofErr w:type="spellStart"/>
      <w:r w:rsidRPr="00A04234">
        <w:rPr>
          <w:rFonts w:ascii="Book Antiqua" w:hAnsi="Book Antiqua"/>
        </w:rPr>
        <w:t>xCT</w:t>
      </w:r>
      <w:proofErr w:type="spellEnd"/>
      <w:r w:rsidRPr="00A04234">
        <w:rPr>
          <w:rFonts w:ascii="Book Antiqua" w:hAnsi="Book Antiqua"/>
        </w:rPr>
        <w:t xml:space="preserve">: </w:t>
      </w:r>
      <w:proofErr w:type="spellStart"/>
      <w:r w:rsidR="00F565E2" w:rsidRPr="00A04234">
        <w:rPr>
          <w:rFonts w:ascii="Book Antiqua" w:hAnsi="Book Antiqua"/>
        </w:rPr>
        <w:t>C</w:t>
      </w:r>
      <w:r w:rsidRPr="00A04234">
        <w:rPr>
          <w:rFonts w:ascii="Book Antiqua" w:hAnsi="Book Antiqua"/>
        </w:rPr>
        <w:t>ystine</w:t>
      </w:r>
      <w:proofErr w:type="spellEnd"/>
      <w:r w:rsidRPr="00A04234">
        <w:rPr>
          <w:rFonts w:ascii="Book Antiqua" w:hAnsi="Book Antiqua"/>
        </w:rPr>
        <w:t xml:space="preserve"> transporter; SHMT1: Serine </w:t>
      </w:r>
      <w:proofErr w:type="spellStart"/>
      <w:r w:rsidRPr="00A04234">
        <w:rPr>
          <w:rFonts w:ascii="Book Antiqua" w:hAnsi="Book Antiqua"/>
        </w:rPr>
        <w:t>hydroxymethyltransferase</w:t>
      </w:r>
      <w:proofErr w:type="spellEnd"/>
      <w:r w:rsidRPr="00A04234">
        <w:rPr>
          <w:rFonts w:ascii="Book Antiqua" w:hAnsi="Book Antiqua"/>
        </w:rPr>
        <w:t xml:space="preserve"> 1</w:t>
      </w:r>
      <w:r w:rsidR="00F565E2" w:rsidRPr="00A04234">
        <w:rPr>
          <w:rFonts w:ascii="Book Antiqua" w:hAnsi="Book Antiqua"/>
        </w:rPr>
        <w:t>.</w:t>
      </w:r>
    </w:p>
    <w:p w14:paraId="2FC1A93B" w14:textId="57146778" w:rsidR="0048655F" w:rsidRPr="00A04234" w:rsidRDefault="00491B53" w:rsidP="0048655F">
      <w:pPr>
        <w:adjustRightInd w:val="0"/>
        <w:snapToGrid w:val="0"/>
        <w:spacing w:line="360" w:lineRule="auto"/>
        <w:jc w:val="both"/>
        <w:rPr>
          <w:rFonts w:ascii="Book Antiqua" w:hAnsi="Book Antiqua"/>
          <w:b/>
          <w:bCs/>
        </w:rPr>
      </w:pPr>
      <w:r w:rsidRPr="00A04234">
        <w:rPr>
          <w:rFonts w:ascii="Book Antiqua" w:hAnsi="Book Antiqua"/>
        </w:rPr>
        <w:br w:type="page"/>
      </w:r>
      <w:r w:rsidR="0048655F" w:rsidRPr="00A04234">
        <w:rPr>
          <w:rFonts w:ascii="Book Antiqua" w:hAnsi="Book Antiqua"/>
          <w:b/>
          <w:bCs/>
        </w:rPr>
        <w:lastRenderedPageBreak/>
        <w:t>Table 2 S</w:t>
      </w:r>
      <w:r w:rsidRPr="00A04234">
        <w:rPr>
          <w:rFonts w:ascii="Book Antiqua" w:hAnsi="Book Antiqua"/>
          <w:b/>
          <w:bCs/>
        </w:rPr>
        <w:t>ummary of biomarker discovery studies</w:t>
      </w:r>
    </w:p>
    <w:tbl>
      <w:tblPr>
        <w:tblW w:w="9632" w:type="dxa"/>
        <w:tblLayout w:type="fixed"/>
        <w:tblLook w:val="0660" w:firstRow="1" w:lastRow="1" w:firstColumn="0" w:lastColumn="0" w:noHBand="1" w:noVBand="1"/>
      </w:tblPr>
      <w:tblGrid>
        <w:gridCol w:w="2514"/>
        <w:gridCol w:w="2857"/>
        <w:gridCol w:w="1420"/>
        <w:gridCol w:w="1421"/>
        <w:gridCol w:w="1420"/>
      </w:tblGrid>
      <w:tr w:rsidR="00F565E2" w:rsidRPr="00A04234" w14:paraId="174F4DA9" w14:textId="77777777" w:rsidTr="00682E19">
        <w:tc>
          <w:tcPr>
            <w:tcW w:w="2514" w:type="dxa"/>
            <w:tcBorders>
              <w:top w:val="single" w:sz="4" w:space="0" w:color="auto"/>
              <w:bottom w:val="single" w:sz="4" w:space="0" w:color="auto"/>
            </w:tcBorders>
          </w:tcPr>
          <w:p w14:paraId="33860B2F" w14:textId="043522E4" w:rsidR="0048655F" w:rsidRPr="00A04234" w:rsidRDefault="00491B53" w:rsidP="0048655F">
            <w:pPr>
              <w:adjustRightInd w:val="0"/>
              <w:snapToGrid w:val="0"/>
              <w:spacing w:line="360" w:lineRule="auto"/>
              <w:jc w:val="both"/>
              <w:rPr>
                <w:rFonts w:ascii="Book Antiqua" w:hAnsi="Book Antiqua"/>
                <w:b/>
                <w:bCs/>
              </w:rPr>
            </w:pPr>
            <w:r w:rsidRPr="00A04234">
              <w:rPr>
                <w:rFonts w:ascii="Book Antiqua" w:hAnsi="Book Antiqua"/>
                <w:b/>
                <w:bCs/>
              </w:rPr>
              <w:t>Ref.</w:t>
            </w:r>
          </w:p>
        </w:tc>
        <w:tc>
          <w:tcPr>
            <w:tcW w:w="2857" w:type="dxa"/>
            <w:tcBorders>
              <w:top w:val="single" w:sz="4" w:space="0" w:color="auto"/>
              <w:bottom w:val="single" w:sz="4" w:space="0" w:color="auto"/>
            </w:tcBorders>
          </w:tcPr>
          <w:p w14:paraId="3867E03E" w14:textId="77777777" w:rsidR="0048655F" w:rsidRPr="00A04234" w:rsidRDefault="0048655F" w:rsidP="0048655F">
            <w:pPr>
              <w:adjustRightInd w:val="0"/>
              <w:snapToGrid w:val="0"/>
              <w:spacing w:line="360" w:lineRule="auto"/>
              <w:jc w:val="both"/>
              <w:rPr>
                <w:rFonts w:ascii="Book Antiqua" w:hAnsi="Book Antiqua"/>
                <w:b/>
                <w:bCs/>
              </w:rPr>
            </w:pPr>
            <w:r w:rsidRPr="00A04234">
              <w:rPr>
                <w:rFonts w:ascii="Book Antiqua" w:hAnsi="Book Antiqua"/>
                <w:b/>
                <w:bCs/>
              </w:rPr>
              <w:t>Biomarkers</w:t>
            </w:r>
          </w:p>
        </w:tc>
        <w:tc>
          <w:tcPr>
            <w:tcW w:w="1420" w:type="dxa"/>
            <w:tcBorders>
              <w:top w:val="single" w:sz="4" w:space="0" w:color="auto"/>
              <w:bottom w:val="single" w:sz="4" w:space="0" w:color="auto"/>
            </w:tcBorders>
          </w:tcPr>
          <w:p w14:paraId="04128005" w14:textId="77777777" w:rsidR="0048655F" w:rsidRPr="00A04234" w:rsidRDefault="0048655F" w:rsidP="0048655F">
            <w:pPr>
              <w:adjustRightInd w:val="0"/>
              <w:snapToGrid w:val="0"/>
              <w:spacing w:line="360" w:lineRule="auto"/>
              <w:jc w:val="both"/>
              <w:rPr>
                <w:rFonts w:ascii="Book Antiqua" w:hAnsi="Book Antiqua"/>
                <w:b/>
                <w:bCs/>
              </w:rPr>
            </w:pPr>
            <w:r w:rsidRPr="00A04234">
              <w:rPr>
                <w:rFonts w:ascii="Book Antiqua" w:hAnsi="Book Antiqua"/>
                <w:b/>
                <w:bCs/>
              </w:rPr>
              <w:t>Sensitivity</w:t>
            </w:r>
          </w:p>
        </w:tc>
        <w:tc>
          <w:tcPr>
            <w:tcW w:w="1421" w:type="dxa"/>
            <w:tcBorders>
              <w:top w:val="single" w:sz="4" w:space="0" w:color="auto"/>
              <w:bottom w:val="single" w:sz="4" w:space="0" w:color="auto"/>
            </w:tcBorders>
          </w:tcPr>
          <w:p w14:paraId="54C5FCF5" w14:textId="77777777" w:rsidR="0048655F" w:rsidRPr="00A04234" w:rsidRDefault="0048655F" w:rsidP="0048655F">
            <w:pPr>
              <w:adjustRightInd w:val="0"/>
              <w:snapToGrid w:val="0"/>
              <w:spacing w:line="360" w:lineRule="auto"/>
              <w:jc w:val="both"/>
              <w:rPr>
                <w:rFonts w:ascii="Book Antiqua" w:hAnsi="Book Antiqua"/>
                <w:b/>
                <w:bCs/>
              </w:rPr>
            </w:pPr>
            <w:r w:rsidRPr="00A04234">
              <w:rPr>
                <w:rFonts w:ascii="Book Antiqua" w:hAnsi="Book Antiqua"/>
                <w:b/>
                <w:bCs/>
              </w:rPr>
              <w:t>Specificity</w:t>
            </w:r>
          </w:p>
        </w:tc>
        <w:tc>
          <w:tcPr>
            <w:tcW w:w="1420" w:type="dxa"/>
            <w:tcBorders>
              <w:top w:val="single" w:sz="4" w:space="0" w:color="auto"/>
              <w:bottom w:val="single" w:sz="4" w:space="0" w:color="auto"/>
            </w:tcBorders>
          </w:tcPr>
          <w:p w14:paraId="4A86253C" w14:textId="77777777" w:rsidR="0048655F" w:rsidRPr="00A04234" w:rsidRDefault="0048655F" w:rsidP="0048655F">
            <w:pPr>
              <w:adjustRightInd w:val="0"/>
              <w:snapToGrid w:val="0"/>
              <w:spacing w:line="360" w:lineRule="auto"/>
              <w:jc w:val="both"/>
              <w:rPr>
                <w:rFonts w:ascii="Book Antiqua" w:hAnsi="Book Antiqua"/>
                <w:b/>
                <w:bCs/>
              </w:rPr>
            </w:pPr>
            <w:r w:rsidRPr="00A04234">
              <w:rPr>
                <w:rFonts w:ascii="Book Antiqua" w:hAnsi="Book Antiqua"/>
                <w:b/>
                <w:bCs/>
              </w:rPr>
              <w:t>AUC</w:t>
            </w:r>
          </w:p>
        </w:tc>
      </w:tr>
      <w:tr w:rsidR="00F565E2" w:rsidRPr="00A04234" w14:paraId="4C336320" w14:textId="77777777" w:rsidTr="00682E19">
        <w:tc>
          <w:tcPr>
            <w:tcW w:w="2514" w:type="dxa"/>
            <w:tcBorders>
              <w:top w:val="single" w:sz="4" w:space="0" w:color="auto"/>
            </w:tcBorders>
          </w:tcPr>
          <w:p w14:paraId="5862FE38" w14:textId="5B9AE224"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Zhu </w:t>
            </w:r>
            <w:r w:rsidR="00491B53" w:rsidRPr="00A04234">
              <w:rPr>
                <w:rFonts w:ascii="Book Antiqua" w:hAnsi="Book Antiqua"/>
                <w:i/>
              </w:rPr>
              <w:t>et al</w:t>
            </w:r>
            <w:r w:rsidRPr="00A04234">
              <w:rPr>
                <w:rFonts w:ascii="Book Antiqua" w:hAnsi="Book Antiqua"/>
                <w:vertAlign w:val="superscript"/>
              </w:rPr>
              <w:t>[20]</w:t>
            </w:r>
          </w:p>
        </w:tc>
        <w:tc>
          <w:tcPr>
            <w:tcW w:w="2857" w:type="dxa"/>
            <w:tcBorders>
              <w:top w:val="single" w:sz="4" w:space="0" w:color="auto"/>
            </w:tcBorders>
          </w:tcPr>
          <w:p w14:paraId="68BFA287" w14:textId="77777777" w:rsidR="0048655F" w:rsidRPr="00A04234" w:rsidRDefault="0048655F" w:rsidP="0048655F">
            <w:pPr>
              <w:adjustRightInd w:val="0"/>
              <w:snapToGrid w:val="0"/>
              <w:spacing w:line="360" w:lineRule="auto"/>
              <w:jc w:val="both"/>
              <w:rPr>
                <w:rFonts w:ascii="Book Antiqua" w:hAnsi="Book Antiqua"/>
              </w:rPr>
            </w:pPr>
            <w:proofErr w:type="spellStart"/>
            <w:r w:rsidRPr="00A04234">
              <w:rPr>
                <w:rFonts w:ascii="Book Antiqua" w:hAnsi="Book Antiqua"/>
              </w:rPr>
              <w:t>ctDNA</w:t>
            </w:r>
            <w:proofErr w:type="spellEnd"/>
          </w:p>
          <w:p w14:paraId="1ACAFC5F"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CTC</w:t>
            </w:r>
          </w:p>
          <w:p w14:paraId="78408E7E"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Exosome</w:t>
            </w:r>
          </w:p>
        </w:tc>
        <w:tc>
          <w:tcPr>
            <w:tcW w:w="1420" w:type="dxa"/>
            <w:tcBorders>
              <w:top w:val="single" w:sz="4" w:space="0" w:color="auto"/>
            </w:tcBorders>
          </w:tcPr>
          <w:p w14:paraId="5FA76AA3"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0.64</w:t>
            </w:r>
          </w:p>
          <w:p w14:paraId="34B2DA97"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0.74</w:t>
            </w:r>
          </w:p>
          <w:p w14:paraId="4C78917F"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0.93</w:t>
            </w:r>
          </w:p>
        </w:tc>
        <w:tc>
          <w:tcPr>
            <w:tcW w:w="1421" w:type="dxa"/>
            <w:tcBorders>
              <w:top w:val="single" w:sz="4" w:space="0" w:color="auto"/>
            </w:tcBorders>
          </w:tcPr>
          <w:p w14:paraId="48728948"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0.92</w:t>
            </w:r>
          </w:p>
          <w:p w14:paraId="6D096852"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0.83</w:t>
            </w:r>
          </w:p>
          <w:p w14:paraId="1CF3F17A"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0.92</w:t>
            </w:r>
          </w:p>
        </w:tc>
        <w:tc>
          <w:tcPr>
            <w:tcW w:w="1420" w:type="dxa"/>
            <w:tcBorders>
              <w:top w:val="single" w:sz="4" w:space="0" w:color="auto"/>
            </w:tcBorders>
          </w:tcPr>
          <w:p w14:paraId="55838726"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0.9478</w:t>
            </w:r>
          </w:p>
          <w:p w14:paraId="31E48EA1"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0.8166</w:t>
            </w:r>
          </w:p>
          <w:p w14:paraId="28407774"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0.9819</w:t>
            </w:r>
          </w:p>
        </w:tc>
      </w:tr>
      <w:tr w:rsidR="00F565E2" w:rsidRPr="00A04234" w14:paraId="55B33827" w14:textId="77777777" w:rsidTr="00682E19">
        <w:tc>
          <w:tcPr>
            <w:tcW w:w="2514" w:type="dxa"/>
          </w:tcPr>
          <w:p w14:paraId="6A6E8F20" w14:textId="43393D9F"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Capello </w:t>
            </w:r>
            <w:r w:rsidR="00491B53" w:rsidRPr="00A04234">
              <w:rPr>
                <w:rFonts w:ascii="Book Antiqua" w:hAnsi="Book Antiqua"/>
                <w:i/>
              </w:rPr>
              <w:t>et al</w:t>
            </w:r>
            <w:r w:rsidRPr="00A04234">
              <w:rPr>
                <w:rFonts w:ascii="Book Antiqua" w:hAnsi="Book Antiqua"/>
                <w:vertAlign w:val="superscript"/>
              </w:rPr>
              <w:t>[23]</w:t>
            </w:r>
          </w:p>
        </w:tc>
        <w:tc>
          <w:tcPr>
            <w:tcW w:w="2857" w:type="dxa"/>
          </w:tcPr>
          <w:p w14:paraId="2E75A9EC" w14:textId="0DF32BDC"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TIMP1, LRG1 </w:t>
            </w:r>
            <w:r w:rsidR="00491B53" w:rsidRPr="00A04234">
              <w:rPr>
                <w:rFonts w:ascii="Book Antiqua" w:hAnsi="Book Antiqua"/>
              </w:rPr>
              <w:t>and</w:t>
            </w:r>
          </w:p>
          <w:p w14:paraId="7304A0C4"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CA19-9</w:t>
            </w:r>
          </w:p>
        </w:tc>
        <w:tc>
          <w:tcPr>
            <w:tcW w:w="1420" w:type="dxa"/>
          </w:tcPr>
          <w:p w14:paraId="13987DD6"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0.667/0.410</w:t>
            </w:r>
          </w:p>
        </w:tc>
        <w:tc>
          <w:tcPr>
            <w:tcW w:w="1421" w:type="dxa"/>
          </w:tcPr>
          <w:p w14:paraId="5C202D51"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0.95/0.99</w:t>
            </w:r>
          </w:p>
        </w:tc>
        <w:tc>
          <w:tcPr>
            <w:tcW w:w="1420" w:type="dxa"/>
          </w:tcPr>
          <w:p w14:paraId="59776D91"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0.887</w:t>
            </w:r>
          </w:p>
        </w:tc>
      </w:tr>
      <w:tr w:rsidR="00F565E2" w:rsidRPr="00A04234" w14:paraId="493959A3" w14:textId="77777777" w:rsidTr="00682E19">
        <w:tc>
          <w:tcPr>
            <w:tcW w:w="2514" w:type="dxa"/>
          </w:tcPr>
          <w:p w14:paraId="577E2042" w14:textId="781B6CB9"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Mehta </w:t>
            </w:r>
            <w:r w:rsidR="00491B53" w:rsidRPr="00A04234">
              <w:rPr>
                <w:rFonts w:ascii="Book Antiqua" w:hAnsi="Book Antiqua"/>
                <w:i/>
              </w:rPr>
              <w:t>et al</w:t>
            </w:r>
            <w:r w:rsidRPr="00A04234">
              <w:rPr>
                <w:rFonts w:ascii="Book Antiqua" w:hAnsi="Book Antiqua"/>
                <w:vertAlign w:val="superscript"/>
              </w:rPr>
              <w:t>26]</w:t>
            </w:r>
          </w:p>
        </w:tc>
        <w:tc>
          <w:tcPr>
            <w:tcW w:w="2857" w:type="dxa"/>
          </w:tcPr>
          <w:p w14:paraId="1CA879FE"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Panel of: </w:t>
            </w:r>
          </w:p>
          <w:p w14:paraId="065CBBFA" w14:textId="0588286C"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Lactate, </w:t>
            </w:r>
            <w:proofErr w:type="spellStart"/>
            <w:r w:rsidRPr="00A04234">
              <w:rPr>
                <w:rFonts w:ascii="Book Antiqua" w:hAnsi="Book Antiqua"/>
              </w:rPr>
              <w:t>LysoPC</w:t>
            </w:r>
            <w:proofErr w:type="spellEnd"/>
            <w:r w:rsidR="00491B53" w:rsidRPr="00A04234">
              <w:rPr>
                <w:rFonts w:ascii="Book Antiqua" w:hAnsi="Book Antiqua"/>
              </w:rPr>
              <w:t xml:space="preserve"> </w:t>
            </w:r>
            <w:r w:rsidRPr="00A04234">
              <w:rPr>
                <w:rFonts w:ascii="Book Antiqua" w:hAnsi="Book Antiqua"/>
              </w:rPr>
              <w:t xml:space="preserve">(18:2), Alanine, Choline, Threonine, Asparagine, Tyrosine, Lysine, Palmitate </w:t>
            </w:r>
            <w:r w:rsidR="00491B53" w:rsidRPr="00A04234">
              <w:rPr>
                <w:rFonts w:ascii="Book Antiqua" w:hAnsi="Book Antiqua"/>
              </w:rPr>
              <w:t>and</w:t>
            </w:r>
            <w:r w:rsidRPr="00A04234">
              <w:rPr>
                <w:rFonts w:ascii="Book Antiqua" w:hAnsi="Book Antiqua"/>
              </w:rPr>
              <w:t xml:space="preserve"> 3-hydroxybutyrate</w:t>
            </w:r>
          </w:p>
        </w:tc>
        <w:tc>
          <w:tcPr>
            <w:tcW w:w="1420" w:type="dxa"/>
          </w:tcPr>
          <w:p w14:paraId="2EA409DD"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w:t>
            </w:r>
          </w:p>
        </w:tc>
        <w:tc>
          <w:tcPr>
            <w:tcW w:w="1421" w:type="dxa"/>
          </w:tcPr>
          <w:p w14:paraId="661B24EC"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w:t>
            </w:r>
          </w:p>
        </w:tc>
        <w:tc>
          <w:tcPr>
            <w:tcW w:w="1420" w:type="dxa"/>
          </w:tcPr>
          <w:p w14:paraId="3A645012"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0.992 </w:t>
            </w:r>
            <w:r w:rsidRPr="00A04234">
              <w:rPr>
                <w:rFonts w:ascii="Book Antiqua" w:hAnsi="Book Antiqua"/>
                <w:i/>
                <w:iCs/>
              </w:rPr>
              <w:t xml:space="preserve">vs </w:t>
            </w:r>
            <w:r w:rsidRPr="00A04234">
              <w:rPr>
                <w:rFonts w:ascii="Book Antiqua" w:hAnsi="Book Antiqua"/>
              </w:rPr>
              <w:t>NC</w:t>
            </w:r>
          </w:p>
          <w:p w14:paraId="35609051"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0.957 </w:t>
            </w:r>
            <w:r w:rsidRPr="00A04234">
              <w:rPr>
                <w:rFonts w:ascii="Book Antiqua" w:hAnsi="Book Antiqua"/>
                <w:i/>
                <w:iCs/>
              </w:rPr>
              <w:t>vs</w:t>
            </w:r>
            <w:r w:rsidRPr="00A04234">
              <w:rPr>
                <w:rFonts w:ascii="Book Antiqua" w:hAnsi="Book Antiqua"/>
              </w:rPr>
              <w:t xml:space="preserve"> T2DM</w:t>
            </w:r>
          </w:p>
          <w:p w14:paraId="548D3BBB"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0.653 </w:t>
            </w:r>
            <w:r w:rsidRPr="00A04234">
              <w:rPr>
                <w:rFonts w:ascii="Book Antiqua" w:hAnsi="Book Antiqua"/>
                <w:i/>
                <w:iCs/>
              </w:rPr>
              <w:t xml:space="preserve">vs </w:t>
            </w:r>
            <w:r w:rsidRPr="00A04234">
              <w:rPr>
                <w:rFonts w:ascii="Book Antiqua" w:hAnsi="Book Antiqua"/>
              </w:rPr>
              <w:t>CRC</w:t>
            </w:r>
          </w:p>
        </w:tc>
      </w:tr>
      <w:tr w:rsidR="00F565E2" w:rsidRPr="00A04234" w14:paraId="4E0B6FFA" w14:textId="77777777" w:rsidTr="00682E19">
        <w:tc>
          <w:tcPr>
            <w:tcW w:w="2514" w:type="dxa"/>
          </w:tcPr>
          <w:p w14:paraId="3830A0DA" w14:textId="77777777" w:rsidR="0048655F" w:rsidRPr="00A04234" w:rsidRDefault="0048655F" w:rsidP="0048655F">
            <w:pPr>
              <w:adjustRightInd w:val="0"/>
              <w:snapToGrid w:val="0"/>
              <w:spacing w:line="360" w:lineRule="auto"/>
              <w:jc w:val="both"/>
              <w:rPr>
                <w:rFonts w:ascii="Book Antiqua" w:hAnsi="Book Antiqua"/>
              </w:rPr>
            </w:pPr>
          </w:p>
        </w:tc>
        <w:tc>
          <w:tcPr>
            <w:tcW w:w="2857" w:type="dxa"/>
          </w:tcPr>
          <w:p w14:paraId="3C978E7B" w14:textId="77777777" w:rsidR="0048655F" w:rsidRPr="00A04234" w:rsidRDefault="0048655F" w:rsidP="0048655F">
            <w:pPr>
              <w:adjustRightInd w:val="0"/>
              <w:snapToGrid w:val="0"/>
              <w:spacing w:line="360" w:lineRule="auto"/>
              <w:jc w:val="both"/>
              <w:rPr>
                <w:rFonts w:ascii="Book Antiqua" w:hAnsi="Book Antiqua"/>
                <w:iCs/>
              </w:rPr>
            </w:pPr>
          </w:p>
        </w:tc>
        <w:tc>
          <w:tcPr>
            <w:tcW w:w="1420" w:type="dxa"/>
          </w:tcPr>
          <w:p w14:paraId="1D41E2DF" w14:textId="5383756D" w:rsidR="0048655F" w:rsidRPr="00A04234" w:rsidRDefault="0048655F" w:rsidP="0048655F">
            <w:pPr>
              <w:adjustRightInd w:val="0"/>
              <w:snapToGrid w:val="0"/>
              <w:spacing w:line="360" w:lineRule="auto"/>
              <w:jc w:val="both"/>
              <w:rPr>
                <w:rFonts w:ascii="Book Antiqua" w:hAnsi="Book Antiqua"/>
                <w:iCs/>
              </w:rPr>
            </w:pPr>
            <w:r w:rsidRPr="00A04234">
              <w:rPr>
                <w:rFonts w:ascii="Book Antiqua" w:hAnsi="Book Antiqua"/>
                <w:iCs/>
              </w:rPr>
              <w:t>Biomarker +</w:t>
            </w:r>
            <w:r w:rsidR="00491B53" w:rsidRPr="00A04234">
              <w:rPr>
                <w:rFonts w:ascii="Book Antiqua" w:hAnsi="Book Antiqua"/>
                <w:iCs/>
              </w:rPr>
              <w:t xml:space="preserve"> </w:t>
            </w:r>
            <w:proofErr w:type="spellStart"/>
            <w:r w:rsidRPr="00A04234">
              <w:rPr>
                <w:rFonts w:ascii="Book Antiqua" w:hAnsi="Book Antiqua"/>
                <w:iCs/>
              </w:rPr>
              <w:t>ve</w:t>
            </w:r>
            <w:proofErr w:type="spellEnd"/>
            <w:r w:rsidRPr="00A04234">
              <w:rPr>
                <w:rFonts w:ascii="Book Antiqua" w:hAnsi="Book Antiqua"/>
                <w:iCs/>
              </w:rPr>
              <w:t xml:space="preserve"> median survival</w:t>
            </w:r>
          </w:p>
        </w:tc>
        <w:tc>
          <w:tcPr>
            <w:tcW w:w="1421" w:type="dxa"/>
          </w:tcPr>
          <w:p w14:paraId="03A944DB" w14:textId="77777777" w:rsidR="0048655F" w:rsidRPr="00A04234" w:rsidRDefault="0048655F" w:rsidP="0048655F">
            <w:pPr>
              <w:adjustRightInd w:val="0"/>
              <w:snapToGrid w:val="0"/>
              <w:spacing w:line="360" w:lineRule="auto"/>
              <w:jc w:val="both"/>
              <w:rPr>
                <w:rFonts w:ascii="Book Antiqua" w:hAnsi="Book Antiqua"/>
                <w:iCs/>
              </w:rPr>
            </w:pPr>
          </w:p>
        </w:tc>
        <w:tc>
          <w:tcPr>
            <w:tcW w:w="1420" w:type="dxa"/>
          </w:tcPr>
          <w:p w14:paraId="0FC32FBF" w14:textId="32EADA23" w:rsidR="0048655F" w:rsidRPr="00A04234" w:rsidRDefault="0048655F" w:rsidP="0048655F">
            <w:pPr>
              <w:adjustRightInd w:val="0"/>
              <w:snapToGrid w:val="0"/>
              <w:spacing w:line="360" w:lineRule="auto"/>
              <w:jc w:val="both"/>
              <w:rPr>
                <w:rFonts w:ascii="Book Antiqua" w:hAnsi="Book Antiqua"/>
                <w:iCs/>
              </w:rPr>
            </w:pPr>
            <w:r w:rsidRPr="00A04234">
              <w:rPr>
                <w:rFonts w:ascii="Book Antiqua" w:hAnsi="Book Antiqua"/>
                <w:iCs/>
              </w:rPr>
              <w:t xml:space="preserve">Biomarker </w:t>
            </w:r>
            <w:r w:rsidR="00491B53" w:rsidRPr="00A04234">
              <w:rPr>
                <w:rFonts w:ascii="Book Antiqua" w:hAnsi="Book Antiqua"/>
                <w:iCs/>
              </w:rPr>
              <w:t>-</w:t>
            </w:r>
            <w:proofErr w:type="spellStart"/>
            <w:r w:rsidRPr="00A04234">
              <w:rPr>
                <w:rFonts w:ascii="Book Antiqua" w:hAnsi="Book Antiqua"/>
                <w:iCs/>
              </w:rPr>
              <w:t>ve</w:t>
            </w:r>
            <w:proofErr w:type="spellEnd"/>
            <w:r w:rsidRPr="00A04234">
              <w:rPr>
                <w:rFonts w:ascii="Book Antiqua" w:hAnsi="Book Antiqua"/>
                <w:iCs/>
              </w:rPr>
              <w:t xml:space="preserve"> median survival </w:t>
            </w:r>
          </w:p>
        </w:tc>
      </w:tr>
      <w:tr w:rsidR="00F565E2" w:rsidRPr="00A04234" w14:paraId="315F3C5C" w14:textId="77777777" w:rsidTr="00682E19">
        <w:tc>
          <w:tcPr>
            <w:tcW w:w="2514" w:type="dxa"/>
          </w:tcPr>
          <w:p w14:paraId="27D3AF80" w14:textId="247C30A6" w:rsidR="0048655F" w:rsidRPr="00A04234" w:rsidRDefault="0048655F" w:rsidP="0048655F">
            <w:pPr>
              <w:adjustRightInd w:val="0"/>
              <w:snapToGrid w:val="0"/>
              <w:spacing w:line="360" w:lineRule="auto"/>
              <w:jc w:val="both"/>
              <w:rPr>
                <w:rFonts w:ascii="Book Antiqua" w:hAnsi="Book Antiqua"/>
                <w:vertAlign w:val="superscript"/>
              </w:rPr>
            </w:pPr>
            <w:r w:rsidRPr="00A04234">
              <w:rPr>
                <w:rFonts w:ascii="Book Antiqua" w:hAnsi="Book Antiqua"/>
              </w:rPr>
              <w:t xml:space="preserve">Peng </w:t>
            </w:r>
            <w:r w:rsidR="00491B53" w:rsidRPr="00A04234">
              <w:rPr>
                <w:rFonts w:ascii="Book Antiqua" w:hAnsi="Book Antiqua"/>
                <w:i/>
              </w:rPr>
              <w:t>et al</w:t>
            </w:r>
            <w:r w:rsidRPr="00A04234">
              <w:rPr>
                <w:rFonts w:ascii="Book Antiqua" w:hAnsi="Book Antiqua"/>
                <w:vertAlign w:val="superscript"/>
              </w:rPr>
              <w:t>[25]</w:t>
            </w:r>
          </w:p>
        </w:tc>
        <w:tc>
          <w:tcPr>
            <w:tcW w:w="2857" w:type="dxa"/>
          </w:tcPr>
          <w:p w14:paraId="7F0087A1"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Panel of:</w:t>
            </w:r>
          </w:p>
          <w:p w14:paraId="52602C4A" w14:textId="2CE5F719"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PZ, SHBG, VWF </w:t>
            </w:r>
            <w:r w:rsidR="00491B53" w:rsidRPr="00A04234">
              <w:rPr>
                <w:rFonts w:ascii="Book Antiqua" w:hAnsi="Book Antiqua"/>
              </w:rPr>
              <w:t>and</w:t>
            </w:r>
            <w:r w:rsidRPr="00A04234">
              <w:rPr>
                <w:rFonts w:ascii="Book Antiqua" w:hAnsi="Book Antiqua"/>
              </w:rPr>
              <w:t xml:space="preserve"> CA19-9</w:t>
            </w:r>
          </w:p>
        </w:tc>
        <w:tc>
          <w:tcPr>
            <w:tcW w:w="1420" w:type="dxa"/>
          </w:tcPr>
          <w:p w14:paraId="4E8FF603" w14:textId="77DCCC12"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19.2 </w:t>
            </w:r>
            <w:proofErr w:type="spellStart"/>
            <w:r w:rsidRPr="00A04234">
              <w:rPr>
                <w:rFonts w:ascii="Book Antiqua" w:hAnsi="Book Antiqua"/>
              </w:rPr>
              <w:t>mo</w:t>
            </w:r>
            <w:proofErr w:type="spellEnd"/>
          </w:p>
        </w:tc>
        <w:tc>
          <w:tcPr>
            <w:tcW w:w="1421" w:type="dxa"/>
          </w:tcPr>
          <w:p w14:paraId="03DDB6D9" w14:textId="77777777" w:rsidR="0048655F" w:rsidRPr="00A04234" w:rsidRDefault="0048655F" w:rsidP="0048655F">
            <w:pPr>
              <w:adjustRightInd w:val="0"/>
              <w:snapToGrid w:val="0"/>
              <w:spacing w:line="360" w:lineRule="auto"/>
              <w:jc w:val="both"/>
              <w:rPr>
                <w:rFonts w:ascii="Book Antiqua" w:hAnsi="Book Antiqua"/>
              </w:rPr>
            </w:pPr>
          </w:p>
        </w:tc>
        <w:tc>
          <w:tcPr>
            <w:tcW w:w="1420" w:type="dxa"/>
          </w:tcPr>
          <w:p w14:paraId="6BBC4991" w14:textId="6C8DCD9D"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8.7 </w:t>
            </w:r>
            <w:proofErr w:type="spellStart"/>
            <w:r w:rsidRPr="00A04234">
              <w:rPr>
                <w:rFonts w:ascii="Book Antiqua" w:hAnsi="Book Antiqua"/>
              </w:rPr>
              <w:t>mo</w:t>
            </w:r>
            <w:proofErr w:type="spellEnd"/>
          </w:p>
        </w:tc>
      </w:tr>
      <w:tr w:rsidR="00F565E2" w:rsidRPr="00A04234" w14:paraId="451CCDF5" w14:textId="77777777" w:rsidTr="00682E19">
        <w:tc>
          <w:tcPr>
            <w:tcW w:w="2514" w:type="dxa"/>
          </w:tcPr>
          <w:p w14:paraId="2D9B527D" w14:textId="77777777" w:rsidR="0048655F" w:rsidRPr="00A04234" w:rsidRDefault="0048655F" w:rsidP="0048655F">
            <w:pPr>
              <w:adjustRightInd w:val="0"/>
              <w:snapToGrid w:val="0"/>
              <w:spacing w:line="360" w:lineRule="auto"/>
              <w:jc w:val="both"/>
              <w:rPr>
                <w:rFonts w:ascii="Book Antiqua" w:hAnsi="Book Antiqua"/>
              </w:rPr>
            </w:pPr>
          </w:p>
        </w:tc>
        <w:tc>
          <w:tcPr>
            <w:tcW w:w="2857" w:type="dxa"/>
          </w:tcPr>
          <w:p w14:paraId="3AB860AC" w14:textId="77777777" w:rsidR="0048655F" w:rsidRPr="00A04234" w:rsidRDefault="0048655F" w:rsidP="0048655F">
            <w:pPr>
              <w:adjustRightInd w:val="0"/>
              <w:snapToGrid w:val="0"/>
              <w:spacing w:line="360" w:lineRule="auto"/>
              <w:jc w:val="both"/>
              <w:rPr>
                <w:rFonts w:ascii="Book Antiqua" w:hAnsi="Book Antiqua"/>
              </w:rPr>
            </w:pPr>
          </w:p>
        </w:tc>
        <w:tc>
          <w:tcPr>
            <w:tcW w:w="1420" w:type="dxa"/>
          </w:tcPr>
          <w:p w14:paraId="4E618977" w14:textId="77777777" w:rsidR="0048655F" w:rsidRPr="00A04234" w:rsidRDefault="0048655F" w:rsidP="0048655F">
            <w:pPr>
              <w:adjustRightInd w:val="0"/>
              <w:snapToGrid w:val="0"/>
              <w:spacing w:line="360" w:lineRule="auto"/>
              <w:jc w:val="both"/>
              <w:rPr>
                <w:rFonts w:ascii="Book Antiqua" w:hAnsi="Book Antiqua"/>
                <w:i/>
              </w:rPr>
            </w:pPr>
          </w:p>
        </w:tc>
        <w:tc>
          <w:tcPr>
            <w:tcW w:w="1421" w:type="dxa"/>
          </w:tcPr>
          <w:p w14:paraId="0EE3720D" w14:textId="77777777" w:rsidR="0048655F" w:rsidRPr="00A04234" w:rsidRDefault="0048655F" w:rsidP="0048655F">
            <w:pPr>
              <w:adjustRightInd w:val="0"/>
              <w:snapToGrid w:val="0"/>
              <w:spacing w:line="360" w:lineRule="auto"/>
              <w:jc w:val="both"/>
              <w:rPr>
                <w:rFonts w:ascii="Book Antiqua" w:hAnsi="Book Antiqua"/>
                <w:i/>
              </w:rPr>
            </w:pPr>
            <w:r w:rsidRPr="00A04234">
              <w:rPr>
                <w:rFonts w:ascii="Book Antiqua" w:hAnsi="Book Antiqua"/>
                <w:i/>
              </w:rPr>
              <w:t>AUC</w:t>
            </w:r>
          </w:p>
        </w:tc>
        <w:tc>
          <w:tcPr>
            <w:tcW w:w="1420" w:type="dxa"/>
          </w:tcPr>
          <w:p w14:paraId="469B0BB4" w14:textId="77777777" w:rsidR="0048655F" w:rsidRPr="00A04234" w:rsidRDefault="0048655F" w:rsidP="0048655F">
            <w:pPr>
              <w:adjustRightInd w:val="0"/>
              <w:snapToGrid w:val="0"/>
              <w:spacing w:line="360" w:lineRule="auto"/>
              <w:jc w:val="both"/>
              <w:rPr>
                <w:rFonts w:ascii="Book Antiqua" w:hAnsi="Book Antiqua"/>
              </w:rPr>
            </w:pPr>
          </w:p>
        </w:tc>
      </w:tr>
      <w:tr w:rsidR="00F565E2" w:rsidRPr="00A04234" w14:paraId="5A60AAA2" w14:textId="77777777" w:rsidTr="00682E19">
        <w:tc>
          <w:tcPr>
            <w:tcW w:w="2514" w:type="dxa"/>
            <w:tcBorders>
              <w:bottom w:val="single" w:sz="4" w:space="0" w:color="auto"/>
            </w:tcBorders>
          </w:tcPr>
          <w:p w14:paraId="7D161A79" w14:textId="34E1CFCC"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Martín-</w:t>
            </w:r>
            <w:proofErr w:type="spellStart"/>
            <w:r w:rsidRPr="00A04234">
              <w:rPr>
                <w:rFonts w:ascii="Book Antiqua" w:hAnsi="Book Antiqua"/>
              </w:rPr>
              <w:t>Blázquez</w:t>
            </w:r>
            <w:proofErr w:type="spellEnd"/>
            <w:r w:rsidRPr="00A04234">
              <w:rPr>
                <w:rFonts w:ascii="Book Antiqua" w:hAnsi="Book Antiqua"/>
              </w:rPr>
              <w:t xml:space="preserve"> </w:t>
            </w:r>
            <w:r w:rsidR="00491B53" w:rsidRPr="00A04234">
              <w:rPr>
                <w:rFonts w:ascii="Book Antiqua" w:hAnsi="Book Antiqua"/>
                <w:i/>
              </w:rPr>
              <w:t>et al</w:t>
            </w:r>
            <w:r w:rsidRPr="00A04234">
              <w:rPr>
                <w:rFonts w:ascii="Book Antiqua" w:hAnsi="Book Antiqua"/>
                <w:vertAlign w:val="superscript"/>
              </w:rPr>
              <w:t>[27]</w:t>
            </w:r>
          </w:p>
        </w:tc>
        <w:tc>
          <w:tcPr>
            <w:tcW w:w="2857" w:type="dxa"/>
            <w:tcBorders>
              <w:bottom w:val="single" w:sz="4" w:space="0" w:color="auto"/>
            </w:tcBorders>
          </w:tcPr>
          <w:p w14:paraId="5402986E"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 xml:space="preserve">Panel of: </w:t>
            </w:r>
          </w:p>
          <w:p w14:paraId="43C303F6" w14:textId="54F7A826"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PS</w:t>
            </w:r>
            <w:r w:rsidR="00491B53" w:rsidRPr="00A04234">
              <w:rPr>
                <w:rFonts w:ascii="Book Antiqua" w:hAnsi="Book Antiqua"/>
              </w:rPr>
              <w:t xml:space="preserve"> </w:t>
            </w:r>
            <w:r w:rsidRPr="00A04234">
              <w:rPr>
                <w:rFonts w:ascii="Book Antiqua" w:hAnsi="Book Antiqua"/>
              </w:rPr>
              <w:t>(12:0/15:1), TG</w:t>
            </w:r>
            <w:r w:rsidR="00491B53" w:rsidRPr="00A04234">
              <w:rPr>
                <w:rFonts w:ascii="Book Antiqua" w:hAnsi="Book Antiqua"/>
              </w:rPr>
              <w:t xml:space="preserve"> </w:t>
            </w:r>
            <w:r w:rsidRPr="00A04234">
              <w:rPr>
                <w:rFonts w:ascii="Book Antiqua" w:hAnsi="Book Antiqua"/>
              </w:rPr>
              <w:t xml:space="preserve">(22:2/15:0/18:3), 4-oxo-Retinoic acid, </w:t>
            </w:r>
            <w:proofErr w:type="spellStart"/>
            <w:r w:rsidRPr="00A04234">
              <w:rPr>
                <w:rFonts w:ascii="Book Antiqua" w:hAnsi="Book Antiqua"/>
              </w:rPr>
              <w:t>Androsterone</w:t>
            </w:r>
            <w:proofErr w:type="spellEnd"/>
            <w:r w:rsidRPr="00A04234">
              <w:rPr>
                <w:rFonts w:ascii="Book Antiqua" w:hAnsi="Book Antiqua"/>
              </w:rPr>
              <w:t xml:space="preserve"> sulfate, </w:t>
            </w:r>
            <w:proofErr w:type="spellStart"/>
            <w:r w:rsidRPr="00A04234">
              <w:rPr>
                <w:rFonts w:ascii="Book Antiqua" w:hAnsi="Book Antiqua"/>
              </w:rPr>
              <w:t>LysoPE</w:t>
            </w:r>
            <w:proofErr w:type="spellEnd"/>
            <w:r w:rsidR="00491B53" w:rsidRPr="00A04234">
              <w:rPr>
                <w:rFonts w:ascii="Book Antiqua" w:hAnsi="Book Antiqua"/>
              </w:rPr>
              <w:t xml:space="preserve"> </w:t>
            </w:r>
            <w:r w:rsidRPr="00A04234">
              <w:rPr>
                <w:rFonts w:ascii="Book Antiqua" w:hAnsi="Book Antiqua"/>
              </w:rPr>
              <w:t>(18:2),</w:t>
            </w:r>
            <w:r w:rsidR="00491B53" w:rsidRPr="00A04234">
              <w:rPr>
                <w:rFonts w:ascii="Book Antiqua" w:hAnsi="Book Antiqua"/>
              </w:rPr>
              <w:t xml:space="preserve"> </w:t>
            </w:r>
            <w:proofErr w:type="spellStart"/>
            <w:r w:rsidRPr="00A04234">
              <w:rPr>
                <w:rFonts w:ascii="Book Antiqua" w:hAnsi="Book Antiqua"/>
              </w:rPr>
              <w:lastRenderedPageBreak/>
              <w:t>Phenylalanylphenylalanine</w:t>
            </w:r>
            <w:proofErr w:type="spellEnd"/>
            <w:r w:rsidRPr="00A04234">
              <w:rPr>
                <w:rFonts w:ascii="Book Antiqua" w:hAnsi="Book Antiqua"/>
              </w:rPr>
              <w:t>, all-trans-</w:t>
            </w:r>
            <w:proofErr w:type="spellStart"/>
            <w:r w:rsidRPr="00A04234">
              <w:rPr>
                <w:rFonts w:ascii="Book Antiqua" w:hAnsi="Book Antiqua"/>
              </w:rPr>
              <w:t>Decaprenyldiphosphate</w:t>
            </w:r>
            <w:proofErr w:type="spellEnd"/>
            <w:r w:rsidRPr="00A04234">
              <w:rPr>
                <w:rFonts w:ascii="Book Antiqua" w:hAnsi="Book Antiqua"/>
              </w:rPr>
              <w:t xml:space="preserve">, </w:t>
            </w:r>
            <w:proofErr w:type="spellStart"/>
            <w:r w:rsidRPr="00A04234">
              <w:rPr>
                <w:rFonts w:ascii="Book Antiqua" w:hAnsi="Book Antiqua"/>
              </w:rPr>
              <w:t>LysoPC</w:t>
            </w:r>
            <w:proofErr w:type="spellEnd"/>
            <w:r w:rsidR="00491B53" w:rsidRPr="00A04234">
              <w:rPr>
                <w:rFonts w:ascii="Book Antiqua" w:hAnsi="Book Antiqua"/>
              </w:rPr>
              <w:t xml:space="preserve"> </w:t>
            </w:r>
            <w:r w:rsidRPr="00A04234">
              <w:rPr>
                <w:rFonts w:ascii="Book Antiqua" w:hAnsi="Book Antiqua"/>
              </w:rPr>
              <w:t xml:space="preserve">(18:2) </w:t>
            </w:r>
            <w:r w:rsidR="00491B53" w:rsidRPr="00A04234">
              <w:rPr>
                <w:rFonts w:ascii="Book Antiqua" w:hAnsi="Book Antiqua"/>
              </w:rPr>
              <w:t>and</w:t>
            </w:r>
            <w:r w:rsidRPr="00A04234">
              <w:rPr>
                <w:rFonts w:ascii="Book Antiqua" w:hAnsi="Book Antiqua"/>
              </w:rPr>
              <w:t xml:space="preserve"> </w:t>
            </w:r>
            <w:proofErr w:type="spellStart"/>
            <w:r w:rsidRPr="00A04234">
              <w:rPr>
                <w:rFonts w:ascii="Book Antiqua" w:hAnsi="Book Antiqua"/>
              </w:rPr>
              <w:t>Dehydroepiandrosterone</w:t>
            </w:r>
            <w:proofErr w:type="spellEnd"/>
            <w:r w:rsidRPr="00A04234">
              <w:rPr>
                <w:rFonts w:ascii="Book Antiqua" w:hAnsi="Book Antiqua"/>
              </w:rPr>
              <w:t xml:space="preserve"> sulfate</w:t>
            </w:r>
          </w:p>
        </w:tc>
        <w:tc>
          <w:tcPr>
            <w:tcW w:w="1420" w:type="dxa"/>
            <w:tcBorders>
              <w:bottom w:val="single" w:sz="4" w:space="0" w:color="auto"/>
            </w:tcBorders>
          </w:tcPr>
          <w:p w14:paraId="2B7BCE35" w14:textId="77777777" w:rsidR="0048655F" w:rsidRPr="00A04234" w:rsidRDefault="0048655F" w:rsidP="0048655F">
            <w:pPr>
              <w:adjustRightInd w:val="0"/>
              <w:snapToGrid w:val="0"/>
              <w:spacing w:line="360" w:lineRule="auto"/>
              <w:jc w:val="both"/>
              <w:rPr>
                <w:rFonts w:ascii="Book Antiqua" w:hAnsi="Book Antiqua"/>
              </w:rPr>
            </w:pPr>
          </w:p>
        </w:tc>
        <w:tc>
          <w:tcPr>
            <w:tcW w:w="1421" w:type="dxa"/>
            <w:tcBorders>
              <w:bottom w:val="single" w:sz="4" w:space="0" w:color="auto"/>
            </w:tcBorders>
          </w:tcPr>
          <w:p w14:paraId="47A298ED" w14:textId="77777777" w:rsidR="0048655F" w:rsidRPr="00A04234" w:rsidRDefault="0048655F" w:rsidP="0048655F">
            <w:pPr>
              <w:adjustRightInd w:val="0"/>
              <w:snapToGrid w:val="0"/>
              <w:spacing w:line="360" w:lineRule="auto"/>
              <w:jc w:val="both"/>
              <w:rPr>
                <w:rFonts w:ascii="Book Antiqua" w:hAnsi="Book Antiqua"/>
              </w:rPr>
            </w:pPr>
            <w:r w:rsidRPr="00A04234">
              <w:rPr>
                <w:rFonts w:ascii="Book Antiqua" w:hAnsi="Book Antiqua"/>
              </w:rPr>
              <w:t>0.992 (CI: 0.972-1.000)</w:t>
            </w:r>
          </w:p>
        </w:tc>
        <w:tc>
          <w:tcPr>
            <w:tcW w:w="1420" w:type="dxa"/>
            <w:tcBorders>
              <w:bottom w:val="single" w:sz="4" w:space="0" w:color="auto"/>
            </w:tcBorders>
          </w:tcPr>
          <w:p w14:paraId="43D1957D" w14:textId="77777777" w:rsidR="0048655F" w:rsidRPr="00A04234" w:rsidRDefault="0048655F" w:rsidP="0048655F">
            <w:pPr>
              <w:adjustRightInd w:val="0"/>
              <w:snapToGrid w:val="0"/>
              <w:spacing w:line="360" w:lineRule="auto"/>
              <w:jc w:val="both"/>
              <w:rPr>
                <w:rFonts w:ascii="Book Antiqua" w:hAnsi="Book Antiqua"/>
              </w:rPr>
            </w:pPr>
          </w:p>
        </w:tc>
      </w:tr>
    </w:tbl>
    <w:p w14:paraId="11645C28" w14:textId="77777777" w:rsidR="00F043F0" w:rsidRPr="00A04234" w:rsidRDefault="00F043F0" w:rsidP="00F043F0">
      <w:pPr>
        <w:adjustRightInd w:val="0"/>
        <w:snapToGrid w:val="0"/>
        <w:spacing w:line="360" w:lineRule="auto"/>
        <w:jc w:val="both"/>
        <w:rPr>
          <w:rFonts w:ascii="Book Antiqua" w:hAnsi="Book Antiqua"/>
        </w:rPr>
      </w:pPr>
      <w:proofErr w:type="spellStart"/>
      <w:r w:rsidRPr="00A04234">
        <w:rPr>
          <w:rFonts w:ascii="Book Antiqua" w:hAnsi="Book Antiqua"/>
        </w:rPr>
        <w:lastRenderedPageBreak/>
        <w:t>ctDNA</w:t>
      </w:r>
      <w:proofErr w:type="spellEnd"/>
      <w:r w:rsidRPr="00A04234">
        <w:rPr>
          <w:rFonts w:ascii="Book Antiqua" w:hAnsi="Book Antiqua"/>
        </w:rPr>
        <w:t xml:space="preserve">: Circulating </w:t>
      </w:r>
      <w:proofErr w:type="spellStart"/>
      <w:r w:rsidRPr="00A04234">
        <w:rPr>
          <w:rFonts w:ascii="Book Antiqua" w:hAnsi="Book Antiqua"/>
        </w:rPr>
        <w:t>tumour</w:t>
      </w:r>
      <w:proofErr w:type="spellEnd"/>
      <w:r w:rsidRPr="00A04234">
        <w:rPr>
          <w:rFonts w:ascii="Book Antiqua" w:hAnsi="Book Antiqua"/>
        </w:rPr>
        <w:t xml:space="preserve"> DNA; CTC: Circulating </w:t>
      </w:r>
      <w:proofErr w:type="spellStart"/>
      <w:r w:rsidRPr="00A04234">
        <w:rPr>
          <w:rFonts w:ascii="Book Antiqua" w:hAnsi="Book Antiqua"/>
        </w:rPr>
        <w:t>tumour</w:t>
      </w:r>
      <w:proofErr w:type="spellEnd"/>
      <w:r w:rsidRPr="00A04234">
        <w:rPr>
          <w:rFonts w:ascii="Book Antiqua" w:hAnsi="Book Antiqua"/>
        </w:rPr>
        <w:t xml:space="preserve"> cells; TIMP1: Metalloproteinase inhibitor 1; LRG1: Leucine rich alpha-2-glycoprotein 1; CA19-9: Carbohydrate antigen 19-9; CI: Confidence interval; NC: Normal control; T2DM: Type 2 Diabetes mellitus; CRC: Colorectal cancer</w:t>
      </w:r>
    </w:p>
    <w:p w14:paraId="254C2484" w14:textId="2A6D80CF" w:rsidR="001607BE" w:rsidRPr="00A04234" w:rsidRDefault="001607BE" w:rsidP="00F043F0">
      <w:pPr>
        <w:adjustRightInd w:val="0"/>
        <w:snapToGrid w:val="0"/>
        <w:spacing w:line="360" w:lineRule="auto"/>
        <w:jc w:val="both"/>
        <w:rPr>
          <w:rFonts w:ascii="Book Antiqua" w:hAnsi="Book Antiqua"/>
        </w:rPr>
      </w:pPr>
    </w:p>
    <w:p w14:paraId="683583ED" w14:textId="77777777" w:rsidR="001607BE" w:rsidRPr="00A04234" w:rsidRDefault="001607BE" w:rsidP="001607BE">
      <w:pPr>
        <w:jc w:val="center"/>
        <w:rPr>
          <w:rFonts w:ascii="Book Antiqua" w:hAnsi="Book Antiqua"/>
        </w:rPr>
      </w:pPr>
      <w:r w:rsidRPr="00A04234">
        <w:rPr>
          <w:rFonts w:ascii="Book Antiqua" w:hAnsi="Book Antiqua"/>
        </w:rPr>
        <w:br w:type="page"/>
      </w:r>
    </w:p>
    <w:p w14:paraId="68130545" w14:textId="77777777" w:rsidR="001607BE" w:rsidRPr="00A04234" w:rsidRDefault="001607BE" w:rsidP="001607BE">
      <w:pPr>
        <w:jc w:val="center"/>
        <w:rPr>
          <w:rFonts w:ascii="Book Antiqua" w:hAnsi="Book Antiqua"/>
        </w:rPr>
      </w:pPr>
    </w:p>
    <w:p w14:paraId="3CBE10AB" w14:textId="77777777" w:rsidR="001607BE" w:rsidRPr="00A04234" w:rsidRDefault="001607BE" w:rsidP="001607BE">
      <w:pPr>
        <w:jc w:val="center"/>
        <w:rPr>
          <w:rFonts w:ascii="Book Antiqua" w:hAnsi="Book Antiqua"/>
        </w:rPr>
      </w:pPr>
    </w:p>
    <w:p w14:paraId="62923979" w14:textId="77777777" w:rsidR="001607BE" w:rsidRPr="00A04234" w:rsidRDefault="001607BE" w:rsidP="001607BE">
      <w:pPr>
        <w:jc w:val="center"/>
        <w:rPr>
          <w:rFonts w:ascii="Book Antiqua" w:hAnsi="Book Antiqua"/>
        </w:rPr>
      </w:pPr>
    </w:p>
    <w:p w14:paraId="1EB3D07E" w14:textId="77777777" w:rsidR="001607BE" w:rsidRPr="00A04234" w:rsidRDefault="001607BE" w:rsidP="001607BE">
      <w:pPr>
        <w:jc w:val="center"/>
        <w:rPr>
          <w:rFonts w:ascii="Book Antiqua" w:hAnsi="Book Antiqua"/>
        </w:rPr>
      </w:pPr>
      <w:r w:rsidRPr="00A04234">
        <w:rPr>
          <w:rFonts w:ascii="Book Antiqua" w:hAnsi="Book Antiqua"/>
          <w:noProof/>
          <w:lang w:eastAsia="zh-CN"/>
        </w:rPr>
        <w:drawing>
          <wp:inline distT="0" distB="0" distL="0" distR="0" wp14:anchorId="008E51CD" wp14:editId="6EE4C2D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523D13" w14:textId="77777777" w:rsidR="001607BE" w:rsidRPr="00A04234" w:rsidRDefault="001607BE" w:rsidP="001607BE">
      <w:pPr>
        <w:jc w:val="center"/>
        <w:rPr>
          <w:rFonts w:ascii="Book Antiqua" w:hAnsi="Book Antiqua"/>
        </w:rPr>
      </w:pPr>
    </w:p>
    <w:p w14:paraId="34FDF0CC" w14:textId="77777777" w:rsidR="001607BE" w:rsidRPr="00A04234" w:rsidRDefault="001607BE" w:rsidP="001607BE">
      <w:pPr>
        <w:autoSpaceDE w:val="0"/>
        <w:autoSpaceDN w:val="0"/>
        <w:adjustRightInd w:val="0"/>
        <w:jc w:val="center"/>
        <w:rPr>
          <w:rFonts w:ascii="Book Antiqua" w:eastAsia="Garamond-Bold" w:hAnsi="Book Antiqua" w:cs="Garamond-Bold"/>
          <w:b/>
          <w:bCs/>
          <w:color w:val="000000"/>
          <w:sz w:val="28"/>
          <w:szCs w:val="28"/>
        </w:rPr>
      </w:pPr>
      <w:r w:rsidRPr="00A04234">
        <w:rPr>
          <w:rFonts w:ascii="Book Antiqua" w:eastAsia="TimesNewRomanPSMT" w:hAnsi="Book Antiqua" w:cs="TimesNewRomanPSMT"/>
          <w:color w:val="000000"/>
          <w:sz w:val="28"/>
          <w:szCs w:val="28"/>
        </w:rPr>
        <w:t xml:space="preserve">Published by </w:t>
      </w:r>
      <w:proofErr w:type="spellStart"/>
      <w:r w:rsidRPr="00A04234">
        <w:rPr>
          <w:rFonts w:ascii="Book Antiqua" w:eastAsia="Garamond-Bold" w:hAnsi="Book Antiqua" w:cs="Garamond-Bold"/>
          <w:b/>
          <w:bCs/>
          <w:color w:val="000000"/>
          <w:sz w:val="28"/>
          <w:szCs w:val="28"/>
        </w:rPr>
        <w:t>Baishideng</w:t>
      </w:r>
      <w:proofErr w:type="spellEnd"/>
      <w:r w:rsidRPr="00A04234">
        <w:rPr>
          <w:rFonts w:ascii="Book Antiqua" w:eastAsia="Garamond-Bold" w:hAnsi="Book Antiqua" w:cs="Garamond-Bold"/>
          <w:b/>
          <w:bCs/>
          <w:color w:val="000000"/>
          <w:sz w:val="28"/>
          <w:szCs w:val="28"/>
        </w:rPr>
        <w:t xml:space="preserve"> Publishing Group </w:t>
      </w:r>
      <w:proofErr w:type="spellStart"/>
      <w:r w:rsidRPr="00A04234">
        <w:rPr>
          <w:rFonts w:ascii="Book Antiqua" w:eastAsia="Garamond-Bold" w:hAnsi="Book Antiqua" w:cs="Garamond-Bold"/>
          <w:b/>
          <w:bCs/>
          <w:color w:val="000000"/>
          <w:sz w:val="28"/>
          <w:szCs w:val="28"/>
        </w:rPr>
        <w:t>Inc</w:t>
      </w:r>
      <w:proofErr w:type="spellEnd"/>
    </w:p>
    <w:p w14:paraId="0D0B955C" w14:textId="77777777" w:rsidR="001607BE" w:rsidRPr="00A04234" w:rsidRDefault="001607BE" w:rsidP="001607BE">
      <w:pPr>
        <w:autoSpaceDE w:val="0"/>
        <w:autoSpaceDN w:val="0"/>
        <w:adjustRightInd w:val="0"/>
        <w:jc w:val="center"/>
        <w:rPr>
          <w:rFonts w:ascii="Book Antiqua" w:eastAsia="TimesNewRomanPSMT" w:hAnsi="Book Antiqua" w:cs="Garamond"/>
          <w:color w:val="000000"/>
          <w:sz w:val="28"/>
          <w:szCs w:val="28"/>
        </w:rPr>
      </w:pPr>
      <w:r w:rsidRPr="00A04234">
        <w:rPr>
          <w:rFonts w:ascii="Book Antiqua" w:eastAsia="TimesNewRomanPSMT" w:hAnsi="Book Antiqua" w:cs="Garamond"/>
          <w:color w:val="000000"/>
          <w:sz w:val="28"/>
          <w:szCs w:val="28"/>
        </w:rPr>
        <w:t>7041 Koll Center Parkway, Suite 160, Pleasanton, CA 94566, USA</w:t>
      </w:r>
    </w:p>
    <w:p w14:paraId="106D9655" w14:textId="77777777" w:rsidR="001607BE" w:rsidRPr="00A04234" w:rsidRDefault="001607BE" w:rsidP="001607BE">
      <w:pPr>
        <w:autoSpaceDE w:val="0"/>
        <w:autoSpaceDN w:val="0"/>
        <w:adjustRightInd w:val="0"/>
        <w:jc w:val="center"/>
        <w:rPr>
          <w:rFonts w:ascii="Book Antiqua" w:eastAsia="TimesNewRomanPSMT" w:hAnsi="Book Antiqua" w:cs="Garamond"/>
          <w:color w:val="000000"/>
          <w:sz w:val="28"/>
          <w:szCs w:val="28"/>
        </w:rPr>
      </w:pPr>
      <w:r w:rsidRPr="00A04234">
        <w:rPr>
          <w:rFonts w:ascii="Book Antiqua" w:eastAsia="Garamond-Bold" w:hAnsi="Book Antiqua" w:cs="Garamond-Bold"/>
          <w:b/>
          <w:bCs/>
          <w:color w:val="000000"/>
          <w:sz w:val="28"/>
          <w:szCs w:val="28"/>
        </w:rPr>
        <w:t xml:space="preserve">Telephone: </w:t>
      </w:r>
      <w:r w:rsidRPr="00A04234">
        <w:rPr>
          <w:rFonts w:ascii="Book Antiqua" w:eastAsia="TimesNewRomanPSMT" w:hAnsi="Book Antiqua" w:cs="Garamond"/>
          <w:color w:val="000000"/>
          <w:sz w:val="28"/>
          <w:szCs w:val="28"/>
        </w:rPr>
        <w:t>+1-925-3991568</w:t>
      </w:r>
    </w:p>
    <w:p w14:paraId="572CFF4A" w14:textId="77777777" w:rsidR="001607BE" w:rsidRPr="00A04234" w:rsidRDefault="001607BE" w:rsidP="001607BE">
      <w:pPr>
        <w:autoSpaceDE w:val="0"/>
        <w:autoSpaceDN w:val="0"/>
        <w:adjustRightInd w:val="0"/>
        <w:jc w:val="center"/>
        <w:rPr>
          <w:rFonts w:ascii="Book Antiqua" w:eastAsia="TimesNewRomanPSMT" w:hAnsi="Book Antiqua" w:cs="Garamond"/>
          <w:color w:val="D56400"/>
          <w:sz w:val="28"/>
          <w:szCs w:val="28"/>
        </w:rPr>
      </w:pPr>
      <w:r w:rsidRPr="00A04234">
        <w:rPr>
          <w:rFonts w:ascii="Book Antiqua" w:eastAsia="Garamond-Bold" w:hAnsi="Book Antiqua" w:cs="Garamond-Bold"/>
          <w:b/>
          <w:bCs/>
          <w:color w:val="000000"/>
          <w:sz w:val="28"/>
          <w:szCs w:val="28"/>
        </w:rPr>
        <w:t xml:space="preserve">E-mail: </w:t>
      </w:r>
      <w:r w:rsidRPr="00A04234">
        <w:rPr>
          <w:rFonts w:ascii="Book Antiqua" w:eastAsia="TimesNewRomanPSMT" w:hAnsi="Book Antiqua" w:cs="Garamond"/>
          <w:color w:val="D56400"/>
          <w:sz w:val="28"/>
          <w:szCs w:val="28"/>
        </w:rPr>
        <w:t>bpgoffice@wjgnet.com</w:t>
      </w:r>
    </w:p>
    <w:p w14:paraId="744A8D80" w14:textId="77777777" w:rsidR="001607BE" w:rsidRPr="00A04234" w:rsidRDefault="001607BE" w:rsidP="001607BE">
      <w:pPr>
        <w:autoSpaceDE w:val="0"/>
        <w:autoSpaceDN w:val="0"/>
        <w:adjustRightInd w:val="0"/>
        <w:jc w:val="center"/>
        <w:rPr>
          <w:rFonts w:ascii="Book Antiqua" w:eastAsia="TimesNewRomanPSMT" w:hAnsi="Book Antiqua" w:cs="Garamond"/>
          <w:color w:val="D56400"/>
          <w:sz w:val="28"/>
          <w:szCs w:val="28"/>
        </w:rPr>
      </w:pPr>
      <w:r w:rsidRPr="00A04234">
        <w:rPr>
          <w:rFonts w:ascii="Book Antiqua" w:eastAsia="Garamond-Bold" w:hAnsi="Book Antiqua" w:cs="Garamond-Bold"/>
          <w:b/>
          <w:bCs/>
          <w:color w:val="000000"/>
          <w:sz w:val="28"/>
          <w:szCs w:val="28"/>
        </w:rPr>
        <w:t xml:space="preserve">Help Desk: </w:t>
      </w:r>
      <w:r w:rsidRPr="00A04234">
        <w:rPr>
          <w:rFonts w:ascii="Book Antiqua" w:eastAsia="TimesNewRomanPSMT" w:hAnsi="Book Antiqua" w:cs="Garamond"/>
          <w:color w:val="D56400"/>
          <w:sz w:val="28"/>
          <w:szCs w:val="28"/>
        </w:rPr>
        <w:t>https://www.f6publishing.com/helpdesk</w:t>
      </w:r>
    </w:p>
    <w:p w14:paraId="6B235C9C" w14:textId="77777777" w:rsidR="001607BE" w:rsidRPr="00A04234" w:rsidRDefault="001607BE" w:rsidP="001607BE">
      <w:pPr>
        <w:jc w:val="center"/>
        <w:rPr>
          <w:rFonts w:ascii="Book Antiqua" w:hAnsi="Book Antiqua"/>
        </w:rPr>
      </w:pPr>
      <w:r w:rsidRPr="00A04234">
        <w:rPr>
          <w:rFonts w:ascii="Book Antiqua" w:eastAsia="TimesNewRomanPSMT" w:hAnsi="Book Antiqua" w:cs="Garamond"/>
          <w:color w:val="D56400"/>
          <w:sz w:val="28"/>
          <w:szCs w:val="28"/>
        </w:rPr>
        <w:t>https://www.wjgnet.com</w:t>
      </w:r>
    </w:p>
    <w:p w14:paraId="46A4C947" w14:textId="77777777" w:rsidR="001607BE" w:rsidRPr="00A04234" w:rsidRDefault="001607BE" w:rsidP="001607BE">
      <w:pPr>
        <w:jc w:val="center"/>
        <w:rPr>
          <w:rFonts w:ascii="Book Antiqua" w:hAnsi="Book Antiqua"/>
        </w:rPr>
      </w:pPr>
    </w:p>
    <w:p w14:paraId="3ACA8554" w14:textId="77777777" w:rsidR="001607BE" w:rsidRPr="00A04234" w:rsidRDefault="001607BE" w:rsidP="001607BE">
      <w:pPr>
        <w:jc w:val="center"/>
        <w:rPr>
          <w:rFonts w:ascii="Book Antiqua" w:hAnsi="Book Antiqua"/>
        </w:rPr>
      </w:pPr>
    </w:p>
    <w:p w14:paraId="0669CDDF" w14:textId="77777777" w:rsidR="001607BE" w:rsidRPr="00A04234" w:rsidRDefault="001607BE" w:rsidP="001607BE">
      <w:pPr>
        <w:jc w:val="center"/>
        <w:rPr>
          <w:rFonts w:ascii="Book Antiqua" w:hAnsi="Book Antiqua"/>
        </w:rPr>
      </w:pPr>
    </w:p>
    <w:p w14:paraId="240B9C23" w14:textId="77777777" w:rsidR="001607BE" w:rsidRPr="00A04234" w:rsidRDefault="001607BE" w:rsidP="001607BE">
      <w:pPr>
        <w:jc w:val="center"/>
        <w:rPr>
          <w:rFonts w:ascii="Book Antiqua" w:hAnsi="Book Antiqua"/>
        </w:rPr>
      </w:pPr>
      <w:r w:rsidRPr="00A04234">
        <w:rPr>
          <w:rFonts w:ascii="Book Antiqua" w:hAnsi="Book Antiqua"/>
          <w:noProof/>
          <w:lang w:eastAsia="zh-CN"/>
        </w:rPr>
        <w:drawing>
          <wp:inline distT="0" distB="0" distL="0" distR="0" wp14:anchorId="5913BA1A" wp14:editId="64D7506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C71A010" w14:textId="77777777" w:rsidR="001607BE" w:rsidRPr="00A04234" w:rsidRDefault="001607BE" w:rsidP="001607BE">
      <w:pPr>
        <w:jc w:val="center"/>
        <w:rPr>
          <w:rFonts w:ascii="Book Antiqua" w:hAnsi="Book Antiqua"/>
        </w:rPr>
      </w:pPr>
    </w:p>
    <w:p w14:paraId="5E166C3D" w14:textId="77777777" w:rsidR="001607BE" w:rsidRPr="00A04234" w:rsidRDefault="001607BE" w:rsidP="001607BE">
      <w:pPr>
        <w:jc w:val="center"/>
        <w:rPr>
          <w:rFonts w:ascii="Book Antiqua" w:hAnsi="Book Antiqua"/>
        </w:rPr>
      </w:pPr>
    </w:p>
    <w:p w14:paraId="1D4345B1" w14:textId="77777777" w:rsidR="001607BE" w:rsidRPr="00A04234" w:rsidRDefault="001607BE" w:rsidP="001607BE">
      <w:pPr>
        <w:jc w:val="center"/>
        <w:rPr>
          <w:rFonts w:ascii="Book Antiqua" w:hAnsi="Book Antiqua"/>
        </w:rPr>
      </w:pPr>
    </w:p>
    <w:p w14:paraId="38D54F7F" w14:textId="77777777" w:rsidR="001607BE" w:rsidRPr="00A04234" w:rsidRDefault="001607BE" w:rsidP="001607BE">
      <w:pPr>
        <w:jc w:val="center"/>
        <w:rPr>
          <w:rFonts w:ascii="Book Antiqua" w:hAnsi="Book Antiqua"/>
        </w:rPr>
      </w:pPr>
    </w:p>
    <w:p w14:paraId="6A579DD1" w14:textId="77777777" w:rsidR="001607BE" w:rsidRPr="00A04234" w:rsidRDefault="001607BE" w:rsidP="001607BE">
      <w:pPr>
        <w:jc w:val="center"/>
        <w:rPr>
          <w:rFonts w:ascii="Book Antiqua" w:hAnsi="Book Antiqua"/>
        </w:rPr>
      </w:pPr>
    </w:p>
    <w:p w14:paraId="3E4E3D3B" w14:textId="77777777" w:rsidR="001607BE" w:rsidRPr="00A04234" w:rsidRDefault="001607BE" w:rsidP="001607BE">
      <w:pPr>
        <w:jc w:val="center"/>
        <w:rPr>
          <w:rFonts w:ascii="Book Antiqua" w:hAnsi="Book Antiqua"/>
        </w:rPr>
      </w:pPr>
    </w:p>
    <w:p w14:paraId="5A8FE643" w14:textId="77777777" w:rsidR="001607BE" w:rsidRPr="00A04234" w:rsidRDefault="001607BE" w:rsidP="001607BE">
      <w:pPr>
        <w:jc w:val="center"/>
        <w:rPr>
          <w:rFonts w:ascii="Book Antiqua" w:hAnsi="Book Antiqua"/>
        </w:rPr>
      </w:pPr>
    </w:p>
    <w:p w14:paraId="5D816C68" w14:textId="77777777" w:rsidR="001607BE" w:rsidRPr="00A04234" w:rsidRDefault="001607BE" w:rsidP="001607BE">
      <w:pPr>
        <w:jc w:val="center"/>
        <w:rPr>
          <w:rFonts w:ascii="Book Antiqua" w:hAnsi="Book Antiqua"/>
        </w:rPr>
      </w:pPr>
    </w:p>
    <w:p w14:paraId="4928CA57" w14:textId="77777777" w:rsidR="001607BE" w:rsidRPr="00A04234" w:rsidRDefault="001607BE" w:rsidP="001607BE">
      <w:pPr>
        <w:jc w:val="center"/>
        <w:rPr>
          <w:rFonts w:ascii="Book Antiqua" w:hAnsi="Book Antiqua"/>
        </w:rPr>
      </w:pPr>
    </w:p>
    <w:p w14:paraId="3CE74F69" w14:textId="77777777" w:rsidR="001607BE" w:rsidRPr="00A04234" w:rsidRDefault="001607BE" w:rsidP="001607BE">
      <w:pPr>
        <w:jc w:val="right"/>
        <w:rPr>
          <w:rFonts w:ascii="Book Antiqua" w:hAnsi="Book Antiqua"/>
          <w:color w:val="000000" w:themeColor="text1"/>
        </w:rPr>
      </w:pPr>
    </w:p>
    <w:p w14:paraId="10DE46E4" w14:textId="77777777" w:rsidR="001607BE" w:rsidRPr="00763D22" w:rsidRDefault="001607BE" w:rsidP="001607BE">
      <w:pPr>
        <w:jc w:val="center"/>
        <w:rPr>
          <w:rFonts w:ascii="Book Antiqua" w:hAnsi="Book Antiqua"/>
          <w:color w:val="000000" w:themeColor="text1"/>
        </w:rPr>
      </w:pPr>
      <w:r w:rsidRPr="00A04234">
        <w:rPr>
          <w:rFonts w:ascii="Book Antiqua" w:eastAsia="BookAntiqua-Bold" w:hAnsi="Book Antiqua" w:cs="BookAntiqua-Bold"/>
          <w:b/>
          <w:bCs/>
          <w:color w:val="000000" w:themeColor="text1"/>
        </w:rPr>
        <w:t xml:space="preserve">© 2021 </w:t>
      </w:r>
      <w:proofErr w:type="spellStart"/>
      <w:r w:rsidRPr="00A04234">
        <w:rPr>
          <w:rFonts w:ascii="Book Antiqua" w:eastAsia="BookAntiqua-Bold" w:hAnsi="Book Antiqua" w:cs="BookAntiqua-Bold"/>
          <w:b/>
          <w:bCs/>
          <w:color w:val="000000" w:themeColor="text1"/>
        </w:rPr>
        <w:t>Baishideng</w:t>
      </w:r>
      <w:proofErr w:type="spellEnd"/>
      <w:r w:rsidRPr="00A04234">
        <w:rPr>
          <w:rFonts w:ascii="Book Antiqua" w:eastAsia="BookAntiqua-Bold" w:hAnsi="Book Antiqua" w:cs="BookAntiqua-Bold"/>
          <w:b/>
          <w:bCs/>
          <w:color w:val="000000" w:themeColor="text1"/>
        </w:rPr>
        <w:t xml:space="preserve"> Publishing Group Inc. All rights reserved.</w:t>
      </w:r>
      <w:r w:rsidRPr="00A04234">
        <w:rPr>
          <w:rFonts w:ascii="Book Antiqua" w:hAnsi="Book Antiqua"/>
          <w:color w:val="000000" w:themeColor="text1"/>
        </w:rPr>
        <w:fldChar w:fldCharType="begin"/>
      </w:r>
      <w:r w:rsidRPr="00A04234">
        <w:rPr>
          <w:rFonts w:ascii="Book Antiqua" w:hAnsi="Book Antiqua"/>
          <w:color w:val="000000" w:themeColor="text1"/>
        </w:rPr>
        <w:instrText xml:space="preserve"> ADDIN EN.REFLIST </w:instrText>
      </w:r>
      <w:r w:rsidRPr="00A04234">
        <w:rPr>
          <w:rFonts w:ascii="Book Antiqua" w:hAnsi="Book Antiqua"/>
          <w:color w:val="000000" w:themeColor="text1"/>
        </w:rPr>
        <w:fldChar w:fldCharType="end"/>
      </w:r>
      <w:bookmarkStart w:id="4" w:name="_GoBack"/>
      <w:bookmarkEnd w:id="4"/>
    </w:p>
    <w:p w14:paraId="3A5240D7" w14:textId="77777777" w:rsidR="001607BE" w:rsidRPr="00695733" w:rsidRDefault="001607BE" w:rsidP="001607BE">
      <w:pPr>
        <w:spacing w:line="360" w:lineRule="auto"/>
        <w:jc w:val="both"/>
        <w:rPr>
          <w:lang w:eastAsia="zh-CN"/>
        </w:rPr>
      </w:pPr>
    </w:p>
    <w:sectPr w:rsidR="001607BE" w:rsidRPr="006957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5E4D8" w14:textId="77777777" w:rsidR="004314F2" w:rsidRDefault="004314F2" w:rsidP="009B0C95">
      <w:r>
        <w:separator/>
      </w:r>
    </w:p>
  </w:endnote>
  <w:endnote w:type="continuationSeparator" w:id="0">
    <w:p w14:paraId="2C74F0C6" w14:textId="77777777" w:rsidR="004314F2" w:rsidRDefault="004314F2" w:rsidP="009B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rdo">
    <w:altName w:val="Times New Roman"/>
    <w:charset w:val="00"/>
    <w:family w:val="auto"/>
    <w:pitch w:val="default"/>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811446"/>
      <w:docPartObj>
        <w:docPartGallery w:val="Page Numbers (Bottom of Page)"/>
        <w:docPartUnique/>
      </w:docPartObj>
    </w:sdtPr>
    <w:sdtEndPr/>
    <w:sdtContent>
      <w:sdt>
        <w:sdtPr>
          <w:id w:val="-1705238520"/>
          <w:docPartObj>
            <w:docPartGallery w:val="Page Numbers (Top of Page)"/>
            <w:docPartUnique/>
          </w:docPartObj>
        </w:sdtPr>
        <w:sdtEndPr/>
        <w:sdtContent>
          <w:p w14:paraId="58D74594" w14:textId="58642FDC" w:rsidR="003059F9" w:rsidRDefault="003059F9" w:rsidP="003059F9">
            <w:pPr>
              <w:pStyle w:val="a4"/>
              <w:jc w:val="right"/>
            </w:pPr>
            <w:r w:rsidRPr="003059F9">
              <w:rPr>
                <w:rFonts w:ascii="Book Antiqua" w:hAnsi="Book Antiqua"/>
                <w:sz w:val="24"/>
                <w:szCs w:val="24"/>
                <w:lang w:val="zh-CN" w:eastAsia="zh-CN"/>
              </w:rPr>
              <w:t xml:space="preserve"> </w:t>
            </w:r>
            <w:r w:rsidRPr="003059F9">
              <w:rPr>
                <w:rFonts w:ascii="Book Antiqua" w:hAnsi="Book Antiqua"/>
                <w:b/>
                <w:bCs/>
                <w:sz w:val="24"/>
                <w:szCs w:val="24"/>
              </w:rPr>
              <w:fldChar w:fldCharType="begin"/>
            </w:r>
            <w:r w:rsidRPr="003059F9">
              <w:rPr>
                <w:rFonts w:ascii="Book Antiqua" w:hAnsi="Book Antiqua"/>
                <w:b/>
                <w:bCs/>
                <w:sz w:val="24"/>
                <w:szCs w:val="24"/>
              </w:rPr>
              <w:instrText>PAGE</w:instrText>
            </w:r>
            <w:r w:rsidRPr="003059F9">
              <w:rPr>
                <w:rFonts w:ascii="Book Antiqua" w:hAnsi="Book Antiqua"/>
                <w:b/>
                <w:bCs/>
                <w:sz w:val="24"/>
                <w:szCs w:val="24"/>
              </w:rPr>
              <w:fldChar w:fldCharType="separate"/>
            </w:r>
            <w:r w:rsidR="00A04234">
              <w:rPr>
                <w:rFonts w:ascii="Book Antiqua" w:hAnsi="Book Antiqua"/>
                <w:b/>
                <w:bCs/>
                <w:noProof/>
                <w:sz w:val="24"/>
                <w:szCs w:val="24"/>
              </w:rPr>
              <w:t>2</w:t>
            </w:r>
            <w:r w:rsidRPr="003059F9">
              <w:rPr>
                <w:rFonts w:ascii="Book Antiqua" w:hAnsi="Book Antiqua"/>
                <w:b/>
                <w:bCs/>
                <w:sz w:val="24"/>
                <w:szCs w:val="24"/>
              </w:rPr>
              <w:fldChar w:fldCharType="end"/>
            </w:r>
            <w:r w:rsidRPr="003059F9">
              <w:rPr>
                <w:rFonts w:ascii="Book Antiqua" w:hAnsi="Book Antiqua"/>
                <w:sz w:val="24"/>
                <w:szCs w:val="24"/>
                <w:lang w:val="zh-CN" w:eastAsia="zh-CN"/>
              </w:rPr>
              <w:t xml:space="preserve"> / </w:t>
            </w:r>
            <w:r w:rsidRPr="003059F9">
              <w:rPr>
                <w:rFonts w:ascii="Book Antiqua" w:hAnsi="Book Antiqua"/>
                <w:b/>
                <w:bCs/>
                <w:sz w:val="24"/>
                <w:szCs w:val="24"/>
              </w:rPr>
              <w:fldChar w:fldCharType="begin"/>
            </w:r>
            <w:r w:rsidRPr="003059F9">
              <w:rPr>
                <w:rFonts w:ascii="Book Antiqua" w:hAnsi="Book Antiqua"/>
                <w:b/>
                <w:bCs/>
                <w:sz w:val="24"/>
                <w:szCs w:val="24"/>
              </w:rPr>
              <w:instrText>NUMPAGES</w:instrText>
            </w:r>
            <w:r w:rsidRPr="003059F9">
              <w:rPr>
                <w:rFonts w:ascii="Book Antiqua" w:hAnsi="Book Antiqua"/>
                <w:b/>
                <w:bCs/>
                <w:sz w:val="24"/>
                <w:szCs w:val="24"/>
              </w:rPr>
              <w:fldChar w:fldCharType="separate"/>
            </w:r>
            <w:r w:rsidR="00A04234">
              <w:rPr>
                <w:rFonts w:ascii="Book Antiqua" w:hAnsi="Book Antiqua"/>
                <w:b/>
                <w:bCs/>
                <w:noProof/>
                <w:sz w:val="24"/>
                <w:szCs w:val="24"/>
              </w:rPr>
              <w:t>27</w:t>
            </w:r>
            <w:r w:rsidRPr="003059F9">
              <w:rPr>
                <w:rFonts w:ascii="Book Antiqua" w:hAnsi="Book Antiqua"/>
                <w:b/>
                <w:bCs/>
                <w:sz w:val="24"/>
                <w:szCs w:val="24"/>
              </w:rPr>
              <w:fldChar w:fldCharType="end"/>
            </w:r>
          </w:p>
        </w:sdtContent>
      </w:sdt>
    </w:sdtContent>
  </w:sdt>
  <w:p w14:paraId="1923DFC2" w14:textId="77777777" w:rsidR="003059F9" w:rsidRDefault="003059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819CE" w14:textId="77777777" w:rsidR="004314F2" w:rsidRDefault="004314F2" w:rsidP="009B0C95">
      <w:r>
        <w:separator/>
      </w:r>
    </w:p>
  </w:footnote>
  <w:footnote w:type="continuationSeparator" w:id="0">
    <w:p w14:paraId="70116527" w14:textId="77777777" w:rsidR="004314F2" w:rsidRDefault="004314F2" w:rsidP="009B0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16A0"/>
    <w:rsid w:val="0007769C"/>
    <w:rsid w:val="000B6EAD"/>
    <w:rsid w:val="00115BB3"/>
    <w:rsid w:val="001607BE"/>
    <w:rsid w:val="003059F9"/>
    <w:rsid w:val="00391975"/>
    <w:rsid w:val="003B52DE"/>
    <w:rsid w:val="004314F2"/>
    <w:rsid w:val="0048655F"/>
    <w:rsid w:val="00491B53"/>
    <w:rsid w:val="004C7121"/>
    <w:rsid w:val="00525C18"/>
    <w:rsid w:val="00651CF1"/>
    <w:rsid w:val="00682E19"/>
    <w:rsid w:val="00697E7D"/>
    <w:rsid w:val="00764555"/>
    <w:rsid w:val="007A326B"/>
    <w:rsid w:val="007F3906"/>
    <w:rsid w:val="00837109"/>
    <w:rsid w:val="008A4936"/>
    <w:rsid w:val="009B0C95"/>
    <w:rsid w:val="00A04234"/>
    <w:rsid w:val="00A77B3E"/>
    <w:rsid w:val="00AC25D3"/>
    <w:rsid w:val="00BE0425"/>
    <w:rsid w:val="00CA2A55"/>
    <w:rsid w:val="00D96272"/>
    <w:rsid w:val="00E1210B"/>
    <w:rsid w:val="00E81FBB"/>
    <w:rsid w:val="00F043F0"/>
    <w:rsid w:val="00F05B91"/>
    <w:rsid w:val="00F56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3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B0C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B0C95"/>
    <w:rPr>
      <w:sz w:val="18"/>
      <w:szCs w:val="18"/>
    </w:rPr>
  </w:style>
  <w:style w:type="paragraph" w:styleId="a4">
    <w:name w:val="footer"/>
    <w:basedOn w:val="a"/>
    <w:link w:val="Char0"/>
    <w:uiPriority w:val="99"/>
    <w:unhideWhenUsed/>
    <w:rsid w:val="009B0C95"/>
    <w:pPr>
      <w:tabs>
        <w:tab w:val="center" w:pos="4153"/>
        <w:tab w:val="right" w:pos="8306"/>
      </w:tabs>
      <w:snapToGrid w:val="0"/>
    </w:pPr>
    <w:rPr>
      <w:sz w:val="18"/>
      <w:szCs w:val="18"/>
    </w:rPr>
  </w:style>
  <w:style w:type="character" w:customStyle="1" w:styleId="Char0">
    <w:name w:val="页脚 Char"/>
    <w:basedOn w:val="a0"/>
    <w:link w:val="a4"/>
    <w:uiPriority w:val="99"/>
    <w:rsid w:val="009B0C95"/>
    <w:rPr>
      <w:sz w:val="18"/>
      <w:szCs w:val="18"/>
    </w:rPr>
  </w:style>
  <w:style w:type="character" w:styleId="a5">
    <w:name w:val="annotation reference"/>
    <w:basedOn w:val="a0"/>
    <w:semiHidden/>
    <w:unhideWhenUsed/>
    <w:rsid w:val="00491B53"/>
    <w:rPr>
      <w:sz w:val="21"/>
      <w:szCs w:val="21"/>
    </w:rPr>
  </w:style>
  <w:style w:type="paragraph" w:styleId="a6">
    <w:name w:val="annotation text"/>
    <w:basedOn w:val="a"/>
    <w:link w:val="Char1"/>
    <w:semiHidden/>
    <w:unhideWhenUsed/>
    <w:rsid w:val="00491B53"/>
  </w:style>
  <w:style w:type="character" w:customStyle="1" w:styleId="Char1">
    <w:name w:val="批注文字 Char"/>
    <w:basedOn w:val="a0"/>
    <w:link w:val="a6"/>
    <w:semiHidden/>
    <w:rsid w:val="00491B53"/>
    <w:rPr>
      <w:sz w:val="24"/>
      <w:szCs w:val="24"/>
    </w:rPr>
  </w:style>
  <w:style w:type="paragraph" w:styleId="a7">
    <w:name w:val="annotation subject"/>
    <w:basedOn w:val="a6"/>
    <w:next w:val="a6"/>
    <w:link w:val="Char2"/>
    <w:semiHidden/>
    <w:unhideWhenUsed/>
    <w:rsid w:val="00491B53"/>
    <w:rPr>
      <w:b/>
      <w:bCs/>
    </w:rPr>
  </w:style>
  <w:style w:type="character" w:customStyle="1" w:styleId="Char2">
    <w:name w:val="批注主题 Char"/>
    <w:basedOn w:val="Char1"/>
    <w:link w:val="a7"/>
    <w:semiHidden/>
    <w:rsid w:val="00491B53"/>
    <w:rPr>
      <w:b/>
      <w:bCs/>
      <w:sz w:val="24"/>
      <w:szCs w:val="24"/>
    </w:rPr>
  </w:style>
  <w:style w:type="paragraph" w:styleId="a8">
    <w:name w:val="Balloon Text"/>
    <w:basedOn w:val="a"/>
    <w:link w:val="Char3"/>
    <w:rsid w:val="0007769C"/>
    <w:rPr>
      <w:sz w:val="18"/>
      <w:szCs w:val="18"/>
    </w:rPr>
  </w:style>
  <w:style w:type="character" w:customStyle="1" w:styleId="Char3">
    <w:name w:val="批注框文本 Char"/>
    <w:basedOn w:val="a0"/>
    <w:link w:val="a8"/>
    <w:rsid w:val="0007769C"/>
    <w:rPr>
      <w:sz w:val="18"/>
      <w:szCs w:val="18"/>
    </w:rPr>
  </w:style>
  <w:style w:type="character" w:styleId="a9">
    <w:name w:val="Hyperlink"/>
    <w:basedOn w:val="a0"/>
    <w:unhideWhenUsed/>
    <w:rsid w:val="00A042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22454">
      <w:bodyDiv w:val="1"/>
      <w:marLeft w:val="0"/>
      <w:marRight w:val="0"/>
      <w:marTop w:val="0"/>
      <w:marBottom w:val="0"/>
      <w:divBdr>
        <w:top w:val="none" w:sz="0" w:space="0" w:color="auto"/>
        <w:left w:val="none" w:sz="0" w:space="0" w:color="auto"/>
        <w:bottom w:val="none" w:sz="0" w:space="0" w:color="auto"/>
        <w:right w:val="none" w:sz="0" w:space="0" w:color="auto"/>
      </w:divBdr>
    </w:div>
    <w:div w:id="108299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7/i31/517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6689</Words>
  <Characters>38133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15</cp:revision>
  <dcterms:created xsi:type="dcterms:W3CDTF">2021-07-29T06:41:00Z</dcterms:created>
  <dcterms:modified xsi:type="dcterms:W3CDTF">2021-08-17T11:15:00Z</dcterms:modified>
</cp:coreProperties>
</file>