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63232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Molecular and serology methods in the diagnosis of COVID-19: An overview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Luz MS </w:t>
      </w:r>
      <w:r>
        <w:rPr>
          <w:rFonts w:ascii="Book Antiqua" w:hAnsi="Book Antiqua" w:eastAsia="Book Antiqua" w:cs="Book Antiqua"/>
          <w:i/>
          <w:iCs/>
          <w:color w:val="000000"/>
        </w:rPr>
        <w:t>et al</w:t>
      </w:r>
      <w:r>
        <w:rPr>
          <w:rFonts w:ascii="Book Antiqua" w:hAnsi="Book Antiqua" w:cs="Book Antiqua"/>
          <w:i/>
          <w:iCs/>
          <w:color w:val="000000"/>
          <w:lang w:eastAsia="zh-CN"/>
        </w:rPr>
        <w:t>.</w:t>
      </w:r>
      <w:r>
        <w:rPr>
          <w:rFonts w:ascii="Book Antiqua" w:hAnsi="Book Antiqua" w:eastAsia="Book Antiqua" w:cs="Book Antiqua"/>
          <w:color w:val="000000"/>
        </w:rPr>
        <w:t xml:space="preserve"> Methods in the diagnosis of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Marcel Silva Luz, Ronaldo Teixeira da Silva Júnior, Gabriella Almeida Santos de Santana, Gabriela Santos Rodrigues, Henrique de Lima Crivellaro, Mariana Santos Calmon, Clara Faria Souza Mendes dos Santos, Luis Guilherme de Oliveira Silva, Qesya Rodrigues Ferreira, Guilherme Rabelo Mota, Heloísa Heim, Filipe Antônio França da Silva, Breno Bittencourt de Brito, Fabrício Freire de Melo</w:t>
      </w:r>
    </w:p>
    <w:p>
      <w:pPr>
        <w:spacing w:line="360" w:lineRule="auto"/>
        <w:jc w:val="both"/>
        <w:rPr>
          <w:rFonts w:ascii="Book Antiqua" w:hAnsi="Book Antiqua"/>
        </w:rPr>
      </w:pPr>
    </w:p>
    <w:p>
      <w:pPr>
        <w:spacing w:line="360" w:lineRule="auto"/>
        <w:jc w:val="both"/>
        <w:rPr>
          <w:rFonts w:ascii="Book Antiqua" w:hAnsi="Book Antiqua"/>
        </w:rPr>
      </w:pPr>
      <w:bookmarkStart w:id="0" w:name="OLE_LINK741"/>
      <w:bookmarkStart w:id="1" w:name="OLE_LINK740"/>
      <w:r>
        <w:rPr>
          <w:rFonts w:ascii="Book Antiqua" w:hAnsi="Book Antiqua" w:eastAsia="Book Antiqua" w:cs="Book Antiqua"/>
          <w:b/>
          <w:bCs/>
          <w:color w:val="000000"/>
        </w:rPr>
        <w:t>Marcel Silva Luz, Ronaldo Teixeira da Silva Júnior, Gabriella Almeida Santos de Santana, Gabriela Santos Rodrigues, Henrique de Lima Crivellaro, Mariana Santos Calmon, Clara Faria Souza Mendes dos Santos, Luis Guilherme de Oliveira Silva, Qesya Rodrigues Ferreira, Guilherme Rabelo Mota, Heloísa Heim, Filipe Antônio França da Silva, Breno Bittencourt de Brito</w:t>
      </w:r>
      <w:bookmarkEnd w:id="0"/>
      <w:bookmarkEnd w:id="1"/>
      <w:r>
        <w:rPr>
          <w:rFonts w:ascii="Book Antiqua" w:hAnsi="Book Antiqua" w:eastAsia="Book Antiqua" w:cs="Book Antiqua"/>
          <w:b/>
          <w:bCs/>
          <w:color w:val="000000"/>
        </w:rPr>
        <w:t xml:space="preserve">, </w:t>
      </w:r>
      <w:r>
        <w:rPr>
          <w:rFonts w:ascii="Book Antiqua" w:hAnsi="Book Antiqua" w:eastAsia="Book Antiqua" w:cs="Book Antiqua"/>
          <w:color w:val="000000"/>
        </w:rPr>
        <w:t>Instituto Multidisciplinar em Saúde, Universidade Federal da Bahia, Vitória da Conquista 45002175, Bahia, Brazil</w:t>
      </w:r>
    </w:p>
    <w:p>
      <w:pPr>
        <w:spacing w:line="360" w:lineRule="auto"/>
        <w:jc w:val="both"/>
        <w:rPr>
          <w:rFonts w:ascii="Book Antiqua" w:hAnsi="Book Antiqua"/>
        </w:rPr>
      </w:pPr>
    </w:p>
    <w:p>
      <w:pPr>
        <w:spacing w:line="360" w:lineRule="auto"/>
        <w:jc w:val="both"/>
        <w:rPr>
          <w:rFonts w:ascii="Book Antiqua" w:hAnsi="Book Antiqua"/>
        </w:rPr>
      </w:pPr>
      <w:bookmarkStart w:id="2" w:name="OLE_LINK743"/>
      <w:bookmarkStart w:id="3" w:name="OLE_LINK744"/>
      <w:r>
        <w:rPr>
          <w:rFonts w:ascii="Book Antiqua" w:hAnsi="Book Antiqua" w:eastAsia="Book Antiqua" w:cs="Book Antiqua"/>
          <w:b/>
          <w:bCs/>
          <w:color w:val="000000"/>
        </w:rPr>
        <w:t xml:space="preserve">Fabrício Freire de Melo, </w:t>
      </w:r>
      <w:r>
        <w:rPr>
          <w:rFonts w:ascii="Book Antiqua" w:hAnsi="Book Antiqua" w:eastAsia="Book Antiqua" w:cs="Book Antiqua"/>
          <w:color w:val="000000"/>
        </w:rPr>
        <w:t>Instituto Multidisciplinar em Saúde , Universidade Federal da Bahia, Vitória da Conquista 45029-094, Bahia, Brazil</w:t>
      </w:r>
    </w:p>
    <w:bookmarkEnd w:id="2"/>
    <w:bookmarkEnd w:id="3"/>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Luz</w:t>
      </w:r>
      <w:r>
        <w:rPr>
          <w:rFonts w:ascii="Book Antiqua" w:hAnsi="Book Antiqua" w:eastAsia="Book Antiqua" w:cs="Book Antiqua"/>
          <w:b/>
          <w:bCs/>
          <w:color w:val="000000"/>
        </w:rPr>
        <w:t xml:space="preserve"> </w:t>
      </w:r>
      <w:r>
        <w:rPr>
          <w:rFonts w:ascii="Book Antiqua" w:hAnsi="Book Antiqua" w:eastAsia="Book Antiqua" w:cs="Book Antiqua"/>
          <w:color w:val="000000"/>
        </w:rPr>
        <w:t>M</w:t>
      </w:r>
      <w:r>
        <w:rPr>
          <w:rFonts w:ascii="Book Antiqua" w:hAnsi="Book Antiqua" w:cs="Book Antiqua"/>
          <w:color w:val="000000"/>
          <w:lang w:eastAsia="zh-CN"/>
        </w:rPr>
        <w:t>S contributed to the</w:t>
      </w:r>
      <w:r>
        <w:rPr>
          <w:rFonts w:ascii="Book Antiqua" w:hAnsi="Book Antiqua" w:eastAsia="Book Antiqua" w:cs="Book Antiqua"/>
          <w:color w:val="000000"/>
        </w:rPr>
        <w:t xml:space="preserve"> conceptualization, methodology, validation, investigation, and writing – original draft; da Silva Júnior RT</w:t>
      </w:r>
      <w:r>
        <w:rPr>
          <w:rFonts w:ascii="Book Antiqua" w:hAnsi="Book Antiqua" w:cs="Book Antiqua"/>
          <w:color w:val="000000"/>
          <w:lang w:eastAsia="zh-CN"/>
        </w:rPr>
        <w:t xml:space="preserve"> contributed to</w:t>
      </w:r>
      <w:r>
        <w:rPr>
          <w:rFonts w:ascii="Book Antiqua" w:hAnsi="Book Antiqua" w:eastAsia="Book Antiqua" w:cs="Book Antiqua"/>
          <w:color w:val="000000"/>
        </w:rPr>
        <w:t xml:space="preserve"> </w:t>
      </w:r>
      <w:r>
        <w:rPr>
          <w:rFonts w:ascii="Book Antiqua" w:hAnsi="Book Antiqua" w:cs="Book Antiqua"/>
          <w:color w:val="000000"/>
          <w:lang w:eastAsia="zh-CN"/>
        </w:rPr>
        <w:t xml:space="preserve">the </w:t>
      </w:r>
      <w:r>
        <w:rPr>
          <w:rFonts w:ascii="Book Antiqua" w:hAnsi="Book Antiqua" w:eastAsia="Book Antiqua" w:cs="Book Antiqua"/>
          <w:color w:val="000000"/>
        </w:rPr>
        <w:t>validation, visualization, formal analysis, writing – reviewing and editing; Santos de Santana GA</w:t>
      </w:r>
      <w:r>
        <w:rPr>
          <w:rFonts w:ascii="Book Antiqua" w:hAnsi="Book Antiqua" w:cs="Book Antiqua"/>
          <w:color w:val="000000"/>
          <w:lang w:eastAsia="zh-CN"/>
        </w:rPr>
        <w:t>,</w:t>
      </w:r>
      <w:r>
        <w:rPr>
          <w:rFonts w:ascii="Book Antiqua" w:hAnsi="Book Antiqua" w:eastAsia="Book Antiqua" w:cs="Book Antiqua"/>
          <w:color w:val="000000"/>
        </w:rPr>
        <w:t xml:space="preserve"> Rodrigues GS</w:t>
      </w:r>
      <w:r>
        <w:rPr>
          <w:rFonts w:ascii="Book Antiqua" w:hAnsi="Book Antiqua" w:cs="Book Antiqua"/>
          <w:color w:val="000000"/>
          <w:lang w:eastAsia="zh-CN"/>
        </w:rPr>
        <w:t>,</w:t>
      </w:r>
      <w:r>
        <w:rPr>
          <w:rFonts w:ascii="Book Antiqua" w:hAnsi="Book Antiqua" w:eastAsia="Book Antiqua" w:cs="Book Antiqua"/>
          <w:color w:val="000000"/>
        </w:rPr>
        <w:t xml:space="preserve"> Crivellaro HL</w:t>
      </w:r>
      <w:r>
        <w:rPr>
          <w:rFonts w:ascii="Book Antiqua" w:hAnsi="Book Antiqua" w:cs="Book Antiqua"/>
          <w:color w:val="000000"/>
          <w:lang w:eastAsia="zh-CN"/>
        </w:rPr>
        <w:t>,</w:t>
      </w:r>
      <w:r>
        <w:rPr>
          <w:rFonts w:ascii="Book Antiqua" w:hAnsi="Book Antiqua" w:eastAsia="Book Antiqua" w:cs="Book Antiqua"/>
          <w:color w:val="000000"/>
        </w:rPr>
        <w:t xml:space="preserve"> Calmon MS</w:t>
      </w:r>
      <w:r>
        <w:rPr>
          <w:rFonts w:ascii="Book Antiqua" w:hAnsi="Book Antiqua" w:cs="Book Antiqua"/>
          <w:color w:val="000000"/>
          <w:lang w:eastAsia="zh-CN"/>
        </w:rPr>
        <w:t>,</w:t>
      </w:r>
      <w:r>
        <w:rPr>
          <w:rFonts w:ascii="Book Antiqua" w:hAnsi="Book Antiqua" w:eastAsia="Book Antiqua" w:cs="Book Antiqua"/>
          <w:color w:val="000000"/>
        </w:rPr>
        <w:t xml:space="preserve"> dos Santos CFSM</w:t>
      </w:r>
      <w:r>
        <w:rPr>
          <w:rFonts w:ascii="Book Antiqua" w:hAnsi="Book Antiqua" w:cs="Book Antiqua"/>
          <w:color w:val="000000"/>
          <w:lang w:eastAsia="zh-CN"/>
        </w:rPr>
        <w:t>,</w:t>
      </w:r>
      <w:r>
        <w:rPr>
          <w:rFonts w:ascii="Book Antiqua" w:hAnsi="Book Antiqua" w:eastAsia="Book Antiqua" w:cs="Book Antiqua"/>
          <w:color w:val="000000"/>
        </w:rPr>
        <w:t xml:space="preserve"> Silva LGO</w:t>
      </w:r>
      <w:r>
        <w:rPr>
          <w:rFonts w:ascii="Book Antiqua" w:hAnsi="Book Antiqua" w:cs="Book Antiqua"/>
          <w:color w:val="000000"/>
          <w:lang w:eastAsia="zh-CN"/>
        </w:rPr>
        <w:t>,</w:t>
      </w:r>
      <w:r>
        <w:rPr>
          <w:rFonts w:ascii="Book Antiqua" w:hAnsi="Book Antiqua" w:eastAsia="Book Antiqua" w:cs="Book Antiqua"/>
          <w:color w:val="000000"/>
        </w:rPr>
        <w:t xml:space="preserve"> Ferreira QR</w:t>
      </w:r>
      <w:r>
        <w:rPr>
          <w:rFonts w:ascii="Book Antiqua" w:hAnsi="Book Antiqua" w:cs="Book Antiqua"/>
          <w:color w:val="000000"/>
          <w:lang w:eastAsia="zh-CN"/>
        </w:rPr>
        <w:t>,</w:t>
      </w:r>
      <w:r>
        <w:rPr>
          <w:rFonts w:ascii="Book Antiqua" w:hAnsi="Book Antiqua" w:eastAsia="Book Antiqua" w:cs="Book Antiqua"/>
          <w:color w:val="000000"/>
        </w:rPr>
        <w:t xml:space="preserve"> Mota GR</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 xml:space="preserve">and </w:t>
      </w:r>
      <w:r>
        <w:rPr>
          <w:rFonts w:ascii="Book Antiqua" w:hAnsi="Book Antiqua" w:eastAsia="Book Antiqua" w:cs="Book Antiqua"/>
          <w:color w:val="000000"/>
        </w:rPr>
        <w:t>Heim H</w:t>
      </w:r>
      <w:r>
        <w:rPr>
          <w:rFonts w:ascii="Book Antiqua" w:hAnsi="Book Antiqua" w:cs="Book Antiqua"/>
          <w:color w:val="000000"/>
          <w:lang w:eastAsia="zh-CN"/>
        </w:rPr>
        <w:t xml:space="preserve"> contributed to</w:t>
      </w:r>
      <w:r>
        <w:rPr>
          <w:rFonts w:ascii="Book Antiqua" w:hAnsi="Book Antiqua" w:eastAsia="Book Antiqua" w:cs="Book Antiqua"/>
          <w:color w:val="000000"/>
        </w:rPr>
        <w:t xml:space="preserve"> </w:t>
      </w:r>
      <w:r>
        <w:rPr>
          <w:rFonts w:ascii="Book Antiqua" w:hAnsi="Book Antiqua" w:cs="Book Antiqua"/>
          <w:color w:val="000000"/>
          <w:lang w:eastAsia="zh-CN"/>
        </w:rPr>
        <w:t xml:space="preserve">the </w:t>
      </w:r>
      <w:r>
        <w:rPr>
          <w:rFonts w:ascii="Book Antiqua" w:hAnsi="Book Antiqua" w:eastAsia="Book Antiqua" w:cs="Book Antiqua"/>
          <w:color w:val="000000"/>
        </w:rPr>
        <w:t>methodology, writing, visualization,</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investigation, and formal analysis; Silva FAF </w:t>
      </w:r>
      <w:r>
        <w:rPr>
          <w:rFonts w:ascii="Book Antiqua" w:hAnsi="Book Antiqua" w:cs="Book Antiqua"/>
          <w:color w:val="000000"/>
          <w:lang w:eastAsia="zh-CN"/>
        </w:rPr>
        <w:t>contributed to</w:t>
      </w:r>
      <w:r>
        <w:rPr>
          <w:rFonts w:ascii="Book Antiqua" w:hAnsi="Book Antiqua" w:eastAsia="Book Antiqua" w:cs="Book Antiqua"/>
          <w:color w:val="000000"/>
        </w:rPr>
        <w:t xml:space="preserve"> </w:t>
      </w:r>
      <w:r>
        <w:rPr>
          <w:rFonts w:ascii="Book Antiqua" w:hAnsi="Book Antiqua" w:cs="Book Antiqua"/>
          <w:color w:val="000000"/>
          <w:lang w:eastAsia="zh-CN"/>
        </w:rPr>
        <w:t xml:space="preserve">the </w:t>
      </w:r>
      <w:r>
        <w:rPr>
          <w:rFonts w:ascii="Book Antiqua" w:hAnsi="Book Antiqua" w:eastAsia="Book Antiqua" w:cs="Book Antiqua"/>
          <w:color w:val="000000"/>
        </w:rPr>
        <w:t>methodology, visualization, investigation, and formal analysis; de Brito BB</w:t>
      </w:r>
      <w:r>
        <w:rPr>
          <w:rFonts w:ascii="Book Antiqua" w:hAnsi="Book Antiqua" w:cs="Book Antiqua"/>
          <w:color w:val="000000"/>
          <w:lang w:eastAsia="zh-CN"/>
        </w:rPr>
        <w:t xml:space="preserve"> contributed to the</w:t>
      </w:r>
      <w:r>
        <w:rPr>
          <w:rFonts w:ascii="Book Antiqua" w:hAnsi="Book Antiqua" w:eastAsia="Book Antiqua" w:cs="Book Antiqua"/>
          <w:color w:val="000000"/>
        </w:rPr>
        <w:t xml:space="preserve"> methodology; de Melo FF</w:t>
      </w:r>
      <w:r>
        <w:rPr>
          <w:rFonts w:ascii="Book Antiqua" w:hAnsi="Book Antiqua" w:cs="Book Antiqua"/>
          <w:color w:val="000000"/>
          <w:lang w:eastAsia="zh-CN"/>
        </w:rPr>
        <w:t xml:space="preserve"> contributed to</w:t>
      </w:r>
      <w:r>
        <w:rPr>
          <w:rFonts w:ascii="Book Antiqua" w:hAnsi="Book Antiqua" w:eastAsia="Book Antiqua" w:cs="Book Antiqua"/>
          <w:color w:val="000000"/>
        </w:rPr>
        <w:t xml:space="preserve"> </w:t>
      </w:r>
      <w:r>
        <w:rPr>
          <w:rFonts w:ascii="Book Antiqua" w:hAnsi="Book Antiqua" w:cs="Book Antiqua"/>
          <w:color w:val="000000"/>
          <w:lang w:eastAsia="zh-CN"/>
        </w:rPr>
        <w:t xml:space="preserve">the </w:t>
      </w:r>
      <w:r>
        <w:rPr>
          <w:rFonts w:ascii="Book Antiqua" w:hAnsi="Book Antiqua" w:eastAsia="Book Antiqua" w:cs="Book Antiqua"/>
          <w:color w:val="000000"/>
        </w:rPr>
        <w:t>conceptualization, methodology, investigation, writing – original draft, and supervision.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Fabrício Freire de Melo, MSc, PhD, Postdoc, Professor, </w:t>
      </w:r>
      <w:r>
        <w:rPr>
          <w:rFonts w:ascii="Book Antiqua" w:hAnsi="Book Antiqua" w:eastAsia="Book Antiqua" w:cs="Book Antiqua"/>
          <w:color w:val="000000"/>
        </w:rPr>
        <w:t>Instituto Multidisciplinar em Saúde, Universidade Federal da Bahia, Rua Hormindo Barros, 58, Quadra 17, Lote 58 - Candeias, Vitória da Conquista - BA, 45029-094, Vitória da Conquista 45029-094, Bahia, Brazil. freiremelo@yahoo.com.br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26,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July 31, 2021</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April 21,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宋体" w:cs="Book Antiqua"/>
          <w:b w:val="0"/>
          <w:bCs w:val="0"/>
          <w:color w:val="000000"/>
          <w:lang w:val="en-US" w:eastAsia="zh-CN"/>
        </w:rPr>
        <w:t>May 20, 2022</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bookmarkStart w:id="4" w:name="OLE_LINK229"/>
      <w:bookmarkStart w:id="5" w:name="OLE_LINK228"/>
      <w:r>
        <w:rPr>
          <w:rFonts w:ascii="Book Antiqua" w:hAnsi="Book Antiqua" w:eastAsia="Book Antiqua" w:cs="Book Antiqua"/>
          <w:color w:val="000000"/>
        </w:rPr>
        <w:t>Coronavirus disease-19 (COVID-19)</w:t>
      </w:r>
      <w:bookmarkEnd w:id="4"/>
      <w:bookmarkEnd w:id="5"/>
      <w:r>
        <w:rPr>
          <w:rFonts w:ascii="Book Antiqua" w:hAnsi="Book Antiqua" w:eastAsia="Book Antiqua" w:cs="Book Antiqua"/>
          <w:color w:val="000000"/>
        </w:rPr>
        <w:t xml:space="preserve"> has become a pandemic, being a global health concern since December 2019 when the first cases were reported. Severe acute respiratory syndrome coronavirus 2, the COVID-19 causal agent, is a β-coronavirus that has on its surface the spike protein, which helps in its virulence and pathogenicity towards the host. Thus, effective and applicable diagnostic methods to this disease come as an important tool for the management of the patients. The use of the molecular technique PCR, which allows the detection of the viral RNA through nasopharyngeal swabs, is considered the gold standard test for the diagnosis of COVID-19. Moreover, serological methods, such as enzyme-linked immunosorbent assays and rapid tests, are able to detect severe acute respiratory syndrome coronavirus 2-specific immunoglobulin A, immunoglobulin M, and immunoglobulin G in positive patients, being important alternative techniques for the diagnostic establishment and epidemiological surveillance. On the other hand, reverse transcription loop-mediated isothermal amplification also proved to be a useful diagnostic method for the infection, mainly because it does not require a sophisticated laboratory apparatus and has similar specificity and sensitivity to PCR. Complementarily, imaging exams provide findings of typical pneumonia, such as the ground-glass opacity</w:t>
      </w:r>
      <w:r>
        <w:rPr>
          <w:rFonts w:ascii="Book Antiqua" w:hAnsi="Book Antiqua" w:cs="Book Antiqua"/>
          <w:color w:val="000000"/>
          <w:lang w:eastAsia="zh-CN"/>
        </w:rPr>
        <w:t xml:space="preserve"> </w:t>
      </w:r>
      <w:r>
        <w:rPr>
          <w:rFonts w:ascii="Book Antiqua" w:hAnsi="Book Antiqua" w:eastAsia="Book Antiqua" w:cs="Book Antiqua"/>
          <w:color w:val="000000"/>
        </w:rPr>
        <w:t>radiological pattern on chest computed tomography scanning, which along with laboratory tests assist in the diagnosis of COVID-19.</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Pandemic; Diagnosis; Polymerase chain reaction; Molecular biology; Serology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lang w:eastAsia="zh-CN"/>
        </w:rPr>
      </w:pP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bookmarkStart w:id="15" w:name="_GoBack"/>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Luz MS, da Silva Júnior RT, Santos de Santana GA, Rodrigues GS, Crivellaro HL, Calmon MS, dos Santos CFSM, Silva LGO, Ferreira QR, Mota GR, Heim H, Silva FAFD, de Brito BB, de Melo FF. Molecular and serology methods in the diagnosis of COVID-19: An overview.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83-91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83</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83</w:t>
      </w:r>
    </w:p>
    <w:bookmarkEnd w:id="1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Severe acute respiratory syndrome coronavirus 2 is primarily detected by PCR, which is the gold standard diagnostic method to detect viral RNA. On the other hand, techniques such as serology with detection of immunoglobulin M and immunoglobulin G antibodies, imaging, and laboratory tests also assist in the diagnosis of severe acute respiratory syndrome coronavirus 2 infection. Moreover, the reverse transcription loop-mediated isothermal amplification has similar specificity and sensitivity to PCR. In this review, we discuss the main diagnostic methods and their uses in the current pandemic.</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December 2019, severe acute respiratory syndrome coronavirus 2 (SARS-CoV-2) was identified as responsible for severe cases of pneumonia in Wuhan, China, which culminated in the description of a new disease: coronavirus disease-19 (COVID-19)</w:t>
      </w:r>
      <w:r>
        <w:rPr>
          <w:rFonts w:ascii="Book Antiqua" w:hAnsi="Book Antiqua" w:eastAsia="Book Antiqua" w:cs="Book Antiqua"/>
          <w:color w:val="000000"/>
          <w:vertAlign w:val="superscript"/>
        </w:rPr>
        <w:t>[1]</w:t>
      </w:r>
      <w:r>
        <w:rPr>
          <w:rFonts w:ascii="Book Antiqua" w:hAnsi="Book Antiqua" w:eastAsia="Book Antiqua" w:cs="Book Antiqua"/>
          <w:color w:val="000000"/>
        </w:rPr>
        <w:t>. As a result of the large number of affected countries and high potential of viral infection, the World Health Organization</w:t>
      </w:r>
      <w:r>
        <w:rPr>
          <w:rFonts w:ascii="Book Antiqua" w:hAnsi="Book Antiqua" w:cs="Book Antiqua"/>
          <w:color w:val="000000"/>
          <w:lang w:eastAsia="zh-CN"/>
        </w:rPr>
        <w:t xml:space="preserve"> </w:t>
      </w:r>
      <w:r>
        <w:rPr>
          <w:rFonts w:ascii="Book Antiqua" w:hAnsi="Book Antiqua" w:eastAsia="Book Antiqua" w:cs="Book Antiqua"/>
          <w:color w:val="000000"/>
        </w:rPr>
        <w:t>declared COVID-19 as a pandemic in March 2020. Up to December 2020, 66243918 cases and 1528984 global deaths were officially confirmed</w:t>
      </w:r>
      <w:r>
        <w:rPr>
          <w:rFonts w:ascii="Book Antiqua" w:hAnsi="Book Antiqua" w:eastAsia="Book Antiqua" w:cs="Book Antiqua"/>
          <w:color w:val="000000"/>
          <w:vertAlign w:val="superscript"/>
        </w:rPr>
        <w:t>[2]</w:t>
      </w:r>
      <w:r>
        <w:rPr>
          <w:rFonts w:ascii="Book Antiqua" w:hAnsi="Book Antiqua" w:eastAsia="Book Antiqua" w:cs="Book Antiqua"/>
          <w:color w:val="000000"/>
        </w:rPr>
        <w:t>. SARS-CoV-2 is a single-stranded RNA, enveloped virus, which has the ability to attach to the angiotensin-converting enzyme 2</w:t>
      </w:r>
      <w:r>
        <w:rPr>
          <w:rFonts w:ascii="Book Antiqua" w:hAnsi="Book Antiqua" w:cs="Book Antiqua"/>
          <w:color w:val="000000"/>
          <w:lang w:eastAsia="zh-CN"/>
        </w:rPr>
        <w:t xml:space="preserve"> </w:t>
      </w:r>
      <w:r>
        <w:rPr>
          <w:rFonts w:ascii="Book Antiqua" w:hAnsi="Book Antiqua" w:eastAsia="Book Antiqua" w:cs="Book Antiqua"/>
          <w:color w:val="000000"/>
        </w:rPr>
        <w:t>cell receptor due to the expression of the spike (S) protein on the viral envelope and then enter the host tissues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The </w:t>
      </w:r>
      <w:r>
        <w:rPr>
          <w:rFonts w:ascii="Book Antiqua" w:hAnsi="Book Antiqua" w:eastAsia="Book Antiqua" w:cs="Book Antiqua"/>
          <w:i/>
          <w:iCs/>
          <w:color w:val="000000"/>
        </w:rPr>
        <w:t xml:space="preserve">Coronaviridae </w:t>
      </w:r>
      <w:r>
        <w:rPr>
          <w:rFonts w:ascii="Book Antiqua" w:hAnsi="Book Antiqua" w:eastAsia="Book Antiqua" w:cs="Book Antiqua"/>
          <w:color w:val="000000"/>
        </w:rPr>
        <w:t>family is made up of viruses historically known to cause diseases in animals and humans.</w:t>
      </w:r>
      <w:r>
        <w:rPr>
          <w:rFonts w:ascii="Book Antiqua" w:hAnsi="Book Antiqua" w:eastAsia="Book Antiqua" w:cs="Book Antiqua"/>
          <w:i/>
          <w:iCs/>
          <w:color w:val="000000"/>
        </w:rPr>
        <w:t xml:space="preserve"> </w:t>
      </w:r>
      <w:r>
        <w:rPr>
          <w:rFonts w:ascii="Book Antiqua" w:hAnsi="Book Antiqua" w:eastAsia="Book Antiqua" w:cs="Book Antiqua"/>
          <w:color w:val="000000"/>
        </w:rPr>
        <w:t>The SARS and Middle East Respiratory Syndrome outbreak in 2002 and 2012, respectively, granted them wider visibility in the scientific community</w:t>
      </w:r>
      <w:r>
        <w:rPr>
          <w:rFonts w:ascii="Book Antiqua" w:hAnsi="Book Antiqua" w:eastAsia="Book Antiqua" w:cs="Book Antiqua"/>
          <w:color w:val="000000"/>
          <w:vertAlign w:val="superscript"/>
        </w:rPr>
        <w:t>[4]</w:t>
      </w:r>
      <w:r>
        <w:rPr>
          <w:rFonts w:ascii="Book Antiqua" w:hAnsi="Book Antiqua" w:eastAsia="Book Antiqua" w:cs="Book Antiqua"/>
          <w:color w:val="000000"/>
        </w:rPr>
        <w:t>. Furthermore, the dissemination potential of SARS-COV-2 is far higher than the others, due to structural differences in the S protein</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The most common signs and symptoms of COVID-19 include fever, dry cough, shortness of breath, myalgia, ageusia, anosmia, headache, rhinorrhea, nausea, vomiting, and diarrhea</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 and most patients showing severe symptoms are often affected by chronic disease. In addition, disturbed immune status, increased age, and obesity are strongly correlated to higher mortality rates</w:t>
      </w:r>
      <w:r>
        <w:rPr>
          <w:rFonts w:ascii="Book Antiqua" w:hAnsi="Book Antiqua" w:eastAsia="Book Antiqua" w:cs="Book Antiqua"/>
          <w:color w:val="000000"/>
          <w:shd w:val="clear" w:color="auto" w:fill="FFFFFF"/>
          <w:vertAlign w:val="superscript"/>
        </w:rPr>
        <w:t>[7]</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Reverse transcription (RT)-PCR is considered the gold standard test for the diagnosis of COVID-19, due to its highly widespread and reliable technique performed in laboratories worldwide</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In addition, immunoenzymatic and </w:t>
      </w:r>
      <w:r>
        <w:rPr>
          <w:rFonts w:ascii="Book Antiqua" w:hAnsi="Book Antiqua" w:eastAsia="Book Antiqua" w:cs="Book Antiqua"/>
          <w:color w:val="000000"/>
          <w:shd w:val="clear" w:color="auto" w:fill="FFFFFF"/>
        </w:rPr>
        <w:t xml:space="preserve">immunochromatographic assays </w:t>
      </w:r>
      <w:r>
        <w:rPr>
          <w:rFonts w:ascii="Book Antiqua" w:hAnsi="Book Antiqua" w:eastAsia="Book Antiqua" w:cs="Book Antiqua"/>
          <w:color w:val="000000"/>
        </w:rPr>
        <w:t>as well as reverse transcription loop-mediated isothermal amplification (RT-LAMP) are other diagnostic methods that have been applied in this field. Of note, clinical and epidemiological analysis, chest radiography and tomography, and laboratorial findings are crucial tools for an accurate diagnosis and appropriate evaluation of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This article aimed to review the main aspects of COVID-19 diagnostic methods, providing updated information with an emphasis on molecular biology techniques and serology tests used in the detection of SARS-CoV-2 infection.</w:t>
      </w:r>
    </w:p>
    <w:p>
      <w:pPr>
        <w:spacing w:line="360" w:lineRule="auto"/>
        <w:ind w:firstLine="708"/>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RT-PCR</w:t>
      </w:r>
    </w:p>
    <w:p>
      <w:pPr>
        <w:spacing w:line="360" w:lineRule="auto"/>
        <w:jc w:val="both"/>
        <w:rPr>
          <w:rFonts w:ascii="Book Antiqua" w:hAnsi="Book Antiqua"/>
        </w:rPr>
      </w:pPr>
      <w:r>
        <w:rPr>
          <w:rFonts w:ascii="Book Antiqua" w:hAnsi="Book Antiqua" w:eastAsia="Book Antiqua" w:cs="Book Antiqua"/>
          <w:color w:val="000000"/>
        </w:rPr>
        <w:t>RT-PCR is considered as the gold standard method in COVID-19 diagnosis, due to rapid detection with an average of 3-4 h and high sensibility and specificity</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sample is usually taken through nasopharyngeal swab</w:t>
      </w:r>
      <w:r>
        <w:rPr>
          <w:rFonts w:ascii="Book Antiqua" w:hAnsi="Book Antiqua" w:eastAsia="Book Antiqua" w:cs="Book Antiqua"/>
          <w:color w:val="000000"/>
          <w:vertAlign w:val="superscript"/>
        </w:rPr>
        <w:t>[11]</w:t>
      </w:r>
      <w:r>
        <w:rPr>
          <w:rFonts w:ascii="Book Antiqua" w:hAnsi="Book Antiqua" w:eastAsia="Book Antiqua" w:cs="Book Antiqua"/>
          <w:color w:val="000000"/>
        </w:rPr>
        <w:t>. However, a systematic review and meta-analysis with 7 studies showed that bronchoalveolar lavage fluid had a higher positivity rate in the detection of SARS-CoV-2</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709"/>
        <w:jc w:val="both"/>
        <w:rPr>
          <w:rFonts w:ascii="Book Antiqua" w:hAnsi="Book Antiqua"/>
        </w:rPr>
      </w:pPr>
      <w:r>
        <w:rPr>
          <w:rFonts w:ascii="Book Antiqua" w:hAnsi="Book Antiqua" w:eastAsia="Book Antiqua" w:cs="Book Antiqua"/>
          <w:color w:val="000000"/>
        </w:rPr>
        <w:t>The test analysis usually starts from a sample collected from nasal and oropharyngeal swabs</w:t>
      </w:r>
      <w:r>
        <w:rPr>
          <w:rFonts w:ascii="Book Antiqua" w:hAnsi="Book Antiqua" w:eastAsia="Book Antiqua" w:cs="Book Antiqua"/>
          <w:color w:val="000000"/>
          <w:vertAlign w:val="superscript"/>
        </w:rPr>
        <w:t>[13]</w:t>
      </w:r>
      <w:r>
        <w:rPr>
          <w:rFonts w:ascii="Book Antiqua" w:hAnsi="Book Antiqua" w:eastAsia="Book Antiqua" w:cs="Book Antiqua"/>
          <w:color w:val="000000"/>
        </w:rPr>
        <w:t>. It is then divided in several steps that occur in different preset temperatures in order to provide RT and nucleic acid amplification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result is thus analyzed through probes marked with fluorescent dyes that enhance the sensitivity of the test</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analysis of fecal samples, especially in children</w:t>
      </w:r>
      <w:r>
        <w:rPr>
          <w:rFonts w:ascii="Book Antiqua" w:hAnsi="Book Antiqua" w:eastAsia="Book Antiqua" w:cs="Book Antiqua"/>
          <w:color w:val="000000"/>
          <w:vertAlign w:val="superscript"/>
        </w:rPr>
        <w:t>[16]</w:t>
      </w:r>
      <w:r>
        <w:rPr>
          <w:rFonts w:ascii="Book Antiqua" w:hAnsi="Book Antiqua" w:eastAsia="Book Antiqua" w:cs="Book Antiqua"/>
          <w:color w:val="000000"/>
        </w:rPr>
        <w:t>, may be used as well, as the virus can remain viable for approximately 5 wk after patient respiratory samples are negative for SARS-CoV-2 RNA</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709"/>
        <w:jc w:val="both"/>
        <w:rPr>
          <w:rFonts w:ascii="Book Antiqua" w:hAnsi="Book Antiqua"/>
        </w:rPr>
      </w:pPr>
      <w:r>
        <w:rPr>
          <w:rFonts w:ascii="Book Antiqua" w:hAnsi="Book Antiqua" w:eastAsia="Book Antiqua" w:cs="Book Antiqua"/>
          <w:color w:val="000000"/>
        </w:rPr>
        <w:t>RT-PCR is considered the actual main method as a result of its fastness, reproducibility, and mitigation of false-positive results</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test shows good sensitivity and specificity, such as 94% and 100%, respectively (Table 1)</w:t>
      </w:r>
      <w:r>
        <w:rPr>
          <w:rFonts w:ascii="Book Antiqua" w:hAnsi="Book Antiqua" w:eastAsia="Book Antiqua" w:cs="Book Antiqua"/>
          <w:color w:val="000000"/>
          <w:vertAlign w:val="superscript"/>
        </w:rPr>
        <w:t>[19</w:t>
      </w:r>
      <w:r>
        <w:rPr>
          <w:rFonts w:ascii="Book Antiqua" w:hAnsi="Book Antiqua" w:cs="Book Antiqua"/>
          <w:color w:val="000000"/>
          <w:vertAlign w:val="superscript"/>
          <w:lang w:eastAsia="zh-CN"/>
        </w:rPr>
        <w:t>-28</w:t>
      </w:r>
      <w:r>
        <w:rPr>
          <w:rFonts w:ascii="Book Antiqua" w:hAnsi="Book Antiqua" w:eastAsia="Book Antiqua" w:cs="Book Antiqua"/>
          <w:color w:val="000000"/>
          <w:vertAlign w:val="superscript"/>
        </w:rPr>
        <w:t>]</w:t>
      </w:r>
      <w:r>
        <w:rPr>
          <w:rFonts w:ascii="Book Antiqua" w:hAnsi="Book Antiqua" w:eastAsia="Book Antiqua" w:cs="Book Antiqua"/>
          <w:color w:val="000000"/>
        </w:rPr>
        <w:t>. Studies have also pointed to a level of detection that can vary from 3.8 to 23.0 copies/mL of viral RNA and showed no cross-reactivity with circulating respiratory viruses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709"/>
        <w:jc w:val="both"/>
        <w:rPr>
          <w:rFonts w:ascii="Book Antiqua" w:hAnsi="Book Antiqua"/>
        </w:rPr>
      </w:pPr>
      <w:r>
        <w:rPr>
          <w:rFonts w:ascii="Book Antiqua" w:hAnsi="Book Antiqua" w:eastAsia="Book Antiqua" w:cs="Book Antiqua"/>
          <w:color w:val="000000"/>
        </w:rPr>
        <w:t>However, in a study with 610 patients from Wuhan, China, 18 patients had a positive RT-PCR result after two consecutive negative results, which might be owing to insufficient viral material, test handling error, or incorrect collection processing</w:t>
      </w:r>
      <w:r>
        <w:rPr>
          <w:rFonts w:ascii="Book Antiqua" w:hAnsi="Book Antiqua" w:eastAsia="Book Antiqua" w:cs="Book Antiqua"/>
          <w:color w:val="000000"/>
          <w:vertAlign w:val="superscript"/>
        </w:rPr>
        <w:t>[21]</w:t>
      </w:r>
      <w:r>
        <w:rPr>
          <w:rFonts w:ascii="Book Antiqua" w:hAnsi="Book Antiqua" w:eastAsia="Book Antiqua" w:cs="Book Antiqua"/>
          <w:color w:val="000000"/>
        </w:rPr>
        <w:t>. This is an alert to the need for a pattern in sampling procedures and alignment between the test and the patient’s clinical manifestation in order to achieve a higher diagnostic accuracy</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RT-LAMP</w:t>
      </w:r>
    </w:p>
    <w:p>
      <w:pPr>
        <w:spacing w:line="360" w:lineRule="auto"/>
        <w:jc w:val="both"/>
        <w:rPr>
          <w:rFonts w:ascii="Book Antiqua" w:hAnsi="Book Antiqua"/>
        </w:rPr>
      </w:pPr>
      <w:r>
        <w:rPr>
          <w:rFonts w:ascii="Book Antiqua" w:hAnsi="Book Antiqua" w:eastAsia="Book Antiqua" w:cs="Book Antiqua"/>
          <w:color w:val="000000"/>
        </w:rPr>
        <w:t>LAMP is a DNA amplification technique under isothermal conditions in a sample with 4 or 6 primers, which in contrast to RT-qPCR does not require a sophisticated laboratory apparatus, although it has similar specificity and sensitivity rates</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visualization through pH-sensitive dyes, without the need of expensive instrumentation is also an advantage of this test</w:t>
      </w:r>
      <w:r>
        <w:rPr>
          <w:rFonts w:ascii="Book Antiqua" w:hAnsi="Book Antiqua" w:eastAsia="Book Antiqua" w:cs="Book Antiqua"/>
          <w:color w:val="000000"/>
          <w:vertAlign w:val="superscript"/>
        </w:rPr>
        <w:t>[30]</w:t>
      </w:r>
      <w:r>
        <w:rPr>
          <w:rFonts w:ascii="Book Antiqua" w:hAnsi="Book Antiqua" w:eastAsia="Book Antiqua" w:cs="Book Antiqua"/>
          <w:color w:val="000000"/>
        </w:rPr>
        <w:t>. As SARS-CoV-2 is an RNA virus, the test is therefore called RT-LAMP, due to the need for RTase to amplify RNA sequences</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 RT-LAMP is a fast test, providing results within 30 min</w:t>
      </w:r>
      <w:r>
        <w:rPr>
          <w:rFonts w:ascii="Book Antiqua" w:hAnsi="Book Antiqua" w:eastAsia="Book Antiqua" w:cs="Book Antiqua"/>
          <w:color w:val="000000"/>
          <w:vertAlign w:val="superscript"/>
        </w:rPr>
        <w:t>[31]</w:t>
      </w:r>
      <w:r>
        <w:rPr>
          <w:rFonts w:ascii="Book Antiqua" w:hAnsi="Book Antiqua" w:eastAsia="Book Antiqua" w:cs="Book Antiqua"/>
          <w:color w:val="000000"/>
        </w:rPr>
        <w:t>; moreover, unpurified samples can be directly used</w:t>
      </w:r>
      <w:r>
        <w:rPr>
          <w:rFonts w:ascii="Book Antiqua" w:hAnsi="Book Antiqua" w:eastAsia="Book Antiqua" w:cs="Book Antiqua"/>
          <w:color w:val="000000"/>
          <w:vertAlign w:val="superscript"/>
        </w:rPr>
        <w:t>[32]</w:t>
      </w:r>
      <w:r>
        <w:rPr>
          <w:rFonts w:ascii="Book Antiqua" w:hAnsi="Book Antiqua" w:eastAsia="Book Antiqua" w:cs="Book Antiqua"/>
          <w:color w:val="000000"/>
        </w:rPr>
        <w:t>. Studies also show that when the template has more than 200 copies of viral RNA, amplification curves appear within 15 min</w:t>
      </w:r>
      <w:r>
        <w:rPr>
          <w:rFonts w:ascii="Book Antiqua" w:hAnsi="Book Antiqua" w:eastAsia="Book Antiqua" w:cs="Book Antiqua"/>
          <w:color w:val="000000"/>
          <w:vertAlign w:val="superscript"/>
        </w:rPr>
        <w:t>[33]</w:t>
      </w:r>
      <w:r>
        <w:rPr>
          <w:rFonts w:ascii="Book Antiqua" w:hAnsi="Book Antiqua" w:eastAsia="Book Antiqua" w:cs="Book Antiqua"/>
          <w:color w:val="000000"/>
        </w:rPr>
        <w:t>, which means an even quicker diagnosis. In addition, studies describe a level of detection of 2 copies of viral RNA in a 25 μ</w:t>
      </w:r>
      <w:r>
        <w:rPr>
          <w:rFonts w:ascii="Book Antiqua" w:hAnsi="Book Antiqua" w:eastAsia="Book Antiqua" w:cs="Book Antiqua"/>
          <w:caps/>
          <w:color w:val="000000"/>
        </w:rPr>
        <w:t>l</w:t>
      </w:r>
      <w:r>
        <w:rPr>
          <w:rFonts w:ascii="Book Antiqua" w:hAnsi="Book Antiqua" w:eastAsia="Book Antiqua" w:cs="Book Antiqua"/>
          <w:color w:val="000000"/>
        </w:rPr>
        <w:t xml:space="preserve"> reaction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sensitivity rates that varies from 80%</w:t>
      </w:r>
      <w:r>
        <w:rPr>
          <w:rFonts w:ascii="Book Antiqua" w:hAnsi="Book Antiqua" w:eastAsia="Book Antiqua" w:cs="Book Antiqua"/>
          <w:color w:val="000000"/>
          <w:vertAlign w:val="superscript"/>
        </w:rPr>
        <w:t xml:space="preserve">[26] </w:t>
      </w:r>
      <w:r>
        <w:rPr>
          <w:rFonts w:ascii="Book Antiqua" w:hAnsi="Book Antiqua" w:eastAsia="Book Antiqua" w:cs="Book Antiqua"/>
          <w:color w:val="000000"/>
        </w:rPr>
        <w:t>to 97.5%</w:t>
      </w:r>
      <w:r>
        <w:rPr>
          <w:rFonts w:ascii="Book Antiqua" w:hAnsi="Book Antiqua" w:eastAsia="Book Antiqua" w:cs="Book Antiqua"/>
          <w:color w:val="000000"/>
          <w:vertAlign w:val="superscript"/>
        </w:rPr>
        <w:t>[27]</w:t>
      </w:r>
      <w:r>
        <w:rPr>
          <w:rFonts w:ascii="Book Antiqua" w:hAnsi="Book Antiqua" w:eastAsia="Book Antiqua" w:cs="Book Antiqua"/>
          <w:color w:val="000000"/>
        </w:rPr>
        <w:t>, concomitantly with no cross-reactivity with other respiratory pathogens (high specificity)</w:t>
      </w:r>
      <w:r>
        <w:rPr>
          <w:rFonts w:ascii="Book Antiqua" w:hAnsi="Book Antiqua" w:eastAsia="Book Antiqua" w:cs="Book Antiqua"/>
          <w:color w:val="000000"/>
          <w:vertAlign w:val="superscript"/>
        </w:rPr>
        <w:t>[33,35]</w:t>
      </w:r>
      <w:r>
        <w:rPr>
          <w:rFonts w:ascii="Book Antiqua" w:hAnsi="Book Antiqua" w:eastAsia="Book Antiqua" w:cs="Book Antiqua"/>
          <w:color w:val="000000"/>
        </w:rPr>
        <w:t xml:space="preserve"> and lower cost, all of which endorses that the diagnosis of COVID-19 through LAMP needs to be considered</w:t>
      </w:r>
      <w:r>
        <w:rPr>
          <w:rFonts w:ascii="Book Antiqua" w:hAnsi="Book Antiqua" w:eastAsia="Book Antiqua" w:cs="Book Antiqua"/>
          <w:color w:val="000000"/>
          <w:vertAlign w:val="superscript"/>
        </w:rPr>
        <w:t>[36,37]</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However, a meta-analysis including 138 articles showed that RT-LAMP sensitivity (86.3%) is lower than that of RT-PCR (96.2%)</w:t>
      </w:r>
      <w:r>
        <w:rPr>
          <w:rFonts w:ascii="Book Antiqua" w:hAnsi="Book Antiqua" w:eastAsia="Book Antiqua" w:cs="Book Antiqua"/>
          <w:color w:val="000000"/>
          <w:vertAlign w:val="superscript"/>
        </w:rPr>
        <w:t>[38]</w:t>
      </w:r>
      <w:r>
        <w:rPr>
          <w:rFonts w:ascii="Book Antiqua" w:hAnsi="Book Antiqua" w:eastAsia="Book Antiqua" w:cs="Book Antiqua"/>
          <w:color w:val="000000"/>
        </w:rPr>
        <w:t>. Furthermore, carry-over contamination, which can lead to false positive results, are common in LAMP reactions, probably as a consequence of aerosol formed from the products of the test</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This phenomenon highlights the need of laboratories with good practice of molecular biology and separate spaces to deal with the components of the test as well as more studies about the efficacy of all types of genes and primers used in this test.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SEROLOGICAL TESTS</w:t>
      </w:r>
    </w:p>
    <w:p>
      <w:pPr>
        <w:spacing w:line="360" w:lineRule="auto"/>
        <w:jc w:val="both"/>
        <w:rPr>
          <w:rFonts w:ascii="Book Antiqua" w:hAnsi="Book Antiqua"/>
        </w:rPr>
      </w:pPr>
      <w:r>
        <w:rPr>
          <w:rFonts w:ascii="Book Antiqua" w:hAnsi="Book Antiqua" w:eastAsia="Book Antiqua" w:cs="Book Antiqua"/>
          <w:color w:val="000000"/>
        </w:rPr>
        <w:t>Serological tests have become even more available during the COVID-19 pandemic. Consequently, research on their role as auxiliary diagnostic methods for SARS-CoV-2 infection has experienced exponential growth</w:t>
      </w:r>
      <w:r>
        <w:rPr>
          <w:rFonts w:ascii="Book Antiqua" w:hAnsi="Book Antiqua" w:eastAsia="Book Antiqua" w:cs="Book Antiqua"/>
          <w:color w:val="000000"/>
          <w:vertAlign w:val="superscript"/>
        </w:rPr>
        <w:t>[39]</w:t>
      </w:r>
      <w:r>
        <w:rPr>
          <w:rFonts w:ascii="Book Antiqua" w:hAnsi="Book Antiqua" w:eastAsia="Book Antiqua" w:cs="Book Antiqua"/>
          <w:color w:val="000000"/>
        </w:rPr>
        <w:t>. Thereby, these tests may support the COVID-19 diagnosis, especially when there is a longer period of symptoms with negative RT-PCR assays in a patient with a suspected infection by SARS-CoV-2</w:t>
      </w:r>
      <w:r>
        <w:rPr>
          <w:rFonts w:ascii="Book Antiqua" w:hAnsi="Book Antiqua" w:eastAsia="Book Antiqua" w:cs="Book Antiqua"/>
          <w:color w:val="000000"/>
          <w:vertAlign w:val="superscript"/>
        </w:rPr>
        <w:t>[40]</w:t>
      </w:r>
      <w:r>
        <w:rPr>
          <w:rFonts w:ascii="Book Antiqua" w:hAnsi="Book Antiqua" w:eastAsia="Book Antiqua" w:cs="Book Antiqua"/>
          <w:color w:val="000000"/>
        </w:rPr>
        <w:t>. Moreover, its use allied to RT-PCR greatly increases the diagnostic sensitivity</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Among the serological tests commonly used for diagnosis of COVID-19, the ELISA, the chemiluminescence immunoassay (CLIA), and the lateral flow immunochromatographic assay (LFA) stand out. The ease, agility, and point-of-care testing are great advantages associated with the use of these tests</w:t>
      </w:r>
      <w:r>
        <w:rPr>
          <w:rFonts w:ascii="Book Antiqua" w:hAnsi="Book Antiqua" w:eastAsia="Book Antiqua" w:cs="Book Antiqua"/>
          <w:color w:val="000000"/>
          <w:vertAlign w:val="superscript"/>
        </w:rPr>
        <w:t>[42]</w:t>
      </w:r>
      <w:r>
        <w:rPr>
          <w:rFonts w:ascii="Book Antiqua" w:hAnsi="Book Antiqua" w:eastAsia="Book Antiqua" w:cs="Book Antiqua"/>
          <w:color w:val="000000"/>
        </w:rPr>
        <w:t>. However, they may often show low sensitivity, require specialized equipment</w:t>
      </w:r>
      <w:r>
        <w:rPr>
          <w:rFonts w:ascii="Book Antiqua" w:hAnsi="Book Antiqua" w:eastAsia="Book Antiqua" w:cs="Book Antiqua"/>
          <w:color w:val="000000"/>
          <w:vertAlign w:val="superscript"/>
        </w:rPr>
        <w:t>[39,42]</w:t>
      </w:r>
      <w:r>
        <w:rPr>
          <w:rFonts w:ascii="Book Antiqua" w:hAnsi="Book Antiqua" w:eastAsia="Book Antiqua" w:cs="Book Antiqua"/>
          <w:color w:val="000000"/>
        </w:rPr>
        <w:t>, or have cross-reactivity with other pathogens, such as SARS-CoV-1</w:t>
      </w:r>
      <w:r>
        <w:rPr>
          <w:rFonts w:ascii="Book Antiqua" w:hAnsi="Book Antiqua" w:eastAsia="Book Antiqua" w:cs="Book Antiqua"/>
          <w:color w:val="000000"/>
          <w:vertAlign w:val="superscript"/>
        </w:rPr>
        <w:t>[43]</w:t>
      </w:r>
      <w:r>
        <w:rPr>
          <w:rFonts w:ascii="Book Antiqua" w:hAnsi="Book Antiqua" w:eastAsia="Book Antiqua" w:cs="Book Antiqua"/>
          <w:color w:val="000000"/>
        </w:rPr>
        <w:t>. A study also showed a cross-reactivity of 26% in serological tests for COVID-19 during acute Zika virus infection</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 sensitivity of the test is strictly related to the elapsed time from the beginning of symptoms, being more useful 15 d after the onset of clinical manifestations, especially regarding the detection of isolated immunoglobulin (Ig) G</w:t>
      </w:r>
      <w:r>
        <w:rPr>
          <w:rFonts w:ascii="Book Antiqua" w:hAnsi="Book Antiqua" w:eastAsia="Book Antiqua" w:cs="Book Antiqua"/>
          <w:color w:val="000000"/>
          <w:vertAlign w:val="superscript"/>
        </w:rPr>
        <w:t>[45]</w:t>
      </w:r>
      <w:r>
        <w:rPr>
          <w:rFonts w:ascii="Book Antiqua" w:hAnsi="Book Antiqua" w:eastAsia="Book Antiqua" w:cs="Book Antiqua"/>
          <w:color w:val="000000"/>
        </w:rPr>
        <w:t>. In that context, a meta-analysis including 40 studies evaluated the presence of anti-SARS-CoV-2 IgG during the first symptomatic week, and the rates of false-negative diagnoses ranged from 44</w:t>
      </w:r>
      <w:r>
        <w:rPr>
          <w:rFonts w:ascii="Book Antiqua" w:hAnsi="Book Antiqua" w:cs="Book Antiqua"/>
          <w:color w:val="000000"/>
          <w:lang w:eastAsia="zh-CN"/>
        </w:rPr>
        <w:t>%</w:t>
      </w:r>
      <w:r>
        <w:rPr>
          <w:rFonts w:ascii="Book Antiqua" w:hAnsi="Book Antiqua" w:eastAsia="Book Antiqua" w:cs="Book Antiqua"/>
          <w:color w:val="000000"/>
        </w:rPr>
        <w:t xml:space="preserve"> to 87%</w:t>
      </w:r>
      <w:r>
        <w:rPr>
          <w:rFonts w:ascii="Book Antiqua" w:hAnsi="Book Antiqua" w:eastAsia="Book Antiqua" w:cs="Book Antiqua"/>
          <w:color w:val="000000"/>
          <w:vertAlign w:val="superscript"/>
        </w:rPr>
        <w:t>[46]</w:t>
      </w:r>
      <w:r>
        <w:rPr>
          <w:rFonts w:ascii="Book Antiqua" w:hAnsi="Book Antiqua" w:eastAsia="Book Antiqua" w:cs="Book Antiqua"/>
          <w:color w:val="000000"/>
        </w:rPr>
        <w:t>. Therefore, simultaneous analysis of IgM and IgG antibodies, as they have different emergence times, may increase the serological test sensitivity</w:t>
      </w:r>
      <w:r>
        <w:rPr>
          <w:rFonts w:ascii="Book Antiqua" w:hAnsi="Book Antiqua" w:eastAsia="Book Antiqua" w:cs="Book Antiqua"/>
          <w:color w:val="000000"/>
          <w:vertAlign w:val="superscript"/>
        </w:rPr>
        <w:t>[39,47]</w:t>
      </w:r>
      <w:r>
        <w:rPr>
          <w:rFonts w:ascii="Book Antiqua" w:hAnsi="Book Antiqua" w:eastAsia="Book Antiqua" w:cs="Book Antiqua"/>
          <w:color w:val="000000"/>
        </w:rPr>
        <w:t>. Although some studies compare IgG with other antibodies, such as IgA, to analyze any increase in the effectiveness of serological surveillance, the results are not promising</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 overall specificity for all types of antibodies was higher than 98%. The average sensitivity for IgG detection ranges from 80</w:t>
      </w:r>
      <w:r>
        <w:rPr>
          <w:rFonts w:ascii="Book Antiqua" w:hAnsi="Book Antiqua" w:cs="Book Antiqua"/>
          <w:color w:val="000000"/>
          <w:lang w:eastAsia="zh-CN"/>
        </w:rPr>
        <w:t>%</w:t>
      </w:r>
      <w:r>
        <w:rPr>
          <w:rFonts w:ascii="Book Antiqua" w:hAnsi="Book Antiqua" w:eastAsia="Book Antiqua" w:cs="Book Antiqua"/>
          <w:color w:val="000000"/>
        </w:rPr>
        <w:t xml:space="preserve"> to 85%, with CLIA being the most sensitive, followed by ELISA, and with much lower performance the LFA test</w:t>
      </w:r>
      <w:r>
        <w:rPr>
          <w:rFonts w:ascii="Book Antiqua" w:hAnsi="Book Antiqua" w:eastAsia="Book Antiqua" w:cs="Book Antiqua"/>
          <w:color w:val="000000"/>
          <w:vertAlign w:val="superscript"/>
        </w:rPr>
        <w:t>[42,45]</w:t>
      </w:r>
      <w:r>
        <w:rPr>
          <w:rFonts w:ascii="Book Antiqua" w:hAnsi="Book Antiqua" w:eastAsia="Book Antiqua" w:cs="Book Antiqua"/>
          <w:color w:val="000000"/>
        </w:rPr>
        <w:t>. IgM evaluation showed a sensitivity of 80.9% for CLIA, 84.5% for ELISA, and 51.4% with LFA. This study also demonstrated that in the use of combined IgM/IgG tests, the CLIA performance was higher than ELISA and LFA, with results of 97.3%, 90.5% and 85.8%, respectively</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Sensitivity and specificity differences according to the viral protein analyzed are also documented: S protein is more specific, but the nucleocapsid and receptor-binding domain proteins are more sensitive in patients with mild infection</w:t>
      </w:r>
      <w:r>
        <w:rPr>
          <w:rFonts w:ascii="Book Antiqua" w:hAnsi="Book Antiqua" w:eastAsia="Book Antiqua" w:cs="Book Antiqua"/>
          <w:color w:val="000000"/>
          <w:vertAlign w:val="superscript"/>
        </w:rPr>
        <w:t>[47,49]</w:t>
      </w:r>
      <w:r>
        <w:rPr>
          <w:rFonts w:ascii="Book Antiqua" w:hAnsi="Book Antiqua" w:eastAsia="Book Antiqua" w:cs="Book Antiqua"/>
          <w:color w:val="000000"/>
        </w:rPr>
        <w:t>. Therefore, research on antibodies against different antigens may be useful in order to improve diagnostic methods, avoid false-negatives, and reach a higher diagnostic accuracy.</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ANTIGEN DETECTION METHODS</w:t>
      </w:r>
    </w:p>
    <w:p>
      <w:pPr>
        <w:spacing w:line="360" w:lineRule="auto"/>
        <w:jc w:val="both"/>
        <w:rPr>
          <w:rFonts w:ascii="Book Antiqua" w:hAnsi="Book Antiqua"/>
        </w:rPr>
      </w:pPr>
      <w:r>
        <w:rPr>
          <w:rFonts w:ascii="Book Antiqua" w:hAnsi="Book Antiqua" w:eastAsia="Book Antiqua" w:cs="Book Antiqua"/>
          <w:color w:val="000000"/>
        </w:rPr>
        <w:t>Viral antigen is a molecule with immunogenic potential that can be targeted by diagnostic tests through a reaction with monoclonal antibodies. Several antigen detection tests have been developed as alternatives for the rapid diagnosis of the COVID-19</w:t>
      </w:r>
      <w:r>
        <w:rPr>
          <w:rFonts w:ascii="Book Antiqua" w:hAnsi="Book Antiqua" w:eastAsia="Book Antiqua" w:cs="Book Antiqua"/>
          <w:color w:val="000000"/>
          <w:vertAlign w:val="superscript"/>
        </w:rPr>
        <w:t>[50,51]</w:t>
      </w:r>
      <w:r>
        <w:rPr>
          <w:rFonts w:ascii="Book Antiqua" w:hAnsi="Book Antiqua" w:eastAsia="Book Antiqua" w:cs="Book Antiqua"/>
          <w:color w:val="000000"/>
        </w:rPr>
        <w:t>. The results of the test with nasopharyngeal secretions are ready within 15 min</w:t>
      </w:r>
      <w:r>
        <w:rPr>
          <w:rFonts w:ascii="Book Antiqua" w:hAnsi="Book Antiqua" w:eastAsia="Book Antiqua" w:cs="Book Antiqua"/>
          <w:color w:val="000000"/>
          <w:vertAlign w:val="superscript"/>
        </w:rPr>
        <w:t>[52]</w:t>
      </w:r>
      <w:r>
        <w:rPr>
          <w:rFonts w:ascii="Book Antiqua" w:hAnsi="Book Antiqua" w:eastAsia="Book Antiqua" w:cs="Book Antiqua"/>
          <w:color w:val="000000"/>
        </w:rPr>
        <w:t>, and it can be performed either through immunochromatography, with rapid detection, or ELISA with better sensitivity</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 average sensitivity of antigen detection tests is around 50</w:t>
      </w:r>
      <w:r>
        <w:rPr>
          <w:rFonts w:ascii="Book Antiqua" w:hAnsi="Book Antiqua" w:cs="Book Antiqua"/>
          <w:color w:val="000000"/>
          <w:lang w:eastAsia="zh-CN"/>
        </w:rPr>
        <w:t>%</w:t>
      </w:r>
      <w:r>
        <w:rPr>
          <w:rFonts w:ascii="Book Antiqua" w:hAnsi="Book Antiqua" w:eastAsia="Book Antiqua" w:cs="Book Antiqua"/>
          <w:color w:val="000000"/>
        </w:rPr>
        <w:t>–70%, and they are 100% specific</w:t>
      </w:r>
      <w:r>
        <w:rPr>
          <w:rFonts w:ascii="Book Antiqua" w:hAnsi="Book Antiqua" w:eastAsia="Book Antiqua" w:cs="Book Antiqua"/>
          <w:color w:val="000000"/>
          <w:vertAlign w:val="superscript"/>
        </w:rPr>
        <w:t>[51,53]</w:t>
      </w:r>
      <w:r>
        <w:rPr>
          <w:rFonts w:ascii="Book Antiqua" w:hAnsi="Book Antiqua" w:eastAsia="Book Antiqua" w:cs="Book Antiqua"/>
          <w:color w:val="000000"/>
        </w:rPr>
        <w:t>. Of note, the performance of those tests may be influenced by higher or lower viral loads as well as by the specific antigen used. In that context, studies have shown different results when this method was evaluated, and the sensitivity values varied from 30.2%</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to 93.9%</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Overall, higher rates of accurate diagnosis in antigen tests were greatly correlated with early infection, when the viral load of the upper respiratory tract is higher</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Therefore, although the COVID-19 diagnosis through antigen detection has a high specificity and is faster and cheaper than RT-PCR, the precise time of usage of this test is crucial for proper detection of the virus antigens</w:t>
      </w:r>
      <w:r>
        <w:rPr>
          <w:rFonts w:ascii="Book Antiqua" w:hAnsi="Book Antiqua" w:eastAsia="Book Antiqua" w:cs="Book Antiqua"/>
          <w:color w:val="000000"/>
          <w:vertAlign w:val="superscript"/>
        </w:rPr>
        <w:t>[52]</w:t>
      </w:r>
      <w:r>
        <w:rPr>
          <w:rFonts w:ascii="Book Antiqua" w:hAnsi="Book Antiqua" w:eastAsia="Book Antiqua" w:cs="Book Antiqua"/>
          <w:color w:val="000000"/>
        </w:rPr>
        <w:t>. That said, the current gold standard diagnostic test for COVID-19 is still more reliable because its use is associated with lower rates of false negative results</w:t>
      </w:r>
      <w:r>
        <w:rPr>
          <w:rFonts w:ascii="Book Antiqua" w:hAnsi="Book Antiqua" w:eastAsia="Book Antiqua" w:cs="Book Antiqua"/>
          <w:color w:val="000000"/>
          <w:vertAlign w:val="superscript"/>
        </w:rPr>
        <w:t>[56]</w:t>
      </w:r>
      <w:r>
        <w:rPr>
          <w:rFonts w:ascii="Book Antiqua" w:hAnsi="Book Antiqua" w:eastAsia="Book Antiqua" w:cs="Book Antiqua"/>
          <w:color w:val="000000"/>
        </w:rPr>
        <w:t>. Nevertheless, utilization of antigen detection tests, with additional research, could turn into a viable option in the current pandemic context.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COMPLEMENTARY DIAGNOSTIC METHODS </w:t>
      </w:r>
    </w:p>
    <w:p>
      <w:pPr>
        <w:spacing w:line="360" w:lineRule="auto"/>
        <w:jc w:val="both"/>
        <w:rPr>
          <w:rFonts w:ascii="Book Antiqua" w:hAnsi="Book Antiqua"/>
          <w:i/>
        </w:rPr>
      </w:pPr>
      <w:r>
        <w:rPr>
          <w:rFonts w:ascii="Book Antiqua" w:hAnsi="Book Antiqua" w:eastAsia="Book Antiqua" w:cs="Book Antiqua"/>
          <w:b/>
          <w:bCs/>
          <w:i/>
          <w:color w:val="000000"/>
        </w:rPr>
        <w:t>Chest computed tomography findings</w:t>
      </w:r>
    </w:p>
    <w:p>
      <w:pPr>
        <w:spacing w:line="360" w:lineRule="auto"/>
        <w:jc w:val="both"/>
        <w:rPr>
          <w:rFonts w:ascii="Book Antiqua" w:hAnsi="Book Antiqua"/>
        </w:rPr>
      </w:pPr>
      <w:r>
        <w:rPr>
          <w:rFonts w:ascii="Book Antiqua" w:hAnsi="Book Antiqua" w:eastAsia="Book Antiqua" w:cs="Book Antiqua"/>
          <w:color w:val="000000"/>
        </w:rPr>
        <w:t xml:space="preserve">Chest computed tomography </w:t>
      </w:r>
      <w:r>
        <w:rPr>
          <w:rFonts w:ascii="Book Antiqua" w:hAnsi="Book Antiqua" w:cs="Book Antiqua"/>
          <w:color w:val="000000"/>
          <w:lang w:eastAsia="zh-CN"/>
        </w:rPr>
        <w:t xml:space="preserve">(CT) </w:t>
      </w:r>
      <w:r>
        <w:rPr>
          <w:rFonts w:ascii="Book Antiqua" w:hAnsi="Book Antiqua" w:eastAsia="Book Antiqua" w:cs="Book Antiqua"/>
          <w:color w:val="000000"/>
        </w:rPr>
        <w:t>has been used as an alternative and complementary method for COVID-19 diagnosis since CTs can detect pulmonary abnormalities even when RT-PCR results turn negative</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for highly suspect cases with clinical symptoms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in the early days of infection</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 chest CT diagnosis works through analysis of the variation in imaging findings that occur according to the disease progression and severity</w:t>
      </w:r>
      <w:r>
        <w:rPr>
          <w:rFonts w:ascii="Book Antiqua" w:hAnsi="Book Antiqua" w:eastAsia="Book Antiqua" w:cs="Book Antiqua"/>
          <w:color w:val="000000"/>
          <w:vertAlign w:val="superscript"/>
        </w:rPr>
        <w:t>[60]</w:t>
      </w:r>
      <w:r>
        <w:rPr>
          <w:rFonts w:ascii="Book Antiqua" w:hAnsi="Book Antiqua" w:eastAsia="Book Antiqua" w:cs="Book Antiqua"/>
          <w:color w:val="000000"/>
        </w:rPr>
        <w:t>. The pulmonary imaging abnormalities start to appear around 4 d after the first symptoms, and their findings are more visible following the second week of clinical manifestations</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Accordingly, the most predominant COVID-19 pneumonia imaging changes are ground-glass opacity lesions with or without consolidations, peripheral and bilateral lung distribution of the disease, and multilobar lung involvement, predominantly in the lower lobes</w:t>
      </w:r>
      <w:r>
        <w:rPr>
          <w:rFonts w:ascii="Book Antiqua" w:hAnsi="Book Antiqua" w:eastAsia="Book Antiqua" w:cs="Book Antiqua"/>
          <w:color w:val="000000"/>
          <w:vertAlign w:val="superscript"/>
        </w:rPr>
        <w:t>[61,62]</w:t>
      </w:r>
      <w:r>
        <w:rPr>
          <w:rFonts w:ascii="Book Antiqua" w:hAnsi="Book Antiqua" w:eastAsia="Book Antiqua" w:cs="Book Antiqua"/>
          <w:color w:val="000000"/>
        </w:rPr>
        <w:t>. Some less common CT manifestations are the crazy-paving pattern, ground-glass opacity with consolidation, interlobular septal thickening, and pleural effusion</w:t>
      </w:r>
      <w:r>
        <w:rPr>
          <w:rFonts w:ascii="Book Antiqua" w:hAnsi="Book Antiqua" w:eastAsia="Book Antiqua" w:cs="Book Antiqua"/>
          <w:color w:val="000000"/>
          <w:vertAlign w:val="superscript"/>
        </w:rPr>
        <w:t>[63]</w:t>
      </w:r>
      <w:r>
        <w:rPr>
          <w:rFonts w:ascii="Book Antiqua" w:hAnsi="Book Antiqua" w:eastAsia="Book Antiqua" w:cs="Book Antiqua"/>
          <w:color w:val="000000"/>
        </w:rPr>
        <w:t>. Chest CT scans are highly sensitive to COVID-19 lung abnormalities</w:t>
      </w:r>
      <w:r>
        <w:rPr>
          <w:rFonts w:ascii="Book Antiqua" w:hAnsi="Book Antiqua" w:eastAsia="Book Antiqua" w:cs="Book Antiqua"/>
          <w:color w:val="000000"/>
          <w:vertAlign w:val="superscript"/>
        </w:rPr>
        <w:t>[64]</w:t>
      </w:r>
      <w:r>
        <w:rPr>
          <w:rFonts w:ascii="Book Antiqua" w:hAnsi="Book Antiqua" w:eastAsia="Book Antiqua" w:cs="Book Antiqua"/>
          <w:color w:val="000000"/>
        </w:rPr>
        <w:t>, mainly in high-risk symptomatic cases</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p>
    <w:p>
      <w:pPr>
        <w:spacing w:line="360" w:lineRule="auto"/>
        <w:ind w:firstLine="708"/>
        <w:jc w:val="both"/>
        <w:rPr>
          <w:rFonts w:ascii="Book Antiqua" w:hAnsi="Book Antiqua" w:cs="Book Antiqua"/>
          <w:color w:val="000000"/>
          <w:lang w:eastAsia="zh-CN"/>
        </w:rPr>
      </w:pPr>
      <w:r>
        <w:rPr>
          <w:rFonts w:ascii="Book Antiqua" w:hAnsi="Book Antiqua" w:eastAsia="Book Antiqua" w:cs="Book Antiqua"/>
          <w:color w:val="000000"/>
        </w:rPr>
        <w:t>However, these imaging findings have low specificity</w:t>
      </w:r>
      <w:r>
        <w:rPr>
          <w:rFonts w:ascii="Book Antiqua" w:hAnsi="Book Antiqua" w:eastAsia="Book Antiqua" w:cs="Book Antiqua"/>
          <w:color w:val="000000"/>
          <w:vertAlign w:val="superscript"/>
        </w:rPr>
        <w:t>[63]</w:t>
      </w:r>
      <w:r>
        <w:rPr>
          <w:rFonts w:ascii="Book Antiqua" w:hAnsi="Book Antiqua" w:eastAsia="Book Antiqua" w:cs="Book Antiqua"/>
          <w:color w:val="000000"/>
        </w:rPr>
        <w:t>. A study performed with 1014 patients showed an average specificity of 25%</w:t>
      </w:r>
      <w:r>
        <w:rPr>
          <w:rFonts w:ascii="Book Antiqua" w:hAnsi="Book Antiqua" w:eastAsia="Book Antiqua" w:cs="Book Antiqua"/>
          <w:color w:val="000000"/>
          <w:vertAlign w:val="superscript"/>
        </w:rPr>
        <w:t>[28]</w:t>
      </w:r>
      <w:r>
        <w:rPr>
          <w:rFonts w:ascii="Book Antiqua" w:hAnsi="Book Antiqua" w:eastAsia="Book Antiqua" w:cs="Book Antiqua"/>
          <w:color w:val="000000"/>
        </w:rPr>
        <w:t>, probably due to other viral pneumonias leading to similar imaging alterations, a fact that limits the use of this method in areas with high prevalence of other respiratory tract infections</w:t>
      </w:r>
      <w:r>
        <w:rPr>
          <w:rFonts w:ascii="Book Antiqua" w:hAnsi="Book Antiqua" w:eastAsia="Book Antiqua" w:cs="Book Antiqua"/>
          <w:color w:val="000000"/>
          <w:vertAlign w:val="superscript"/>
        </w:rPr>
        <w:t>[64]</w:t>
      </w:r>
      <w:r>
        <w:rPr>
          <w:rFonts w:ascii="Book Antiqua" w:hAnsi="Book Antiqua" w:eastAsia="Book Antiqua" w:cs="Book Antiqua"/>
          <w:color w:val="000000"/>
        </w:rPr>
        <w:t>. Moreover, chest CT exams can detect no abnormalities in some asymptomatic or mild symptomatic cases</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making CT scans more of a complementary diagnostic test than a definitive one. Table 1 summarizes the sensitivity, specificity, time to result, and limitations of the diagnostic methods discussed in this review so far.</w:t>
      </w:r>
    </w:p>
    <w:p>
      <w:pPr>
        <w:spacing w:line="360" w:lineRule="auto"/>
        <w:ind w:firstLine="708"/>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Laboratory findings</w:t>
      </w:r>
    </w:p>
    <w:p>
      <w:pPr>
        <w:spacing w:line="360" w:lineRule="auto"/>
        <w:jc w:val="both"/>
        <w:rPr>
          <w:rFonts w:ascii="Book Antiqua" w:hAnsi="Book Antiqua"/>
        </w:rPr>
      </w:pPr>
      <w:r>
        <w:rPr>
          <w:rFonts w:ascii="Book Antiqua" w:hAnsi="Book Antiqua" w:eastAsia="Book Antiqua" w:cs="Book Antiqua"/>
          <w:color w:val="000000"/>
        </w:rPr>
        <w:t>Patient reports from Wuhan showed recurrent cases of lymphocytopenia since the beginning of the infections in China</w:t>
      </w:r>
      <w:r>
        <w:rPr>
          <w:rFonts w:ascii="Book Antiqua" w:hAnsi="Book Antiqua" w:eastAsia="Book Antiqua" w:cs="Book Antiqua"/>
          <w:color w:val="000000"/>
          <w:vertAlign w:val="superscript"/>
        </w:rPr>
        <w:t>[66]</w:t>
      </w:r>
      <w:r>
        <w:rPr>
          <w:rFonts w:ascii="Book Antiqua" w:hAnsi="Book Antiqua" w:eastAsia="Book Antiqua" w:cs="Book Antiqua"/>
          <w:color w:val="000000"/>
        </w:rPr>
        <w:t>. Besides that, studies also show a relevant frequency of patients with leukocytosis during SARS-CoV-2 infection</w:t>
      </w:r>
      <w:r>
        <w:rPr>
          <w:rFonts w:ascii="Book Antiqua" w:hAnsi="Book Antiqua" w:eastAsia="Book Antiqua" w:cs="Book Antiqua"/>
          <w:color w:val="000000"/>
          <w:vertAlign w:val="superscript"/>
        </w:rPr>
        <w:t>[67]</w:t>
      </w:r>
      <w:r>
        <w:rPr>
          <w:rFonts w:ascii="Book Antiqua" w:hAnsi="Book Antiqua" w:eastAsia="Book Antiqua" w:cs="Book Antiqua"/>
          <w:color w:val="000000"/>
        </w:rPr>
        <w:t>. A meta-analysis showed that non-surviving patients had an expressive increase in leukocyte count, total bilirubin, serum ferritin, and interleukin 6 as well as a reduced lymphocyte count</w:t>
      </w:r>
      <w:r>
        <w:rPr>
          <w:rFonts w:ascii="Book Antiqua" w:hAnsi="Book Antiqua" w:eastAsia="Book Antiqua" w:cs="Book Antiqua"/>
          <w:color w:val="000000"/>
          <w:vertAlign w:val="superscript"/>
        </w:rPr>
        <w:t>[68]</w:t>
      </w:r>
      <w:r>
        <w:rPr>
          <w:rFonts w:ascii="Book Antiqua" w:hAnsi="Book Antiqua" w:eastAsia="Book Antiqua" w:cs="Book Antiqua"/>
          <w:color w:val="000000"/>
        </w:rPr>
        <w:t>. Thus, leukocyte series elevation can represent worse prognostic and high risk of unfavorable outcomes.</w:t>
      </w:r>
    </w:p>
    <w:p>
      <w:pPr>
        <w:spacing w:line="360" w:lineRule="auto"/>
        <w:ind w:firstLine="708"/>
        <w:jc w:val="both"/>
        <w:rPr>
          <w:rFonts w:ascii="Book Antiqua" w:hAnsi="Book Antiqua"/>
        </w:rPr>
      </w:pPr>
      <w:r>
        <w:rPr>
          <w:rFonts w:ascii="Book Antiqua" w:hAnsi="Book Antiqua" w:eastAsia="Book Antiqua" w:cs="Book Antiqua"/>
          <w:color w:val="000000"/>
        </w:rPr>
        <w:t>Increases in the levels of lactate dehydrogenase and C-reactive protein were also highlighted and associated with pulmonary and myocardial lesions, especially in severe patients</w:t>
      </w:r>
      <w:r>
        <w:rPr>
          <w:rFonts w:ascii="Book Antiqua" w:hAnsi="Book Antiqua" w:eastAsia="Book Antiqua" w:cs="Book Antiqua"/>
          <w:color w:val="000000"/>
          <w:vertAlign w:val="superscript"/>
        </w:rPr>
        <w:t>[69]</w:t>
      </w:r>
      <w:r>
        <w:rPr>
          <w:rFonts w:ascii="Book Antiqua" w:hAnsi="Book Antiqua" w:eastAsia="Book Antiqua" w:cs="Book Antiqua"/>
          <w:color w:val="000000"/>
        </w:rPr>
        <w:t>. Low serum albumin rates and high levels of alanine aminotransferase and aspartate aminotransferase points to possible liver complications, which is very common in acute phases of the disease in patients with a severe infection</w:t>
      </w:r>
      <w:r>
        <w:rPr>
          <w:rFonts w:ascii="Book Antiqua" w:hAnsi="Book Antiqua" w:eastAsia="Book Antiqua" w:cs="Book Antiqua"/>
          <w:color w:val="000000"/>
          <w:vertAlign w:val="superscript"/>
        </w:rPr>
        <w:t>[70,71]</w:t>
      </w:r>
      <w:r>
        <w:rPr>
          <w:rFonts w:ascii="Book Antiqua" w:hAnsi="Book Antiqua" w:eastAsia="Book Antiqua" w:cs="Book Antiqua"/>
          <w:color w:val="000000"/>
        </w:rPr>
        <w:t>. Furthermore, the association of these points with elevation in renal biomarkers (for example, creatinine), coagulation measures, and heart and muscle injury scores suggest potential progression to multiple organ failure</w:t>
      </w:r>
      <w:r>
        <w:rPr>
          <w:rFonts w:ascii="Book Antiqua" w:hAnsi="Book Antiqua" w:cs="Book Antiqua"/>
          <w:color w:val="000000"/>
          <w:lang w:eastAsia="zh-CN"/>
        </w:rPr>
        <w:t xml:space="preserve"> </w:t>
      </w:r>
      <w:r>
        <w:rPr>
          <w:rFonts w:ascii="Book Antiqua" w:hAnsi="Book Antiqua" w:eastAsia="Book Antiqua" w:cs="Book Antiqua"/>
          <w:color w:val="000000"/>
        </w:rPr>
        <w:t>in severe patients</w:t>
      </w:r>
      <w:r>
        <w:rPr>
          <w:rFonts w:ascii="Book Antiqua" w:hAnsi="Book Antiqua" w:eastAsia="Book Antiqua" w:cs="Book Antiqua"/>
          <w:color w:val="000000"/>
          <w:vertAlign w:val="superscript"/>
        </w:rPr>
        <w:t>[68]</w:t>
      </w:r>
      <w:r>
        <w:rPr>
          <w:rFonts w:ascii="Book Antiqua" w:hAnsi="Book Antiqua" w:eastAsia="Book Antiqua" w:cs="Book Antiqua"/>
          <w:color w:val="000000"/>
        </w:rPr>
        <w:t>. Thereby, elevated levels of D-dimer, fibrin degradation products,</w:t>
      </w:r>
      <w:r>
        <w:rPr>
          <w:rFonts w:ascii="Book Antiqua" w:hAnsi="Book Antiqua" w:cs="Book Antiqua"/>
          <w:color w:val="000000"/>
          <w:lang w:eastAsia="zh-CN"/>
        </w:rPr>
        <w:t xml:space="preserve"> </w:t>
      </w:r>
      <w:r>
        <w:rPr>
          <w:rFonts w:ascii="Book Antiqua" w:hAnsi="Book Antiqua" w:eastAsia="Book Antiqua" w:cs="Book Antiqua"/>
          <w:color w:val="000000"/>
        </w:rPr>
        <w:t>and fibrinogen can be observed during the course of the disease, with the D-dimer alterations being the most common</w:t>
      </w:r>
      <w:r>
        <w:rPr>
          <w:rFonts w:ascii="Book Antiqua" w:hAnsi="Book Antiqua" w:eastAsia="Book Antiqua" w:cs="Book Antiqua"/>
          <w:color w:val="000000"/>
          <w:vertAlign w:val="superscript"/>
        </w:rPr>
        <w:t>[72]</w:t>
      </w:r>
      <w:r>
        <w:rPr>
          <w:rFonts w:ascii="Book Antiqua" w:hAnsi="Book Antiqua" w:eastAsia="Book Antiqua" w:cs="Book Antiqua"/>
          <w:color w:val="000000"/>
        </w:rPr>
        <w:t>. A study related that levels of these coagulation parameters were observed in severe patients with worse prognosis, while mild disease or early stage patients had normal ranges</w:t>
      </w:r>
      <w:r>
        <w:rPr>
          <w:rFonts w:ascii="Book Antiqua" w:hAnsi="Book Antiqua" w:eastAsia="Book Antiqua" w:cs="Book Antiqua"/>
          <w:color w:val="000000"/>
          <w:vertAlign w:val="superscript"/>
        </w:rPr>
        <w:t>[73,7</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thrombocytopenia is also a possible laboratory finding in COVID-19. A meta-analysis reported that platelet count was minor in severe disease and even smaller in non-surviving patients</w:t>
      </w:r>
      <w:r>
        <w:rPr>
          <w:rFonts w:ascii="Book Antiqua" w:hAnsi="Book Antiqua" w:eastAsia="Book Antiqua" w:cs="Book Antiqua"/>
          <w:color w:val="000000"/>
          <w:vertAlign w:val="superscript"/>
        </w:rPr>
        <w:t>[74]</w:t>
      </w:r>
      <w:r>
        <w:rPr>
          <w:rFonts w:ascii="Book Antiqua" w:hAnsi="Book Antiqua" w:eastAsia="Book Antiqua" w:cs="Book Antiqua"/>
          <w:color w:val="000000"/>
        </w:rPr>
        <w:t>. These findings might be indicative of disease progression and coagulation disorders, which means that the tracking of these signs is very important while managing patients</w:t>
      </w:r>
      <w:r>
        <w:rPr>
          <w:rFonts w:ascii="Book Antiqua" w:hAnsi="Book Antiqua" w:eastAsia="Book Antiqua" w:cs="Book Antiqua"/>
          <w:color w:val="000000"/>
          <w:vertAlign w:val="superscript"/>
        </w:rPr>
        <w:t>[74,75]</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Moreover, possible coinfections of SARS-CoV-2 and bacterial infections might cause neutrophilia and leukocytosis, associated with lymphocytopenia, without increasing inflammatory factors, such as D-dimer and C-reactive protein</w:t>
      </w:r>
      <w:r>
        <w:rPr>
          <w:rFonts w:ascii="Book Antiqua" w:hAnsi="Book Antiqua" w:eastAsia="Book Antiqua" w:cs="Book Antiqua"/>
          <w:color w:val="000000"/>
          <w:vertAlign w:val="superscript"/>
        </w:rPr>
        <w:t>[76]</w:t>
      </w:r>
      <w:r>
        <w:rPr>
          <w:rFonts w:ascii="Book Antiqua" w:hAnsi="Book Antiqua" w:eastAsia="Book Antiqua" w:cs="Book Antiqua"/>
          <w:color w:val="000000"/>
        </w:rPr>
        <w:t>. Therefore, laboratory findings have proven to be a helpful option as a complementary diagnosis. It is also suitable in the visualization of possible comorbidities in patients with COVID-19 and as an indicator of disease severity.</w:t>
      </w:r>
    </w:p>
    <w:p>
      <w:pPr>
        <w:spacing w:line="360" w:lineRule="auto"/>
        <w:ind w:firstLine="708"/>
        <w:jc w:val="both"/>
        <w:rPr>
          <w:rFonts w:ascii="Book Antiqua" w:hAnsi="Book Antiqua"/>
        </w:rPr>
      </w:pPr>
      <w:r>
        <w:rPr>
          <w:rFonts w:ascii="Book Antiqua" w:hAnsi="Book Antiqua" w:eastAsia="Book Antiqua" w:cs="Book Antiqua"/>
          <w:color w:val="000000"/>
        </w:rPr>
        <w:t>Several studies are being carried out to test the efficacy of drugs, foods, and mineral supplements against COVID-19. Lymecycline and famotidine, for example, are being studied as a potential treatment for COVID-19</w:t>
      </w:r>
      <w:r>
        <w:rPr>
          <w:rFonts w:ascii="Book Antiqua" w:hAnsi="Book Antiqua" w:eastAsia="Book Antiqua" w:cs="Book Antiqua"/>
          <w:color w:val="000000"/>
          <w:vertAlign w:val="superscript"/>
        </w:rPr>
        <w:t>[77,78]</w:t>
      </w:r>
      <w:r>
        <w:rPr>
          <w:rFonts w:ascii="Book Antiqua" w:hAnsi="Book Antiqua" w:eastAsia="Book Antiqua" w:cs="Book Antiqua"/>
          <w:color w:val="000000"/>
        </w:rPr>
        <w:t>, due to a possible ability to bind some SARS-CoV-2 structures (M</w:t>
      </w:r>
      <w:r>
        <w:rPr>
          <w:rFonts w:ascii="Book Antiqua" w:hAnsi="Book Antiqua" w:eastAsia="Book Antiqua" w:cs="Book Antiqua"/>
          <w:color w:val="000000"/>
          <w:vertAlign w:val="superscript"/>
        </w:rPr>
        <w:t>pro</w:t>
      </w:r>
      <w:r>
        <w:rPr>
          <w:rFonts w:ascii="Book Antiqua" w:hAnsi="Book Antiqua" w:eastAsia="Book Antiqua" w:cs="Book Antiqua"/>
          <w:color w:val="000000"/>
        </w:rPr>
        <w:t>, S protein, RdRp, and furin) and have an anti-inflammatory action</w:t>
      </w:r>
      <w:r>
        <w:rPr>
          <w:rFonts w:ascii="Book Antiqua" w:hAnsi="Book Antiqua" w:eastAsia="Book Antiqua" w:cs="Book Antiqua"/>
          <w:color w:val="000000"/>
          <w:vertAlign w:val="superscript"/>
        </w:rPr>
        <w:t>[79]</w:t>
      </w:r>
      <w:r>
        <w:rPr>
          <w:rFonts w:ascii="Book Antiqua" w:hAnsi="Book Antiqua" w:eastAsia="Book Antiqua" w:cs="Book Antiqua"/>
          <w:color w:val="000000"/>
        </w:rPr>
        <w:t>, respectively. However, there is, up to this moment, not enough evidence and controlled clinical trials to affirm its efficacy against the disease. In addition, mineral supplements such as zinc apparently have some antiviral properties that could be used against SARS-CoV-2 infection, such as a capability of modulating the host’s immune response and attenuating the cytokine storm caused by COVID-19</w:t>
      </w:r>
      <w:r>
        <w:rPr>
          <w:rFonts w:ascii="Book Antiqua" w:hAnsi="Book Antiqua" w:eastAsia="Book Antiqua" w:cs="Book Antiqua"/>
          <w:color w:val="000000"/>
          <w:vertAlign w:val="superscript"/>
        </w:rPr>
        <w:t>[80]</w:t>
      </w:r>
      <w:r>
        <w:rPr>
          <w:rFonts w:ascii="Book Antiqua" w:hAnsi="Book Antiqua" w:eastAsia="Book Antiqua" w:cs="Book Antiqua"/>
          <w:color w:val="000000"/>
        </w:rPr>
        <w:t>. However, a randomized clinical trial of 214 patients showed that zinc supplementation had no significant benefits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lang w:eastAsia="zh-CN"/>
        </w:rPr>
      </w:pPr>
      <w:r>
        <w:rPr>
          <w:rFonts w:ascii="Book Antiqua" w:hAnsi="Book Antiqua" w:eastAsia="Book Antiqua" w:cs="Book Antiqua"/>
          <w:color w:val="000000"/>
          <w:shd w:val="clear" w:color="auto" w:fill="FFFFFF"/>
        </w:rPr>
        <w:t>Notably, the use of serology and antigen detection tests have important limitations since false negative results are common. Nonetheless, in a pandemic context, these methods are crucial for epidemiological surveillance. RT-PCR remains the gold standard test and should be preferred to diagnose COVID-19. However, the high potential of RT-LAMP, given that it is a fast and affordable test, should be considered in diagnostic propedeutics. In addition, the laboratory and imaging findings play important roles as complementary diagnostic tools aiding in patient management.</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bookmarkStart w:id="6" w:name="OLE_LINK174"/>
      <w:bookmarkStart w:id="7" w:name="OLE_LINK175"/>
    </w:p>
    <w:bookmarkEnd w:id="6"/>
    <w:bookmarkEnd w:id="7"/>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Zhu N</w:t>
      </w:r>
      <w:r>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727-733 [PMID: 31978945 DOI: 10.1056/NEJMoa2001017]</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World Health Organization</w:t>
      </w:r>
      <w:r>
        <w:rPr>
          <w:rFonts w:ascii="Book Antiqua" w:hAnsi="Book Antiqua"/>
          <w:bCs/>
        </w:rPr>
        <w:t>. Coronavirus disease 2019 (COVID-19) situation reports. [cited December 8,</w:t>
      </w:r>
      <w:r>
        <w:rPr>
          <w:rFonts w:ascii="Book Antiqua" w:hAnsi="Book Antiqua"/>
        </w:rPr>
        <w:t xml:space="preserve"> 2020]. In: who.int [Internet]. Geneva: World Health Organization, 2020. Available from: URL: https://www.who.int/emergencies/diseases/novel-coronavirus-2019/situation-reports</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Yuki K</w:t>
      </w:r>
      <w:r>
        <w:rPr>
          <w:rFonts w:ascii="Book Antiqua" w:hAnsi="Book Antiqua"/>
        </w:rPr>
        <w:t xml:space="preserve">, Fujiogi M, Koutsogiannaki S. COVID-19 pathophysiology: A review. </w:t>
      </w:r>
      <w:r>
        <w:rPr>
          <w:rFonts w:ascii="Book Antiqua" w:hAnsi="Book Antiqua"/>
          <w:i/>
          <w:iCs/>
        </w:rPr>
        <w:t>Clin Immunol</w:t>
      </w:r>
      <w:r>
        <w:rPr>
          <w:rFonts w:ascii="Book Antiqua" w:hAnsi="Book Antiqua"/>
        </w:rPr>
        <w:t xml:space="preserve"> 2020; </w:t>
      </w:r>
      <w:r>
        <w:rPr>
          <w:rFonts w:ascii="Book Antiqua" w:hAnsi="Book Antiqua"/>
          <w:b/>
          <w:bCs/>
        </w:rPr>
        <w:t>215</w:t>
      </w:r>
      <w:r>
        <w:rPr>
          <w:rFonts w:ascii="Book Antiqua" w:hAnsi="Book Antiqua"/>
        </w:rPr>
        <w:t>: 108427 [PMID: 32325252 DOI: 10.1016/j.clim.2020.108427]</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Banerjee A</w:t>
      </w:r>
      <w:r>
        <w:rPr>
          <w:rFonts w:ascii="Book Antiqua" w:hAnsi="Book Antiqua"/>
        </w:rPr>
        <w:t xml:space="preserve">, Kulcsar K, Misra V, Frieman M, Mossman K. Bats and Coronaviruses. </w:t>
      </w:r>
      <w:r>
        <w:rPr>
          <w:rFonts w:ascii="Book Antiqua" w:hAnsi="Book Antiqua"/>
          <w:i/>
          <w:iCs/>
        </w:rPr>
        <w:t>Viruses</w:t>
      </w:r>
      <w:r>
        <w:rPr>
          <w:rFonts w:ascii="Book Antiqua" w:hAnsi="Book Antiqua"/>
        </w:rPr>
        <w:t xml:space="preserve"> 2019; </w:t>
      </w:r>
      <w:r>
        <w:rPr>
          <w:rFonts w:ascii="Book Antiqua" w:hAnsi="Book Antiqua"/>
          <w:b/>
          <w:bCs/>
        </w:rPr>
        <w:t>11</w:t>
      </w:r>
      <w:r>
        <w:rPr>
          <w:rFonts w:ascii="Book Antiqua" w:hAnsi="Book Antiqua"/>
        </w:rPr>
        <w:t xml:space="preserve"> [PMID: 30634396 DOI: 10.3390/v11010041]</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Rabaan AA</w:t>
      </w:r>
      <w:r>
        <w:rPr>
          <w:rFonts w:ascii="Book Antiqua" w:hAnsi="Book Antiqua"/>
        </w:rPr>
        <w:t xml:space="preserve">, Al-Ahmed SH, Haque S, Sah R, Tiwari R, Malik YS, Dhama K, Yatoo MI, Bonilla-Aldana DK, Rodriguez-Morales AJ. SARS-CoV-2, SARS-CoV, and MERS-COV: A comparative overview. </w:t>
      </w:r>
      <w:r>
        <w:rPr>
          <w:rFonts w:ascii="Book Antiqua" w:hAnsi="Book Antiqua"/>
          <w:i/>
          <w:iCs/>
        </w:rPr>
        <w:t>Infez Med</w:t>
      </w:r>
      <w:r>
        <w:rPr>
          <w:rFonts w:ascii="Book Antiqua" w:hAnsi="Book Antiqua"/>
        </w:rPr>
        <w:t xml:space="preserve"> 2020; </w:t>
      </w:r>
      <w:r>
        <w:rPr>
          <w:rFonts w:ascii="Book Antiqua" w:hAnsi="Book Antiqua"/>
          <w:b/>
          <w:bCs/>
        </w:rPr>
        <w:t>28</w:t>
      </w:r>
      <w:r>
        <w:rPr>
          <w:rFonts w:ascii="Book Antiqua" w:hAnsi="Book Antiqua"/>
        </w:rPr>
        <w:t>: 174-184 [PMID: 32275259]</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Yan Y</w:t>
      </w:r>
      <w:r>
        <w:rPr>
          <w:rFonts w:ascii="Book Antiqua" w:hAnsi="Book Antiqua"/>
        </w:rPr>
        <w:t xml:space="preserve">, Shin WI, Pang YX, Meng Y, Lai J, You C, Zhao H, Lester E, Wu T, Pang CH. The First 75 Days of Novel Coronavirus (SARS-CoV-2) Outbreak: Recent Advances, Prevention, and Treatment.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32235575 DOI: 10.3390/ijerph17072323]</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Chen N</w:t>
      </w:r>
      <w:r>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Mahendiratta S</w:t>
      </w:r>
      <w:r>
        <w:rPr>
          <w:rFonts w:ascii="Book Antiqua" w:hAnsi="Book Antiqua"/>
        </w:rPr>
        <w:t xml:space="preserve">, Batra G, Sarma P, Kumar H, Bansal S, Kumar S, Prakash A, Sehgal R, Medhi B. Molecular diagnosis of COVID-19 in different biologic matrix, their diagnostic validity and clinical relevance: A systematic review. </w:t>
      </w:r>
      <w:r>
        <w:rPr>
          <w:rFonts w:ascii="Book Antiqua" w:hAnsi="Book Antiqua"/>
          <w:i/>
          <w:iCs/>
        </w:rPr>
        <w:t>Life Sci</w:t>
      </w:r>
      <w:r>
        <w:rPr>
          <w:rFonts w:ascii="Book Antiqua" w:hAnsi="Book Antiqua"/>
        </w:rPr>
        <w:t xml:space="preserve"> 2020; </w:t>
      </w:r>
      <w:r>
        <w:rPr>
          <w:rFonts w:ascii="Book Antiqua" w:hAnsi="Book Antiqua"/>
          <w:b/>
          <w:bCs/>
        </w:rPr>
        <w:t>258</w:t>
      </w:r>
      <w:r>
        <w:rPr>
          <w:rFonts w:ascii="Book Antiqua" w:hAnsi="Book Antiqua"/>
        </w:rPr>
        <w:t>: 118207 [PMID: 32777301 DOI: 10.1016/j.lfs.2020.118207]</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Oliveira BA</w:t>
      </w:r>
      <w:r>
        <w:rPr>
          <w:rFonts w:ascii="Book Antiqua" w:hAnsi="Book Antiqua"/>
        </w:rPr>
        <w:t xml:space="preserve">, Oliveira LC, Sabino EC, Okay TS. SARS-CoV-2 and the COVID-19 disease: a mini review on diagnostic methods. </w:t>
      </w:r>
      <w:r>
        <w:rPr>
          <w:rFonts w:ascii="Book Antiqua" w:hAnsi="Book Antiqua"/>
          <w:i/>
          <w:iCs/>
        </w:rPr>
        <w:t>Rev Inst Med Trop Sao Paulo</w:t>
      </w:r>
      <w:r>
        <w:rPr>
          <w:rFonts w:ascii="Book Antiqua" w:hAnsi="Book Antiqua"/>
        </w:rPr>
        <w:t xml:space="preserve"> 2020; </w:t>
      </w:r>
      <w:r>
        <w:rPr>
          <w:rFonts w:ascii="Book Antiqua" w:hAnsi="Book Antiqua"/>
          <w:b/>
          <w:bCs/>
        </w:rPr>
        <w:t>62</w:t>
      </w:r>
      <w:r>
        <w:rPr>
          <w:rFonts w:ascii="Book Antiqua" w:hAnsi="Book Antiqua"/>
        </w:rPr>
        <w:t>: e44 [PMID: 32609256 DOI: 10.1590/S1678-9946202062044]</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Tahamtan A</w:t>
      </w:r>
      <w:r>
        <w:rPr>
          <w:rFonts w:ascii="Book Antiqua" w:hAnsi="Book Antiqua"/>
        </w:rPr>
        <w:t xml:space="preserve">, Ardebili A. Real-time RT-PCR in COVID-19 detection: issues affecting the results. </w:t>
      </w:r>
      <w:r>
        <w:rPr>
          <w:rFonts w:ascii="Book Antiqua" w:hAnsi="Book Antiqua"/>
          <w:i/>
          <w:iCs/>
        </w:rPr>
        <w:t>Expert Rev Mol Diagn</w:t>
      </w:r>
      <w:r>
        <w:rPr>
          <w:rFonts w:ascii="Book Antiqua" w:hAnsi="Book Antiqua"/>
        </w:rPr>
        <w:t xml:space="preserve"> 2020; </w:t>
      </w:r>
      <w:r>
        <w:rPr>
          <w:rFonts w:ascii="Book Antiqua" w:hAnsi="Book Antiqua"/>
          <w:b/>
          <w:bCs/>
        </w:rPr>
        <w:t>20</w:t>
      </w:r>
      <w:r>
        <w:rPr>
          <w:rFonts w:ascii="Book Antiqua" w:hAnsi="Book Antiqua"/>
        </w:rPr>
        <w:t>: 453-454 [PMID: 32297805 DOI: 10.1080/14737159.2020.1757437]</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Holshue ML</w:t>
      </w:r>
      <w:r>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929-936 [PMID: 32004427 DOI: 10.1056/NEJMoa2001191]</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Bwire GM</w:t>
      </w:r>
      <w:r>
        <w:rPr>
          <w:rFonts w:ascii="Book Antiqua" w:hAnsi="Book Antiqua"/>
        </w:rPr>
        <w:t xml:space="preserve">, Majigo MV, Njiro BJ, Mawazo A. Detection profile of SARS-CoV-2 using RT-PCR in different types of clinical specimens: A systematic review and meta-analysis.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719-725 [PMID: 32706393 DOI: 10.1002/jmv.26349]</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Poljak M</w:t>
      </w:r>
      <w:r>
        <w:rPr>
          <w:rFonts w:ascii="Book Antiqua" w:hAnsi="Book Antiqua"/>
        </w:rPr>
        <w:t>, Korva M, Knap Gašper N, Fujs Komloš K, Sagadin M, Urši</w:t>
      </w:r>
      <w:r>
        <w:rPr>
          <w:rFonts w:ascii="Book Antiqua" w:hAnsi="Book Antiqua" w:eastAsia="MS Gothic" w:cs="MS Gothic"/>
        </w:rPr>
        <w:t>č</w:t>
      </w:r>
      <w:r>
        <w:rPr>
          <w:rFonts w:ascii="Book Antiqua" w:hAnsi="Book Antiqua"/>
        </w:rPr>
        <w:t xml:space="preserve"> T, Avši</w:t>
      </w:r>
      <w:r>
        <w:rPr>
          <w:rFonts w:ascii="Book Antiqua" w:hAnsi="Book Antiqua" w:eastAsia="MS Gothic" w:cs="MS Gothic"/>
        </w:rPr>
        <w:t>č</w:t>
      </w:r>
      <w:r>
        <w:rPr>
          <w:rFonts w:ascii="Book Antiqua" w:hAnsi="Book Antiqua"/>
        </w:rPr>
        <w:t xml:space="preserve"> </w:t>
      </w:r>
      <w:r>
        <w:rPr>
          <w:rFonts w:ascii="Book Antiqua" w:hAnsi="Book Antiqua" w:eastAsia="MS Gothic" w:cs="MS Gothic"/>
        </w:rPr>
        <w:t>Ž</w:t>
      </w:r>
      <w:r>
        <w:rPr>
          <w:rFonts w:ascii="Book Antiqua" w:hAnsi="Book Antiqua"/>
        </w:rPr>
        <w:t xml:space="preserve">upanc T, Petrovec M. Clinical Evaluation of the cobas SARS-CoV-2 Test and a Diagnostic Platform Switch during 48 Hours in the Midst of the COVID-19 Pandemic. </w:t>
      </w:r>
      <w:r>
        <w:rPr>
          <w:rFonts w:ascii="Book Antiqua" w:hAnsi="Book Antiqua"/>
          <w:i/>
          <w:iCs/>
        </w:rPr>
        <w:t>J Clin Microbiol</w:t>
      </w:r>
      <w:r>
        <w:rPr>
          <w:rFonts w:ascii="Book Antiqua" w:hAnsi="Book Antiqua"/>
        </w:rPr>
        <w:t xml:space="preserve"> 2020; </w:t>
      </w:r>
      <w:r>
        <w:rPr>
          <w:rFonts w:ascii="Book Antiqua" w:hAnsi="Book Antiqua"/>
          <w:b/>
          <w:bCs/>
        </w:rPr>
        <w:t>58</w:t>
      </w:r>
      <w:r>
        <w:rPr>
          <w:rFonts w:ascii="Book Antiqua" w:hAnsi="Book Antiqua"/>
        </w:rPr>
        <w:t xml:space="preserve"> [PMID: 32277022 DOI: 10.1128/jcm.00599-20]</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Chan JF</w:t>
      </w:r>
      <w:r>
        <w:rPr>
          <w:rFonts w:ascii="Book Antiqua" w:hAnsi="Book Antiqua"/>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514-523 [PMID: 31986261 DOI: 10.1016/S0140-6736(20)30154-9]</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Kubista M</w:t>
      </w:r>
      <w:r>
        <w:rPr>
          <w:rFonts w:ascii="Book Antiqua" w:hAnsi="Book Antiqua"/>
        </w:rPr>
        <w:t xml:space="preserve">, Andrade JM, Bengtsson M, Forootan A, Jonák J, Lind K, Sindelka R, Sjöback R, Sjögreen B, Strömbom L, Ståhlberg A, Zoric N. The real-time polymerase chain reaction. </w:t>
      </w:r>
      <w:r>
        <w:rPr>
          <w:rFonts w:ascii="Book Antiqua" w:hAnsi="Book Antiqua"/>
          <w:i/>
          <w:iCs/>
        </w:rPr>
        <w:t>Mol Aspects Med</w:t>
      </w:r>
      <w:r>
        <w:rPr>
          <w:rFonts w:ascii="Book Antiqua" w:hAnsi="Book Antiqua"/>
        </w:rPr>
        <w:t xml:space="preserve"> 2006; </w:t>
      </w:r>
      <w:r>
        <w:rPr>
          <w:rFonts w:ascii="Book Antiqua" w:hAnsi="Book Antiqua"/>
          <w:b/>
          <w:bCs/>
        </w:rPr>
        <w:t>27</w:t>
      </w:r>
      <w:r>
        <w:rPr>
          <w:rFonts w:ascii="Book Antiqua" w:hAnsi="Book Antiqua"/>
        </w:rPr>
        <w:t>: 95-125 [PMID: 16460794 DOI: 10.1016/j.mam.2005.12.007]</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Xing YH</w:t>
      </w:r>
      <w:r>
        <w:rPr>
          <w:rFonts w:ascii="Book Antiqua" w:hAnsi="Book Antiqua"/>
        </w:rPr>
        <w:t xml:space="preserve">, Ni W, Wu Q, Li WJ, Li GJ, Wang WD, Tong JN, Song XF, Wing-Kin Wong G, Xing QS. Prolonged viral shedding in feces of pediatric patients with coronavirus disease 2019. </w:t>
      </w:r>
      <w:r>
        <w:rPr>
          <w:rFonts w:ascii="Book Antiqua" w:hAnsi="Book Antiqua"/>
          <w:i/>
          <w:iCs/>
        </w:rPr>
        <w:t>J Microbiol Immunol Infect</w:t>
      </w:r>
      <w:r>
        <w:rPr>
          <w:rFonts w:ascii="Book Antiqua" w:hAnsi="Book Antiqua"/>
        </w:rPr>
        <w:t xml:space="preserve"> 2020; </w:t>
      </w:r>
      <w:r>
        <w:rPr>
          <w:rFonts w:ascii="Book Antiqua" w:hAnsi="Book Antiqua"/>
          <w:b/>
          <w:bCs/>
        </w:rPr>
        <w:t>53</w:t>
      </w:r>
      <w:r>
        <w:rPr>
          <w:rFonts w:ascii="Book Antiqua" w:hAnsi="Book Antiqua"/>
        </w:rPr>
        <w:t>: 473-480 [PMID: 32276848 DOI: 10.1016/j.jmii.2020.03.021]</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Wu Y</w:t>
      </w:r>
      <w:r>
        <w:rPr>
          <w:rFonts w:ascii="Book Antiqua" w:hAnsi="Book Antiqua"/>
        </w:rPr>
        <w:t xml:space="preserve">, Guo C, Tang L, Hong Z, Zhou J, Dong X, Yin H, Xiao Q, Tang Y, Qu X, Kuang L, Fang X, Mishra N, Lu J, Shan H, Jiang G, Huang X. Prolonged presence of SARS-CoV-2 viral RNA in faecal samples.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434-435 [PMID: 32199469 DOI: 10.1016/S2468-1253(20)30083-2]</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Shen M</w:t>
      </w:r>
      <w:r>
        <w:rPr>
          <w:rFonts w:ascii="Book Antiqua" w:hAnsi="Book Antiqua"/>
        </w:rPr>
        <w:t xml:space="preserve">, Zhou Y, Ye J, Abdullah Al-Maskri AA, Kang Y, Zeng S, Cai S. Recent advances and perspectives of nucleic acid detection for coronavirus. </w:t>
      </w:r>
      <w:r>
        <w:rPr>
          <w:rFonts w:ascii="Book Antiqua" w:hAnsi="Book Antiqua"/>
          <w:i/>
          <w:iCs/>
        </w:rPr>
        <w:t>J Pharm Anal</w:t>
      </w:r>
      <w:r>
        <w:rPr>
          <w:rFonts w:ascii="Book Antiqua" w:hAnsi="Book Antiqua"/>
        </w:rPr>
        <w:t xml:space="preserve"> 2020; </w:t>
      </w:r>
      <w:r>
        <w:rPr>
          <w:rFonts w:ascii="Book Antiqua" w:hAnsi="Book Antiqua"/>
          <w:b/>
          <w:bCs/>
        </w:rPr>
        <w:t>10</w:t>
      </w:r>
      <w:r>
        <w:rPr>
          <w:rFonts w:ascii="Book Antiqua" w:hAnsi="Book Antiqua"/>
        </w:rPr>
        <w:t>: 97-101 [PMID: 32292623 DOI: 10.1016/j.jpha.2020.02.010]</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Suo T</w:t>
      </w:r>
      <w:r>
        <w:rPr>
          <w:rFonts w:ascii="Book Antiqua" w:hAnsi="Book Antiqua"/>
        </w:rPr>
        <w:t xml:space="preserve">, Liu X, Feng J, Guo M, Hu W, Guo D, Ullah H, Yang Y, Zhang Q, Wang X, Sajid M, Huang Z, Deng L, Chen T, Liu F, Xu K, Liu Y, Zhang Q, Liu Y, Xiong Y, Chen G, Lan K, Chen Y. ddPCR: a more accurate tool for SARS-CoV-2 detection in low viral load specimens. </w:t>
      </w:r>
      <w:r>
        <w:rPr>
          <w:rFonts w:ascii="Book Antiqua" w:hAnsi="Book Antiqua"/>
          <w:i/>
          <w:iCs/>
        </w:rPr>
        <w:t>Emerg Microbes Infect</w:t>
      </w:r>
      <w:r>
        <w:rPr>
          <w:rFonts w:ascii="Book Antiqua" w:hAnsi="Book Antiqua"/>
        </w:rPr>
        <w:t xml:space="preserve"> 2020; </w:t>
      </w:r>
      <w:r>
        <w:rPr>
          <w:rFonts w:ascii="Book Antiqua" w:hAnsi="Book Antiqua"/>
          <w:b/>
          <w:bCs/>
        </w:rPr>
        <w:t>9</w:t>
      </w:r>
      <w:r>
        <w:rPr>
          <w:rFonts w:ascii="Book Antiqua" w:hAnsi="Book Antiqua"/>
        </w:rPr>
        <w:t>: 1259-1268 [PMID: 32438868 DOI: 10.1080/22221751.2020.1772678]</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van Kasteren PB</w:t>
      </w:r>
      <w:r>
        <w:rPr>
          <w:rFonts w:ascii="Book Antiqua" w:hAnsi="Book Antiqua"/>
        </w:rPr>
        <w:t xml:space="preserve">, van der Veer B, van den Brink S, Wijsman L, de Jonge J, van den Brandt A, Molenkamp R, Reusken CBEM, Meijer A. Comparison of seven commercial RT-PCR diagnostic kits for COVID-19. </w:t>
      </w:r>
      <w:r>
        <w:rPr>
          <w:rFonts w:ascii="Book Antiqua" w:hAnsi="Book Antiqua"/>
          <w:i/>
          <w:iCs/>
        </w:rPr>
        <w:t>J Clin Virol</w:t>
      </w:r>
      <w:r>
        <w:rPr>
          <w:rFonts w:ascii="Book Antiqua" w:hAnsi="Book Antiqua"/>
        </w:rPr>
        <w:t xml:space="preserve"> 2020; </w:t>
      </w:r>
      <w:r>
        <w:rPr>
          <w:rFonts w:ascii="Book Antiqua" w:hAnsi="Book Antiqua"/>
          <w:b/>
          <w:bCs/>
        </w:rPr>
        <w:t>128</w:t>
      </w:r>
      <w:r>
        <w:rPr>
          <w:rFonts w:ascii="Book Antiqua" w:hAnsi="Book Antiqua"/>
        </w:rPr>
        <w:t>: 104412 [PMID: 32416600 DOI: 10.1016/j.jcv.2020.104412]</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Li Y</w:t>
      </w:r>
      <w:r>
        <w:rPr>
          <w:rFonts w:ascii="Book Antiqua" w:hAnsi="Book Antiqua"/>
        </w:rPr>
        <w:t xml:space="preserve">, Yao L, Li J, Chen L, Song Y, Cai Z, Yang C. Stability issues of RT-PCR testing of SARS-CoV-2 for hospitalized patients clinically diagnosed with COVID-19.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903-908 [PMID: 32219885 DOI: 10.1002/jmv.25786]</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Wang Y</w:t>
      </w:r>
      <w:r>
        <w:rPr>
          <w:rFonts w:ascii="Book Antiqua" w:hAnsi="Book Antiqua"/>
        </w:rPr>
        <w:t xml:space="preserve">, Kang H, Liu X, Tong Z. Combination of RT-qPCR testing and clinical features for diagnosis of COVID-19 facilitates management of SARS-CoV-2 outbreak.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538-539 [PMID: 32096564 DOI: 10.1002/jmv.25721]</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Liu W</w:t>
      </w:r>
      <w:r>
        <w:rPr>
          <w:rFonts w:ascii="Book Antiqua" w:hAnsi="Book Antiqua"/>
        </w:rPr>
        <w:t xml:space="preserve">, Liu L, Kou G, Zheng Y, Ding Y, Ni W, Wang Q, Tan L, Wu W, Tang S, Xiong Z, Zheng S. Evaluation of Nucleocapsid and Spike Protein-Based Enzyme-Linked Immunosorbent Assays for Detecting Antibodies against SARS-CoV-2. </w:t>
      </w:r>
      <w:r>
        <w:rPr>
          <w:rFonts w:ascii="Book Antiqua" w:hAnsi="Book Antiqua"/>
          <w:i/>
          <w:iCs/>
        </w:rPr>
        <w:t>J Clin Microbiol</w:t>
      </w:r>
      <w:r>
        <w:rPr>
          <w:rFonts w:ascii="Book Antiqua" w:hAnsi="Book Antiqua"/>
        </w:rPr>
        <w:t xml:space="preserve"> 2020; </w:t>
      </w:r>
      <w:r>
        <w:rPr>
          <w:rFonts w:ascii="Book Antiqua" w:hAnsi="Book Antiqua"/>
          <w:b/>
          <w:bCs/>
        </w:rPr>
        <w:t>58</w:t>
      </w:r>
      <w:r>
        <w:rPr>
          <w:rFonts w:ascii="Book Antiqua" w:hAnsi="Book Antiqua"/>
        </w:rPr>
        <w:t xml:space="preserve"> [PMID: 32229605 DOI: 10.1128/jcm.00461-20]</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Cai XF</w:t>
      </w:r>
      <w:r>
        <w:rPr>
          <w:rFonts w:ascii="Book Antiqua" w:hAnsi="Book Antiqua"/>
        </w:rPr>
        <w:t xml:space="preserve">, Chen J, Li Hu J, Long QX, Deng HJ, Liu P, Fan K, Liao P, Liu BZ, Wu GC, Chen YK, Li ZJ, Wang K, Zhang XL, Tian WG, Xiang JL, Du HX, Wang J, Hu Y, Tang N, Lin Y, Ren JH, Huang LY, Wei J, Gan CY, Chen YM, Gao QZ, Chen AM, He CL, Wang DX, Hu P, Zhou FC, Huang AL, Wang DQ. A Peptide-Based Magnetic Chemiluminescence Enzyme Immunoassay for Serological Diagnosis of Coronavirus Disease 2019. </w:t>
      </w:r>
      <w:r>
        <w:rPr>
          <w:rFonts w:ascii="Book Antiqua" w:hAnsi="Book Antiqua"/>
          <w:i/>
          <w:iCs/>
        </w:rPr>
        <w:t>J Infect Dis</w:t>
      </w:r>
      <w:r>
        <w:rPr>
          <w:rFonts w:ascii="Book Antiqua" w:hAnsi="Book Antiqua"/>
        </w:rPr>
        <w:t xml:space="preserve"> 2020; </w:t>
      </w:r>
      <w:r>
        <w:rPr>
          <w:rFonts w:ascii="Book Antiqua" w:hAnsi="Book Antiqua"/>
          <w:b/>
          <w:bCs/>
        </w:rPr>
        <w:t>222</w:t>
      </w:r>
      <w:r>
        <w:rPr>
          <w:rFonts w:ascii="Book Antiqua" w:hAnsi="Book Antiqua"/>
        </w:rPr>
        <w:t>: 189-193 [PMID: 32382737 DOI: 10.1093/infdis/jiaa243]</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Montesinos I</w:t>
      </w:r>
      <w:r>
        <w:rPr>
          <w:rFonts w:ascii="Book Antiqua" w:hAnsi="Book Antiqua"/>
        </w:rPr>
        <w:t xml:space="preserve">, Gruson D, Kabamba B, Dahma H, Van den Wijngaert S, Reza S, Carbone V, Vandenberg O, Gulbis B, Wolff F, Rodriguez-Villalobos H. Evaluation of two automated and three rapid lateral flow immunoassays for the detection of anti-SARS-CoV-2 antibodies. </w:t>
      </w:r>
      <w:r>
        <w:rPr>
          <w:rFonts w:ascii="Book Antiqua" w:hAnsi="Book Antiqua"/>
          <w:i/>
          <w:iCs/>
        </w:rPr>
        <w:t>J Clin Virol</w:t>
      </w:r>
      <w:r>
        <w:rPr>
          <w:rFonts w:ascii="Book Antiqua" w:hAnsi="Book Antiqua"/>
        </w:rPr>
        <w:t xml:space="preserve"> 2020; </w:t>
      </w:r>
      <w:r>
        <w:rPr>
          <w:rFonts w:ascii="Book Antiqua" w:hAnsi="Book Antiqua"/>
          <w:b/>
          <w:bCs/>
        </w:rPr>
        <w:t>128</w:t>
      </w:r>
      <w:r>
        <w:rPr>
          <w:rFonts w:ascii="Book Antiqua" w:hAnsi="Book Antiqua"/>
        </w:rPr>
        <w:t>: 104413 [PMID: 32403010 DOI: 10.1016/j.jcv.2020.104413]</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Österdahl MF</w:t>
      </w:r>
      <w:r>
        <w:rPr>
          <w:rFonts w:ascii="Book Antiqua" w:hAnsi="Book Antiqua"/>
        </w:rPr>
        <w:t xml:space="preserve">, Lee KA, Lochlainn MN, Wilson S, Douthwaite S, Horsfall R, Sheedy A, Goldenberg SD, Stanley CJ, Spector TD, Steves CJ. Detecting SARS-CoV-2 at point of care: preliminary data comparing loop-mediated isothermal amplification (LAMP) to polymerase chain reaction (PCR). </w:t>
      </w:r>
      <w:r>
        <w:rPr>
          <w:rFonts w:ascii="Book Antiqua" w:hAnsi="Book Antiqua"/>
          <w:i/>
          <w:iCs/>
        </w:rPr>
        <w:t>BMC Infect Dis</w:t>
      </w:r>
      <w:r>
        <w:rPr>
          <w:rFonts w:ascii="Book Antiqua" w:hAnsi="Book Antiqua"/>
        </w:rPr>
        <w:t xml:space="preserve"> 2020; </w:t>
      </w:r>
      <w:r>
        <w:rPr>
          <w:rFonts w:ascii="Book Antiqua" w:hAnsi="Book Antiqua"/>
          <w:b/>
          <w:bCs/>
        </w:rPr>
        <w:t>20</w:t>
      </w:r>
      <w:r>
        <w:rPr>
          <w:rFonts w:ascii="Book Antiqua" w:hAnsi="Book Antiqua"/>
        </w:rPr>
        <w:t>: 783 [PMID: 33081710 DOI: 10.1186/s12879-020-05484-8]</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Dao Thi VL</w:t>
      </w:r>
      <w:r>
        <w:rPr>
          <w:rFonts w:ascii="Book Antiqua" w:hAnsi="Book Antiqua"/>
        </w:rPr>
        <w:t xml:space="preserve">, Herbst K, Boerner K, Meurer M, Kremer LP, Kirrmaier D, Freistaedter A, Papagiannidis D, Galmozzi C, Stanifer ML, Boulant S, Klein S, Chlanda P, Khalid D, Barreto Miranda I, Schnitzler P, Kräusslich HG, Knop M, Anders S. A colorimetric RT-LAMP assay and LAMP-sequencing for detecting SARS-CoV-2 RNA in clinical samples. </w:t>
      </w:r>
      <w:r>
        <w:rPr>
          <w:rFonts w:ascii="Book Antiqua" w:hAnsi="Book Antiqua"/>
          <w:i/>
          <w:iCs/>
        </w:rPr>
        <w:t>Sci Transl Med</w:t>
      </w:r>
      <w:r>
        <w:rPr>
          <w:rFonts w:ascii="Book Antiqua" w:hAnsi="Book Antiqua"/>
        </w:rPr>
        <w:t xml:space="preserve"> 2020; </w:t>
      </w:r>
      <w:r>
        <w:rPr>
          <w:rFonts w:ascii="Book Antiqua" w:hAnsi="Book Antiqua"/>
          <w:b/>
          <w:bCs/>
        </w:rPr>
        <w:t>12</w:t>
      </w:r>
      <w:r>
        <w:rPr>
          <w:rFonts w:ascii="Book Antiqua" w:hAnsi="Book Antiqua"/>
        </w:rPr>
        <w:t xml:space="preserve"> [PMID: 32719001 DOI: 10.1126/scitranslmed.abc7075]</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Ai T</w:t>
      </w:r>
      <w:r>
        <w:rPr>
          <w:rFonts w:ascii="Book Antiqua" w:hAnsi="Book Antiqua"/>
        </w:rPr>
        <w:t xml:space="preserve">, Yang Z, Hou H, Zhan C, Chen C, Lv W, Tao Q, Sun Z, Xia L. Correlation of Chest CT and RT-PCR Testing for Coronavirus Disease 2019 (COVID-19) in China: A Report of 1014 Cases. </w:t>
      </w:r>
      <w:r>
        <w:rPr>
          <w:rFonts w:ascii="Book Antiqua" w:hAnsi="Book Antiqua"/>
          <w:i/>
          <w:iCs/>
        </w:rPr>
        <w:t>Radiology</w:t>
      </w:r>
      <w:r>
        <w:rPr>
          <w:rFonts w:ascii="Book Antiqua" w:hAnsi="Book Antiqua"/>
        </w:rPr>
        <w:t xml:space="preserve"> 2020; </w:t>
      </w:r>
      <w:r>
        <w:rPr>
          <w:rFonts w:ascii="Book Antiqua" w:hAnsi="Book Antiqua"/>
          <w:b/>
          <w:bCs/>
        </w:rPr>
        <w:t>296</w:t>
      </w:r>
      <w:r>
        <w:rPr>
          <w:rFonts w:ascii="Book Antiqua" w:hAnsi="Book Antiqua"/>
        </w:rPr>
        <w:t>: E32-E40 [PMID: 32101510 DOI: 10.1148/radiol.2020200642]</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Notomi T</w:t>
      </w:r>
      <w:r>
        <w:rPr>
          <w:rFonts w:ascii="Book Antiqua" w:hAnsi="Book Antiqua"/>
        </w:rPr>
        <w:t xml:space="preserve">, Okayama H, Masubuchi H, Yonekawa T, Watanabe K, Amino N, Hase T. Loop-mediated isothermal amplification of DNA. </w:t>
      </w:r>
      <w:r>
        <w:rPr>
          <w:rFonts w:ascii="Book Antiqua" w:hAnsi="Book Antiqua"/>
          <w:i/>
          <w:iCs/>
        </w:rPr>
        <w:t>Nucleic Acids Res</w:t>
      </w:r>
      <w:r>
        <w:rPr>
          <w:rFonts w:ascii="Book Antiqua" w:hAnsi="Book Antiqua"/>
        </w:rPr>
        <w:t xml:space="preserve"> 2000; </w:t>
      </w:r>
      <w:r>
        <w:rPr>
          <w:rFonts w:ascii="Book Antiqua" w:hAnsi="Book Antiqua"/>
          <w:b/>
          <w:bCs/>
        </w:rPr>
        <w:t>28</w:t>
      </w:r>
      <w:r>
        <w:rPr>
          <w:rFonts w:ascii="Book Antiqua" w:hAnsi="Book Antiqua"/>
        </w:rPr>
        <w:t>: E63 [PMID: 10871386 DOI: 10.1093/nar/28.12.e63]</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Tanner NA</w:t>
      </w:r>
      <w:r>
        <w:rPr>
          <w:rFonts w:ascii="Book Antiqua" w:hAnsi="Book Antiqua"/>
        </w:rPr>
        <w:t xml:space="preserve">, Zhang Y, Evans TC Jr. Visual detection of isothermal nucleic acid amplification using pH-sensitive dyes. </w:t>
      </w:r>
      <w:r>
        <w:rPr>
          <w:rFonts w:ascii="Book Antiqua" w:hAnsi="Book Antiqua"/>
          <w:i/>
          <w:iCs/>
        </w:rPr>
        <w:t>Biotechniques</w:t>
      </w:r>
      <w:r>
        <w:rPr>
          <w:rFonts w:ascii="Book Antiqua" w:hAnsi="Book Antiqua"/>
        </w:rPr>
        <w:t xml:space="preserve"> 2015; </w:t>
      </w:r>
      <w:r>
        <w:rPr>
          <w:rFonts w:ascii="Book Antiqua" w:hAnsi="Book Antiqua"/>
          <w:b/>
          <w:bCs/>
        </w:rPr>
        <w:t>58</w:t>
      </w:r>
      <w:r>
        <w:rPr>
          <w:rFonts w:ascii="Book Antiqua" w:hAnsi="Book Antiqua"/>
        </w:rPr>
        <w:t>: 59-68 [PMID: 25652028 DOI: 10.2144/000114253]</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Tomita N</w:t>
      </w:r>
      <w:r>
        <w:rPr>
          <w:rFonts w:ascii="Book Antiqua" w:hAnsi="Book Antiqua"/>
        </w:rPr>
        <w:t xml:space="preserve">, Mori Y, Kanda H, Notomi T. Loop-mediated isothermal amplification (LAMP) of gene sequences and simple visual detection of products. </w:t>
      </w:r>
      <w:r>
        <w:rPr>
          <w:rFonts w:ascii="Book Antiqua" w:hAnsi="Book Antiqua"/>
          <w:i/>
          <w:iCs/>
        </w:rPr>
        <w:t>Nat Protoc</w:t>
      </w:r>
      <w:r>
        <w:rPr>
          <w:rFonts w:ascii="Book Antiqua" w:hAnsi="Book Antiqua"/>
        </w:rPr>
        <w:t xml:space="preserve"> 2008; </w:t>
      </w:r>
      <w:r>
        <w:rPr>
          <w:rFonts w:ascii="Book Antiqua" w:hAnsi="Book Antiqua"/>
          <w:b/>
          <w:bCs/>
        </w:rPr>
        <w:t>3</w:t>
      </w:r>
      <w:r>
        <w:rPr>
          <w:rFonts w:ascii="Book Antiqua" w:hAnsi="Book Antiqua"/>
        </w:rPr>
        <w:t>: 877-882 [PMID: 18451795 DOI: 10.1038/nprot.2008.57]</w:t>
      </w:r>
    </w:p>
    <w:p>
      <w:pPr>
        <w:pStyle w:val="6"/>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Nie K</w:t>
      </w:r>
      <w:r>
        <w:rPr>
          <w:rFonts w:ascii="Book Antiqua" w:hAnsi="Book Antiqua"/>
        </w:rPr>
        <w:t xml:space="preserve">, Qi SX, Zhang Y, Luo L, Xie Y, Yang MJ, Zhang Y, Li J, Shen H, Li Q, Ma XJ. Evaluation of a direct reverse transcription loop-mediated isothermal amplification method without RNA extraction for the detection of human enterovirus 71 subgenotype C4 in nasopharyngeal swab specimens.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e52486 [PMID: 23272248 DOI: 10.1371/journal.pone.0052486]</w:t>
      </w:r>
    </w:p>
    <w:p>
      <w:pPr>
        <w:pStyle w:val="6"/>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Lu R</w:t>
      </w:r>
      <w:r>
        <w:rPr>
          <w:rFonts w:ascii="Book Antiqua" w:hAnsi="Book Antiqua"/>
        </w:rPr>
        <w:t xml:space="preserve">, Wu X, Wan Z, Li Y, Jin X, Zhang C. A Novel Reverse Transcription Loop-Mediated Isothermal Amplification Method for Rapid Detection of SARS-CoV-2.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32325642 DOI: 10.3390/ijms21082826]</w:t>
      </w:r>
    </w:p>
    <w:p>
      <w:pPr>
        <w:pStyle w:val="6"/>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Huang WE</w:t>
      </w:r>
      <w:r>
        <w:rPr>
          <w:rFonts w:ascii="Book Antiqua" w:hAnsi="Book Antiqua"/>
        </w:rPr>
        <w:t xml:space="preserve">, Lim B, Hsu CC, Xiong D, Wu W, Yu Y, Jia H, Wang Y, Zeng Y, Ji M, Chang H, Zhang X, Wang H, Cui Z. RT-LAMP for rapid diagnosis of coronavirus SARS-CoV-2. </w:t>
      </w:r>
      <w:r>
        <w:rPr>
          <w:rFonts w:ascii="Book Antiqua" w:hAnsi="Book Antiqua"/>
          <w:i/>
          <w:iCs/>
        </w:rPr>
        <w:t>Microb Biotechnol</w:t>
      </w:r>
      <w:r>
        <w:rPr>
          <w:rFonts w:ascii="Book Antiqua" w:hAnsi="Book Antiqua"/>
        </w:rPr>
        <w:t xml:space="preserve"> 2020; </w:t>
      </w:r>
      <w:r>
        <w:rPr>
          <w:rFonts w:ascii="Book Antiqua" w:hAnsi="Book Antiqua"/>
          <w:b/>
          <w:bCs/>
        </w:rPr>
        <w:t>13</w:t>
      </w:r>
      <w:r>
        <w:rPr>
          <w:rFonts w:ascii="Book Antiqua" w:hAnsi="Book Antiqua"/>
        </w:rPr>
        <w:t>: 950-961 [PMID: 32333644 DOI: 10.1111/1751-7915.13586]</w:t>
      </w:r>
    </w:p>
    <w:p>
      <w:pPr>
        <w:pStyle w:val="6"/>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Yan C</w:t>
      </w:r>
      <w:r>
        <w:rPr>
          <w:rFonts w:ascii="Book Antiqua" w:hAnsi="Book Antiqua"/>
        </w:rPr>
        <w:t xml:space="preserve">, Cui J, Huang L, Du B, Chen L, Xue G, Li S, Zhang W, Zhao L, Sun Y, Yao H, Li N, Zhao H, Feng Y, Liu S, Zhang Q, Liu D, Yuan J. Rapid and visual detection of 2019 novel coronavirus (SARS-CoV-2) by a reverse transcription loop-mediated isothermal amplification assay. </w:t>
      </w:r>
      <w:r>
        <w:rPr>
          <w:rFonts w:ascii="Book Antiqua" w:hAnsi="Book Antiqua"/>
          <w:i/>
          <w:iCs/>
        </w:rPr>
        <w:t>Clin Microbiol Infect</w:t>
      </w:r>
      <w:r>
        <w:rPr>
          <w:rFonts w:ascii="Book Antiqua" w:hAnsi="Book Antiqua"/>
        </w:rPr>
        <w:t xml:space="preserve"> 2020; </w:t>
      </w:r>
      <w:r>
        <w:rPr>
          <w:rFonts w:ascii="Book Antiqua" w:hAnsi="Book Antiqua"/>
          <w:b/>
          <w:bCs/>
        </w:rPr>
        <w:t>26</w:t>
      </w:r>
      <w:r>
        <w:rPr>
          <w:rFonts w:ascii="Book Antiqua" w:hAnsi="Book Antiqua"/>
        </w:rPr>
        <w:t>: 773-779 [PMID: 32276116 DOI: 10.1016/j.cmi.2020.04.001]</w:t>
      </w:r>
    </w:p>
    <w:p>
      <w:pPr>
        <w:pStyle w:val="6"/>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Baek YH</w:t>
      </w:r>
      <w:r>
        <w:rPr>
          <w:rFonts w:ascii="Book Antiqua" w:hAnsi="Book Antiqua"/>
        </w:rPr>
        <w:t xml:space="preserve">, Um J, Antigua KJC, Park JH, Kim Y, Oh S, Kim YI, Choi WS, Kim SG, Jeong JH, Chin BS, Nicolas HDG, Ahn JY, Shin KS, Choi YK, Park JS, Song MS. Development of a reverse transcription-loop-mediated isothermal amplification as a rapid early-detection method for novel SARS-CoV-2. </w:t>
      </w:r>
      <w:r>
        <w:rPr>
          <w:rFonts w:ascii="Book Antiqua" w:hAnsi="Book Antiqua"/>
          <w:i/>
          <w:iCs/>
        </w:rPr>
        <w:t>Emerg Microbes Infect</w:t>
      </w:r>
      <w:r>
        <w:rPr>
          <w:rFonts w:ascii="Book Antiqua" w:hAnsi="Book Antiqua"/>
        </w:rPr>
        <w:t xml:space="preserve"> 2020; </w:t>
      </w:r>
      <w:r>
        <w:rPr>
          <w:rFonts w:ascii="Book Antiqua" w:hAnsi="Book Antiqua"/>
          <w:b/>
          <w:bCs/>
        </w:rPr>
        <w:t>9</w:t>
      </w:r>
      <w:r>
        <w:rPr>
          <w:rFonts w:ascii="Book Antiqua" w:hAnsi="Book Antiqua"/>
        </w:rPr>
        <w:t>: 998-1007 [PMID: 32306853 DOI: 10.1080/22221751.2020.1756698]</w:t>
      </w:r>
    </w:p>
    <w:p>
      <w:pPr>
        <w:pStyle w:val="6"/>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Mautner L</w:t>
      </w:r>
      <w:r>
        <w:rPr>
          <w:rFonts w:ascii="Book Antiqua" w:hAnsi="Book Antiqua"/>
        </w:rPr>
        <w:t xml:space="preserve">, Baillie CK, Herold HM, Volkwein W, Guertler P, Eberle U, Ackermann N, Sing A, Pavlovic M, Goerlich O, Busch U, Wassill L, Huber I, Baiker A. Rapid point-of-care detection of SARS-CoV-2 using reverse transcription loop-mediated isothermal amplification (RT-LAMP). </w:t>
      </w:r>
      <w:r>
        <w:rPr>
          <w:rFonts w:ascii="Book Antiqua" w:hAnsi="Book Antiqua"/>
          <w:i/>
          <w:iCs/>
        </w:rPr>
        <w:t>Virol J</w:t>
      </w:r>
      <w:r>
        <w:rPr>
          <w:rFonts w:ascii="Book Antiqua" w:hAnsi="Book Antiqua"/>
        </w:rPr>
        <w:t xml:space="preserve"> 2020; </w:t>
      </w:r>
      <w:r>
        <w:rPr>
          <w:rFonts w:ascii="Book Antiqua" w:hAnsi="Book Antiqua"/>
          <w:b/>
          <w:bCs/>
        </w:rPr>
        <w:t>17</w:t>
      </w:r>
      <w:r>
        <w:rPr>
          <w:rFonts w:ascii="Book Antiqua" w:hAnsi="Book Antiqua"/>
        </w:rPr>
        <w:t>: 160 [PMID: 33087160 DOI: 10.1186/s12985-020-01435-6]</w:t>
      </w:r>
    </w:p>
    <w:p>
      <w:pPr>
        <w:pStyle w:val="6"/>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Mustafa Hellou M</w:t>
      </w:r>
      <w:r>
        <w:rPr>
          <w:rFonts w:ascii="Book Antiqua" w:hAnsi="Book Antiqua"/>
        </w:rPr>
        <w:t xml:space="preserve">, Górska A, Mazzaferri F, Cremonini E, Gentilotti E, De Nardo P, Poran I, Leeflang MM, Tacconelli E, Paul M. Nucleic acid amplification tests on respiratory samples for the diagnosis of coronavirus infections: a systematic review and meta-analysis. </w:t>
      </w:r>
      <w:r>
        <w:rPr>
          <w:rFonts w:ascii="Book Antiqua" w:hAnsi="Book Antiqua"/>
          <w:i/>
          <w:iCs/>
        </w:rPr>
        <w:t>Clin Microbiol Infect</w:t>
      </w:r>
      <w:r>
        <w:rPr>
          <w:rFonts w:ascii="Book Antiqua" w:hAnsi="Book Antiqua"/>
        </w:rPr>
        <w:t xml:space="preserve"> 2021; </w:t>
      </w:r>
      <w:r>
        <w:rPr>
          <w:rFonts w:ascii="Book Antiqua" w:hAnsi="Book Antiqua"/>
          <w:b/>
          <w:bCs/>
        </w:rPr>
        <w:t>27</w:t>
      </w:r>
      <w:r>
        <w:rPr>
          <w:rFonts w:ascii="Book Antiqua" w:hAnsi="Book Antiqua"/>
        </w:rPr>
        <w:t>: 341-351 [PMID: 33188933 DOI: 10.1016/j.cmi.2020.11.002]</w:t>
      </w:r>
    </w:p>
    <w:p>
      <w:pPr>
        <w:pStyle w:val="6"/>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Li C</w:t>
      </w:r>
      <w:r>
        <w:rPr>
          <w:rFonts w:ascii="Book Antiqua" w:hAnsi="Book Antiqua"/>
        </w:rPr>
        <w:t xml:space="preserve">, Zhao C, Bao J, Tang B, Wang Y, Gu B. Laboratory diagnosis of coronavirus disease-2019 (COVID-19). </w:t>
      </w:r>
      <w:r>
        <w:rPr>
          <w:rFonts w:ascii="Book Antiqua" w:hAnsi="Book Antiqua"/>
          <w:i/>
          <w:iCs/>
        </w:rPr>
        <w:t>Clin Chim Acta</w:t>
      </w:r>
      <w:r>
        <w:rPr>
          <w:rFonts w:ascii="Book Antiqua" w:hAnsi="Book Antiqua"/>
        </w:rPr>
        <w:t xml:space="preserve"> 2020; </w:t>
      </w:r>
      <w:r>
        <w:rPr>
          <w:rFonts w:ascii="Book Antiqua" w:hAnsi="Book Antiqua"/>
          <w:b/>
          <w:bCs/>
        </w:rPr>
        <w:t>510</w:t>
      </w:r>
      <w:r>
        <w:rPr>
          <w:rFonts w:ascii="Book Antiqua" w:hAnsi="Book Antiqua"/>
        </w:rPr>
        <w:t>: 35-46 [PMID: 32621814 DOI: 10.1016/j.cca.2020.06.045]</w:t>
      </w:r>
    </w:p>
    <w:p>
      <w:pPr>
        <w:pStyle w:val="6"/>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Tang MS</w:t>
      </w:r>
      <w:r>
        <w:rPr>
          <w:rFonts w:ascii="Book Antiqua" w:hAnsi="Book Antiqua"/>
        </w:rPr>
        <w:t xml:space="preserve">, Hock KG, Logsdon NM, Hayes JE, Gronowski AM, Anderson NW, Farnsworth CW. Clinical Performance of Two SARS-CoV-2 Serologic Assays. </w:t>
      </w:r>
      <w:r>
        <w:rPr>
          <w:rFonts w:ascii="Book Antiqua" w:hAnsi="Book Antiqua"/>
          <w:i/>
          <w:iCs/>
        </w:rPr>
        <w:t>Clin Chem</w:t>
      </w:r>
      <w:r>
        <w:rPr>
          <w:rFonts w:ascii="Book Antiqua" w:hAnsi="Book Antiqua"/>
        </w:rPr>
        <w:t xml:space="preserve"> 2020; </w:t>
      </w:r>
      <w:r>
        <w:rPr>
          <w:rFonts w:ascii="Book Antiqua" w:hAnsi="Book Antiqua"/>
          <w:b/>
          <w:bCs/>
        </w:rPr>
        <w:t>66</w:t>
      </w:r>
      <w:r>
        <w:rPr>
          <w:rFonts w:ascii="Book Antiqua" w:hAnsi="Book Antiqua"/>
        </w:rPr>
        <w:t>: 1055-1062 [PMID: 32402061 DOI: 10.1093/clinchem/hvaa120]</w:t>
      </w:r>
    </w:p>
    <w:p>
      <w:pPr>
        <w:pStyle w:val="6"/>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Long QX</w:t>
      </w:r>
      <w:r>
        <w:rPr>
          <w:rFonts w:ascii="Book Antiqua" w:hAnsi="Book Antiqua"/>
        </w:rPr>
        <w:t xml:space="preserve">, Tang XJ, Shi QL, Li Q, Deng HJ, Yuan J, Hu JL, Xu W, Zhang Y, Lv FJ, Su K, Zhang F, Gong J, Wu B, Liu XM, Li JJ, Qiu JF, Chen J, Huang AL. Clinical and immunological assessment of asymptomatic SARS-CoV-2 infections. </w:t>
      </w:r>
      <w:r>
        <w:rPr>
          <w:rFonts w:ascii="Book Antiqua" w:hAnsi="Book Antiqua"/>
          <w:i/>
          <w:iCs/>
        </w:rPr>
        <w:t>Nat Med</w:t>
      </w:r>
      <w:r>
        <w:rPr>
          <w:rFonts w:ascii="Book Antiqua" w:hAnsi="Book Antiqua"/>
        </w:rPr>
        <w:t xml:space="preserve"> 2020; </w:t>
      </w:r>
      <w:r>
        <w:rPr>
          <w:rFonts w:ascii="Book Antiqua" w:hAnsi="Book Antiqua"/>
          <w:b/>
          <w:bCs/>
        </w:rPr>
        <w:t>26</w:t>
      </w:r>
      <w:r>
        <w:rPr>
          <w:rFonts w:ascii="Book Antiqua" w:hAnsi="Book Antiqua"/>
        </w:rPr>
        <w:t>: 1200-1204 [PMID: 32555424 DOI: 10.1038/s41591-020-0965-6]</w:t>
      </w:r>
    </w:p>
    <w:p>
      <w:pPr>
        <w:pStyle w:val="6"/>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Nicol T</w:t>
      </w:r>
      <w:r>
        <w:rPr>
          <w:rFonts w:ascii="Book Antiqua" w:hAnsi="Book Antiqua"/>
        </w:rPr>
        <w:t xml:space="preserve">, Lefeuvre C, Serri O, Pivert A, Joubaud F, Dubée V, Kouatchet A, Ducancelle A, Lunel-Fabiani F, Le Guillou-Guillemette H. Assessment of SARS-CoV-2 serological tests for the diagnosis of COVID-19 through the evaluation of three immunoassays: Two automated immunoassays (Euroimmun and Abbott) and one rapid lateral flow immunoassay (NG Biotech). </w:t>
      </w:r>
      <w:r>
        <w:rPr>
          <w:rFonts w:ascii="Book Antiqua" w:hAnsi="Book Antiqua"/>
          <w:i/>
          <w:iCs/>
        </w:rPr>
        <w:t>J Clin Virol</w:t>
      </w:r>
      <w:r>
        <w:rPr>
          <w:rFonts w:ascii="Book Antiqua" w:hAnsi="Book Antiqua"/>
        </w:rPr>
        <w:t xml:space="preserve"> 2020; </w:t>
      </w:r>
      <w:r>
        <w:rPr>
          <w:rFonts w:ascii="Book Antiqua" w:hAnsi="Book Antiqua"/>
          <w:b/>
          <w:bCs/>
        </w:rPr>
        <w:t>129</w:t>
      </w:r>
      <w:r>
        <w:rPr>
          <w:rFonts w:ascii="Book Antiqua" w:hAnsi="Book Antiqua"/>
        </w:rPr>
        <w:t>: 104511 [PMID: 32593133 DOI: 10.1016/j.jcv.2020.104511]</w:t>
      </w:r>
    </w:p>
    <w:p>
      <w:pPr>
        <w:pStyle w:val="6"/>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Singh A</w:t>
      </w:r>
      <w:r>
        <w:rPr>
          <w:rFonts w:ascii="Book Antiqua" w:hAnsi="Book Antiqua"/>
        </w:rPr>
        <w:t xml:space="preserve">, Shaikh A, Singh R, Singh AK. COVID-19: From bench to bed side. </w:t>
      </w:r>
      <w:r>
        <w:rPr>
          <w:rFonts w:ascii="Book Antiqua" w:hAnsi="Book Antiqua"/>
          <w:i/>
          <w:iCs/>
        </w:rPr>
        <w:t>Diabetes Metab Syndr</w:t>
      </w:r>
      <w:r>
        <w:rPr>
          <w:rFonts w:ascii="Book Antiqua" w:hAnsi="Book Antiqua"/>
        </w:rPr>
        <w:t xml:space="preserve"> 2020; </w:t>
      </w:r>
      <w:r>
        <w:rPr>
          <w:rFonts w:ascii="Book Antiqua" w:hAnsi="Book Antiqua"/>
          <w:b/>
          <w:bCs/>
        </w:rPr>
        <w:t>14</w:t>
      </w:r>
      <w:r>
        <w:rPr>
          <w:rFonts w:ascii="Book Antiqua" w:hAnsi="Book Antiqua"/>
        </w:rPr>
        <w:t>: 277-281 [PMID: 32283498 DOI: 10.1016/j.dsx.2020.04.011]</w:t>
      </w:r>
    </w:p>
    <w:p>
      <w:pPr>
        <w:pStyle w:val="6"/>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Faccini-Martínez ÁA</w:t>
      </w:r>
      <w:r>
        <w:rPr>
          <w:rFonts w:ascii="Book Antiqua" w:hAnsi="Book Antiqua"/>
        </w:rPr>
        <w:t xml:space="preserve">, Rivero R, Garay E, García A, Mattar S, Botero Y, Galeano K, Miranda J, Martínez C, Guzmán C, Arrieta G, Contreras H, Kerguelen H, Moscote M, Brango E, Contreras V. Serological cross-reactivity using a SARS-CoV-2 ELISA test in acute Zika virus infection, Colombia. </w:t>
      </w:r>
      <w:r>
        <w:rPr>
          <w:rFonts w:ascii="Book Antiqua" w:hAnsi="Book Antiqua"/>
          <w:i/>
          <w:iCs/>
        </w:rPr>
        <w:t>Int J Infect Dis</w:t>
      </w:r>
      <w:r>
        <w:rPr>
          <w:rFonts w:ascii="Book Antiqua" w:hAnsi="Book Antiqua"/>
        </w:rPr>
        <w:t xml:space="preserve"> 2020; </w:t>
      </w:r>
      <w:r>
        <w:rPr>
          <w:rFonts w:ascii="Book Antiqua" w:hAnsi="Book Antiqua"/>
          <w:b/>
          <w:bCs/>
        </w:rPr>
        <w:t>101</w:t>
      </w:r>
      <w:r>
        <w:rPr>
          <w:rFonts w:ascii="Book Antiqua" w:hAnsi="Book Antiqua"/>
        </w:rPr>
        <w:t>: 191-193 [PMID: 33002616 DOI: 10.1016/j.ijid.2020.09.1451]</w:t>
      </w:r>
    </w:p>
    <w:p>
      <w:pPr>
        <w:pStyle w:val="6"/>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Deeks JJ</w:t>
      </w:r>
      <w:r>
        <w:rPr>
          <w:rFonts w:ascii="Book Antiqua" w:hAnsi="Book Antiqua"/>
        </w:rPr>
        <w:t xml:space="preserve">, Dinnes J, Takwoingi Y, Davenport C, Spijker R, Taylor-Phillips S, Adriano A, Beese S, Dretzke J, Ferrante di Ruffano L, Harris IM, Price MJ, Dittrich S, Emperador D, Hooft L, Leeflang MM, Van den Bruel A; Cochrane COVID-19 Diagnostic Test Accuracy Group. Antibody tests for identification of current and past infection with SARS-CoV-2. </w:t>
      </w:r>
      <w:r>
        <w:rPr>
          <w:rFonts w:ascii="Book Antiqua" w:hAnsi="Book Antiqua"/>
          <w:i/>
          <w:iCs/>
        </w:rPr>
        <w:t>Cochrane Database Syst Rev</w:t>
      </w:r>
      <w:r>
        <w:rPr>
          <w:rFonts w:ascii="Book Antiqua" w:hAnsi="Book Antiqua"/>
        </w:rPr>
        <w:t xml:space="preserve"> 2020; </w:t>
      </w:r>
      <w:r>
        <w:rPr>
          <w:rFonts w:ascii="Book Antiqua" w:hAnsi="Book Antiqua"/>
          <w:b/>
          <w:bCs/>
        </w:rPr>
        <w:t>6</w:t>
      </w:r>
      <w:r>
        <w:rPr>
          <w:rFonts w:ascii="Book Antiqua" w:hAnsi="Book Antiqua"/>
        </w:rPr>
        <w:t>: CD013652 [PMID: 32584464 DOI: 10.1002/14651858.CD013652]</w:t>
      </w:r>
    </w:p>
    <w:p>
      <w:pPr>
        <w:pStyle w:val="6"/>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Lisboa Bastos M</w:t>
      </w:r>
      <w:r>
        <w:rPr>
          <w:rFonts w:ascii="Book Antiqua" w:hAnsi="Book Antiqua"/>
        </w:rPr>
        <w:t xml:space="preserve">, Tavaziva G, Abidi SK, Campbell JR, Haraoui LP, Johnston JC, Lan Z, Law S, MacLean E, Trajman A, Menzies D, Benedetti A, Ahmad Khan F. Diagnostic accuracy of serological tests for covid-19: systematic review and meta-analysis. </w:t>
      </w:r>
      <w:r>
        <w:rPr>
          <w:rFonts w:ascii="Book Antiqua" w:hAnsi="Book Antiqua"/>
          <w:i/>
          <w:iCs/>
        </w:rPr>
        <w:t>BMJ</w:t>
      </w:r>
      <w:r>
        <w:rPr>
          <w:rFonts w:ascii="Book Antiqua" w:hAnsi="Book Antiqua"/>
        </w:rPr>
        <w:t xml:space="preserve"> 2020; </w:t>
      </w:r>
      <w:r>
        <w:rPr>
          <w:rFonts w:ascii="Book Antiqua" w:hAnsi="Book Antiqua"/>
          <w:b/>
          <w:bCs/>
        </w:rPr>
        <w:t>370</w:t>
      </w:r>
      <w:r>
        <w:rPr>
          <w:rFonts w:ascii="Book Antiqua" w:hAnsi="Book Antiqua"/>
        </w:rPr>
        <w:t>: m2516 [PMID: 32611558 DOI: 10.1136/bmj.m2516]</w:t>
      </w:r>
    </w:p>
    <w:p>
      <w:pPr>
        <w:pStyle w:val="6"/>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Espejo AP</w:t>
      </w:r>
      <w:r>
        <w:rPr>
          <w:rFonts w:ascii="Book Antiqua" w:hAnsi="Book Antiqua"/>
        </w:rPr>
        <w:t xml:space="preserve">, Akgun Y, Al Mana AF, Tjendra Y, Millan NC, Gomez-Fernandez C, Cray C. Review of Current Advances in Serologic Testing for COVID-19. </w:t>
      </w:r>
      <w:r>
        <w:rPr>
          <w:rFonts w:ascii="Book Antiqua" w:hAnsi="Book Antiqua"/>
          <w:i/>
          <w:iCs/>
        </w:rPr>
        <w:t>Am J Clin Pathol</w:t>
      </w:r>
      <w:r>
        <w:rPr>
          <w:rFonts w:ascii="Book Antiqua" w:hAnsi="Book Antiqua"/>
        </w:rPr>
        <w:t xml:space="preserve"> 2020; </w:t>
      </w:r>
      <w:r>
        <w:rPr>
          <w:rFonts w:ascii="Book Antiqua" w:hAnsi="Book Antiqua"/>
          <w:b/>
          <w:bCs/>
        </w:rPr>
        <w:t>154</w:t>
      </w:r>
      <w:r>
        <w:rPr>
          <w:rFonts w:ascii="Book Antiqua" w:hAnsi="Book Antiqua"/>
        </w:rPr>
        <w:t>: 293-304 [PMID: 32583852 DOI: 10.1093/ajcp/aqaa112]</w:t>
      </w:r>
    </w:p>
    <w:p>
      <w:pPr>
        <w:pStyle w:val="6"/>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bCs/>
        </w:rPr>
        <w:t>Beavis KG</w:t>
      </w:r>
      <w:r>
        <w:rPr>
          <w:rFonts w:ascii="Book Antiqua" w:hAnsi="Book Antiqua"/>
        </w:rPr>
        <w:t xml:space="preserve">, Matushek SM, Abeleda APF, Bethel C, Hunt C, Gillen S, Moran A, Tesic V. Evaluation of the EUROIMMUN Anti-SARS-CoV-2 ELISA Assay for detection of IgA and IgG antibodies. </w:t>
      </w:r>
      <w:r>
        <w:rPr>
          <w:rFonts w:ascii="Book Antiqua" w:hAnsi="Book Antiqua"/>
          <w:i/>
          <w:iCs/>
        </w:rPr>
        <w:t>J Clin Virol</w:t>
      </w:r>
      <w:r>
        <w:rPr>
          <w:rFonts w:ascii="Book Antiqua" w:hAnsi="Book Antiqua"/>
        </w:rPr>
        <w:t xml:space="preserve"> 2020; </w:t>
      </w:r>
      <w:r>
        <w:rPr>
          <w:rFonts w:ascii="Book Antiqua" w:hAnsi="Book Antiqua"/>
          <w:b/>
          <w:bCs/>
        </w:rPr>
        <w:t>129</w:t>
      </w:r>
      <w:r>
        <w:rPr>
          <w:rFonts w:ascii="Book Antiqua" w:hAnsi="Book Antiqua"/>
        </w:rPr>
        <w:t>: 104468 [PMID: 32485620 DOI: 10.1016/j.jcv.2020.104468]</w:t>
      </w:r>
    </w:p>
    <w:p>
      <w:pPr>
        <w:pStyle w:val="6"/>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Okba NMA</w:t>
      </w:r>
      <w:r>
        <w:rPr>
          <w:rFonts w:ascii="Book Antiqua" w:hAnsi="Book Antiqua"/>
        </w:rPr>
        <w:t xml:space="preserve">, Müller MA, Li W, Wang C, GeurtsvanKessel CH, Corman VM, Lamers MM, Sikkema RS, de Bruin E, Chandler FD, Yazdanpanah Y, Le Hingrat Q, Descamps D, Houhou-Fidouh N, Reusken CBEM, Bosch BJ, Drosten C, Koopmans MPG, Haagmans BL. Severe Acute Respiratory Syndrome Coronavirus 2-Specific Antibody Responses in Coronavirus Disease Patients. </w:t>
      </w:r>
      <w:r>
        <w:rPr>
          <w:rFonts w:ascii="Book Antiqua" w:hAnsi="Book Antiqua"/>
          <w:i/>
          <w:iCs/>
        </w:rPr>
        <w:t>Emerg Infect Dis</w:t>
      </w:r>
      <w:r>
        <w:rPr>
          <w:rFonts w:ascii="Book Antiqua" w:hAnsi="Book Antiqua"/>
        </w:rPr>
        <w:t xml:space="preserve"> 2020; </w:t>
      </w:r>
      <w:r>
        <w:rPr>
          <w:rFonts w:ascii="Book Antiqua" w:hAnsi="Book Antiqua"/>
          <w:b/>
          <w:bCs/>
        </w:rPr>
        <w:t>26</w:t>
      </w:r>
      <w:r>
        <w:rPr>
          <w:rFonts w:ascii="Book Antiqua" w:hAnsi="Book Antiqua"/>
        </w:rPr>
        <w:t>: 1478-1488 [PMID: 32267220 DOI: 10.3201/eid2607.200841]</w:t>
      </w:r>
    </w:p>
    <w:p>
      <w:pPr>
        <w:pStyle w:val="6"/>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Yüce M</w:t>
      </w:r>
      <w:r>
        <w:rPr>
          <w:rFonts w:ascii="Book Antiqua" w:hAnsi="Book Antiqua"/>
        </w:rPr>
        <w:t xml:space="preserve">, Filiztekin E, Özkaya KG. COVID-19 diagnosis -A review of current methods. </w:t>
      </w:r>
      <w:r>
        <w:rPr>
          <w:rFonts w:ascii="Book Antiqua" w:hAnsi="Book Antiqua"/>
          <w:i/>
          <w:iCs/>
        </w:rPr>
        <w:t>Biosens Bioelectron</w:t>
      </w:r>
      <w:r>
        <w:rPr>
          <w:rFonts w:ascii="Book Antiqua" w:hAnsi="Book Antiqua"/>
        </w:rPr>
        <w:t xml:space="preserve"> 2021; </w:t>
      </w:r>
      <w:r>
        <w:rPr>
          <w:rFonts w:ascii="Book Antiqua" w:hAnsi="Book Antiqua"/>
          <w:b/>
          <w:bCs/>
        </w:rPr>
        <w:t>172</w:t>
      </w:r>
      <w:r>
        <w:rPr>
          <w:rFonts w:ascii="Book Antiqua" w:hAnsi="Book Antiqua"/>
        </w:rPr>
        <w:t>: 112752 [PMID: 33126180 DOI: 10.1016/j.bios.2020.112752]</w:t>
      </w:r>
    </w:p>
    <w:p>
      <w:pPr>
        <w:pStyle w:val="6"/>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Chaimayo C</w:t>
      </w:r>
      <w:r>
        <w:rPr>
          <w:rFonts w:ascii="Book Antiqua" w:hAnsi="Book Antiqua"/>
        </w:rPr>
        <w:t xml:space="preserve">, Kaewnaphan B, Tanlieng N, Athipanyasilp N, Sirijatuphat R, Chayakulkeeree M, Angkasekwinai N, Sutthent R, Puangpunngam N, Tharmviboonsri T, Pongraweewan O, Chuthapisith S, Sirivatanauksorn Y, Kantakamalakul W, Horthongkham N. Rapid SARS-CoV-2 antigen detection assay in comparison with real-time RT-PCR assay for laboratory diagnosis of COVID-19 in Thailand. </w:t>
      </w:r>
      <w:r>
        <w:rPr>
          <w:rFonts w:ascii="Book Antiqua" w:hAnsi="Book Antiqua"/>
          <w:i/>
          <w:iCs/>
        </w:rPr>
        <w:t>Virol J</w:t>
      </w:r>
      <w:r>
        <w:rPr>
          <w:rFonts w:ascii="Book Antiqua" w:hAnsi="Book Antiqua"/>
        </w:rPr>
        <w:t xml:space="preserve"> 2020; </w:t>
      </w:r>
      <w:r>
        <w:rPr>
          <w:rFonts w:ascii="Book Antiqua" w:hAnsi="Book Antiqua"/>
          <w:b/>
          <w:bCs/>
        </w:rPr>
        <w:t>17</w:t>
      </w:r>
      <w:r>
        <w:rPr>
          <w:rFonts w:ascii="Book Antiqua" w:hAnsi="Book Antiqua"/>
        </w:rPr>
        <w:t>: 177 [PMID: 33187528 DOI: 10.1186/s12985-020-01452-5]</w:t>
      </w:r>
    </w:p>
    <w:p>
      <w:pPr>
        <w:pStyle w:val="6"/>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Scohy A</w:t>
      </w:r>
      <w:r>
        <w:rPr>
          <w:rFonts w:ascii="Book Antiqua" w:hAnsi="Book Antiqua"/>
        </w:rPr>
        <w:t xml:space="preserve">, Anantharajah A, Bodéus M, Kabamba-Mukadi B, Verroken A, Rodriguez-Villalobos H. Low performance of rapid antigen detection test as frontline testing for COVID-19 diagnosis. </w:t>
      </w:r>
      <w:r>
        <w:rPr>
          <w:rFonts w:ascii="Book Antiqua" w:hAnsi="Book Antiqua"/>
          <w:i/>
          <w:iCs/>
        </w:rPr>
        <w:t>J Clin Virol</w:t>
      </w:r>
      <w:r>
        <w:rPr>
          <w:rFonts w:ascii="Book Antiqua" w:hAnsi="Book Antiqua"/>
        </w:rPr>
        <w:t xml:space="preserve"> 2020; </w:t>
      </w:r>
      <w:r>
        <w:rPr>
          <w:rFonts w:ascii="Book Antiqua" w:hAnsi="Book Antiqua"/>
          <w:b/>
          <w:bCs/>
        </w:rPr>
        <w:t>129</w:t>
      </w:r>
      <w:r>
        <w:rPr>
          <w:rFonts w:ascii="Book Antiqua" w:hAnsi="Book Antiqua"/>
        </w:rPr>
        <w:t>: 104455 [PMID: 32485618 DOI: 10.1016/j.jcv.2020.104455]</w:t>
      </w:r>
    </w:p>
    <w:p>
      <w:pPr>
        <w:pStyle w:val="6"/>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Hirotsu Y</w:t>
      </w:r>
      <w:r>
        <w:rPr>
          <w:rFonts w:ascii="Book Antiqua" w:hAnsi="Book Antiqua"/>
        </w:rPr>
        <w:t xml:space="preserve">, Maejima M, Shibusawa M, Nagakubo Y, Hosaka K, Amemiya K, Sueki H, Hayakawa M, Mochizuki H, Tsutsui T, Kakizaki Y, Miyashita Y, Yagi S, Kojima S, Omata M. Comparison of automated SARS-CoV-2 antigen test for COVID-19 infection with quantitative RT-PCR using 313 nasopharyngeal swabs, including from seven serially followed patients. </w:t>
      </w:r>
      <w:r>
        <w:rPr>
          <w:rFonts w:ascii="Book Antiqua" w:hAnsi="Book Antiqua"/>
          <w:i/>
          <w:iCs/>
        </w:rPr>
        <w:t>Int J Infect Dis</w:t>
      </w:r>
      <w:r>
        <w:rPr>
          <w:rFonts w:ascii="Book Antiqua" w:hAnsi="Book Antiqua"/>
        </w:rPr>
        <w:t xml:space="preserve"> 2020; </w:t>
      </w:r>
      <w:r>
        <w:rPr>
          <w:rFonts w:ascii="Book Antiqua" w:hAnsi="Book Antiqua"/>
          <w:b/>
          <w:bCs/>
        </w:rPr>
        <w:t>99</w:t>
      </w:r>
      <w:r>
        <w:rPr>
          <w:rFonts w:ascii="Book Antiqua" w:hAnsi="Book Antiqua"/>
        </w:rPr>
        <w:t>: 397-402 [PMID: 32800855 DOI: 10.1016/j.ijid.2020.08.029]</w:t>
      </w:r>
    </w:p>
    <w:p>
      <w:pPr>
        <w:pStyle w:val="6"/>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Porte L</w:t>
      </w:r>
      <w:r>
        <w:rPr>
          <w:rFonts w:ascii="Book Antiqua" w:hAnsi="Book Antiqua"/>
        </w:rPr>
        <w:t xml:space="preserve">, Legarraga P, Vollrath V, Aguilera X, Munita JM, Araos R, Pizarro G, Vial P, Iruretagoyena M, Dittrich S, Weitzel T. Evaluation of a novel antigen-based rapid detection test for the diagnosis of SARS-CoV-2 in respiratory samples. </w:t>
      </w:r>
      <w:r>
        <w:rPr>
          <w:rFonts w:ascii="Book Antiqua" w:hAnsi="Book Antiqua"/>
          <w:i/>
          <w:iCs/>
        </w:rPr>
        <w:t>Int J Infect Dis</w:t>
      </w:r>
      <w:r>
        <w:rPr>
          <w:rFonts w:ascii="Book Antiqua" w:hAnsi="Book Antiqua"/>
        </w:rPr>
        <w:t xml:space="preserve"> 2020; </w:t>
      </w:r>
      <w:r>
        <w:rPr>
          <w:rFonts w:ascii="Book Antiqua" w:hAnsi="Book Antiqua"/>
          <w:b/>
          <w:bCs/>
        </w:rPr>
        <w:t>99</w:t>
      </w:r>
      <w:r>
        <w:rPr>
          <w:rFonts w:ascii="Book Antiqua" w:hAnsi="Book Antiqua"/>
        </w:rPr>
        <w:t>: 328-333 [PMID: 32497809 DOI: 10.1016/j.ijid.2020.05.098]</w:t>
      </w:r>
    </w:p>
    <w:p>
      <w:pPr>
        <w:pStyle w:val="6"/>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Lambert-Niclot S</w:t>
      </w:r>
      <w:r>
        <w:rPr>
          <w:rFonts w:ascii="Book Antiqua" w:hAnsi="Book Antiqua"/>
        </w:rPr>
        <w:t xml:space="preserve">, Cuffel A, Le Pape S, Vauloup-Fellous C, Morand-Joubert L, Roque-Afonso AM, Le Goff J, Delaugerre C. Evaluation of a Rapid Diagnostic Assay for Detection of SARS-CoV-2 Antigen in Nasopharyngeal Swabs. </w:t>
      </w:r>
      <w:r>
        <w:rPr>
          <w:rFonts w:ascii="Book Antiqua" w:hAnsi="Book Antiqua"/>
          <w:i/>
          <w:iCs/>
        </w:rPr>
        <w:t>J Clin Microbiol</w:t>
      </w:r>
      <w:r>
        <w:rPr>
          <w:rFonts w:ascii="Book Antiqua" w:hAnsi="Book Antiqua"/>
        </w:rPr>
        <w:t xml:space="preserve"> 2020; </w:t>
      </w:r>
      <w:r>
        <w:rPr>
          <w:rFonts w:ascii="Book Antiqua" w:hAnsi="Book Antiqua"/>
          <w:b/>
          <w:bCs/>
        </w:rPr>
        <w:t>58</w:t>
      </w:r>
      <w:r>
        <w:rPr>
          <w:rFonts w:ascii="Book Antiqua" w:hAnsi="Book Antiqua"/>
        </w:rPr>
        <w:t xml:space="preserve"> [PMID: 32404480 DOI: 10.1128/JCM.00977-20]</w:t>
      </w:r>
    </w:p>
    <w:p>
      <w:pPr>
        <w:pStyle w:val="6"/>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bCs/>
        </w:rPr>
        <w:t>Mak GC</w:t>
      </w:r>
      <w:r>
        <w:rPr>
          <w:rFonts w:ascii="Book Antiqua" w:hAnsi="Book Antiqua"/>
        </w:rPr>
        <w:t xml:space="preserve">, Cheng PK, Lau SS, Wong KK, Lau CS, Lam ET, Chan RC, Tsang DN. Evaluation of rapid antigen test for detection of SARS-CoV-2 virus. </w:t>
      </w:r>
      <w:r>
        <w:rPr>
          <w:rFonts w:ascii="Book Antiqua" w:hAnsi="Book Antiqua"/>
          <w:i/>
          <w:iCs/>
        </w:rPr>
        <w:t>J Clin Virol</w:t>
      </w:r>
      <w:r>
        <w:rPr>
          <w:rFonts w:ascii="Book Antiqua" w:hAnsi="Book Antiqua"/>
        </w:rPr>
        <w:t xml:space="preserve"> 2020; </w:t>
      </w:r>
      <w:r>
        <w:rPr>
          <w:rFonts w:ascii="Book Antiqua" w:hAnsi="Book Antiqua"/>
          <w:b/>
          <w:bCs/>
        </w:rPr>
        <w:t>129</w:t>
      </w:r>
      <w:r>
        <w:rPr>
          <w:rFonts w:ascii="Book Antiqua" w:hAnsi="Book Antiqua"/>
        </w:rPr>
        <w:t>: 104500 [PMID: 32585619 DOI: 10.1016/j.jcv.2020.104500]</w:t>
      </w:r>
    </w:p>
    <w:p>
      <w:pPr>
        <w:pStyle w:val="6"/>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Manigandan S</w:t>
      </w:r>
      <w:r>
        <w:rPr>
          <w:rFonts w:ascii="Book Antiqua" w:hAnsi="Book Antiqua"/>
        </w:rPr>
        <w:t xml:space="preserve">, Wu MT, Ponnusamy VK, Raghavendra VB, Pugazhendhi A, Brindhadevi K. A systematic review on recent trends in transmission, diagnosis, prevention and imaging features of COVID-19. </w:t>
      </w:r>
      <w:r>
        <w:rPr>
          <w:rFonts w:ascii="Book Antiqua" w:hAnsi="Book Antiqua"/>
          <w:i/>
          <w:iCs/>
        </w:rPr>
        <w:t>Process Biochem</w:t>
      </w:r>
      <w:r>
        <w:rPr>
          <w:rFonts w:ascii="Book Antiqua" w:hAnsi="Book Antiqua"/>
        </w:rPr>
        <w:t xml:space="preserve"> 2020; </w:t>
      </w:r>
      <w:r>
        <w:rPr>
          <w:rFonts w:ascii="Book Antiqua" w:hAnsi="Book Antiqua"/>
          <w:b/>
          <w:bCs/>
        </w:rPr>
        <w:t>98</w:t>
      </w:r>
      <w:r>
        <w:rPr>
          <w:rFonts w:ascii="Book Antiqua" w:hAnsi="Book Antiqua"/>
        </w:rPr>
        <w:t>: 233-240 [PMID: 32843849 DOI: 10.1016/j.procbio.2020.08.016]</w:t>
      </w:r>
    </w:p>
    <w:p>
      <w:pPr>
        <w:pStyle w:val="6"/>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Salehi S</w:t>
      </w:r>
      <w:r>
        <w:rPr>
          <w:rFonts w:ascii="Book Antiqua" w:hAnsi="Book Antiqua"/>
        </w:rPr>
        <w:t xml:space="preserve">, Abedi A, Balakrishnan S, Gholamrezanezhad A. Coronavirus Disease 2019 (COVID-19): A Systematic Review of Imaging Findings in 919 Patients. </w:t>
      </w:r>
      <w:r>
        <w:rPr>
          <w:rFonts w:ascii="Book Antiqua" w:hAnsi="Book Antiqua"/>
          <w:i/>
          <w:iCs/>
        </w:rPr>
        <w:t>AJR Am J Roentgenol</w:t>
      </w:r>
      <w:r>
        <w:rPr>
          <w:rFonts w:ascii="Book Antiqua" w:hAnsi="Book Antiqua"/>
        </w:rPr>
        <w:t xml:space="preserve"> 2020; </w:t>
      </w:r>
      <w:r>
        <w:rPr>
          <w:rFonts w:ascii="Book Antiqua" w:hAnsi="Book Antiqua"/>
          <w:b/>
          <w:bCs/>
        </w:rPr>
        <w:t>215</w:t>
      </w:r>
      <w:r>
        <w:rPr>
          <w:rFonts w:ascii="Book Antiqua" w:hAnsi="Book Antiqua"/>
        </w:rPr>
        <w:t>: 87-93 [PMID: 32174129 DOI: 10.2214/AJR.20.23034]</w:t>
      </w:r>
    </w:p>
    <w:p>
      <w:pPr>
        <w:pStyle w:val="6"/>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Wan S</w:t>
      </w:r>
      <w:r>
        <w:rPr>
          <w:rFonts w:ascii="Book Antiqua" w:hAnsi="Book Antiqua"/>
        </w:rPr>
        <w:t xml:space="preserve">, Li M, Ye Z, Yang C, Cai Q, Duan S, Song B. CT Manifestations and Clinical Characteristics of 1115 Patients with Coronavirus Disease 2019 (COVID-19): A Systematic Review and Meta-analysis. </w:t>
      </w:r>
      <w:r>
        <w:rPr>
          <w:rFonts w:ascii="Book Antiqua" w:hAnsi="Book Antiqua"/>
          <w:i/>
          <w:iCs/>
        </w:rPr>
        <w:t>Acad Radiol</w:t>
      </w:r>
      <w:r>
        <w:rPr>
          <w:rFonts w:ascii="Book Antiqua" w:hAnsi="Book Antiqua"/>
        </w:rPr>
        <w:t xml:space="preserve"> 2020; </w:t>
      </w:r>
      <w:r>
        <w:rPr>
          <w:rFonts w:ascii="Book Antiqua" w:hAnsi="Book Antiqua"/>
          <w:b/>
          <w:bCs/>
        </w:rPr>
        <w:t>27</w:t>
      </w:r>
      <w:r>
        <w:rPr>
          <w:rFonts w:ascii="Book Antiqua" w:hAnsi="Book Antiqua"/>
        </w:rPr>
        <w:t>: 910-921 [PMID: 32505599 DOI: 10.1016/j.acra.2020.04.033]</w:t>
      </w:r>
    </w:p>
    <w:p>
      <w:pPr>
        <w:pStyle w:val="6"/>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Awulachew E</w:t>
      </w:r>
      <w:r>
        <w:rPr>
          <w:rFonts w:ascii="Book Antiqua" w:hAnsi="Book Antiqua"/>
        </w:rPr>
        <w:t xml:space="preserve">, Diriba K, Anja A, Getu E, Belayneh F. Computed Tomography (CT) Imaging Features of Patients with COVID-19: Systematic Review and Meta-Analysis. </w:t>
      </w:r>
      <w:r>
        <w:rPr>
          <w:rFonts w:ascii="Book Antiqua" w:hAnsi="Book Antiqua"/>
          <w:i/>
          <w:iCs/>
        </w:rPr>
        <w:t>Radiol Res Pract</w:t>
      </w:r>
      <w:r>
        <w:rPr>
          <w:rFonts w:ascii="Book Antiqua" w:hAnsi="Book Antiqua"/>
        </w:rPr>
        <w:t xml:space="preserve"> 2020; </w:t>
      </w:r>
      <w:r>
        <w:rPr>
          <w:rFonts w:ascii="Book Antiqua" w:hAnsi="Book Antiqua"/>
          <w:b/>
          <w:bCs/>
        </w:rPr>
        <w:t>2020</w:t>
      </w:r>
      <w:r>
        <w:rPr>
          <w:rFonts w:ascii="Book Antiqua" w:hAnsi="Book Antiqua"/>
        </w:rPr>
        <w:t>: 1023506 [PMID: 32733706 DOI: 10.1155/2020/1023506]</w:t>
      </w:r>
    </w:p>
    <w:p>
      <w:pPr>
        <w:pStyle w:val="6"/>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Tsikala Vafea M</w:t>
      </w:r>
      <w:r>
        <w:rPr>
          <w:rFonts w:ascii="Book Antiqua" w:hAnsi="Book Antiqua"/>
        </w:rPr>
        <w:t xml:space="preserve">, Atalla E, Kalligeros M, Mylona EK, Shehadeh F, Mylonakis E. Chest CT findings in asymptomatic cases with COVID-19: a systematic review and meta-analysis. </w:t>
      </w:r>
      <w:r>
        <w:rPr>
          <w:rFonts w:ascii="Book Antiqua" w:hAnsi="Book Antiqua"/>
          <w:i/>
          <w:iCs/>
        </w:rPr>
        <w:t>Clin Radiol</w:t>
      </w:r>
      <w:r>
        <w:rPr>
          <w:rFonts w:ascii="Book Antiqua" w:hAnsi="Book Antiqua"/>
        </w:rPr>
        <w:t xml:space="preserve"> 2020; </w:t>
      </w:r>
      <w:r>
        <w:rPr>
          <w:rFonts w:ascii="Book Antiqua" w:hAnsi="Book Antiqua"/>
          <w:b/>
          <w:bCs/>
        </w:rPr>
        <w:t>75</w:t>
      </w:r>
      <w:r>
        <w:rPr>
          <w:rFonts w:ascii="Book Antiqua" w:hAnsi="Book Antiqua"/>
        </w:rPr>
        <w:t>: 876.e33-876.e39 [PMID: 32861461 DOI: 10.1016/j.crad.2020.07.025]</w:t>
      </w:r>
    </w:p>
    <w:p>
      <w:pPr>
        <w:pStyle w:val="6"/>
        <w:spacing w:before="0" w:beforeAutospacing="0" w:after="0" w:afterAutospacing="0" w:line="360" w:lineRule="auto"/>
        <w:jc w:val="both"/>
        <w:rPr>
          <w:rFonts w:ascii="Book Antiqua" w:hAnsi="Book Antiqua"/>
        </w:rPr>
      </w:pPr>
      <w:r>
        <w:rPr>
          <w:rFonts w:ascii="Book Antiqua" w:hAnsi="Book Antiqua"/>
        </w:rPr>
        <w:t xml:space="preserve">62 </w:t>
      </w:r>
      <w:r>
        <w:rPr>
          <w:rFonts w:ascii="Book Antiqua" w:hAnsi="Book Antiqua"/>
          <w:b/>
          <w:bCs/>
        </w:rPr>
        <w:t>Altmayer S</w:t>
      </w:r>
      <w:r>
        <w:rPr>
          <w:rFonts w:ascii="Book Antiqua" w:hAnsi="Book Antiqua"/>
        </w:rPr>
        <w:t xml:space="preserve">, Zanon M, Pacini GS, Watte G, Barros MC, Mohammed TL, Verma N, Marchiori E, Hochhegger B. Comparison of the computed tomography findings in COVID-19 and other viral pneumonia in immunocompetent adults: a systematic review and meta-analysis. </w:t>
      </w:r>
      <w:r>
        <w:rPr>
          <w:rFonts w:ascii="Book Antiqua" w:hAnsi="Book Antiqua"/>
          <w:i/>
          <w:iCs/>
        </w:rPr>
        <w:t>Eur Radiol</w:t>
      </w:r>
      <w:r>
        <w:rPr>
          <w:rFonts w:ascii="Book Antiqua" w:hAnsi="Book Antiqua"/>
        </w:rPr>
        <w:t xml:space="preserve"> 2020; </w:t>
      </w:r>
      <w:r>
        <w:rPr>
          <w:rFonts w:ascii="Book Antiqua" w:hAnsi="Book Antiqua"/>
          <w:b/>
          <w:bCs/>
        </w:rPr>
        <w:t>30</w:t>
      </w:r>
      <w:r>
        <w:rPr>
          <w:rFonts w:ascii="Book Antiqua" w:hAnsi="Book Antiqua"/>
        </w:rPr>
        <w:t>: 6485-6496 [PMID: 32594211 DOI: 10.1007/s00330-020-07018-x]</w:t>
      </w:r>
    </w:p>
    <w:p>
      <w:pPr>
        <w:pStyle w:val="6"/>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Sun Z</w:t>
      </w:r>
      <w:r>
        <w:rPr>
          <w:rFonts w:ascii="Book Antiqua" w:hAnsi="Book Antiqua"/>
        </w:rPr>
        <w:t xml:space="preserve">, Zhang N, Li Y, Xu X. A systematic review of chest imaging findings in COVID-19. </w:t>
      </w:r>
      <w:r>
        <w:rPr>
          <w:rFonts w:ascii="Book Antiqua" w:hAnsi="Book Antiqua"/>
          <w:i/>
          <w:iCs/>
        </w:rPr>
        <w:t>Quant Imaging Med Surg</w:t>
      </w:r>
      <w:r>
        <w:rPr>
          <w:rFonts w:ascii="Book Antiqua" w:hAnsi="Book Antiqua"/>
        </w:rPr>
        <w:t xml:space="preserve"> 2020; </w:t>
      </w:r>
      <w:r>
        <w:rPr>
          <w:rFonts w:ascii="Book Antiqua" w:hAnsi="Book Antiqua"/>
          <w:b/>
          <w:bCs/>
        </w:rPr>
        <w:t>10</w:t>
      </w:r>
      <w:r>
        <w:rPr>
          <w:rFonts w:ascii="Book Antiqua" w:hAnsi="Book Antiqua"/>
        </w:rPr>
        <w:t>: 1058-1079 [PMID: 32489929 DOI: 10.21037/qims-20-564]</w:t>
      </w:r>
    </w:p>
    <w:p>
      <w:pPr>
        <w:pStyle w:val="6"/>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Adams HJA</w:t>
      </w:r>
      <w:r>
        <w:rPr>
          <w:rFonts w:ascii="Book Antiqua" w:hAnsi="Book Antiqua"/>
        </w:rPr>
        <w:t xml:space="preserve">, Kwee TC, Yakar D, Hope MD, Kwee RM. Systematic Review and Meta-Analysis on the Value of Chest CT in the Diagnosis of Coronavirus Disease (COVID-19): </w:t>
      </w:r>
      <w:r>
        <w:rPr>
          <w:rFonts w:ascii="Book Antiqua" w:hAnsi="Book Antiqua"/>
          <w:i/>
          <w:iCs/>
        </w:rPr>
        <w:t>Sol Scientiae, Illustra Nos</w:t>
      </w:r>
      <w:r>
        <w:rPr>
          <w:rFonts w:ascii="Book Antiqua" w:hAnsi="Book Antiqua"/>
        </w:rPr>
        <w:t xml:space="preserve">. </w:t>
      </w:r>
      <w:r>
        <w:rPr>
          <w:rFonts w:ascii="Book Antiqua" w:hAnsi="Book Antiqua"/>
          <w:i/>
          <w:iCs/>
        </w:rPr>
        <w:t>AJR Am J Roentgenol</w:t>
      </w:r>
      <w:r>
        <w:rPr>
          <w:rFonts w:ascii="Book Antiqua" w:hAnsi="Book Antiqua"/>
        </w:rPr>
        <w:t xml:space="preserve"> 2020; </w:t>
      </w:r>
      <w:r>
        <w:rPr>
          <w:rFonts w:ascii="Book Antiqua" w:hAnsi="Book Antiqua"/>
          <w:b/>
          <w:bCs/>
        </w:rPr>
        <w:t>215</w:t>
      </w:r>
      <w:r>
        <w:rPr>
          <w:rFonts w:ascii="Book Antiqua" w:hAnsi="Book Antiqua"/>
        </w:rPr>
        <w:t>: 1342-1350 [PMID: 32478562 DOI: 10.2214/AJR.20.23391]</w:t>
      </w:r>
    </w:p>
    <w:p>
      <w:pPr>
        <w:pStyle w:val="6"/>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Bao C</w:t>
      </w:r>
      <w:r>
        <w:rPr>
          <w:rFonts w:ascii="Book Antiqua" w:hAnsi="Book Antiqua"/>
        </w:rPr>
        <w:t xml:space="preserve">, Liu X, Zhang H, Li Y, Liu J. Coronavirus Disease 2019 (COVID-19) CT Findings: A Systematic Review and Meta-analysis. </w:t>
      </w:r>
      <w:r>
        <w:rPr>
          <w:rFonts w:ascii="Book Antiqua" w:hAnsi="Book Antiqua"/>
          <w:i/>
          <w:iCs/>
        </w:rPr>
        <w:t>J Am Coll Radiol</w:t>
      </w:r>
      <w:r>
        <w:rPr>
          <w:rFonts w:ascii="Book Antiqua" w:hAnsi="Book Antiqua"/>
        </w:rPr>
        <w:t xml:space="preserve"> 2020; </w:t>
      </w:r>
      <w:r>
        <w:rPr>
          <w:rFonts w:ascii="Book Antiqua" w:hAnsi="Book Antiqua"/>
          <w:b/>
          <w:bCs/>
        </w:rPr>
        <w:t>17</w:t>
      </w:r>
      <w:r>
        <w:rPr>
          <w:rFonts w:ascii="Book Antiqua" w:hAnsi="Book Antiqua"/>
        </w:rPr>
        <w:t>: 701-709 [PMID: 32283052 DOI: 10.1016/j.jacr.2020.03.006]</w:t>
      </w:r>
    </w:p>
    <w:p>
      <w:pPr>
        <w:pStyle w:val="6"/>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Huang C</w:t>
      </w:r>
      <w:r>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497-506 [PMID: 31986264 DOI: 10.1016/S0140-6736(20)30183-5]</w:t>
      </w:r>
    </w:p>
    <w:p>
      <w:pPr>
        <w:pStyle w:val="6"/>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Pourbagheri-Sigaroodi A</w:t>
      </w:r>
      <w:r>
        <w:rPr>
          <w:rFonts w:ascii="Book Antiqua" w:hAnsi="Book Antiqua"/>
        </w:rPr>
        <w:t xml:space="preserve">, Bashash D, Fateh F, Abolghasemi H. Laboratory findings in COVID-19 diagnosis and prognosis. </w:t>
      </w:r>
      <w:r>
        <w:rPr>
          <w:rFonts w:ascii="Book Antiqua" w:hAnsi="Book Antiqua"/>
          <w:i/>
          <w:iCs/>
        </w:rPr>
        <w:t>Clin Chim Acta</w:t>
      </w:r>
      <w:r>
        <w:rPr>
          <w:rFonts w:ascii="Book Antiqua" w:hAnsi="Book Antiqua"/>
        </w:rPr>
        <w:t xml:space="preserve"> 2020; </w:t>
      </w:r>
      <w:r>
        <w:rPr>
          <w:rFonts w:ascii="Book Antiqua" w:hAnsi="Book Antiqua"/>
          <w:b/>
          <w:bCs/>
        </w:rPr>
        <w:t>510</w:t>
      </w:r>
      <w:r>
        <w:rPr>
          <w:rFonts w:ascii="Book Antiqua" w:hAnsi="Book Antiqua"/>
        </w:rPr>
        <w:t>: 475-482 [PMID: 32798514 DOI: 10.1016/j.cca.2020.08.019]</w:t>
      </w:r>
    </w:p>
    <w:p>
      <w:pPr>
        <w:pStyle w:val="6"/>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Henry BM</w:t>
      </w:r>
      <w:r>
        <w:rPr>
          <w:rFonts w:ascii="Book Antiqua" w:hAnsi="Book Antiqua"/>
        </w:rPr>
        <w:t xml:space="preserve">, de Oliveira MHS, Benoit S, Plebani M, Lippi G. Hematologic, biochemical and immune biomarker abnormalities associated with severe illness and mortality in coronavirus disease 2019 (COVID-19): a meta-analysis. </w:t>
      </w:r>
      <w:r>
        <w:rPr>
          <w:rFonts w:ascii="Book Antiqua" w:hAnsi="Book Antiqua"/>
          <w:i/>
          <w:iCs/>
        </w:rPr>
        <w:t>Clin Chem Lab Med</w:t>
      </w:r>
      <w:r>
        <w:rPr>
          <w:rFonts w:ascii="Book Antiqua" w:hAnsi="Book Antiqua"/>
        </w:rPr>
        <w:t xml:space="preserve"> 2020; </w:t>
      </w:r>
      <w:r>
        <w:rPr>
          <w:rFonts w:ascii="Book Antiqua" w:hAnsi="Book Antiqua"/>
          <w:b/>
          <w:bCs/>
        </w:rPr>
        <w:t>58</w:t>
      </w:r>
      <w:r>
        <w:rPr>
          <w:rFonts w:ascii="Book Antiqua" w:hAnsi="Book Antiqua"/>
        </w:rPr>
        <w:t>: 1021-1028 [PMID: 32286245 DOI: 10.1515/cclm-2020-0369]</w:t>
      </w:r>
    </w:p>
    <w:p>
      <w:pPr>
        <w:pStyle w:val="6"/>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Wang Z</w:t>
      </w:r>
      <w:r>
        <w:rPr>
          <w:rFonts w:ascii="Book Antiqua" w:hAnsi="Book Antiqua"/>
        </w:rPr>
        <w:t xml:space="preserve">, Yang B, Li Q, Wen L, Zhang R. Clinical Features of 69 Cases With Coronavirus Disease 2019 in Wuhan, China. </w:t>
      </w:r>
      <w:r>
        <w:rPr>
          <w:rFonts w:ascii="Book Antiqua" w:hAnsi="Book Antiqua"/>
          <w:i/>
          <w:iCs/>
        </w:rPr>
        <w:t>Clin Infect Dis</w:t>
      </w:r>
      <w:r>
        <w:rPr>
          <w:rFonts w:ascii="Book Antiqua" w:hAnsi="Book Antiqua"/>
        </w:rPr>
        <w:t xml:space="preserve"> 2020; </w:t>
      </w:r>
      <w:r>
        <w:rPr>
          <w:rFonts w:ascii="Book Antiqua" w:hAnsi="Book Antiqua"/>
          <w:b/>
          <w:bCs/>
        </w:rPr>
        <w:t>71</w:t>
      </w:r>
      <w:r>
        <w:rPr>
          <w:rFonts w:ascii="Book Antiqua" w:hAnsi="Book Antiqua"/>
        </w:rPr>
        <w:t>: 769-777 [PMID: 32176772 DOI: 10.1093/cid/ciaa272]</w:t>
      </w:r>
    </w:p>
    <w:p>
      <w:pPr>
        <w:pStyle w:val="6"/>
        <w:spacing w:before="0" w:beforeAutospacing="0" w:after="0" w:afterAutospacing="0" w:line="360" w:lineRule="auto"/>
        <w:jc w:val="both"/>
        <w:rPr>
          <w:rFonts w:ascii="Book Antiqua" w:hAnsi="Book Antiqua"/>
        </w:rPr>
      </w:pPr>
      <w:r>
        <w:rPr>
          <w:rFonts w:ascii="Book Antiqua" w:hAnsi="Book Antiqua"/>
        </w:rPr>
        <w:t xml:space="preserve">70 </w:t>
      </w:r>
      <w:r>
        <w:rPr>
          <w:rFonts w:ascii="Book Antiqua" w:hAnsi="Book Antiqua"/>
          <w:b/>
          <w:bCs/>
        </w:rPr>
        <w:t>Wan S</w:t>
      </w:r>
      <w:r>
        <w:rPr>
          <w:rFonts w:ascii="Book Antiqua" w:hAnsi="Book Antiqua"/>
        </w:rPr>
        <w:t xml:space="preserve">, Xiang Y, Fang W, Zheng Y, Li B, Hu Y, Lang C, Huang D, Sun Q, Xiong Y, Huang X, Lv J, Luo Y, Shen L, Yang H, Huang G, Yang R. Clinical features and treatment of COVID-19 patients in northeast Chongqing.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797-806 [PMID: 32198776 DOI: 10.1002/jmv.25783]</w:t>
      </w:r>
    </w:p>
    <w:p>
      <w:pPr>
        <w:pStyle w:val="6"/>
        <w:spacing w:before="0" w:beforeAutospacing="0" w:after="0" w:afterAutospacing="0" w:line="360" w:lineRule="auto"/>
        <w:jc w:val="both"/>
        <w:rPr>
          <w:rFonts w:ascii="Book Antiqua" w:hAnsi="Book Antiqua"/>
        </w:rPr>
      </w:pPr>
      <w:r>
        <w:rPr>
          <w:rFonts w:ascii="Book Antiqua" w:hAnsi="Book Antiqua"/>
        </w:rPr>
        <w:t xml:space="preserve">71 </w:t>
      </w:r>
      <w:r>
        <w:rPr>
          <w:rFonts w:ascii="Book Antiqua" w:hAnsi="Book Antiqua"/>
          <w:b/>
          <w:bCs/>
        </w:rPr>
        <w:t>Zhang C</w:t>
      </w:r>
      <w:r>
        <w:rPr>
          <w:rFonts w:ascii="Book Antiqua" w:hAnsi="Book Antiqua"/>
        </w:rPr>
        <w:t xml:space="preserve">, Shi L, Wang FS. Liver injury in COVID-19: management and challenges.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428-430 [PMID: 32145190 DOI: 10.1016/S2468-1253(20)30057-1]</w:t>
      </w:r>
    </w:p>
    <w:p>
      <w:pPr>
        <w:pStyle w:val="6"/>
        <w:spacing w:before="0" w:beforeAutospacing="0" w:after="0" w:afterAutospacing="0" w:line="360" w:lineRule="auto"/>
        <w:jc w:val="both"/>
        <w:rPr>
          <w:rFonts w:ascii="Book Antiqua" w:hAnsi="Book Antiqua"/>
        </w:rPr>
      </w:pPr>
      <w:r>
        <w:rPr>
          <w:rFonts w:ascii="Book Antiqua" w:hAnsi="Book Antiqua"/>
        </w:rPr>
        <w:t xml:space="preserve">72 </w:t>
      </w:r>
      <w:r>
        <w:rPr>
          <w:rFonts w:ascii="Book Antiqua" w:hAnsi="Book Antiqua"/>
          <w:b/>
          <w:bCs/>
        </w:rPr>
        <w:t>Lazzaroni MG</w:t>
      </w:r>
      <w:r>
        <w:rPr>
          <w:rFonts w:ascii="Book Antiqua" w:hAnsi="Book Antiqua"/>
        </w:rPr>
        <w:t xml:space="preserve">, Piantoni S, Masneri S, Garrafa E, Martini G, Tincani A, Andreoli L, Franceschini F. Coagulation dysfunction in COVID-19: The interplay between inflammation, viral infection and the coagulation system. </w:t>
      </w:r>
      <w:r>
        <w:rPr>
          <w:rFonts w:ascii="Book Antiqua" w:hAnsi="Book Antiqua"/>
          <w:i/>
          <w:iCs/>
        </w:rPr>
        <w:t>Blood Rev</w:t>
      </w:r>
      <w:r>
        <w:rPr>
          <w:rFonts w:ascii="Book Antiqua" w:hAnsi="Book Antiqua"/>
        </w:rPr>
        <w:t xml:space="preserve"> 2021; </w:t>
      </w:r>
      <w:r>
        <w:rPr>
          <w:rFonts w:ascii="Book Antiqua" w:hAnsi="Book Antiqua"/>
          <w:b/>
          <w:bCs/>
        </w:rPr>
        <w:t>46</w:t>
      </w:r>
      <w:r>
        <w:rPr>
          <w:rFonts w:ascii="Book Antiqua" w:hAnsi="Book Antiqua"/>
        </w:rPr>
        <w:t>: 100745 [PMID: 32868115 DOI: 10.1016/j.blre.2020.100745]</w:t>
      </w:r>
    </w:p>
    <w:p>
      <w:pPr>
        <w:pStyle w:val="6"/>
        <w:spacing w:before="0" w:beforeAutospacing="0" w:after="0" w:afterAutospacing="0" w:line="360" w:lineRule="auto"/>
        <w:jc w:val="both"/>
        <w:rPr>
          <w:rFonts w:ascii="Book Antiqua" w:hAnsi="Book Antiqua"/>
        </w:rPr>
      </w:pPr>
      <w:r>
        <w:rPr>
          <w:rFonts w:ascii="Book Antiqua" w:hAnsi="Book Antiqua"/>
        </w:rPr>
        <w:t xml:space="preserve">73 </w:t>
      </w:r>
      <w:r>
        <w:rPr>
          <w:rFonts w:ascii="Book Antiqua" w:hAnsi="Book Antiqua"/>
          <w:b/>
          <w:bCs/>
        </w:rPr>
        <w:t>Tang N</w:t>
      </w:r>
      <w:r>
        <w:rPr>
          <w:rFonts w:ascii="Book Antiqua" w:hAnsi="Book Antiqua"/>
        </w:rPr>
        <w:t xml:space="preserve">, Li D, Wang X, Sun Z. Abnormal coagulation parameters are associated with poor prognosis in patients with novel coronavirus pneumonia. </w:t>
      </w:r>
      <w:r>
        <w:rPr>
          <w:rFonts w:ascii="Book Antiqua" w:hAnsi="Book Antiqua"/>
          <w:i/>
          <w:iCs/>
        </w:rPr>
        <w:t>J Thromb Haemost</w:t>
      </w:r>
      <w:r>
        <w:rPr>
          <w:rFonts w:ascii="Book Antiqua" w:hAnsi="Book Antiqua"/>
        </w:rPr>
        <w:t xml:space="preserve"> 2020; </w:t>
      </w:r>
      <w:r>
        <w:rPr>
          <w:rFonts w:ascii="Book Antiqua" w:hAnsi="Book Antiqua"/>
          <w:b/>
          <w:bCs/>
        </w:rPr>
        <w:t>18</w:t>
      </w:r>
      <w:r>
        <w:rPr>
          <w:rFonts w:ascii="Book Antiqua" w:hAnsi="Book Antiqua"/>
        </w:rPr>
        <w:t>: 844-847 [PMID: 32073213 DOI: 10.1111/jth.14768]</w:t>
      </w:r>
    </w:p>
    <w:p>
      <w:pPr>
        <w:pStyle w:val="6"/>
        <w:spacing w:before="0" w:beforeAutospacing="0" w:after="0" w:afterAutospacing="0" w:line="360" w:lineRule="auto"/>
        <w:jc w:val="both"/>
        <w:rPr>
          <w:rFonts w:ascii="Book Antiqua" w:hAnsi="Book Antiqua"/>
        </w:rPr>
      </w:pPr>
      <w:r>
        <w:rPr>
          <w:rFonts w:ascii="Book Antiqua" w:hAnsi="Book Antiqua"/>
        </w:rPr>
        <w:t xml:space="preserve">74 </w:t>
      </w:r>
      <w:r>
        <w:rPr>
          <w:rFonts w:ascii="Book Antiqua" w:hAnsi="Book Antiqua"/>
          <w:b/>
          <w:bCs/>
        </w:rPr>
        <w:t>Lippi G</w:t>
      </w:r>
      <w:r>
        <w:rPr>
          <w:rFonts w:ascii="Book Antiqua" w:hAnsi="Book Antiqua"/>
        </w:rPr>
        <w:t xml:space="preserve">, Plebani M, Henry BM. Thrombocytopenia is associated with severe coronavirus disease 2019 (COVID-19) infections: A meta-analysis. </w:t>
      </w:r>
      <w:r>
        <w:rPr>
          <w:rFonts w:ascii="Book Antiqua" w:hAnsi="Book Antiqua"/>
          <w:i/>
          <w:iCs/>
        </w:rPr>
        <w:t>Clin Chim Acta</w:t>
      </w:r>
      <w:r>
        <w:rPr>
          <w:rFonts w:ascii="Book Antiqua" w:hAnsi="Book Antiqua"/>
        </w:rPr>
        <w:t xml:space="preserve"> 2020; </w:t>
      </w:r>
      <w:r>
        <w:rPr>
          <w:rFonts w:ascii="Book Antiqua" w:hAnsi="Book Antiqua"/>
          <w:b/>
          <w:bCs/>
        </w:rPr>
        <w:t>506</w:t>
      </w:r>
      <w:r>
        <w:rPr>
          <w:rFonts w:ascii="Book Antiqua" w:hAnsi="Book Antiqua"/>
        </w:rPr>
        <w:t>: 145-148 [PMID: 32178975 DOI: 10.1016/j.cca.2020.03.022]</w:t>
      </w:r>
    </w:p>
    <w:p>
      <w:pPr>
        <w:pStyle w:val="6"/>
        <w:spacing w:before="0" w:beforeAutospacing="0" w:after="0" w:afterAutospacing="0" w:line="360" w:lineRule="auto"/>
        <w:jc w:val="both"/>
        <w:rPr>
          <w:rFonts w:ascii="Book Antiqua" w:hAnsi="Book Antiqua"/>
        </w:rPr>
      </w:pPr>
      <w:r>
        <w:rPr>
          <w:rFonts w:ascii="Book Antiqua" w:hAnsi="Book Antiqua"/>
        </w:rPr>
        <w:t xml:space="preserve">75 </w:t>
      </w:r>
      <w:r>
        <w:rPr>
          <w:rFonts w:ascii="Book Antiqua" w:hAnsi="Book Antiqua"/>
          <w:b/>
          <w:bCs/>
        </w:rPr>
        <w:t>Han H</w:t>
      </w:r>
      <w:r>
        <w:rPr>
          <w:rFonts w:ascii="Book Antiqua" w:hAnsi="Book Antiqua"/>
        </w:rPr>
        <w:t xml:space="preserve">, Yang L, Liu R, Liu F, Wu KL, Li J, Liu XH, Zhu CL. Prominent changes in blood coagulation of patients with SARS-CoV-2 infection. </w:t>
      </w:r>
      <w:r>
        <w:rPr>
          <w:rFonts w:ascii="Book Antiqua" w:hAnsi="Book Antiqua"/>
          <w:i/>
          <w:iCs/>
        </w:rPr>
        <w:t>Clin Chem Lab Med</w:t>
      </w:r>
      <w:r>
        <w:rPr>
          <w:rFonts w:ascii="Book Antiqua" w:hAnsi="Book Antiqua"/>
        </w:rPr>
        <w:t xml:space="preserve"> 2020; </w:t>
      </w:r>
      <w:r>
        <w:rPr>
          <w:rFonts w:ascii="Book Antiqua" w:hAnsi="Book Antiqua"/>
          <w:b/>
          <w:bCs/>
        </w:rPr>
        <w:t>58</w:t>
      </w:r>
      <w:r>
        <w:rPr>
          <w:rFonts w:ascii="Book Antiqua" w:hAnsi="Book Antiqua"/>
        </w:rPr>
        <w:t>: 1116-1120 [PMID: 32172226 DOI: 10.1515/cclm-2020-0188]</w:t>
      </w:r>
    </w:p>
    <w:p>
      <w:pPr>
        <w:pStyle w:val="6"/>
        <w:spacing w:before="0" w:beforeAutospacing="0" w:after="0" w:afterAutospacing="0" w:line="360" w:lineRule="auto"/>
        <w:jc w:val="both"/>
        <w:rPr>
          <w:rFonts w:ascii="Book Antiqua" w:hAnsi="Book Antiqua"/>
        </w:rPr>
      </w:pPr>
      <w:r>
        <w:rPr>
          <w:rFonts w:ascii="Book Antiqua" w:hAnsi="Book Antiqua"/>
        </w:rPr>
        <w:t xml:space="preserve">76 </w:t>
      </w:r>
      <w:r>
        <w:rPr>
          <w:rFonts w:ascii="Book Antiqua" w:hAnsi="Book Antiqua"/>
          <w:b/>
          <w:bCs/>
        </w:rPr>
        <w:t>Dong X</w:t>
      </w:r>
      <w:r>
        <w:rPr>
          <w:rFonts w:ascii="Book Antiqua" w:hAnsi="Book Antiqua"/>
        </w:rPr>
        <w:t xml:space="preserve">, Cao YY, Lu XX, Zhang JJ, Du H, Yan YQ, Akdis CA, Gao YD. Eleven faces of coronavirus disease 2019. </w:t>
      </w:r>
      <w:r>
        <w:rPr>
          <w:rFonts w:ascii="Book Antiqua" w:hAnsi="Book Antiqua"/>
          <w:i/>
          <w:iCs/>
        </w:rPr>
        <w:t>Allergy</w:t>
      </w:r>
      <w:r>
        <w:rPr>
          <w:rFonts w:ascii="Book Antiqua" w:hAnsi="Book Antiqua"/>
        </w:rPr>
        <w:t xml:space="preserve"> 2020; </w:t>
      </w:r>
      <w:r>
        <w:rPr>
          <w:rFonts w:ascii="Book Antiqua" w:hAnsi="Book Antiqua"/>
          <w:b/>
          <w:bCs/>
        </w:rPr>
        <w:t>75</w:t>
      </w:r>
      <w:r>
        <w:rPr>
          <w:rFonts w:ascii="Book Antiqua" w:hAnsi="Book Antiqua"/>
        </w:rPr>
        <w:t>: 1699-1709 [PMID: 32196678 DOI: 10.1111/all.14289]</w:t>
      </w:r>
    </w:p>
    <w:p>
      <w:pPr>
        <w:pStyle w:val="6"/>
        <w:spacing w:before="0" w:beforeAutospacing="0" w:after="0" w:afterAutospacing="0" w:line="360" w:lineRule="auto"/>
        <w:jc w:val="both"/>
        <w:rPr>
          <w:rFonts w:ascii="Book Antiqua" w:hAnsi="Book Antiqua"/>
        </w:rPr>
      </w:pPr>
      <w:r>
        <w:rPr>
          <w:rFonts w:ascii="Book Antiqua" w:hAnsi="Book Antiqua"/>
        </w:rPr>
        <w:t xml:space="preserve">77 </w:t>
      </w:r>
      <w:r>
        <w:rPr>
          <w:rFonts w:ascii="Book Antiqua" w:hAnsi="Book Antiqua"/>
          <w:b/>
          <w:bCs/>
        </w:rPr>
        <w:t>Sodhi M</w:t>
      </w:r>
      <w:r>
        <w:rPr>
          <w:rFonts w:ascii="Book Antiqua" w:hAnsi="Book Antiqua"/>
        </w:rPr>
        <w:t xml:space="preserve">, Etminan M. Therapeutic Potential for Tetracyclines in the Treatment of COVID-19. </w:t>
      </w:r>
      <w:r>
        <w:rPr>
          <w:rFonts w:ascii="Book Antiqua" w:hAnsi="Book Antiqua"/>
          <w:i/>
          <w:iCs/>
        </w:rPr>
        <w:t>Pharmacotherapy</w:t>
      </w:r>
      <w:r>
        <w:rPr>
          <w:rFonts w:ascii="Book Antiqua" w:hAnsi="Book Antiqua"/>
        </w:rPr>
        <w:t xml:space="preserve"> 2020; </w:t>
      </w:r>
      <w:r>
        <w:rPr>
          <w:rFonts w:ascii="Book Antiqua" w:hAnsi="Book Antiqua"/>
          <w:b/>
          <w:bCs/>
        </w:rPr>
        <w:t>40</w:t>
      </w:r>
      <w:r>
        <w:rPr>
          <w:rFonts w:ascii="Book Antiqua" w:hAnsi="Book Antiqua"/>
        </w:rPr>
        <w:t>: 487-488 [PMID: 32267566 DOI: 10.1002/phar.2395]</w:t>
      </w:r>
    </w:p>
    <w:p>
      <w:pPr>
        <w:pStyle w:val="6"/>
        <w:spacing w:before="0" w:beforeAutospacing="0" w:after="0" w:afterAutospacing="0" w:line="360" w:lineRule="auto"/>
        <w:jc w:val="both"/>
        <w:rPr>
          <w:rFonts w:ascii="Book Antiqua" w:hAnsi="Book Antiqua"/>
        </w:rPr>
      </w:pPr>
      <w:r>
        <w:rPr>
          <w:rFonts w:ascii="Book Antiqua" w:hAnsi="Book Antiqua"/>
        </w:rPr>
        <w:t xml:space="preserve">78 </w:t>
      </w:r>
      <w:r>
        <w:rPr>
          <w:rFonts w:ascii="Book Antiqua" w:hAnsi="Book Antiqua"/>
          <w:b/>
          <w:bCs/>
        </w:rPr>
        <w:t>Ortega JT</w:t>
      </w:r>
      <w:r>
        <w:rPr>
          <w:rFonts w:ascii="Book Antiqua" w:hAnsi="Book Antiqua"/>
        </w:rPr>
        <w:t xml:space="preserve">, Serrano ML, Jastrzebska B. Class A G Protein-Coupled Receptor Antagonist Famotidine as a Therapeutic Alternative Against SARS-CoV2: An In Silico Analysis. </w:t>
      </w:r>
      <w:r>
        <w:rPr>
          <w:rFonts w:ascii="Book Antiqua" w:hAnsi="Book Antiqua"/>
          <w:i/>
          <w:iCs/>
        </w:rPr>
        <w:t>Biomolecules</w:t>
      </w:r>
      <w:r>
        <w:rPr>
          <w:rFonts w:ascii="Book Antiqua" w:hAnsi="Book Antiqua"/>
        </w:rPr>
        <w:t xml:space="preserve"> 2020; </w:t>
      </w:r>
      <w:r>
        <w:rPr>
          <w:rFonts w:ascii="Book Antiqua" w:hAnsi="Book Antiqua"/>
          <w:b/>
          <w:bCs/>
        </w:rPr>
        <w:t>10</w:t>
      </w:r>
      <w:r>
        <w:rPr>
          <w:rFonts w:ascii="Book Antiqua" w:hAnsi="Book Antiqua"/>
        </w:rPr>
        <w:t xml:space="preserve"> [PMID: 32599963 DOI: 10.3390/biom10060954]</w:t>
      </w:r>
    </w:p>
    <w:p>
      <w:pPr>
        <w:pStyle w:val="6"/>
        <w:spacing w:before="0" w:beforeAutospacing="0" w:after="0" w:afterAutospacing="0" w:line="360" w:lineRule="auto"/>
        <w:jc w:val="both"/>
        <w:rPr>
          <w:rFonts w:ascii="Book Antiqua" w:hAnsi="Book Antiqua"/>
        </w:rPr>
      </w:pPr>
      <w:r>
        <w:rPr>
          <w:rFonts w:ascii="Book Antiqua" w:hAnsi="Book Antiqua"/>
        </w:rPr>
        <w:t xml:space="preserve">79 </w:t>
      </w:r>
      <w:r>
        <w:rPr>
          <w:rFonts w:ascii="Book Antiqua" w:hAnsi="Book Antiqua"/>
          <w:b/>
          <w:bCs/>
        </w:rPr>
        <w:t>Naveja JJ</w:t>
      </w:r>
      <w:r>
        <w:rPr>
          <w:rFonts w:ascii="Book Antiqua" w:hAnsi="Book Antiqua"/>
        </w:rPr>
        <w:t xml:space="preserve">, Madariaga-Mazón A, Flores-Murrieta F, Granados-Montiel J, Maradiaga-Ceceña M, Alaniz VD, Maldonado-Rodriguez M, García-Morales J, Senosiain-Peláez JP, Martinez-Mayorga K. Union is strength: antiviral and anti-inflammatory drugs for COVID-19. </w:t>
      </w:r>
      <w:r>
        <w:rPr>
          <w:rFonts w:ascii="Book Antiqua" w:hAnsi="Book Antiqua"/>
          <w:i/>
          <w:iCs/>
        </w:rPr>
        <w:t>Drug Discov Today</w:t>
      </w:r>
      <w:r>
        <w:rPr>
          <w:rFonts w:ascii="Book Antiqua" w:hAnsi="Book Antiqua"/>
        </w:rPr>
        <w:t xml:space="preserve"> 2021; </w:t>
      </w:r>
      <w:r>
        <w:rPr>
          <w:rFonts w:ascii="Book Antiqua" w:hAnsi="Book Antiqua"/>
          <w:b/>
          <w:bCs/>
        </w:rPr>
        <w:t>26</w:t>
      </w:r>
      <w:r>
        <w:rPr>
          <w:rFonts w:ascii="Book Antiqua" w:hAnsi="Book Antiqua"/>
        </w:rPr>
        <w:t>: 229-239 [PMID: 33127568 DOI: 10.1016/j.drudis.2020.10.018]</w:t>
      </w:r>
    </w:p>
    <w:p>
      <w:pPr>
        <w:pStyle w:val="6"/>
        <w:spacing w:before="0" w:beforeAutospacing="0" w:after="0" w:afterAutospacing="0" w:line="360" w:lineRule="auto"/>
        <w:jc w:val="both"/>
        <w:rPr>
          <w:rFonts w:ascii="Book Antiqua" w:hAnsi="Book Antiqua"/>
        </w:rPr>
      </w:pPr>
      <w:r>
        <w:rPr>
          <w:rFonts w:ascii="Book Antiqua" w:hAnsi="Book Antiqua"/>
        </w:rPr>
        <w:t xml:space="preserve">80 </w:t>
      </w:r>
      <w:r>
        <w:rPr>
          <w:rFonts w:ascii="Book Antiqua" w:hAnsi="Book Antiqua"/>
          <w:b/>
          <w:bCs/>
        </w:rPr>
        <w:t>Rani I</w:t>
      </w:r>
      <w:r>
        <w:rPr>
          <w:rFonts w:ascii="Book Antiqua" w:hAnsi="Book Antiqua"/>
        </w:rPr>
        <w:t xml:space="preserve">, Goyal A, Bhatnagar M, Manhas S, Goel P, Pal A, Prasad R. Potential molecular mechanisms of zinc- and copper-mediated antiviral activity on COVID-19. </w:t>
      </w:r>
      <w:r>
        <w:rPr>
          <w:rFonts w:ascii="Book Antiqua" w:hAnsi="Book Antiqua"/>
          <w:i/>
          <w:iCs/>
        </w:rPr>
        <w:t>Nutr Res</w:t>
      </w:r>
      <w:r>
        <w:rPr>
          <w:rFonts w:ascii="Book Antiqua" w:hAnsi="Book Antiqua"/>
        </w:rPr>
        <w:t xml:space="preserve"> 2021; </w:t>
      </w:r>
      <w:r>
        <w:rPr>
          <w:rFonts w:ascii="Book Antiqua" w:hAnsi="Book Antiqua"/>
          <w:b/>
          <w:bCs/>
        </w:rPr>
        <w:t>92</w:t>
      </w:r>
      <w:r>
        <w:rPr>
          <w:rFonts w:ascii="Book Antiqua" w:hAnsi="Book Antiqua"/>
        </w:rPr>
        <w:t>: 109-128 [PMID: 34284268 DOI: 10.1016/j.nutres.2021.05.008]</w:t>
      </w:r>
    </w:p>
    <w:p>
      <w:pPr>
        <w:pStyle w:val="6"/>
        <w:spacing w:before="0" w:beforeAutospacing="0" w:after="0" w:afterAutospacing="0" w:line="360" w:lineRule="auto"/>
        <w:jc w:val="both"/>
        <w:rPr>
          <w:rFonts w:ascii="Book Antiqua" w:hAnsi="Book Antiqua"/>
        </w:rPr>
      </w:pPr>
      <w:r>
        <w:rPr>
          <w:rFonts w:ascii="Book Antiqua" w:hAnsi="Book Antiqua"/>
        </w:rPr>
        <w:t xml:space="preserve">81 </w:t>
      </w:r>
      <w:r>
        <w:rPr>
          <w:rFonts w:ascii="Book Antiqua" w:hAnsi="Book Antiqua"/>
          <w:b/>
          <w:bCs/>
        </w:rPr>
        <w:t>Thomas S</w:t>
      </w:r>
      <w:r>
        <w:rPr>
          <w:rFonts w:ascii="Book Antiqua" w:hAnsi="Book Antiqua"/>
        </w:rPr>
        <w:t xml:space="preserve">, Patel D, Bittel B, Wolski K, Wang Q, Kumar A, Il'Giovine ZJ, Mehra R, McWilliams C, Nissen SE, Desai MY. Effect of High-Dose Zinc and Ascorbic Acid Supplementation vs Usual Care on Symptom Length and Reduction Among Ambulatory Patients With SARS-CoV-2 Infection: The COVID A to Z Randomized Clinical Trial.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e210369 [PMID: 33576820 DOI: 10.1001/jamanetworkopen.2021.0369]</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 associated with any of the senior author or other co-authors who contributed their efforts in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hAnsi="Book Antiqua" w:cs="Book Antiqua"/>
          <w:color w:val="000000"/>
          <w:lang w:eastAsia="zh-CN"/>
        </w:rPr>
        <w:t>s</w:t>
      </w:r>
      <w:r>
        <w:rPr>
          <w:rFonts w:ascii="Book Antiqua" w:hAnsi="Book Antiqua" w:eastAsia="Book Antiqua" w:cs="Book Antiqua"/>
          <w:color w:val="000000"/>
        </w:rPr>
        <w:t>://creativecommons.org/Licenses/by-nc/4.0/</w:t>
      </w:r>
    </w:p>
    <w:p>
      <w:pPr>
        <w:spacing w:line="360" w:lineRule="auto"/>
        <w:jc w:val="both"/>
        <w:rPr>
          <w:rFonts w:ascii="Book Antiqua" w:hAnsi="Book Antiqua"/>
          <w:lang w:eastAsia="zh-CN"/>
        </w:rPr>
      </w:pPr>
    </w:p>
    <w:p>
      <w:pPr>
        <w:spacing w:line="360" w:lineRule="auto"/>
        <w:jc w:val="both"/>
        <w:rPr>
          <w:rFonts w:ascii="Book Antiqua" w:hAnsi="Book Antiqua"/>
        </w:rPr>
      </w:pPr>
      <w:bookmarkStart w:id="8" w:name="OLE_LINK436"/>
      <w:bookmarkStart w:id="9" w:name="OLE_LINK437"/>
      <w:bookmarkStart w:id="10" w:name="OLE_LINK742"/>
      <w:bookmarkStart w:id="11" w:name="OLE_LINK679"/>
      <w:bookmarkStart w:id="12" w:name="OLE_LINK678"/>
      <w:r>
        <w:rPr>
          <w:rFonts w:ascii="Book Antiqua" w:hAnsi="Book Antiqua"/>
          <w:b/>
          <w:bCs/>
          <w:color w:val="000000"/>
        </w:rPr>
        <w:t>Provenance and peer review:</w:t>
      </w:r>
      <w:r>
        <w:rPr>
          <w:rStyle w:val="11"/>
          <w:rFonts w:ascii="Book Antiqua" w:hAnsi="Book Antiqua"/>
          <w:b/>
          <w:bCs/>
          <w:color w:val="000000"/>
        </w:rPr>
        <w:t xml:space="preserve"> </w:t>
      </w:r>
      <w:r>
        <w:rPr>
          <w:rFonts w:ascii="Book Antiqua" w:hAnsi="Book Antiqua" w:eastAsia="Book Antiqua" w:cs="Book Antiqua"/>
          <w:color w:val="000000"/>
        </w:rPr>
        <w:t xml:space="preserve">Invited </w:t>
      </w:r>
      <w:r>
        <w:rPr>
          <w:rFonts w:ascii="Book Antiqua" w:hAnsi="Book Antiqua"/>
          <w:color w:val="000000"/>
        </w:rPr>
        <w:t>article; Externally peer reviewed.</w:t>
      </w:r>
    </w:p>
    <w:p>
      <w:pPr>
        <w:spacing w:line="360" w:lineRule="auto"/>
        <w:jc w:val="both"/>
        <w:rPr>
          <w:rFonts w:ascii="Book Antiqua" w:hAnsi="Book Antiqua"/>
        </w:rPr>
      </w:pPr>
      <w:bookmarkStart w:id="13" w:name="OLE_LINK439"/>
      <w:bookmarkStart w:id="14" w:name="OLE_LINK438"/>
      <w:r>
        <w:rPr>
          <w:rFonts w:ascii="Book Antiqua" w:hAnsi="Book Antiqua"/>
          <w:b/>
        </w:rPr>
        <w:t>Peer-review model</w:t>
      </w:r>
      <w:r>
        <w:rPr>
          <w:rFonts w:ascii="Book Antiqua" w:hAnsi="Book Antiqua"/>
        </w:rPr>
        <w:t>: Single blind</w:t>
      </w:r>
      <w:bookmarkEnd w:id="8"/>
      <w:bookmarkEnd w:id="9"/>
      <w:bookmarkEnd w:id="13"/>
      <w:bookmarkEnd w:id="14"/>
    </w:p>
    <w:bookmarkEnd w:id="10"/>
    <w:bookmarkEnd w:id="11"/>
    <w:bookmarkEnd w:id="1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18, 2021</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April 21,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Pal A</w:t>
      </w:r>
      <w:r>
        <w:rPr>
          <w:rFonts w:ascii="Book Antiqua" w:hAnsi="Book Antiqua" w:cs="Book Antiqua"/>
          <w:color w:val="000000"/>
          <w:lang w:eastAsia="zh-CN"/>
        </w:rPr>
        <w:t>,</w:t>
      </w:r>
      <w:r>
        <w:rPr>
          <w:rFonts w:ascii="Book Antiqua" w:hAnsi="Book Antiqua" w:eastAsia="Book Antiqua" w:cs="Book Antiqua"/>
          <w:b/>
          <w:color w:val="000000"/>
        </w:rPr>
        <w:t xml:space="preserve"> </w:t>
      </w:r>
      <w:r>
        <w:rPr>
          <w:rFonts w:ascii="Book Antiqua" w:hAnsi="Book Antiqua" w:eastAsia="Book Antiqua" w:cs="Book Antiqua"/>
          <w:color w:val="000000"/>
        </w:rPr>
        <w:t>India</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Ma YJ</w:t>
      </w:r>
    </w:p>
    <w:p>
      <w:pPr>
        <w:spacing w:line="360" w:lineRule="auto"/>
        <w:jc w:val="both"/>
        <w:rPr>
          <w:rFonts w:ascii="Book Antiqua" w:hAnsi="Book Antiqua"/>
          <w:b/>
          <w:lang w:eastAsia="zh-CN"/>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lang w:eastAsia="zh-CN"/>
        </w:rPr>
        <w:t xml:space="preserve">Table 1 </w:t>
      </w:r>
      <w:r>
        <w:rPr>
          <w:rFonts w:ascii="Book Antiqua" w:hAnsi="Book Antiqua" w:eastAsia="Book Antiqua" w:cs="Book Antiqua"/>
          <w:b/>
        </w:rPr>
        <w:t>Coronavirus disease 2019 main diagnostic methods characteristics</w:t>
      </w:r>
    </w:p>
    <w:tbl>
      <w:tblPr>
        <w:tblStyle w:val="8"/>
        <w:tblW w:w="11051" w:type="dxa"/>
        <w:tblInd w:w="-1006" w:type="dxa"/>
        <w:tblLayout w:type="fixed"/>
        <w:tblCellMar>
          <w:top w:w="0" w:type="dxa"/>
          <w:left w:w="108" w:type="dxa"/>
          <w:bottom w:w="0" w:type="dxa"/>
          <w:right w:w="108" w:type="dxa"/>
        </w:tblCellMar>
      </w:tblPr>
      <w:tblGrid>
        <w:gridCol w:w="2282"/>
        <w:gridCol w:w="2260"/>
        <w:gridCol w:w="1870"/>
        <w:gridCol w:w="2391"/>
        <w:gridCol w:w="2248"/>
      </w:tblGrid>
      <w:tr>
        <w:tblPrEx>
          <w:tblCellMar>
            <w:top w:w="0" w:type="dxa"/>
            <w:left w:w="108" w:type="dxa"/>
            <w:bottom w:w="0" w:type="dxa"/>
            <w:right w:w="108" w:type="dxa"/>
          </w:tblCellMar>
        </w:tblPrEx>
        <w:trPr>
          <w:trHeight w:val="604" w:hRule="atLeast"/>
        </w:trPr>
        <w:tc>
          <w:tcPr>
            <w:tcW w:w="2282" w:type="dxa"/>
            <w:tcBorders>
              <w:top w:val="single" w:color="000000" w:sz="4" w:space="0"/>
              <w:bottom w:val="single" w:color="000000" w:sz="4" w:space="0"/>
            </w:tcBorders>
            <w:shd w:val="clear" w:color="auto" w:fill="FFFFFF"/>
          </w:tcPr>
          <w:p>
            <w:pPr>
              <w:spacing w:line="360" w:lineRule="auto"/>
              <w:jc w:val="both"/>
              <w:rPr>
                <w:rFonts w:ascii="Book Antiqua" w:hAnsi="Book Antiqua" w:cs="Book Antiqua"/>
                <w:b/>
                <w:lang w:eastAsia="zh-CN"/>
              </w:rPr>
            </w:pPr>
            <w:r>
              <w:rPr>
                <w:rFonts w:ascii="Book Antiqua" w:hAnsi="Book Antiqua" w:cs="Book Antiqua"/>
                <w:b/>
                <w:lang w:eastAsia="zh-CN"/>
              </w:rPr>
              <w:t>Ref.</w:t>
            </w:r>
          </w:p>
        </w:tc>
        <w:tc>
          <w:tcPr>
            <w:tcW w:w="2260" w:type="dxa"/>
            <w:tcBorders>
              <w:top w:val="single" w:color="000000" w:sz="4" w:space="0"/>
              <w:bottom w:val="single" w:color="000000" w:sz="4" w:space="0"/>
            </w:tcBorders>
            <w:shd w:val="clear" w:color="auto" w:fill="FFFFFF"/>
          </w:tcPr>
          <w:p>
            <w:pPr>
              <w:spacing w:line="360" w:lineRule="auto"/>
              <w:jc w:val="both"/>
              <w:rPr>
                <w:rFonts w:ascii="Book Antiqua" w:hAnsi="Book Antiqua" w:eastAsia="Book Antiqua" w:cs="Book Antiqua"/>
                <w:b/>
              </w:rPr>
            </w:pPr>
            <w:r>
              <w:rPr>
                <w:rFonts w:ascii="Book Antiqua" w:hAnsi="Book Antiqua" w:eastAsia="Book Antiqua" w:cs="Book Antiqua"/>
                <w:b/>
              </w:rPr>
              <w:t>Diagnostic method</w:t>
            </w:r>
          </w:p>
        </w:tc>
        <w:tc>
          <w:tcPr>
            <w:tcW w:w="1870" w:type="dxa"/>
            <w:tcBorders>
              <w:top w:val="single" w:color="000000" w:sz="4" w:space="0"/>
              <w:bottom w:val="single" w:color="000000" w:sz="4" w:space="0"/>
            </w:tcBorders>
            <w:shd w:val="clear" w:color="auto" w:fill="FFFFFF"/>
          </w:tcPr>
          <w:p>
            <w:pPr>
              <w:spacing w:line="360" w:lineRule="auto"/>
              <w:jc w:val="both"/>
              <w:rPr>
                <w:rFonts w:ascii="Book Antiqua" w:hAnsi="Book Antiqua" w:eastAsia="Book Antiqua" w:cs="Book Antiqua"/>
                <w:b/>
              </w:rPr>
            </w:pPr>
            <w:r>
              <w:rPr>
                <w:rFonts w:ascii="Book Antiqua" w:hAnsi="Book Antiqua" w:eastAsia="Book Antiqua" w:cs="Book Antiqua"/>
                <w:b/>
              </w:rPr>
              <w:t>Sensitivity</w:t>
            </w:r>
          </w:p>
        </w:tc>
        <w:tc>
          <w:tcPr>
            <w:tcW w:w="2391" w:type="dxa"/>
            <w:tcBorders>
              <w:top w:val="single" w:color="000000" w:sz="4" w:space="0"/>
              <w:bottom w:val="single" w:color="000000" w:sz="4" w:space="0"/>
            </w:tcBorders>
            <w:shd w:val="clear" w:color="auto" w:fill="FFFFFF"/>
          </w:tcPr>
          <w:p>
            <w:pPr>
              <w:tabs>
                <w:tab w:val="center" w:pos="742"/>
              </w:tabs>
              <w:spacing w:line="360" w:lineRule="auto"/>
              <w:jc w:val="both"/>
              <w:rPr>
                <w:rFonts w:ascii="Book Antiqua" w:hAnsi="Book Antiqua" w:eastAsia="Book Antiqua" w:cs="Book Antiqua"/>
                <w:b/>
              </w:rPr>
            </w:pPr>
            <w:r>
              <w:rPr>
                <w:rFonts w:ascii="Book Antiqua" w:hAnsi="Book Antiqua" w:eastAsia="Book Antiqua" w:cs="Book Antiqua"/>
                <w:b/>
              </w:rPr>
              <w:t>Specificity</w:t>
            </w:r>
          </w:p>
        </w:tc>
        <w:tc>
          <w:tcPr>
            <w:tcW w:w="2248" w:type="dxa"/>
            <w:tcBorders>
              <w:top w:val="single" w:color="000000" w:sz="4" w:space="0"/>
              <w:bottom w:val="single" w:color="000000" w:sz="4" w:space="0"/>
            </w:tcBorders>
            <w:shd w:val="clear" w:color="auto" w:fill="FFFFFF"/>
          </w:tcPr>
          <w:p>
            <w:pPr>
              <w:spacing w:line="360" w:lineRule="auto"/>
              <w:jc w:val="both"/>
              <w:rPr>
                <w:rFonts w:ascii="Book Antiqua" w:hAnsi="Book Antiqua" w:eastAsia="Book Antiqua" w:cs="Book Antiqua"/>
                <w:b/>
              </w:rPr>
            </w:pPr>
            <w:r>
              <w:rPr>
                <w:rFonts w:ascii="Book Antiqua" w:hAnsi="Book Antiqua" w:eastAsia="Book Antiqua" w:cs="Book Antiqua"/>
                <w:b/>
              </w:rPr>
              <w:t>Time to result</w:t>
            </w:r>
          </w:p>
        </w:tc>
      </w:tr>
      <w:tr>
        <w:tblPrEx>
          <w:tblCellMar>
            <w:top w:w="0" w:type="dxa"/>
            <w:left w:w="108" w:type="dxa"/>
            <w:bottom w:w="0" w:type="dxa"/>
            <w:right w:w="108" w:type="dxa"/>
          </w:tblCellMar>
        </w:tblPrEx>
        <w:trPr>
          <w:trHeight w:val="834" w:hRule="atLeast"/>
        </w:trPr>
        <w:tc>
          <w:tcPr>
            <w:tcW w:w="2282" w:type="dxa"/>
            <w:tcBorders>
              <w:top w:val="single" w:color="000000" w:sz="4" w:space="0"/>
            </w:tcBorders>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 xml:space="preserve">Liu </w:t>
            </w:r>
            <w:r>
              <w:rPr>
                <w:rFonts w:ascii="Book Antiqua" w:hAnsi="Book Antiqua" w:eastAsia="Book Antiqua" w:cs="Book Antiqua"/>
                <w:i/>
              </w:rPr>
              <w:t>et al</w:t>
            </w:r>
            <w:r>
              <w:rPr>
                <w:rFonts w:ascii="Book Antiqua" w:hAnsi="Book Antiqua" w:eastAsia="Book Antiqua" w:cs="Book Antiqua"/>
                <w:vertAlign w:val="superscript"/>
              </w:rPr>
              <w:t>[23]</w:t>
            </w:r>
          </w:p>
        </w:tc>
        <w:tc>
          <w:tcPr>
            <w:tcW w:w="2260"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ELISA (IgM/IgG)</w:t>
            </w:r>
          </w:p>
        </w:tc>
        <w:tc>
          <w:tcPr>
            <w:tcW w:w="1870"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57.9%-90.7%</w:t>
            </w:r>
          </w:p>
        </w:tc>
        <w:tc>
          <w:tcPr>
            <w:tcW w:w="2391"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No cross-reactivity observed</w:t>
            </w:r>
          </w:p>
        </w:tc>
        <w:tc>
          <w:tcPr>
            <w:tcW w:w="2248"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cs="Book Antiqua"/>
                <w:lang w:eastAsia="zh-CN"/>
              </w:rPr>
              <w:t xml:space="preserve">About </w:t>
            </w:r>
            <w:r>
              <w:rPr>
                <w:rFonts w:ascii="Book Antiqua" w:hAnsi="Book Antiqua" w:eastAsia="Book Antiqua" w:cs="Book Antiqua"/>
              </w:rPr>
              <w:t>100 min</w:t>
            </w:r>
          </w:p>
        </w:tc>
      </w:tr>
      <w:tr>
        <w:tblPrEx>
          <w:tblCellMar>
            <w:top w:w="0" w:type="dxa"/>
            <w:left w:w="108" w:type="dxa"/>
            <w:bottom w:w="0" w:type="dxa"/>
            <w:right w:w="108" w:type="dxa"/>
          </w:tblCellMar>
        </w:tblPrEx>
        <w:trPr>
          <w:trHeight w:val="834" w:hRule="atLeast"/>
        </w:trPr>
        <w:tc>
          <w:tcPr>
            <w:tcW w:w="2282" w:type="dxa"/>
            <w:shd w:val="clear" w:color="auto" w:fill="FFFFFF"/>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 xml:space="preserve">Cai </w:t>
            </w:r>
            <w:r>
              <w:rPr>
                <w:rFonts w:ascii="Book Antiqua" w:hAnsi="Book Antiqua" w:eastAsia="Book Antiqua" w:cs="Book Antiqua"/>
                <w:i/>
              </w:rPr>
              <w:t>et al</w:t>
            </w:r>
            <w:r>
              <w:rPr>
                <w:rFonts w:ascii="Book Antiqua" w:hAnsi="Book Antiqua" w:eastAsia="Book Antiqua" w:cs="Book Antiqua"/>
                <w:vertAlign w:val="superscript"/>
              </w:rPr>
              <w:t>[24]</w:t>
            </w:r>
          </w:p>
        </w:tc>
        <w:tc>
          <w:tcPr>
            <w:tcW w:w="2260" w:type="dxa"/>
            <w:shd w:val="clear" w:color="auto" w:fill="FFFFFF"/>
          </w:tcPr>
          <w:p>
            <w:pPr>
              <w:spacing w:line="360" w:lineRule="auto"/>
              <w:jc w:val="both"/>
              <w:rPr>
                <w:rFonts w:ascii="Book Antiqua" w:hAnsi="Book Antiqua" w:eastAsia="Book Antiqua" w:cs="Book Antiqua"/>
              </w:rPr>
            </w:pPr>
            <w:r>
              <w:rPr>
                <w:rFonts w:ascii="Book Antiqua" w:hAnsi="Book Antiqua" w:eastAsia="Book Antiqua" w:cs="Book Antiqua"/>
              </w:rPr>
              <w:t>CLIA (IgM/IgG/IgM and IgG)</w:t>
            </w:r>
          </w:p>
        </w:tc>
        <w:tc>
          <w:tcPr>
            <w:tcW w:w="1870" w:type="dxa"/>
            <w:shd w:val="clear" w:color="auto" w:fill="FFFFFF"/>
          </w:tcPr>
          <w:p>
            <w:pPr>
              <w:spacing w:line="360" w:lineRule="auto"/>
              <w:jc w:val="both"/>
              <w:rPr>
                <w:rFonts w:ascii="Book Antiqua" w:hAnsi="Book Antiqua" w:eastAsia="Book Antiqua" w:cs="Book Antiqua"/>
              </w:rPr>
            </w:pPr>
            <w:r>
              <w:rPr>
                <w:rFonts w:ascii="Book Antiqua" w:hAnsi="Book Antiqua" w:eastAsia="Book Antiqua" w:cs="Book Antiqua"/>
              </w:rPr>
              <w:t>57.2%-81.5%</w:t>
            </w:r>
          </w:p>
        </w:tc>
        <w:tc>
          <w:tcPr>
            <w:tcW w:w="2391" w:type="dxa"/>
            <w:shd w:val="clear" w:color="auto" w:fill="FFFFFF"/>
          </w:tcPr>
          <w:p>
            <w:pPr>
              <w:spacing w:line="360" w:lineRule="auto"/>
              <w:jc w:val="both"/>
              <w:rPr>
                <w:rFonts w:ascii="Book Antiqua" w:hAnsi="Book Antiqua" w:eastAsia="Book Antiqua" w:cs="Book Antiqua"/>
              </w:rPr>
            </w:pPr>
            <w:r>
              <w:rPr>
                <w:rFonts w:ascii="Book Antiqua" w:hAnsi="Book Antiqua" w:eastAsia="Book Antiqua" w:cs="Book Antiqua"/>
              </w:rPr>
              <w:t>No cross-reactivity observed</w:t>
            </w:r>
          </w:p>
        </w:tc>
        <w:tc>
          <w:tcPr>
            <w:tcW w:w="2248" w:type="dxa"/>
            <w:shd w:val="clear" w:color="auto" w:fill="FFFFFF"/>
          </w:tcPr>
          <w:p>
            <w:pPr>
              <w:spacing w:line="360" w:lineRule="auto"/>
              <w:jc w:val="both"/>
              <w:rPr>
                <w:rFonts w:ascii="Book Antiqua" w:hAnsi="Book Antiqua" w:eastAsia="Book Antiqua" w:cs="Book Antiqua"/>
              </w:rPr>
            </w:pPr>
            <w:r>
              <w:rPr>
                <w:rFonts w:ascii="Book Antiqua" w:hAnsi="Book Antiqua" w:eastAsia="Book Antiqua" w:cs="Book Antiqua"/>
              </w:rPr>
              <w:t>ND</w:t>
            </w:r>
          </w:p>
        </w:tc>
      </w:tr>
      <w:tr>
        <w:tblPrEx>
          <w:tblCellMar>
            <w:top w:w="0" w:type="dxa"/>
            <w:left w:w="108" w:type="dxa"/>
            <w:bottom w:w="0" w:type="dxa"/>
            <w:right w:w="108" w:type="dxa"/>
          </w:tblCellMar>
        </w:tblPrEx>
        <w:trPr>
          <w:trHeight w:val="834" w:hRule="atLeast"/>
        </w:trPr>
        <w:tc>
          <w:tcPr>
            <w:tcW w:w="2282"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Montesinos </w:t>
            </w:r>
            <w:r>
              <w:rPr>
                <w:rFonts w:ascii="Book Antiqua" w:hAnsi="Book Antiqua" w:eastAsia="Book Antiqua" w:cs="Book Antiqua"/>
                <w:i/>
              </w:rPr>
              <w:t>et al</w:t>
            </w:r>
            <w:r>
              <w:rPr>
                <w:rFonts w:ascii="Book Antiqua" w:hAnsi="Book Antiqua" w:eastAsia="Book Antiqua" w:cs="Book Antiqua"/>
                <w:vertAlign w:val="superscript"/>
              </w:rPr>
              <w:t>[25]</w:t>
            </w:r>
          </w:p>
        </w:tc>
        <w:tc>
          <w:tcPr>
            <w:tcW w:w="2260" w:type="dxa"/>
          </w:tcPr>
          <w:p>
            <w:pPr>
              <w:spacing w:line="360" w:lineRule="auto"/>
              <w:jc w:val="both"/>
              <w:rPr>
                <w:rFonts w:ascii="Book Antiqua" w:hAnsi="Book Antiqua" w:eastAsia="Book Antiqua" w:cs="Book Antiqua"/>
              </w:rPr>
            </w:pPr>
            <w:r>
              <w:rPr>
                <w:rFonts w:ascii="Book Antiqua" w:hAnsi="Book Antiqua" w:eastAsia="Book Antiqua" w:cs="Book Antiqua"/>
              </w:rPr>
              <w:t>LFA (IgM/IgG/IgM and IgG)</w:t>
            </w:r>
          </w:p>
        </w:tc>
        <w:tc>
          <w:tcPr>
            <w:tcW w:w="1870" w:type="dxa"/>
          </w:tcPr>
          <w:p>
            <w:pPr>
              <w:spacing w:line="360" w:lineRule="auto"/>
              <w:jc w:val="both"/>
              <w:rPr>
                <w:rFonts w:ascii="Book Antiqua" w:hAnsi="Book Antiqua" w:eastAsia="Book Antiqua" w:cs="Book Antiqua"/>
              </w:rPr>
            </w:pPr>
            <w:r>
              <w:rPr>
                <w:rFonts w:ascii="Book Antiqua" w:hAnsi="Book Antiqua" w:eastAsia="Book Antiqua" w:cs="Book Antiqua"/>
              </w:rPr>
              <w:t>~70.0%</w:t>
            </w:r>
          </w:p>
        </w:tc>
        <w:tc>
          <w:tcPr>
            <w:tcW w:w="2391" w:type="dxa"/>
          </w:tcPr>
          <w:p>
            <w:pPr>
              <w:spacing w:line="360" w:lineRule="auto"/>
              <w:jc w:val="both"/>
              <w:rPr>
                <w:rFonts w:ascii="Book Antiqua" w:hAnsi="Book Antiqua" w:eastAsia="Book Antiqua" w:cs="Book Antiqua"/>
              </w:rPr>
            </w:pPr>
            <w:r>
              <w:rPr>
                <w:rFonts w:ascii="Book Antiqua" w:hAnsi="Book Antiqua" w:eastAsia="Book Antiqua" w:cs="Book Antiqua"/>
              </w:rPr>
              <w:t>95.8%-100%</w:t>
            </w:r>
          </w:p>
        </w:tc>
        <w:tc>
          <w:tcPr>
            <w:tcW w:w="2248" w:type="dxa"/>
          </w:tcPr>
          <w:p>
            <w:pPr>
              <w:spacing w:line="360" w:lineRule="auto"/>
              <w:jc w:val="both"/>
              <w:rPr>
                <w:rFonts w:ascii="Book Antiqua" w:hAnsi="Book Antiqua" w:eastAsia="Book Antiqua" w:cs="Book Antiqua"/>
              </w:rPr>
            </w:pPr>
            <w:r>
              <w:rPr>
                <w:rFonts w:ascii="Book Antiqua" w:hAnsi="Book Antiqua" w:cs="Book Antiqua"/>
                <w:lang w:eastAsia="zh-CN"/>
              </w:rPr>
              <w:t>About</w:t>
            </w:r>
            <w:r>
              <w:rPr>
                <w:rFonts w:ascii="Book Antiqua" w:hAnsi="Book Antiqua" w:eastAsia="Book Antiqua" w:cs="Book Antiqua"/>
              </w:rPr>
              <w:t xml:space="preserve"> 10 min</w:t>
            </w:r>
          </w:p>
        </w:tc>
      </w:tr>
      <w:tr>
        <w:tblPrEx>
          <w:tblCellMar>
            <w:top w:w="0" w:type="dxa"/>
            <w:left w:w="108" w:type="dxa"/>
            <w:bottom w:w="0" w:type="dxa"/>
            <w:right w:w="108" w:type="dxa"/>
          </w:tblCellMar>
        </w:tblPrEx>
        <w:trPr>
          <w:trHeight w:val="861" w:hRule="atLeast"/>
        </w:trPr>
        <w:tc>
          <w:tcPr>
            <w:tcW w:w="2282"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Scohy </w:t>
            </w:r>
            <w:r>
              <w:rPr>
                <w:rFonts w:ascii="Book Antiqua" w:hAnsi="Book Antiqua" w:eastAsia="Book Antiqua" w:cs="Book Antiqua"/>
                <w:i/>
              </w:rPr>
              <w:t>et al</w:t>
            </w:r>
            <w:r>
              <w:rPr>
                <w:rFonts w:ascii="Book Antiqua" w:hAnsi="Book Antiqua" w:eastAsia="Book Antiqua" w:cs="Book Antiqua"/>
                <w:vertAlign w:val="superscript"/>
              </w:rPr>
              <w:t>[52]</w:t>
            </w:r>
          </w:p>
        </w:tc>
        <w:tc>
          <w:tcPr>
            <w:tcW w:w="2260" w:type="dxa"/>
          </w:tcPr>
          <w:p>
            <w:pPr>
              <w:spacing w:line="360" w:lineRule="auto"/>
              <w:jc w:val="both"/>
              <w:rPr>
                <w:rFonts w:ascii="Book Antiqua" w:hAnsi="Book Antiqua" w:eastAsia="Book Antiqua" w:cs="Book Antiqua"/>
              </w:rPr>
            </w:pPr>
            <w:r>
              <w:rPr>
                <w:rFonts w:ascii="Book Antiqua" w:hAnsi="Book Antiqua" w:eastAsia="Book Antiqua" w:cs="Book Antiqua"/>
              </w:rPr>
              <w:t>Antigen detection</w:t>
            </w:r>
          </w:p>
        </w:tc>
        <w:tc>
          <w:tcPr>
            <w:tcW w:w="1870" w:type="dxa"/>
          </w:tcPr>
          <w:p>
            <w:pPr>
              <w:spacing w:line="360" w:lineRule="auto"/>
              <w:jc w:val="both"/>
              <w:rPr>
                <w:rFonts w:ascii="Book Antiqua" w:hAnsi="Book Antiqua" w:eastAsia="Book Antiqua" w:cs="Book Antiqua"/>
              </w:rPr>
            </w:pPr>
            <w:r>
              <w:rPr>
                <w:rFonts w:ascii="Book Antiqua" w:hAnsi="Book Antiqua" w:eastAsia="Book Antiqua" w:cs="Book Antiqua"/>
              </w:rPr>
              <w:t>30.2%</w:t>
            </w:r>
          </w:p>
        </w:tc>
        <w:tc>
          <w:tcPr>
            <w:tcW w:w="2391" w:type="dxa"/>
          </w:tcPr>
          <w:p>
            <w:pPr>
              <w:spacing w:line="360" w:lineRule="auto"/>
              <w:jc w:val="both"/>
              <w:rPr>
                <w:rFonts w:ascii="Book Antiqua" w:hAnsi="Book Antiqua" w:eastAsia="Book Antiqua" w:cs="Book Antiqua"/>
              </w:rPr>
            </w:pPr>
            <w:r>
              <w:rPr>
                <w:rFonts w:ascii="Book Antiqua" w:hAnsi="Book Antiqua" w:eastAsia="Book Antiqua" w:cs="Book Antiqua"/>
              </w:rPr>
              <w:t>100%</w:t>
            </w:r>
          </w:p>
        </w:tc>
        <w:tc>
          <w:tcPr>
            <w:tcW w:w="2248" w:type="dxa"/>
          </w:tcPr>
          <w:p>
            <w:pPr>
              <w:spacing w:line="360" w:lineRule="auto"/>
              <w:jc w:val="both"/>
              <w:rPr>
                <w:rFonts w:ascii="Book Antiqua" w:hAnsi="Book Antiqua" w:eastAsia="Book Antiqua" w:cs="Book Antiqua"/>
              </w:rPr>
            </w:pPr>
            <w:r>
              <w:rPr>
                <w:rFonts w:ascii="Book Antiqua" w:hAnsi="Book Antiqua" w:cs="Book Antiqua"/>
                <w:lang w:eastAsia="zh-CN"/>
              </w:rPr>
              <w:t>About</w:t>
            </w:r>
            <w:r>
              <w:rPr>
                <w:rFonts w:ascii="Book Antiqua" w:hAnsi="Book Antiqua" w:eastAsia="Book Antiqua" w:cs="Book Antiqua"/>
              </w:rPr>
              <w:t xml:space="preserve"> 15 min</w:t>
            </w:r>
          </w:p>
        </w:tc>
      </w:tr>
      <w:tr>
        <w:tblPrEx>
          <w:tblCellMar>
            <w:top w:w="0" w:type="dxa"/>
            <w:left w:w="108" w:type="dxa"/>
            <w:bottom w:w="0" w:type="dxa"/>
            <w:right w:w="108" w:type="dxa"/>
          </w:tblCellMar>
        </w:tblPrEx>
        <w:trPr>
          <w:trHeight w:val="834" w:hRule="atLeast"/>
        </w:trPr>
        <w:tc>
          <w:tcPr>
            <w:tcW w:w="2282"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 xml:space="preserve">Porte </w:t>
            </w:r>
            <w:r>
              <w:rPr>
                <w:rFonts w:ascii="Book Antiqua" w:hAnsi="Book Antiqua" w:eastAsia="Book Antiqua" w:cs="Book Antiqua"/>
                <w:i/>
              </w:rPr>
              <w:t>et al</w:t>
            </w:r>
            <w:r>
              <w:rPr>
                <w:rFonts w:ascii="Book Antiqua" w:hAnsi="Book Antiqua" w:eastAsia="Book Antiqua" w:cs="Book Antiqua"/>
                <w:vertAlign w:val="superscript"/>
              </w:rPr>
              <w:t>[54]</w:t>
            </w:r>
          </w:p>
        </w:tc>
        <w:tc>
          <w:tcPr>
            <w:tcW w:w="2260" w:type="dxa"/>
          </w:tcPr>
          <w:p>
            <w:pPr>
              <w:spacing w:line="360" w:lineRule="auto"/>
              <w:jc w:val="both"/>
              <w:rPr>
                <w:rFonts w:ascii="Book Antiqua" w:hAnsi="Book Antiqua" w:eastAsia="Book Antiqua" w:cs="Book Antiqua"/>
              </w:rPr>
            </w:pPr>
            <w:r>
              <w:rPr>
                <w:rFonts w:ascii="Book Antiqua" w:hAnsi="Book Antiqua" w:eastAsia="Book Antiqua" w:cs="Book Antiqua"/>
              </w:rPr>
              <w:t>Antigen detection</w:t>
            </w:r>
          </w:p>
        </w:tc>
        <w:tc>
          <w:tcPr>
            <w:tcW w:w="1870"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r>
              <w:rPr>
                <w:rFonts w:ascii="Book Antiqua" w:hAnsi="Book Antiqua" w:eastAsia="Book Antiqua" w:cs="Book Antiqua"/>
              </w:rPr>
              <w:t>93.9%</w:t>
            </w:r>
          </w:p>
        </w:tc>
        <w:tc>
          <w:tcPr>
            <w:tcW w:w="2391"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r>
              <w:rPr>
                <w:rFonts w:ascii="Book Antiqua" w:hAnsi="Book Antiqua" w:eastAsia="Book Antiqua" w:cs="Book Antiqua"/>
              </w:rPr>
              <w:t>100%</w:t>
            </w:r>
          </w:p>
        </w:tc>
        <w:tc>
          <w:tcPr>
            <w:tcW w:w="2248" w:type="dxa"/>
          </w:tcPr>
          <w:p>
            <w:pPr>
              <w:spacing w:line="360" w:lineRule="auto"/>
              <w:jc w:val="both"/>
              <w:rPr>
                <w:rFonts w:ascii="Book Antiqua" w:hAnsi="Book Antiqua" w:eastAsia="Book Antiqua" w:cs="Book Antiqua"/>
              </w:rPr>
            </w:pPr>
            <w:r>
              <w:rPr>
                <w:rFonts w:ascii="Book Antiqua" w:hAnsi="Book Antiqua" w:cs="Book Antiqua"/>
                <w:lang w:eastAsia="zh-CN"/>
              </w:rPr>
              <w:t>About</w:t>
            </w:r>
            <w:r>
              <w:rPr>
                <w:rFonts w:ascii="Book Antiqua" w:hAnsi="Book Antiqua" w:eastAsia="Book Antiqua" w:cs="Book Antiqua"/>
              </w:rPr>
              <w:t xml:space="preserve"> 15 min</w:t>
            </w:r>
          </w:p>
        </w:tc>
      </w:tr>
      <w:tr>
        <w:tblPrEx>
          <w:tblCellMar>
            <w:top w:w="0" w:type="dxa"/>
            <w:left w:w="108" w:type="dxa"/>
            <w:bottom w:w="0" w:type="dxa"/>
            <w:right w:w="108" w:type="dxa"/>
          </w:tblCellMar>
        </w:tblPrEx>
        <w:trPr>
          <w:trHeight w:val="834" w:hRule="atLeast"/>
        </w:trPr>
        <w:tc>
          <w:tcPr>
            <w:tcW w:w="2282" w:type="dxa"/>
          </w:tcPr>
          <w:p>
            <w:pPr>
              <w:spacing w:line="360" w:lineRule="auto"/>
              <w:jc w:val="both"/>
              <w:rPr>
                <w:rFonts w:ascii="Book Antiqua" w:hAnsi="Book Antiqua"/>
                <w:vertAlign w:val="superscript"/>
              </w:rPr>
            </w:pPr>
            <w:r>
              <w:rPr>
                <w:rFonts w:ascii="Book Antiqua" w:hAnsi="Book Antiqua" w:eastAsia="Book Antiqua" w:cs="Book Antiqua"/>
              </w:rPr>
              <w:t xml:space="preserve">Suo </w:t>
            </w:r>
            <w:r>
              <w:rPr>
                <w:rFonts w:ascii="Book Antiqua" w:hAnsi="Book Antiqua" w:eastAsia="Book Antiqua" w:cs="Book Antiqua"/>
                <w:i/>
              </w:rPr>
              <w:t>et al</w:t>
            </w:r>
            <w:r>
              <w:rPr>
                <w:rFonts w:ascii="Book Antiqua" w:hAnsi="Book Antiqua" w:eastAsia="Book Antiqua" w:cs="Book Antiqua"/>
                <w:vertAlign w:val="superscript"/>
              </w:rPr>
              <w:t>[19]</w:t>
            </w:r>
          </w:p>
        </w:tc>
        <w:tc>
          <w:tcPr>
            <w:tcW w:w="2260" w:type="dxa"/>
          </w:tcPr>
          <w:p>
            <w:pPr>
              <w:spacing w:line="360" w:lineRule="auto"/>
              <w:jc w:val="both"/>
              <w:rPr>
                <w:rFonts w:ascii="Book Antiqua" w:hAnsi="Book Antiqua" w:eastAsia="Book Antiqua" w:cs="Book Antiqua"/>
              </w:rPr>
            </w:pPr>
            <w:r>
              <w:rPr>
                <w:rFonts w:ascii="Book Antiqua" w:hAnsi="Book Antiqua" w:eastAsia="Book Antiqua" w:cs="Book Antiqua"/>
              </w:rPr>
              <w:t>RT-PCR</w:t>
            </w:r>
          </w:p>
        </w:tc>
        <w:tc>
          <w:tcPr>
            <w:tcW w:w="1870"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r>
              <w:rPr>
                <w:rFonts w:ascii="Book Antiqua" w:hAnsi="Book Antiqua" w:eastAsia="Book Antiqua" w:cs="Book Antiqua"/>
              </w:rPr>
              <w:t>94.0%</w:t>
            </w:r>
          </w:p>
        </w:tc>
        <w:tc>
          <w:tcPr>
            <w:tcW w:w="2391"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r>
              <w:rPr>
                <w:rFonts w:ascii="Book Antiqua" w:hAnsi="Book Antiqua" w:eastAsia="Book Antiqua" w:cs="Book Antiqua"/>
              </w:rPr>
              <w:t>100%</w:t>
            </w:r>
          </w:p>
        </w:tc>
        <w:tc>
          <w:tcPr>
            <w:tcW w:w="2248" w:type="dxa"/>
          </w:tcPr>
          <w:p>
            <w:pPr>
              <w:spacing w:line="360" w:lineRule="auto"/>
              <w:jc w:val="both"/>
              <w:rPr>
                <w:rFonts w:ascii="Book Antiqua" w:hAnsi="Book Antiqua" w:eastAsia="Book Antiqua" w:cs="Book Antiqua"/>
              </w:rPr>
            </w:pPr>
            <w:r>
              <w:rPr>
                <w:rFonts w:ascii="Book Antiqua" w:hAnsi="Book Antiqua" w:eastAsia="Book Antiqua" w:cs="Book Antiqua"/>
              </w:rPr>
              <w:t>ND</w:t>
            </w:r>
          </w:p>
        </w:tc>
      </w:tr>
      <w:tr>
        <w:tblPrEx>
          <w:tblCellMar>
            <w:top w:w="0" w:type="dxa"/>
            <w:left w:w="108" w:type="dxa"/>
            <w:bottom w:w="0" w:type="dxa"/>
            <w:right w:w="108" w:type="dxa"/>
          </w:tblCellMar>
        </w:tblPrEx>
        <w:trPr>
          <w:trHeight w:val="834" w:hRule="atLeast"/>
        </w:trPr>
        <w:tc>
          <w:tcPr>
            <w:tcW w:w="2282"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highlight w:val="white"/>
              </w:rPr>
              <w:t xml:space="preserve">Österdahl </w:t>
            </w:r>
            <w:r>
              <w:rPr>
                <w:rFonts w:ascii="Book Antiqua" w:hAnsi="Book Antiqua" w:eastAsia="Book Antiqua" w:cs="Book Antiqua"/>
                <w:i/>
                <w:highlight w:val="white"/>
              </w:rPr>
              <w:t>et al</w:t>
            </w:r>
            <w:r>
              <w:rPr>
                <w:rFonts w:ascii="Book Antiqua" w:hAnsi="Book Antiqua" w:eastAsia="Book Antiqua" w:cs="Book Antiqua"/>
                <w:highlight w:val="white"/>
                <w:vertAlign w:val="superscript"/>
              </w:rPr>
              <w:t>[26]</w:t>
            </w:r>
          </w:p>
        </w:tc>
        <w:tc>
          <w:tcPr>
            <w:tcW w:w="2260" w:type="dxa"/>
          </w:tcPr>
          <w:p>
            <w:pPr>
              <w:spacing w:line="360" w:lineRule="auto"/>
              <w:jc w:val="both"/>
              <w:rPr>
                <w:rFonts w:ascii="Book Antiqua" w:hAnsi="Book Antiqua" w:eastAsia="Book Antiqua" w:cs="Book Antiqua"/>
              </w:rPr>
            </w:pPr>
            <w:r>
              <w:rPr>
                <w:rFonts w:ascii="Book Antiqua" w:hAnsi="Book Antiqua" w:eastAsia="Book Antiqua" w:cs="Book Antiqua"/>
              </w:rPr>
              <w:t>RT-LAMP</w:t>
            </w:r>
          </w:p>
        </w:tc>
        <w:tc>
          <w:tcPr>
            <w:tcW w:w="1870" w:type="dxa"/>
          </w:tcPr>
          <w:p>
            <w:pPr>
              <w:spacing w:line="360" w:lineRule="auto"/>
              <w:jc w:val="both"/>
              <w:rPr>
                <w:rFonts w:ascii="Book Antiqua" w:hAnsi="Book Antiqua" w:eastAsia="Book Antiqua" w:cs="Book Antiqua"/>
              </w:rPr>
            </w:pPr>
            <w:r>
              <w:rPr>
                <w:rFonts w:ascii="Book Antiqua" w:hAnsi="Book Antiqua" w:eastAsia="Book Antiqua" w:cs="Book Antiqua"/>
              </w:rPr>
              <w:t>80.0%</w:t>
            </w:r>
          </w:p>
        </w:tc>
        <w:tc>
          <w:tcPr>
            <w:tcW w:w="2391" w:type="dxa"/>
          </w:tcPr>
          <w:p>
            <w:pPr>
              <w:spacing w:line="360" w:lineRule="auto"/>
              <w:jc w:val="both"/>
              <w:rPr>
                <w:rFonts w:ascii="Book Antiqua" w:hAnsi="Book Antiqua" w:eastAsia="Book Antiqua" w:cs="Book Antiqua"/>
              </w:rPr>
            </w:pPr>
            <w:r>
              <w:rPr>
                <w:rFonts w:ascii="Book Antiqua" w:hAnsi="Book Antiqua" w:eastAsia="Book Antiqua" w:cs="Book Antiqua"/>
              </w:rPr>
              <w:t>73%–100%</w:t>
            </w:r>
          </w:p>
        </w:tc>
        <w:tc>
          <w:tcPr>
            <w:tcW w:w="2248" w:type="dxa"/>
          </w:tcPr>
          <w:p>
            <w:pPr>
              <w:spacing w:line="360" w:lineRule="auto"/>
              <w:jc w:val="both"/>
              <w:rPr>
                <w:rFonts w:ascii="Book Antiqua" w:hAnsi="Book Antiqua" w:eastAsia="Book Antiqua" w:cs="Book Antiqua"/>
              </w:rPr>
            </w:pPr>
            <w:r>
              <w:rPr>
                <w:rFonts w:ascii="Book Antiqua" w:hAnsi="Book Antiqua" w:cs="Book Antiqua"/>
                <w:lang w:eastAsia="zh-CN"/>
              </w:rPr>
              <w:t>About</w:t>
            </w:r>
            <w:r>
              <w:rPr>
                <w:rFonts w:ascii="Book Antiqua" w:hAnsi="Book Antiqua" w:eastAsia="Book Antiqua" w:cs="Book Antiqua"/>
              </w:rPr>
              <w:t xml:space="preserve"> 25 min</w:t>
            </w:r>
          </w:p>
        </w:tc>
      </w:tr>
      <w:tr>
        <w:tblPrEx>
          <w:tblCellMar>
            <w:top w:w="0" w:type="dxa"/>
            <w:left w:w="108" w:type="dxa"/>
            <w:bottom w:w="0" w:type="dxa"/>
            <w:right w:w="108" w:type="dxa"/>
          </w:tblCellMar>
        </w:tblPrEx>
        <w:trPr>
          <w:trHeight w:val="834" w:hRule="atLeast"/>
        </w:trPr>
        <w:tc>
          <w:tcPr>
            <w:tcW w:w="2282"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 xml:space="preserve">Dao Thi </w:t>
            </w:r>
            <w:r>
              <w:rPr>
                <w:rFonts w:ascii="Book Antiqua" w:hAnsi="Book Antiqua" w:eastAsia="Book Antiqua" w:cs="Book Antiqua"/>
                <w:i/>
              </w:rPr>
              <w:t>et al</w:t>
            </w:r>
            <w:r>
              <w:rPr>
                <w:rFonts w:ascii="Book Antiqua" w:hAnsi="Book Antiqua" w:eastAsia="Book Antiqua" w:cs="Book Antiqua"/>
                <w:vertAlign w:val="superscript"/>
              </w:rPr>
              <w:t>[27]</w:t>
            </w:r>
          </w:p>
        </w:tc>
        <w:tc>
          <w:tcPr>
            <w:tcW w:w="2260" w:type="dxa"/>
          </w:tcPr>
          <w:p>
            <w:pPr>
              <w:spacing w:line="360" w:lineRule="auto"/>
              <w:jc w:val="both"/>
              <w:rPr>
                <w:rFonts w:ascii="Book Antiqua" w:hAnsi="Book Antiqua" w:eastAsia="Book Antiqua" w:cs="Book Antiqua"/>
              </w:rPr>
            </w:pPr>
            <w:r>
              <w:rPr>
                <w:rFonts w:ascii="Book Antiqua" w:hAnsi="Book Antiqua" w:eastAsia="Book Antiqua" w:cs="Book Antiqua"/>
              </w:rPr>
              <w:t>RT-LAMP</w:t>
            </w:r>
          </w:p>
        </w:tc>
        <w:tc>
          <w:tcPr>
            <w:tcW w:w="1870" w:type="dxa"/>
          </w:tcPr>
          <w:p>
            <w:pPr>
              <w:spacing w:line="360" w:lineRule="auto"/>
              <w:jc w:val="both"/>
              <w:rPr>
                <w:rFonts w:ascii="Book Antiqua" w:hAnsi="Book Antiqua" w:eastAsia="Book Antiqua" w:cs="Book Antiqua"/>
              </w:rPr>
            </w:pPr>
            <w:r>
              <w:rPr>
                <w:rFonts w:ascii="Book Antiqua" w:hAnsi="Book Antiqua" w:eastAsia="Book Antiqua" w:cs="Book Antiqua"/>
              </w:rPr>
              <w:t>97.5%</w:t>
            </w:r>
          </w:p>
        </w:tc>
        <w:tc>
          <w:tcPr>
            <w:tcW w:w="2391" w:type="dxa"/>
          </w:tcPr>
          <w:p>
            <w:pPr>
              <w:spacing w:line="360" w:lineRule="auto"/>
              <w:jc w:val="both"/>
              <w:rPr>
                <w:rFonts w:ascii="Book Antiqua" w:hAnsi="Book Antiqua" w:eastAsia="Book Antiqua" w:cs="Book Antiqua"/>
              </w:rPr>
            </w:pPr>
            <w:r>
              <w:rPr>
                <w:rFonts w:ascii="Book Antiqua" w:hAnsi="Book Antiqua" w:eastAsia="Book Antiqua" w:cs="Book Antiqua"/>
              </w:rPr>
              <w:t>99.7%</w:t>
            </w:r>
          </w:p>
        </w:tc>
        <w:tc>
          <w:tcPr>
            <w:tcW w:w="2248" w:type="dxa"/>
          </w:tcPr>
          <w:p>
            <w:pPr>
              <w:spacing w:line="360" w:lineRule="auto"/>
              <w:jc w:val="both"/>
              <w:rPr>
                <w:rFonts w:ascii="Book Antiqua" w:hAnsi="Book Antiqua" w:eastAsia="Book Antiqua" w:cs="Book Antiqua"/>
              </w:rPr>
            </w:pPr>
            <w:r>
              <w:rPr>
                <w:rFonts w:ascii="Book Antiqua" w:hAnsi="Book Antiqua" w:cs="Book Antiqua"/>
                <w:lang w:eastAsia="zh-CN"/>
              </w:rPr>
              <w:t>About</w:t>
            </w:r>
            <w:r>
              <w:rPr>
                <w:rFonts w:ascii="Book Antiqua" w:hAnsi="Book Antiqua" w:eastAsia="Book Antiqua" w:cs="Book Antiqua"/>
              </w:rPr>
              <w:t xml:space="preserve"> 30 min</w:t>
            </w:r>
          </w:p>
        </w:tc>
      </w:tr>
      <w:tr>
        <w:tblPrEx>
          <w:tblCellMar>
            <w:top w:w="0" w:type="dxa"/>
            <w:left w:w="108" w:type="dxa"/>
            <w:bottom w:w="0" w:type="dxa"/>
            <w:right w:w="108" w:type="dxa"/>
          </w:tblCellMar>
        </w:tblPrEx>
        <w:trPr>
          <w:trHeight w:val="853" w:hRule="atLeast"/>
        </w:trPr>
        <w:tc>
          <w:tcPr>
            <w:tcW w:w="2282" w:type="dxa"/>
            <w:tcBorders>
              <w:bottom w:val="single" w:color="000000" w:sz="4" w:space="0"/>
            </w:tcBorders>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 xml:space="preserve">Ai </w:t>
            </w:r>
            <w:r>
              <w:rPr>
                <w:rFonts w:ascii="Book Antiqua" w:hAnsi="Book Antiqua" w:eastAsia="Book Antiqua" w:cs="Book Antiqua"/>
                <w:i/>
              </w:rPr>
              <w:t>et al</w:t>
            </w:r>
            <w:r>
              <w:rPr>
                <w:rFonts w:ascii="Book Antiqua" w:hAnsi="Book Antiqua" w:eastAsia="Book Antiqua" w:cs="Book Antiqua"/>
                <w:vertAlign w:val="superscript"/>
              </w:rPr>
              <w:t>[28]</w:t>
            </w:r>
          </w:p>
        </w:tc>
        <w:tc>
          <w:tcPr>
            <w:tcW w:w="2260"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Chest CT</w:t>
            </w:r>
          </w:p>
        </w:tc>
        <w:tc>
          <w:tcPr>
            <w:tcW w:w="1870"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97.0%</w:t>
            </w:r>
          </w:p>
        </w:tc>
        <w:tc>
          <w:tcPr>
            <w:tcW w:w="2391"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25%</w:t>
            </w:r>
          </w:p>
        </w:tc>
        <w:tc>
          <w:tcPr>
            <w:tcW w:w="2248"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ND</w:t>
            </w:r>
          </w:p>
        </w:tc>
      </w:tr>
    </w:tbl>
    <w:p>
      <w:pPr>
        <w:tabs>
          <w:tab w:val="left" w:pos="7530"/>
        </w:tabs>
        <w:spacing w:line="360" w:lineRule="auto"/>
        <w:jc w:val="both"/>
        <w:rPr>
          <w:rFonts w:ascii="Book Antiqua" w:hAnsi="Book Antiqua" w:cs="Book Antiqua"/>
          <w:lang w:eastAsia="zh-CN"/>
        </w:rPr>
        <w:sectPr>
          <w:pgSz w:w="13041" w:h="15842"/>
          <w:pgMar w:top="1440" w:right="1440" w:bottom="1440" w:left="1440" w:header="720" w:footer="720" w:gutter="0"/>
          <w:cols w:space="720" w:num="1"/>
          <w:docGrid w:linePitch="360" w:charSpace="0"/>
        </w:sectPr>
      </w:pPr>
      <w:r>
        <w:rPr>
          <w:rFonts w:ascii="Book Antiqua" w:hAnsi="Book Antiqua" w:eastAsia="Book Antiqua" w:cs="Book Antiqua"/>
        </w:rPr>
        <w:t xml:space="preserve">ELISA: Enzyme-linked immunosorbent assay; IgA: Immunoglobulin A; IgM: Immunoglobulin M; IgG: Immunoglobulin G; LFA: Lateral flow assay; CLIA: Chemiluminescence immunoassay; RT-PCR: Reverse transcription-polymerase chain reaction; RT-LAMP: Reverse transcription loop-mediated isothermal amplification; CT: Computed tomography; ND: </w:t>
      </w:r>
      <w:r>
        <w:rPr>
          <w:rFonts w:ascii="Book Antiqua" w:hAnsi="Book Antiqua" w:eastAsia="Book Antiqua" w:cs="Book Antiqua"/>
          <w:caps/>
        </w:rPr>
        <w:t>n</w:t>
      </w:r>
      <w:r>
        <w:rPr>
          <w:rFonts w:ascii="Book Antiqua" w:hAnsi="Book Antiqua" w:eastAsia="Book Antiqua" w:cs="Book Antiqua"/>
        </w:rPr>
        <w:t>ot described</w:t>
      </w:r>
      <w:r>
        <w:rPr>
          <w:rFonts w:ascii="Book Antiqua" w:hAnsi="Book Antiqua" w:cs="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tabs>
          <w:tab w:val="left" w:pos="7530"/>
        </w:tabs>
        <w:spacing w:line="360" w:lineRule="auto"/>
        <w:jc w:val="both"/>
        <w:rPr>
          <w:rFonts w:ascii="Book Antiqua" w:hAnsi="Book Antiqua" w:cs="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8581509"/>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5F6B"/>
    <w:rsid w:val="000672BF"/>
    <w:rsid w:val="00081453"/>
    <w:rsid w:val="000F5A36"/>
    <w:rsid w:val="0018469B"/>
    <w:rsid w:val="001B7187"/>
    <w:rsid w:val="001C4501"/>
    <w:rsid w:val="00206C4C"/>
    <w:rsid w:val="002201C9"/>
    <w:rsid w:val="002A2E3E"/>
    <w:rsid w:val="002B4247"/>
    <w:rsid w:val="002C4D95"/>
    <w:rsid w:val="003115B1"/>
    <w:rsid w:val="00326855"/>
    <w:rsid w:val="00373272"/>
    <w:rsid w:val="00374549"/>
    <w:rsid w:val="003D659C"/>
    <w:rsid w:val="003E5C89"/>
    <w:rsid w:val="00412693"/>
    <w:rsid w:val="0044711E"/>
    <w:rsid w:val="004B6111"/>
    <w:rsid w:val="004C05E6"/>
    <w:rsid w:val="00546927"/>
    <w:rsid w:val="00570900"/>
    <w:rsid w:val="00594599"/>
    <w:rsid w:val="005E038A"/>
    <w:rsid w:val="006C424C"/>
    <w:rsid w:val="008230A1"/>
    <w:rsid w:val="00842514"/>
    <w:rsid w:val="00854A06"/>
    <w:rsid w:val="00887C83"/>
    <w:rsid w:val="008D2DF1"/>
    <w:rsid w:val="008F4A03"/>
    <w:rsid w:val="00914015"/>
    <w:rsid w:val="0098502E"/>
    <w:rsid w:val="00992117"/>
    <w:rsid w:val="009A3081"/>
    <w:rsid w:val="00A14D74"/>
    <w:rsid w:val="00A67156"/>
    <w:rsid w:val="00A77B3E"/>
    <w:rsid w:val="00AE7305"/>
    <w:rsid w:val="00B4105A"/>
    <w:rsid w:val="00BB4E4E"/>
    <w:rsid w:val="00C410AB"/>
    <w:rsid w:val="00C8131F"/>
    <w:rsid w:val="00CA2398"/>
    <w:rsid w:val="00CA2A55"/>
    <w:rsid w:val="00CA5909"/>
    <w:rsid w:val="00D31356"/>
    <w:rsid w:val="00D65C04"/>
    <w:rsid w:val="00D92450"/>
    <w:rsid w:val="00DA126C"/>
    <w:rsid w:val="00DB5EFE"/>
    <w:rsid w:val="00DD6E64"/>
    <w:rsid w:val="00E001A8"/>
    <w:rsid w:val="00E0557B"/>
    <w:rsid w:val="00E06D06"/>
    <w:rsid w:val="00E237FC"/>
    <w:rsid w:val="00EC35AF"/>
    <w:rsid w:val="00ED15B1"/>
    <w:rsid w:val="00EF5486"/>
    <w:rsid w:val="00FF1DE2"/>
    <w:rsid w:val="04120294"/>
    <w:rsid w:val="44B5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uiPriority w:val="0"/>
    <w:rPr>
      <w:sz w:val="18"/>
      <w:szCs w:val="18"/>
    </w:rPr>
  </w:style>
  <w:style w:type="paragraph" w:styleId="4">
    <w:name w:val="footer"/>
    <w:basedOn w:val="1"/>
    <w:link w:val="16"/>
    <w:uiPriority w:val="99"/>
    <w:pPr>
      <w:tabs>
        <w:tab w:val="center" w:pos="4153"/>
        <w:tab w:val="right" w:pos="8306"/>
      </w:tabs>
      <w:snapToGrid w:val="0"/>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3"/>
    <w:uiPriority w:val="0"/>
    <w:rPr>
      <w:b/>
      <w:bCs/>
    </w:rPr>
  </w:style>
  <w:style w:type="character" w:styleId="10">
    <w:name w:val="annotation reference"/>
    <w:basedOn w:val="9"/>
    <w:uiPriority w:val="0"/>
    <w:rPr>
      <w:sz w:val="21"/>
      <w:szCs w:val="21"/>
    </w:rPr>
  </w:style>
  <w:style w:type="character" w:customStyle="1" w:styleId="11">
    <w:name w:val="apple-converted-space"/>
    <w:uiPriority w:val="0"/>
  </w:style>
  <w:style w:type="character" w:customStyle="1" w:styleId="12">
    <w:name w:val="批注文字 字符"/>
    <w:basedOn w:val="9"/>
    <w:link w:val="2"/>
    <w:uiPriority w:val="0"/>
    <w:rPr>
      <w:sz w:val="24"/>
      <w:szCs w:val="24"/>
    </w:rPr>
  </w:style>
  <w:style w:type="character" w:customStyle="1" w:styleId="13">
    <w:name w:val="批注主题 字符"/>
    <w:basedOn w:val="12"/>
    <w:link w:val="7"/>
    <w:uiPriority w:val="0"/>
    <w:rPr>
      <w:b/>
      <w:bCs/>
      <w:sz w:val="24"/>
      <w:szCs w:val="24"/>
    </w:rPr>
  </w:style>
  <w:style w:type="character" w:customStyle="1" w:styleId="14">
    <w:name w:val="批注框文本 字符"/>
    <w:basedOn w:val="9"/>
    <w:link w:val="3"/>
    <w:uiPriority w:val="0"/>
    <w:rPr>
      <w:sz w:val="18"/>
      <w:szCs w:val="18"/>
    </w:rPr>
  </w:style>
  <w:style w:type="character" w:customStyle="1" w:styleId="15">
    <w:name w:val="页眉 字符"/>
    <w:basedOn w:val="9"/>
    <w:link w:val="5"/>
    <w:uiPriority w:val="0"/>
    <w:rPr>
      <w:sz w:val="18"/>
      <w:szCs w:val="18"/>
    </w:rPr>
  </w:style>
  <w:style w:type="character" w:customStyle="1" w:styleId="16">
    <w:name w:val="页脚 字符"/>
    <w:basedOn w:val="9"/>
    <w:link w:val="4"/>
    <w:uiPriority w:val="99"/>
    <w:rPr>
      <w:sz w:val="18"/>
      <w:szCs w:val="18"/>
    </w:rPr>
  </w:style>
  <w:style w:type="paragraph" w:customStyle="1" w:styleId="17">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6889</Words>
  <Characters>39261</Characters>
  <Lines>326</Lines>
  <Paragraphs>91</Paragraphs>
  <TotalTime>0</TotalTime>
  <ScaleCrop>false</ScaleCrop>
  <LinksUpToDate>false</LinksUpToDate>
  <CharactersWithSpaces>45948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2022-04-21T00:48:00Z</dcterms:created>
  <dc:creator>Lian-Sheng Ma</dc:creator>
  <cp:lastModifiedBy>千</cp:lastModifiedBy>
  <dcterms:modified xsi:type="dcterms:W3CDTF">2022-05-13T03:47:29Z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287661DD10E046D8B9FE089FA5F76329</vt:lpwstr>
  </property>
</Properties>
</file>