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ADCB4"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olor w:val="000000"/>
        </w:rPr>
        <w:t xml:space="preserve">Name of Journal: </w:t>
      </w:r>
      <w:r w:rsidRPr="00FB188E">
        <w:rPr>
          <w:rFonts w:ascii="Book Antiqua" w:eastAsia="Book Antiqua" w:hAnsi="Book Antiqua" w:cs="Book Antiqua"/>
          <w:i/>
          <w:color w:val="000000"/>
        </w:rPr>
        <w:t>World Journal of Clinical Cases</w:t>
      </w:r>
    </w:p>
    <w:p w14:paraId="6E91A6E0"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olor w:val="000000"/>
        </w:rPr>
        <w:t xml:space="preserve">Manuscript NO: </w:t>
      </w:r>
      <w:r w:rsidRPr="00FB188E">
        <w:rPr>
          <w:rFonts w:ascii="Book Antiqua" w:eastAsia="Book Antiqua" w:hAnsi="Book Antiqua" w:cs="Book Antiqua"/>
          <w:color w:val="000000"/>
        </w:rPr>
        <w:t>63282</w:t>
      </w:r>
    </w:p>
    <w:p w14:paraId="64BBD622"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olor w:val="000000"/>
        </w:rPr>
        <w:t xml:space="preserve">Manuscript Type: </w:t>
      </w:r>
      <w:r w:rsidRPr="00FB188E">
        <w:rPr>
          <w:rFonts w:ascii="Book Antiqua" w:eastAsia="Book Antiqua" w:hAnsi="Book Antiqua" w:cs="Book Antiqua"/>
          <w:color w:val="000000"/>
        </w:rPr>
        <w:t>CASE REPORT</w:t>
      </w:r>
    </w:p>
    <w:p w14:paraId="1512D2CF" w14:textId="77777777" w:rsidR="00A77B3E" w:rsidRPr="00FB188E" w:rsidRDefault="00A77B3E" w:rsidP="00FB188E">
      <w:pPr>
        <w:adjustRightInd w:val="0"/>
        <w:snapToGrid w:val="0"/>
        <w:spacing w:line="360" w:lineRule="auto"/>
        <w:jc w:val="both"/>
        <w:rPr>
          <w:rFonts w:ascii="Book Antiqua" w:hAnsi="Book Antiqua"/>
        </w:rPr>
      </w:pPr>
    </w:p>
    <w:p w14:paraId="0E2E1DBA" w14:textId="01E745EA"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bCs/>
          <w:color w:val="000000"/>
        </w:rPr>
        <w:t xml:space="preserve">Aspirin-induced long-term tumor remission in hepatocellular carcinoma with </w:t>
      </w:r>
      <w:r w:rsidR="00F875CD" w:rsidRPr="00FB188E">
        <w:rPr>
          <w:rFonts w:ascii="Book Antiqua" w:eastAsia="Book Antiqua" w:hAnsi="Book Antiqua" w:cs="Book Antiqua"/>
          <w:b/>
          <w:bCs/>
          <w:color w:val="000000"/>
        </w:rPr>
        <w:t xml:space="preserve">adenomatous polyposis coli </w:t>
      </w:r>
      <w:r w:rsidRPr="00FB188E">
        <w:rPr>
          <w:rFonts w:ascii="Book Antiqua" w:eastAsia="Book Antiqua" w:hAnsi="Book Antiqua" w:cs="Book Antiqua"/>
          <w:b/>
          <w:bCs/>
          <w:color w:val="000000"/>
        </w:rPr>
        <w:t>stop</w:t>
      </w:r>
      <w:r w:rsidR="00DE0D13">
        <w:rPr>
          <w:rFonts w:ascii="Book Antiqua" w:eastAsia="Book Antiqua" w:hAnsi="Book Antiqua" w:cs="Book Antiqua"/>
          <w:b/>
          <w:bCs/>
          <w:color w:val="000000"/>
        </w:rPr>
        <w:t>-</w:t>
      </w:r>
      <w:r w:rsidRPr="00FB188E">
        <w:rPr>
          <w:rFonts w:ascii="Book Antiqua" w:eastAsia="Book Antiqua" w:hAnsi="Book Antiqua" w:cs="Book Antiqua"/>
          <w:b/>
          <w:bCs/>
          <w:color w:val="000000"/>
        </w:rPr>
        <w:t xml:space="preserve">gain mutation: </w:t>
      </w:r>
      <w:r w:rsidR="00F875CD" w:rsidRPr="00FB188E">
        <w:rPr>
          <w:rFonts w:ascii="Book Antiqua" w:eastAsia="Book Antiqua" w:hAnsi="Book Antiqua" w:cs="Book Antiqua"/>
          <w:b/>
          <w:bCs/>
          <w:color w:val="000000"/>
        </w:rPr>
        <w:t>A</w:t>
      </w:r>
      <w:r w:rsidRPr="00FB188E">
        <w:rPr>
          <w:rFonts w:ascii="Book Antiqua" w:eastAsia="Book Antiqua" w:hAnsi="Book Antiqua" w:cs="Book Antiqua"/>
          <w:b/>
          <w:bCs/>
          <w:color w:val="000000"/>
        </w:rPr>
        <w:t xml:space="preserve"> case report</w:t>
      </w:r>
    </w:p>
    <w:p w14:paraId="1A3729D6" w14:textId="77777777" w:rsidR="00A77B3E" w:rsidRPr="00FB188E" w:rsidRDefault="00A77B3E" w:rsidP="00FB188E">
      <w:pPr>
        <w:adjustRightInd w:val="0"/>
        <w:snapToGrid w:val="0"/>
        <w:spacing w:line="360" w:lineRule="auto"/>
        <w:jc w:val="both"/>
        <w:rPr>
          <w:rFonts w:ascii="Book Antiqua" w:hAnsi="Book Antiqua"/>
        </w:rPr>
      </w:pPr>
    </w:p>
    <w:p w14:paraId="514CB23C" w14:textId="0FD0CEB0" w:rsidR="00A77B3E" w:rsidRPr="00FB188E" w:rsidRDefault="00F875CD"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L</w:t>
      </w:r>
      <w:r w:rsidRPr="00FB188E">
        <w:rPr>
          <w:rFonts w:ascii="Book Antiqua" w:hAnsi="Book Antiqua" w:cs="Book Antiqua"/>
          <w:color w:val="000000"/>
          <w:lang w:eastAsia="zh-CN"/>
        </w:rPr>
        <w:t>in</w:t>
      </w:r>
      <w:r w:rsidRPr="00FB188E">
        <w:rPr>
          <w:rFonts w:ascii="Book Antiqua" w:eastAsia="Book Antiqua" w:hAnsi="Book Antiqua" w:cs="Book Antiqua"/>
          <w:color w:val="000000"/>
        </w:rPr>
        <w:t xml:space="preserve"> Q </w:t>
      </w:r>
      <w:r w:rsidRPr="00FB188E">
        <w:rPr>
          <w:rFonts w:ascii="Book Antiqua" w:eastAsia="Book Antiqua" w:hAnsi="Book Antiqua" w:cs="Book Antiqua"/>
          <w:i/>
          <w:iCs/>
          <w:color w:val="000000"/>
        </w:rPr>
        <w:t>et al</w:t>
      </w:r>
      <w:r w:rsidRPr="00FB188E">
        <w:rPr>
          <w:rFonts w:ascii="Book Antiqua" w:eastAsia="Book Antiqua" w:hAnsi="Book Antiqua" w:cs="Book Antiqua"/>
          <w:color w:val="000000"/>
        </w:rPr>
        <w:t xml:space="preserve">. </w:t>
      </w:r>
      <w:r w:rsidR="00922338" w:rsidRPr="00FB188E">
        <w:rPr>
          <w:rFonts w:ascii="Book Antiqua" w:eastAsia="Book Antiqua" w:hAnsi="Book Antiqua" w:cs="Book Antiqua"/>
          <w:color w:val="000000"/>
        </w:rPr>
        <w:t>Aspirin in HCC with APC mutation</w:t>
      </w:r>
    </w:p>
    <w:p w14:paraId="065E8A2E" w14:textId="77777777" w:rsidR="00A77B3E" w:rsidRPr="00FB188E" w:rsidRDefault="00A77B3E" w:rsidP="00FB188E">
      <w:pPr>
        <w:adjustRightInd w:val="0"/>
        <w:snapToGrid w:val="0"/>
        <w:spacing w:line="360" w:lineRule="auto"/>
        <w:jc w:val="both"/>
        <w:rPr>
          <w:rFonts w:ascii="Book Antiqua" w:hAnsi="Book Antiqua"/>
        </w:rPr>
      </w:pPr>
    </w:p>
    <w:p w14:paraId="73E7CD24"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Qu Lin, Ming-Jun Bai, Hao-Fan Wang, Xiang-Yuan Wu, Ming-Sheng Huang, Xing Li</w:t>
      </w:r>
    </w:p>
    <w:p w14:paraId="1EB5D464" w14:textId="77777777" w:rsidR="00A77B3E" w:rsidRPr="00FB188E" w:rsidRDefault="00A77B3E" w:rsidP="00FB188E">
      <w:pPr>
        <w:adjustRightInd w:val="0"/>
        <w:snapToGrid w:val="0"/>
        <w:spacing w:line="360" w:lineRule="auto"/>
        <w:jc w:val="both"/>
        <w:rPr>
          <w:rFonts w:ascii="Book Antiqua" w:hAnsi="Book Antiqua"/>
        </w:rPr>
      </w:pPr>
    </w:p>
    <w:p w14:paraId="40A1D2F9" w14:textId="31677F7A"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bCs/>
          <w:color w:val="000000"/>
        </w:rPr>
        <w:t xml:space="preserve">Qu Lin, Xiang-Yuan Wu, Xing Li, </w:t>
      </w:r>
      <w:r w:rsidRPr="00FB188E">
        <w:rPr>
          <w:rFonts w:ascii="Book Antiqua" w:eastAsia="Book Antiqua" w:hAnsi="Book Antiqua" w:cs="Book Antiqua"/>
          <w:color w:val="000000"/>
        </w:rPr>
        <w:t xml:space="preserve">Department of Medical Oncology and Guangdong Key </w:t>
      </w:r>
      <w:r w:rsidR="00DE0D13">
        <w:rPr>
          <w:rFonts w:ascii="Book Antiqua" w:eastAsia="Book Antiqua" w:hAnsi="Book Antiqua" w:cs="Book Antiqua"/>
          <w:color w:val="000000"/>
        </w:rPr>
        <w:t>L</w:t>
      </w:r>
      <w:r w:rsidRPr="00FB188E">
        <w:rPr>
          <w:rFonts w:ascii="Book Antiqua" w:eastAsia="Book Antiqua" w:hAnsi="Book Antiqua" w:cs="Book Antiqua"/>
          <w:color w:val="000000"/>
        </w:rPr>
        <w:t xml:space="preserve">aboratory of Liver Disease Research, The Third Affiliated Hospital of Sun </w:t>
      </w:r>
      <w:proofErr w:type="spellStart"/>
      <w:r w:rsidRPr="00FB188E">
        <w:rPr>
          <w:rFonts w:ascii="Book Antiqua" w:eastAsia="Book Antiqua" w:hAnsi="Book Antiqua" w:cs="Book Antiqua"/>
          <w:color w:val="000000"/>
        </w:rPr>
        <w:t>Yat-sen</w:t>
      </w:r>
      <w:proofErr w:type="spellEnd"/>
      <w:r w:rsidRPr="00FB188E">
        <w:rPr>
          <w:rFonts w:ascii="Book Antiqua" w:eastAsia="Book Antiqua" w:hAnsi="Book Antiqua" w:cs="Book Antiqua"/>
          <w:color w:val="000000"/>
        </w:rPr>
        <w:t xml:space="preserve"> University, Guangzhou 510630, Guangdong Province, China</w:t>
      </w:r>
    </w:p>
    <w:p w14:paraId="1B2781B6" w14:textId="77777777" w:rsidR="00A77B3E" w:rsidRPr="00FB188E" w:rsidRDefault="00A77B3E" w:rsidP="00FB188E">
      <w:pPr>
        <w:adjustRightInd w:val="0"/>
        <w:snapToGrid w:val="0"/>
        <w:spacing w:line="360" w:lineRule="auto"/>
        <w:jc w:val="both"/>
        <w:rPr>
          <w:rFonts w:ascii="Book Antiqua" w:hAnsi="Book Antiqua"/>
        </w:rPr>
      </w:pPr>
    </w:p>
    <w:p w14:paraId="55A7E222" w14:textId="6A92453B"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bCs/>
          <w:color w:val="000000"/>
        </w:rPr>
        <w:t xml:space="preserve">Ming-Jun Bai, Hao-Fan Wang, Ming-Sheng Huang, </w:t>
      </w:r>
      <w:r w:rsidRPr="00FB188E">
        <w:rPr>
          <w:rFonts w:ascii="Book Antiqua" w:eastAsia="Book Antiqua" w:hAnsi="Book Antiqua" w:cs="Book Antiqua"/>
          <w:color w:val="000000"/>
        </w:rPr>
        <w:t xml:space="preserve">Department of Intervention and Guangdong Key </w:t>
      </w:r>
      <w:r w:rsidR="00DE0D13">
        <w:rPr>
          <w:rFonts w:ascii="Book Antiqua" w:eastAsia="Book Antiqua" w:hAnsi="Book Antiqua" w:cs="Book Antiqua"/>
          <w:color w:val="000000"/>
        </w:rPr>
        <w:t>L</w:t>
      </w:r>
      <w:r w:rsidRPr="00FB188E">
        <w:rPr>
          <w:rFonts w:ascii="Book Antiqua" w:eastAsia="Book Antiqua" w:hAnsi="Book Antiqua" w:cs="Book Antiqua"/>
          <w:color w:val="000000"/>
        </w:rPr>
        <w:t xml:space="preserve">aboratory of Liver Disease Research, The Third Affiliated Hospital of Sun </w:t>
      </w:r>
      <w:proofErr w:type="spellStart"/>
      <w:r w:rsidRPr="00FB188E">
        <w:rPr>
          <w:rFonts w:ascii="Book Antiqua" w:eastAsia="Book Antiqua" w:hAnsi="Book Antiqua" w:cs="Book Antiqua"/>
          <w:color w:val="000000"/>
        </w:rPr>
        <w:t>Yat-sen</w:t>
      </w:r>
      <w:proofErr w:type="spellEnd"/>
      <w:r w:rsidRPr="00FB188E">
        <w:rPr>
          <w:rFonts w:ascii="Book Antiqua" w:eastAsia="Book Antiqua" w:hAnsi="Book Antiqua" w:cs="Book Antiqua"/>
          <w:color w:val="000000"/>
        </w:rPr>
        <w:t xml:space="preserve"> University, Guangzhou 510630, Guangdong Province, China</w:t>
      </w:r>
    </w:p>
    <w:p w14:paraId="249B02FA" w14:textId="77777777" w:rsidR="00A77B3E" w:rsidRPr="00FB188E" w:rsidRDefault="00A77B3E" w:rsidP="00FB188E">
      <w:pPr>
        <w:adjustRightInd w:val="0"/>
        <w:snapToGrid w:val="0"/>
        <w:spacing w:line="360" w:lineRule="auto"/>
        <w:jc w:val="both"/>
        <w:rPr>
          <w:rFonts w:ascii="Book Antiqua" w:hAnsi="Book Antiqua"/>
        </w:rPr>
      </w:pPr>
    </w:p>
    <w:p w14:paraId="69CDF561" w14:textId="13D31B8B"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bCs/>
          <w:color w:val="000000"/>
        </w:rPr>
        <w:t xml:space="preserve">Author contributions: </w:t>
      </w:r>
      <w:r w:rsidR="00F875CD" w:rsidRPr="00FB188E">
        <w:rPr>
          <w:rFonts w:ascii="Book Antiqua" w:eastAsia="Book Antiqua" w:hAnsi="Book Antiqua" w:cs="Book Antiqua"/>
          <w:color w:val="000000"/>
        </w:rPr>
        <w:t xml:space="preserve">Lin </w:t>
      </w:r>
      <w:r w:rsidRPr="00FB188E">
        <w:rPr>
          <w:rFonts w:ascii="Book Antiqua" w:eastAsia="Book Antiqua" w:hAnsi="Book Antiqua" w:cs="Book Antiqua"/>
          <w:color w:val="000000"/>
        </w:rPr>
        <w:t xml:space="preserve">Q and </w:t>
      </w:r>
      <w:r w:rsidR="00F875CD" w:rsidRPr="00FB188E">
        <w:rPr>
          <w:rFonts w:ascii="Book Antiqua" w:eastAsia="Book Antiqua" w:hAnsi="Book Antiqua" w:cs="Book Antiqua"/>
          <w:color w:val="000000"/>
        </w:rPr>
        <w:t xml:space="preserve">Huang </w:t>
      </w:r>
      <w:r w:rsidRPr="00FB188E">
        <w:rPr>
          <w:rFonts w:ascii="Book Antiqua" w:eastAsia="Book Antiqua" w:hAnsi="Book Antiqua" w:cs="Book Antiqua"/>
          <w:color w:val="000000"/>
        </w:rPr>
        <w:t>MS recruited the patient and made clinical decision</w:t>
      </w:r>
      <w:r w:rsidR="00DE0D13">
        <w:rPr>
          <w:rFonts w:ascii="Book Antiqua" w:eastAsia="Book Antiqua" w:hAnsi="Book Antiqua" w:cs="Book Antiqua"/>
          <w:color w:val="000000"/>
        </w:rPr>
        <w:t>s</w:t>
      </w:r>
      <w:r w:rsidRPr="00FB188E">
        <w:rPr>
          <w:rFonts w:ascii="Book Antiqua" w:eastAsia="Book Antiqua" w:hAnsi="Book Antiqua" w:cs="Book Antiqua"/>
          <w:color w:val="000000"/>
        </w:rPr>
        <w:t xml:space="preserve">; </w:t>
      </w:r>
      <w:r w:rsidR="00F875CD" w:rsidRPr="00FB188E">
        <w:rPr>
          <w:rFonts w:ascii="Book Antiqua" w:eastAsia="Book Antiqua" w:hAnsi="Book Antiqua" w:cs="Book Antiqua"/>
          <w:color w:val="000000"/>
        </w:rPr>
        <w:t xml:space="preserve">Bai </w:t>
      </w:r>
      <w:r w:rsidRPr="00FB188E">
        <w:rPr>
          <w:rFonts w:ascii="Book Antiqua" w:eastAsia="Book Antiqua" w:hAnsi="Book Antiqua" w:cs="Book Antiqua"/>
          <w:color w:val="000000"/>
        </w:rPr>
        <w:t xml:space="preserve">MJ and </w:t>
      </w:r>
      <w:r w:rsidR="00F875CD" w:rsidRPr="00FB188E">
        <w:rPr>
          <w:rFonts w:ascii="Book Antiqua" w:eastAsia="Book Antiqua" w:hAnsi="Book Antiqua" w:cs="Book Antiqua"/>
          <w:color w:val="000000"/>
        </w:rPr>
        <w:t xml:space="preserve">Wang </w:t>
      </w:r>
      <w:r w:rsidRPr="00FB188E">
        <w:rPr>
          <w:rFonts w:ascii="Book Antiqua" w:eastAsia="Book Antiqua" w:hAnsi="Book Antiqua" w:cs="Book Antiqua"/>
          <w:color w:val="000000"/>
        </w:rPr>
        <w:t xml:space="preserve">HF </w:t>
      </w:r>
      <w:r w:rsidR="00DE0D13">
        <w:rPr>
          <w:rFonts w:ascii="Book Antiqua" w:eastAsia="Book Antiqua" w:hAnsi="Book Antiqua" w:cs="Book Antiqua"/>
          <w:color w:val="000000"/>
        </w:rPr>
        <w:t>carried out</w:t>
      </w:r>
      <w:r w:rsidRPr="00FB188E">
        <w:rPr>
          <w:rFonts w:ascii="Book Antiqua" w:eastAsia="Book Antiqua" w:hAnsi="Book Antiqua" w:cs="Book Antiqua"/>
          <w:color w:val="000000"/>
        </w:rPr>
        <w:t xml:space="preserve"> the follow up; </w:t>
      </w:r>
      <w:r w:rsidR="00F875CD" w:rsidRPr="00FB188E">
        <w:rPr>
          <w:rFonts w:ascii="Book Antiqua" w:eastAsia="Book Antiqua" w:hAnsi="Book Antiqua" w:cs="Book Antiqua"/>
          <w:color w:val="000000"/>
        </w:rPr>
        <w:t xml:space="preserve">Li </w:t>
      </w:r>
      <w:r w:rsidRPr="00FB188E">
        <w:rPr>
          <w:rFonts w:ascii="Book Antiqua" w:eastAsia="Book Antiqua" w:hAnsi="Book Antiqua" w:cs="Book Antiqua"/>
          <w:color w:val="000000"/>
        </w:rPr>
        <w:t xml:space="preserve">X, </w:t>
      </w:r>
      <w:r w:rsidR="00F875CD" w:rsidRPr="00FB188E">
        <w:rPr>
          <w:rFonts w:ascii="Book Antiqua" w:eastAsia="Book Antiqua" w:hAnsi="Book Antiqua" w:cs="Book Antiqua"/>
          <w:color w:val="000000"/>
        </w:rPr>
        <w:t xml:space="preserve">Wang </w:t>
      </w:r>
      <w:r w:rsidRPr="00FB188E">
        <w:rPr>
          <w:rFonts w:ascii="Book Antiqua" w:eastAsia="Book Antiqua" w:hAnsi="Book Antiqua" w:cs="Book Antiqua"/>
          <w:color w:val="000000"/>
        </w:rPr>
        <w:t xml:space="preserve">HF and </w:t>
      </w:r>
      <w:r w:rsidR="00F875CD" w:rsidRPr="00FB188E">
        <w:rPr>
          <w:rFonts w:ascii="Book Antiqua" w:eastAsia="Book Antiqua" w:hAnsi="Book Antiqua" w:cs="Book Antiqua"/>
          <w:color w:val="000000"/>
        </w:rPr>
        <w:t xml:space="preserve">Bai </w:t>
      </w:r>
      <w:r w:rsidRPr="00FB188E">
        <w:rPr>
          <w:rFonts w:ascii="Book Antiqua" w:eastAsia="Book Antiqua" w:hAnsi="Book Antiqua" w:cs="Book Antiqua"/>
          <w:color w:val="000000"/>
        </w:rPr>
        <w:t xml:space="preserve">MJ </w:t>
      </w:r>
      <w:r w:rsidR="00DE0D13">
        <w:rPr>
          <w:rFonts w:ascii="Book Antiqua" w:eastAsia="Book Antiqua" w:hAnsi="Book Antiqua" w:cs="Book Antiqua"/>
          <w:color w:val="000000"/>
        </w:rPr>
        <w:t>performed</w:t>
      </w:r>
      <w:r w:rsidRPr="00FB188E">
        <w:rPr>
          <w:rFonts w:ascii="Book Antiqua" w:eastAsia="Book Antiqua" w:hAnsi="Book Antiqua" w:cs="Book Antiqua"/>
          <w:color w:val="000000"/>
        </w:rPr>
        <w:t xml:space="preserve"> the image analysis; </w:t>
      </w:r>
      <w:r w:rsidR="00F875CD" w:rsidRPr="00FB188E">
        <w:rPr>
          <w:rFonts w:ascii="Book Antiqua" w:eastAsia="Book Antiqua" w:hAnsi="Book Antiqua" w:cs="Book Antiqua"/>
          <w:color w:val="000000"/>
        </w:rPr>
        <w:t xml:space="preserve">Li </w:t>
      </w:r>
      <w:r w:rsidRPr="00FB188E">
        <w:rPr>
          <w:rFonts w:ascii="Book Antiqua" w:eastAsia="Book Antiqua" w:hAnsi="Book Antiqua" w:cs="Book Antiqua"/>
          <w:color w:val="000000"/>
        </w:rPr>
        <w:t xml:space="preserve">X </w:t>
      </w:r>
      <w:r w:rsidR="00DE0D13">
        <w:rPr>
          <w:rFonts w:ascii="Book Antiqua" w:eastAsia="Book Antiqua" w:hAnsi="Book Antiqua" w:cs="Book Antiqua"/>
          <w:color w:val="000000"/>
        </w:rPr>
        <w:t>performed</w:t>
      </w:r>
      <w:r w:rsidRPr="00FB188E">
        <w:rPr>
          <w:rFonts w:ascii="Book Antiqua" w:eastAsia="Book Antiqua" w:hAnsi="Book Antiqua" w:cs="Book Antiqua"/>
          <w:color w:val="000000"/>
        </w:rPr>
        <w:t xml:space="preserve"> the molecular analysis; </w:t>
      </w:r>
      <w:r w:rsidR="00F875CD" w:rsidRPr="00FB188E">
        <w:rPr>
          <w:rFonts w:ascii="Book Antiqua" w:eastAsia="Book Antiqua" w:hAnsi="Book Antiqua" w:cs="Book Antiqua"/>
          <w:color w:val="000000"/>
        </w:rPr>
        <w:t xml:space="preserve">Lin </w:t>
      </w:r>
      <w:r w:rsidRPr="00FB188E">
        <w:rPr>
          <w:rFonts w:ascii="Book Antiqua" w:eastAsia="Book Antiqua" w:hAnsi="Book Antiqua" w:cs="Book Antiqua"/>
          <w:color w:val="000000"/>
        </w:rPr>
        <w:t xml:space="preserve">Q, </w:t>
      </w:r>
      <w:r w:rsidR="00F875CD" w:rsidRPr="00FB188E">
        <w:rPr>
          <w:rFonts w:ascii="Book Antiqua" w:eastAsia="Book Antiqua" w:hAnsi="Book Antiqua" w:cs="Book Antiqua"/>
          <w:color w:val="000000"/>
        </w:rPr>
        <w:t xml:space="preserve">Huang </w:t>
      </w:r>
      <w:r w:rsidRPr="00FB188E">
        <w:rPr>
          <w:rFonts w:ascii="Book Antiqua" w:eastAsia="Book Antiqua" w:hAnsi="Book Antiqua" w:cs="Book Antiqua"/>
          <w:color w:val="000000"/>
        </w:rPr>
        <w:t xml:space="preserve">MS, </w:t>
      </w:r>
      <w:r w:rsidR="00F875CD" w:rsidRPr="00FB188E">
        <w:rPr>
          <w:rFonts w:ascii="Book Antiqua" w:eastAsia="Book Antiqua" w:hAnsi="Book Antiqua" w:cs="Book Antiqua"/>
          <w:color w:val="000000"/>
        </w:rPr>
        <w:t xml:space="preserve">Wu </w:t>
      </w:r>
      <w:r w:rsidRPr="00FB188E">
        <w:rPr>
          <w:rFonts w:ascii="Book Antiqua" w:eastAsia="Book Antiqua" w:hAnsi="Book Antiqua" w:cs="Book Antiqua"/>
          <w:color w:val="000000"/>
        </w:rPr>
        <w:t xml:space="preserve">XY and </w:t>
      </w:r>
      <w:r w:rsidR="00F875CD" w:rsidRPr="00FB188E">
        <w:rPr>
          <w:rFonts w:ascii="Book Antiqua" w:eastAsia="Book Antiqua" w:hAnsi="Book Antiqua" w:cs="Book Antiqua"/>
          <w:color w:val="000000"/>
        </w:rPr>
        <w:t xml:space="preserve">Li </w:t>
      </w:r>
      <w:r w:rsidRPr="00FB188E">
        <w:rPr>
          <w:rFonts w:ascii="Book Antiqua" w:eastAsia="Book Antiqua" w:hAnsi="Book Antiqua" w:cs="Book Antiqua"/>
          <w:color w:val="000000"/>
        </w:rPr>
        <w:t xml:space="preserve">X </w:t>
      </w:r>
      <w:r w:rsidR="00DE0D13">
        <w:rPr>
          <w:rFonts w:ascii="Book Antiqua" w:eastAsia="Book Antiqua" w:hAnsi="Book Antiqua" w:cs="Book Antiqua"/>
          <w:color w:val="000000"/>
        </w:rPr>
        <w:t>carried out</w:t>
      </w:r>
      <w:r w:rsidRPr="00FB188E">
        <w:rPr>
          <w:rFonts w:ascii="Book Antiqua" w:eastAsia="Book Antiqua" w:hAnsi="Book Antiqua" w:cs="Book Antiqua"/>
          <w:color w:val="000000"/>
        </w:rPr>
        <w:t xml:space="preserve"> the molecular pathway analysis</w:t>
      </w:r>
      <w:r w:rsidR="00F875CD" w:rsidRPr="00FB188E">
        <w:rPr>
          <w:rFonts w:ascii="Book Antiqua" w:eastAsia="Book Antiqua" w:hAnsi="Book Antiqua" w:cs="Book Antiqua"/>
          <w:color w:val="000000"/>
        </w:rPr>
        <w:t xml:space="preserve">; Li </w:t>
      </w:r>
      <w:r w:rsidRPr="00FB188E">
        <w:rPr>
          <w:rFonts w:ascii="Book Antiqua" w:eastAsia="Book Antiqua" w:hAnsi="Book Antiqua" w:cs="Book Antiqua"/>
          <w:color w:val="000000"/>
        </w:rPr>
        <w:t>X wrote the manuscript</w:t>
      </w:r>
      <w:r w:rsidR="00FE18CF">
        <w:rPr>
          <w:rFonts w:ascii="Book Antiqua" w:eastAsia="Book Antiqua" w:hAnsi="Book Antiqua" w:cs="Book Antiqua"/>
          <w:color w:val="000000"/>
        </w:rPr>
        <w:t xml:space="preserve">; </w:t>
      </w:r>
      <w:r w:rsidR="00FE18CF" w:rsidRPr="00FE18CF">
        <w:rPr>
          <w:rFonts w:ascii="Book Antiqua" w:eastAsia="Book Antiqua" w:hAnsi="Book Antiqua" w:cs="Book Antiqua"/>
          <w:color w:val="000000"/>
        </w:rPr>
        <w:t>Huang MS</w:t>
      </w:r>
      <w:r w:rsidR="00FE18CF">
        <w:rPr>
          <w:rFonts w:ascii="Book Antiqua" w:eastAsia="Book Antiqua" w:hAnsi="Book Antiqua" w:cs="Book Antiqua"/>
          <w:color w:val="000000"/>
        </w:rPr>
        <w:t xml:space="preserve"> is the </w:t>
      </w:r>
      <w:r w:rsidR="00FE18CF" w:rsidRPr="00FE18CF">
        <w:rPr>
          <w:rFonts w:ascii="Book Antiqua" w:eastAsia="Book Antiqua" w:hAnsi="Book Antiqua" w:cs="Book Antiqua"/>
          <w:color w:val="000000"/>
        </w:rPr>
        <w:t>co-corresponding author</w:t>
      </w:r>
      <w:r w:rsidRPr="00FB188E">
        <w:rPr>
          <w:rFonts w:ascii="Book Antiqua" w:eastAsia="Book Antiqua" w:hAnsi="Book Antiqua" w:cs="Book Antiqua"/>
          <w:color w:val="000000"/>
        </w:rPr>
        <w:t xml:space="preserve">. </w:t>
      </w:r>
    </w:p>
    <w:p w14:paraId="1D4B6BCC" w14:textId="77777777" w:rsidR="00A77B3E" w:rsidRPr="00FB188E" w:rsidRDefault="00A77B3E" w:rsidP="00FB188E">
      <w:pPr>
        <w:adjustRightInd w:val="0"/>
        <w:snapToGrid w:val="0"/>
        <w:spacing w:line="360" w:lineRule="auto"/>
        <w:jc w:val="both"/>
        <w:rPr>
          <w:rFonts w:ascii="Book Antiqua" w:hAnsi="Book Antiqua"/>
        </w:rPr>
      </w:pPr>
    </w:p>
    <w:p w14:paraId="7173379D" w14:textId="2295DCEE"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bCs/>
          <w:color w:val="000000"/>
        </w:rPr>
        <w:t xml:space="preserve">Supported by </w:t>
      </w:r>
      <w:r w:rsidRPr="00FB188E">
        <w:rPr>
          <w:rFonts w:ascii="Book Antiqua" w:eastAsia="Book Antiqua" w:hAnsi="Book Antiqua" w:cs="Book Antiqua"/>
          <w:color w:val="000000"/>
        </w:rPr>
        <w:t>Guangzhou Science and Technology Project</w:t>
      </w:r>
      <w:r w:rsidR="00387EDD" w:rsidRPr="00FB188E">
        <w:rPr>
          <w:rFonts w:ascii="Book Antiqua" w:eastAsia="Book Antiqua" w:hAnsi="Book Antiqua" w:cs="Book Antiqua"/>
          <w:color w:val="000000"/>
        </w:rPr>
        <w:t xml:space="preserve">, No. </w:t>
      </w:r>
      <w:r w:rsidRPr="00FB188E">
        <w:rPr>
          <w:rFonts w:ascii="Book Antiqua" w:eastAsia="Book Antiqua" w:hAnsi="Book Antiqua" w:cs="Book Antiqua"/>
          <w:color w:val="000000"/>
        </w:rPr>
        <w:t>201904010461</w:t>
      </w:r>
      <w:r w:rsidR="00387EDD" w:rsidRPr="00FB188E">
        <w:rPr>
          <w:rFonts w:ascii="Book Antiqua" w:eastAsia="宋体" w:hAnsi="Book Antiqua" w:cs="宋体"/>
          <w:color w:val="000000"/>
          <w:lang w:eastAsia="zh-CN"/>
        </w:rPr>
        <w:t>;</w:t>
      </w:r>
      <w:r w:rsidRPr="00FB188E">
        <w:rPr>
          <w:rFonts w:ascii="Book Antiqua" w:eastAsia="Book Antiqua" w:hAnsi="Book Antiqua" w:cs="Book Antiqua"/>
          <w:color w:val="000000"/>
        </w:rPr>
        <w:t xml:space="preserve"> and Major Talents Project of Guangdong Province</w:t>
      </w:r>
      <w:r w:rsidR="00387EDD" w:rsidRPr="00FB188E">
        <w:rPr>
          <w:rFonts w:ascii="Book Antiqua" w:eastAsia="Book Antiqua" w:hAnsi="Book Antiqua" w:cs="Book Antiqua"/>
          <w:color w:val="000000"/>
        </w:rPr>
        <w:t xml:space="preserve">, No. </w:t>
      </w:r>
      <w:r w:rsidRPr="00FB188E">
        <w:rPr>
          <w:rFonts w:ascii="Book Antiqua" w:eastAsia="Book Antiqua" w:hAnsi="Book Antiqua" w:cs="Book Antiqua"/>
          <w:color w:val="000000"/>
        </w:rPr>
        <w:t>2019TQ05Y266.</w:t>
      </w:r>
    </w:p>
    <w:p w14:paraId="6C297F50" w14:textId="77777777" w:rsidR="00A77B3E" w:rsidRPr="00FB188E" w:rsidRDefault="00A77B3E" w:rsidP="00FB188E">
      <w:pPr>
        <w:adjustRightInd w:val="0"/>
        <w:snapToGrid w:val="0"/>
        <w:spacing w:line="360" w:lineRule="auto"/>
        <w:jc w:val="both"/>
        <w:rPr>
          <w:rFonts w:ascii="Book Antiqua" w:hAnsi="Book Antiqua"/>
        </w:rPr>
      </w:pPr>
    </w:p>
    <w:p w14:paraId="0F0614E1" w14:textId="24D45ADF"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bCs/>
          <w:color w:val="000000"/>
        </w:rPr>
        <w:lastRenderedPageBreak/>
        <w:t xml:space="preserve">Corresponding author: Xing Li, MD, Professor, </w:t>
      </w:r>
      <w:r w:rsidRPr="00FB188E">
        <w:rPr>
          <w:rFonts w:ascii="Book Antiqua" w:eastAsia="Book Antiqua" w:hAnsi="Book Antiqua" w:cs="Book Antiqua"/>
          <w:color w:val="000000"/>
        </w:rPr>
        <w:t xml:space="preserve">Department of Medical Oncology and Guangdong Key </w:t>
      </w:r>
      <w:r w:rsidR="00DE0D13">
        <w:rPr>
          <w:rFonts w:ascii="Book Antiqua" w:eastAsia="Book Antiqua" w:hAnsi="Book Antiqua" w:cs="Book Antiqua"/>
          <w:color w:val="000000"/>
        </w:rPr>
        <w:t>L</w:t>
      </w:r>
      <w:r w:rsidRPr="00FB188E">
        <w:rPr>
          <w:rFonts w:ascii="Book Antiqua" w:eastAsia="Book Antiqua" w:hAnsi="Book Antiqua" w:cs="Book Antiqua"/>
          <w:color w:val="000000"/>
        </w:rPr>
        <w:t xml:space="preserve">aboratory of Liver Disease Research, The Third Affiliated Hospital of Sun </w:t>
      </w:r>
      <w:proofErr w:type="spellStart"/>
      <w:r w:rsidRPr="00FB188E">
        <w:rPr>
          <w:rFonts w:ascii="Book Antiqua" w:eastAsia="Book Antiqua" w:hAnsi="Book Antiqua" w:cs="Book Antiqua"/>
          <w:color w:val="000000"/>
        </w:rPr>
        <w:t>Yat-sen</w:t>
      </w:r>
      <w:proofErr w:type="spellEnd"/>
      <w:r w:rsidRPr="00FB188E">
        <w:rPr>
          <w:rFonts w:ascii="Book Antiqua" w:eastAsia="Book Antiqua" w:hAnsi="Book Antiqua" w:cs="Book Antiqua"/>
          <w:color w:val="000000"/>
        </w:rPr>
        <w:t xml:space="preserve"> University, No. 600 Tianhe Road, Guangzhou 510630, Guangdong Province, China. lixing9@mail.sysu.edu.cn</w:t>
      </w:r>
    </w:p>
    <w:p w14:paraId="775BB61B" w14:textId="77777777" w:rsidR="00A77B3E" w:rsidRPr="00FB188E" w:rsidRDefault="00A77B3E" w:rsidP="00FB188E">
      <w:pPr>
        <w:adjustRightInd w:val="0"/>
        <w:snapToGrid w:val="0"/>
        <w:spacing w:line="360" w:lineRule="auto"/>
        <w:jc w:val="both"/>
        <w:rPr>
          <w:rFonts w:ascii="Book Antiqua" w:hAnsi="Book Antiqua"/>
        </w:rPr>
      </w:pPr>
    </w:p>
    <w:p w14:paraId="146616C2"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bCs/>
          <w:color w:val="000000"/>
        </w:rPr>
        <w:t xml:space="preserve">Received: </w:t>
      </w:r>
      <w:r w:rsidRPr="00FB188E">
        <w:rPr>
          <w:rFonts w:ascii="Book Antiqua" w:eastAsia="Book Antiqua" w:hAnsi="Book Antiqua" w:cs="Book Antiqua"/>
          <w:color w:val="000000"/>
        </w:rPr>
        <w:t>February 1, 2021</w:t>
      </w:r>
    </w:p>
    <w:p w14:paraId="2B83C826"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bCs/>
          <w:color w:val="000000"/>
        </w:rPr>
        <w:t xml:space="preserve">Revised: </w:t>
      </w:r>
      <w:r w:rsidRPr="00FB188E">
        <w:rPr>
          <w:rFonts w:ascii="Book Antiqua" w:eastAsia="Book Antiqua" w:hAnsi="Book Antiqua" w:cs="Book Antiqua"/>
          <w:color w:val="000000"/>
        </w:rPr>
        <w:t>April 6, 2021</w:t>
      </w:r>
    </w:p>
    <w:p w14:paraId="79A23211" w14:textId="5C7FDB3C" w:rsidR="00A77B3E" w:rsidRPr="00CC149A"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bCs/>
          <w:color w:val="000000"/>
        </w:rPr>
        <w:t xml:space="preserve">Accepted: </w:t>
      </w:r>
      <w:r w:rsidR="00CC149A" w:rsidRPr="00CC149A">
        <w:rPr>
          <w:rFonts w:ascii="Book Antiqua" w:eastAsia="Book Antiqua" w:hAnsi="Book Antiqua" w:cs="Book Antiqua"/>
          <w:color w:val="000000"/>
        </w:rPr>
        <w:t>M</w:t>
      </w:r>
      <w:r w:rsidR="00CC149A" w:rsidRPr="00CC149A">
        <w:rPr>
          <w:rFonts w:ascii="Book Antiqua" w:hAnsi="Book Antiqua" w:cs="Book Antiqua"/>
          <w:color w:val="000000"/>
          <w:lang w:eastAsia="zh-CN"/>
        </w:rPr>
        <w:t>ay</w:t>
      </w:r>
      <w:r w:rsidR="00CC149A" w:rsidRPr="00CC149A">
        <w:rPr>
          <w:rFonts w:ascii="Book Antiqua" w:hAnsi="Book Antiqua" w:cs="Book Antiqua"/>
          <w:color w:val="000000"/>
          <w:lang w:eastAsia="zh-CN"/>
        </w:rPr>
        <w:t xml:space="preserve"> 18, 2021</w:t>
      </w:r>
    </w:p>
    <w:p w14:paraId="5E67B554"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bCs/>
          <w:color w:val="000000"/>
        </w:rPr>
        <w:t xml:space="preserve">Published online: </w:t>
      </w:r>
    </w:p>
    <w:p w14:paraId="106F49AB" w14:textId="77777777" w:rsidR="007C0391" w:rsidRPr="00FB188E" w:rsidRDefault="007C0391" w:rsidP="00FB188E">
      <w:pPr>
        <w:adjustRightInd w:val="0"/>
        <w:snapToGrid w:val="0"/>
        <w:spacing w:line="360" w:lineRule="auto"/>
        <w:jc w:val="both"/>
        <w:rPr>
          <w:rFonts w:ascii="Book Antiqua" w:eastAsia="Book Antiqua" w:hAnsi="Book Antiqua" w:cs="Book Antiqua"/>
          <w:b/>
          <w:color w:val="000000"/>
        </w:rPr>
      </w:pPr>
    </w:p>
    <w:p w14:paraId="0B510695" w14:textId="77777777" w:rsidR="007C0391" w:rsidRPr="00FB188E" w:rsidRDefault="007C0391" w:rsidP="00FB188E">
      <w:pPr>
        <w:adjustRightInd w:val="0"/>
        <w:snapToGrid w:val="0"/>
        <w:spacing w:line="360" w:lineRule="auto"/>
        <w:jc w:val="both"/>
        <w:rPr>
          <w:rFonts w:ascii="Book Antiqua" w:eastAsia="Book Antiqua" w:hAnsi="Book Antiqua" w:cs="Book Antiqua"/>
          <w:b/>
          <w:color w:val="000000"/>
        </w:rPr>
      </w:pPr>
    </w:p>
    <w:p w14:paraId="7670716F" w14:textId="7CA97095"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olor w:val="000000"/>
        </w:rPr>
        <w:t>Abstract</w:t>
      </w:r>
    </w:p>
    <w:p w14:paraId="52BC9A8C"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BACKGROUND</w:t>
      </w:r>
    </w:p>
    <w:p w14:paraId="2881C401"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Targeted therapy based on pathway analysis of hepatitis B-related hepatocellular carcinoma (HCC) may be a promising remedy. </w:t>
      </w:r>
    </w:p>
    <w:p w14:paraId="1549175C" w14:textId="77777777" w:rsidR="00A77B3E" w:rsidRPr="00FB188E" w:rsidRDefault="00A77B3E" w:rsidP="00FB188E">
      <w:pPr>
        <w:adjustRightInd w:val="0"/>
        <w:snapToGrid w:val="0"/>
        <w:spacing w:line="360" w:lineRule="auto"/>
        <w:jc w:val="both"/>
        <w:rPr>
          <w:rFonts w:ascii="Book Antiqua" w:hAnsi="Book Antiqua"/>
        </w:rPr>
      </w:pPr>
    </w:p>
    <w:p w14:paraId="3011D25B"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CASE SUMMARY</w:t>
      </w:r>
    </w:p>
    <w:p w14:paraId="36BFADCC" w14:textId="1EBE2806"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The present case involved an advanced hepatocellular carcinoma (HCC) patient who did not receive local regional therapy and was intolerant to sorafenib. Total RNA extracted from the patient’s tumor tissue was used to obtain the gene mutation profile. The c.3676A&gt;T and c.4402A&gt;T stop</w:t>
      </w:r>
      <w:r w:rsidR="00DE0D13">
        <w:rPr>
          <w:rFonts w:ascii="Book Antiqua" w:eastAsia="Book Antiqua" w:hAnsi="Book Antiqua" w:cs="Book Antiqua"/>
          <w:color w:val="000000"/>
        </w:rPr>
        <w:t>-</w:t>
      </w:r>
      <w:r w:rsidRPr="00FB188E">
        <w:rPr>
          <w:rFonts w:ascii="Book Antiqua" w:eastAsia="Book Antiqua" w:hAnsi="Book Antiqua" w:cs="Book Antiqua"/>
          <w:color w:val="000000"/>
        </w:rPr>
        <w:t xml:space="preserve">gain mutations in adenomatous polyposis coli (APC) were the most prevalent (42.2% and 35.1%, respectively). </w:t>
      </w:r>
      <w:proofErr w:type="spellStart"/>
      <w:r w:rsidRPr="00FB188E">
        <w:rPr>
          <w:rFonts w:ascii="Book Antiqua" w:eastAsia="Book Antiqua" w:hAnsi="Book Antiqua" w:cs="Book Antiqua"/>
          <w:color w:val="000000"/>
        </w:rPr>
        <w:t>MutationMapper</w:t>
      </w:r>
      <w:proofErr w:type="spellEnd"/>
      <w:r w:rsidRPr="00FB188E">
        <w:rPr>
          <w:rFonts w:ascii="Book Antiqua" w:eastAsia="Book Antiqua" w:hAnsi="Book Antiqua" w:cs="Book Antiqua"/>
          <w:color w:val="000000"/>
        </w:rPr>
        <w:t xml:space="preserve"> analysis indicated that the functional domain of APC was lost in the two APC mutant genes. APC is a major suppressor of the </w:t>
      </w:r>
      <w:proofErr w:type="spellStart"/>
      <w:r w:rsidRPr="00FB188E">
        <w:rPr>
          <w:rFonts w:ascii="Book Antiqua" w:eastAsia="Book Antiqua" w:hAnsi="Book Antiqua" w:cs="Book Antiqua"/>
          <w:color w:val="000000"/>
        </w:rPr>
        <w:t>Wnt</w:t>
      </w:r>
      <w:proofErr w:type="spellEnd"/>
      <w:r w:rsidRPr="00FB188E">
        <w:rPr>
          <w:rFonts w:ascii="Book Antiqua" w:eastAsia="Book Antiqua" w:hAnsi="Book Antiqua" w:cs="Book Antiqua"/>
          <w:color w:val="000000"/>
        </w:rPr>
        <w:t xml:space="preserve"> signaling pathway. Thus, the </w:t>
      </w:r>
      <w:proofErr w:type="spellStart"/>
      <w:r w:rsidRPr="00FB188E">
        <w:rPr>
          <w:rFonts w:ascii="Book Antiqua" w:eastAsia="Book Antiqua" w:hAnsi="Book Antiqua" w:cs="Book Antiqua"/>
          <w:color w:val="000000"/>
        </w:rPr>
        <w:t>Wnt</w:t>
      </w:r>
      <w:proofErr w:type="spellEnd"/>
      <w:r w:rsidRPr="00FB188E">
        <w:rPr>
          <w:rFonts w:ascii="Book Antiqua" w:eastAsia="Book Antiqua" w:hAnsi="Book Antiqua" w:cs="Book Antiqua"/>
          <w:color w:val="000000"/>
        </w:rPr>
        <w:t xml:space="preserve"> pathway was exclusively activated due to APC dysfunction, as other elements of this pathway were not found to be mutated. Aspirin has been reported to suppress the </w:t>
      </w:r>
      <w:proofErr w:type="spellStart"/>
      <w:r w:rsidRPr="00FB188E">
        <w:rPr>
          <w:rFonts w:ascii="Book Antiqua" w:eastAsia="Book Antiqua" w:hAnsi="Book Antiqua" w:cs="Book Antiqua"/>
          <w:color w:val="000000"/>
        </w:rPr>
        <w:t>Wnt</w:t>
      </w:r>
      <w:proofErr w:type="spellEnd"/>
      <w:r w:rsidRPr="00FB188E">
        <w:rPr>
          <w:rFonts w:ascii="Book Antiqua" w:eastAsia="Book Antiqua" w:hAnsi="Book Antiqua" w:cs="Book Antiqua"/>
          <w:color w:val="000000"/>
        </w:rPr>
        <w:t xml:space="preserve"> pathway by inducing β-catenin phosphorylation through the activation of glycogen synthase kinase 3 beta </w:t>
      </w:r>
      <w:r w:rsidRPr="00FB188E">
        <w:rPr>
          <w:rFonts w:ascii="Book Antiqua" w:eastAsia="Book Antiqua" w:hAnsi="Book Antiqua" w:cs="Book Antiqua"/>
          <w:i/>
          <w:iCs/>
          <w:color w:val="000000"/>
        </w:rPr>
        <w:t>via</w:t>
      </w:r>
      <w:r w:rsidRPr="00FB188E">
        <w:rPr>
          <w:rFonts w:ascii="Book Antiqua" w:eastAsia="Book Antiqua" w:hAnsi="Book Antiqua" w:cs="Book Antiqua"/>
          <w:color w:val="000000"/>
        </w:rPr>
        <w:t xml:space="preserve"> cyclooxygenase-2 pathway inhibition. Therefore, aspirin was administered to the patient, which achieved four years of disease control. </w:t>
      </w:r>
    </w:p>
    <w:p w14:paraId="727B428C" w14:textId="77777777" w:rsidR="00A77B3E" w:rsidRPr="00FB188E" w:rsidRDefault="00A77B3E" w:rsidP="00FB188E">
      <w:pPr>
        <w:adjustRightInd w:val="0"/>
        <w:snapToGrid w:val="0"/>
        <w:spacing w:line="360" w:lineRule="auto"/>
        <w:jc w:val="both"/>
        <w:rPr>
          <w:rFonts w:ascii="Book Antiqua" w:hAnsi="Book Antiqua"/>
        </w:rPr>
      </w:pPr>
    </w:p>
    <w:p w14:paraId="7DB4F416"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CONCLUSION</w:t>
      </w:r>
    </w:p>
    <w:p w14:paraId="2204DA51" w14:textId="7900C102" w:rsidR="00A77B3E" w:rsidRPr="00FB188E" w:rsidRDefault="00DE0D13" w:rsidP="00FB188E">
      <w:pPr>
        <w:adjustRightInd w:val="0"/>
        <w:snapToGrid w:val="0"/>
        <w:spacing w:line="360" w:lineRule="auto"/>
        <w:jc w:val="both"/>
        <w:rPr>
          <w:rFonts w:ascii="Book Antiqua" w:hAnsi="Book Antiqua"/>
        </w:rPr>
      </w:pPr>
      <w:r>
        <w:rPr>
          <w:rFonts w:ascii="Book Antiqua" w:eastAsia="Book Antiqua" w:hAnsi="Book Antiqua" w:cs="Book Antiqua"/>
          <w:color w:val="000000"/>
        </w:rPr>
        <w:t>E</w:t>
      </w:r>
      <w:r w:rsidR="00922338" w:rsidRPr="00FB188E">
        <w:rPr>
          <w:rFonts w:ascii="Book Antiqua" w:eastAsia="Book Antiqua" w:hAnsi="Book Antiqua" w:cs="Book Antiqua"/>
          <w:color w:val="000000"/>
        </w:rPr>
        <w:t xml:space="preserve">xclusive mutations of APC </w:t>
      </w:r>
      <w:r>
        <w:rPr>
          <w:rFonts w:ascii="Book Antiqua" w:eastAsia="Book Antiqua" w:hAnsi="Book Antiqua" w:cs="Book Antiqua"/>
          <w:color w:val="000000"/>
        </w:rPr>
        <w:t>of</w:t>
      </w:r>
      <w:r w:rsidR="00922338" w:rsidRPr="00FB188E">
        <w:rPr>
          <w:rFonts w:ascii="Book Antiqua" w:eastAsia="Book Antiqua" w:hAnsi="Book Antiqua" w:cs="Book Antiqua"/>
          <w:color w:val="000000"/>
        </w:rPr>
        <w:t xml:space="preserve"> all the </w:t>
      </w:r>
      <w:proofErr w:type="spellStart"/>
      <w:r w:rsidR="00922338" w:rsidRPr="00FB188E">
        <w:rPr>
          <w:rFonts w:ascii="Book Antiqua" w:eastAsia="Book Antiqua" w:hAnsi="Book Antiqua" w:cs="Book Antiqua"/>
          <w:color w:val="000000"/>
        </w:rPr>
        <w:t>Wnt</w:t>
      </w:r>
      <w:proofErr w:type="spellEnd"/>
      <w:r w:rsidR="00922338" w:rsidRPr="00FB188E">
        <w:rPr>
          <w:rFonts w:ascii="Book Antiqua" w:eastAsia="Book Antiqua" w:hAnsi="Book Antiqua" w:cs="Book Antiqua"/>
          <w:color w:val="000000"/>
        </w:rPr>
        <w:t xml:space="preserve"> pathway elements could be a therapeutic target in HCC, with aspirin as an effective treatment option.</w:t>
      </w:r>
    </w:p>
    <w:p w14:paraId="2F3825AD" w14:textId="77777777" w:rsidR="00A77B3E" w:rsidRPr="00FB188E" w:rsidRDefault="00A77B3E" w:rsidP="00FB188E">
      <w:pPr>
        <w:adjustRightInd w:val="0"/>
        <w:snapToGrid w:val="0"/>
        <w:spacing w:line="360" w:lineRule="auto"/>
        <w:jc w:val="both"/>
        <w:rPr>
          <w:rFonts w:ascii="Book Antiqua" w:hAnsi="Book Antiqua"/>
        </w:rPr>
      </w:pPr>
    </w:p>
    <w:p w14:paraId="180A25EE" w14:textId="26E97AF4"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bCs/>
          <w:color w:val="000000"/>
        </w:rPr>
        <w:t xml:space="preserve">Key Words: </w:t>
      </w:r>
      <w:r w:rsidR="007C0391" w:rsidRPr="00FB188E">
        <w:rPr>
          <w:rFonts w:ascii="Book Antiqua" w:eastAsia="Book Antiqua" w:hAnsi="Book Antiqua" w:cs="Book Antiqua"/>
          <w:color w:val="000000"/>
        </w:rPr>
        <w:t xml:space="preserve">Hepatocellular </w:t>
      </w:r>
      <w:r w:rsidRPr="00FB188E">
        <w:rPr>
          <w:rFonts w:ascii="Book Antiqua" w:eastAsia="Book Antiqua" w:hAnsi="Book Antiqua" w:cs="Book Antiqua"/>
          <w:color w:val="000000"/>
        </w:rPr>
        <w:t xml:space="preserve">carcinoma; </w:t>
      </w:r>
      <w:r w:rsidR="007C0391" w:rsidRPr="00FB188E">
        <w:rPr>
          <w:rFonts w:ascii="Book Antiqua" w:eastAsia="Book Antiqua" w:hAnsi="Book Antiqua" w:cs="Book Antiqua"/>
          <w:color w:val="000000"/>
        </w:rPr>
        <w:t>Mutation</w:t>
      </w:r>
      <w:r w:rsidRPr="00FB188E">
        <w:rPr>
          <w:rFonts w:ascii="Book Antiqua" w:eastAsia="Book Antiqua" w:hAnsi="Book Antiqua" w:cs="Book Antiqua"/>
          <w:color w:val="000000"/>
        </w:rPr>
        <w:t xml:space="preserve">; </w:t>
      </w:r>
      <w:proofErr w:type="spellStart"/>
      <w:r w:rsidRPr="00FB188E">
        <w:rPr>
          <w:rFonts w:ascii="Book Antiqua" w:eastAsia="Book Antiqua" w:hAnsi="Book Antiqua" w:cs="Book Antiqua"/>
          <w:color w:val="000000"/>
        </w:rPr>
        <w:t>Wnt</w:t>
      </w:r>
      <w:proofErr w:type="spellEnd"/>
      <w:r w:rsidRPr="00FB188E">
        <w:rPr>
          <w:rFonts w:ascii="Book Antiqua" w:eastAsia="Book Antiqua" w:hAnsi="Book Antiqua" w:cs="Book Antiqua"/>
          <w:color w:val="000000"/>
        </w:rPr>
        <w:t xml:space="preserve"> pathway; </w:t>
      </w:r>
      <w:r w:rsidR="007C0391" w:rsidRPr="00FB188E">
        <w:rPr>
          <w:rFonts w:ascii="Book Antiqua" w:eastAsia="Book Antiqua" w:hAnsi="Book Antiqua" w:cs="Book Antiqua"/>
          <w:color w:val="000000"/>
        </w:rPr>
        <w:t>Aspirin</w:t>
      </w:r>
      <w:r w:rsidRPr="00FB188E">
        <w:rPr>
          <w:rFonts w:ascii="Book Antiqua" w:eastAsia="Book Antiqua" w:hAnsi="Book Antiqua" w:cs="Book Antiqua"/>
          <w:color w:val="000000"/>
        </w:rPr>
        <w:t xml:space="preserve">; </w:t>
      </w:r>
      <w:r w:rsidR="007C0391" w:rsidRPr="00FB188E">
        <w:rPr>
          <w:rFonts w:ascii="Book Antiqua" w:eastAsia="Book Antiqua" w:hAnsi="Book Antiqua" w:cs="Book Antiqua"/>
          <w:color w:val="000000"/>
        </w:rPr>
        <w:t>Adenomatous polyposis coli</w:t>
      </w:r>
      <w:r w:rsidRPr="00FB188E">
        <w:rPr>
          <w:rFonts w:ascii="Book Antiqua" w:eastAsia="Book Antiqua" w:hAnsi="Book Antiqua" w:cs="Book Antiqua"/>
          <w:color w:val="000000"/>
        </w:rPr>
        <w:t xml:space="preserve">; </w:t>
      </w:r>
      <w:r w:rsidR="007C0391" w:rsidRPr="00FB188E">
        <w:rPr>
          <w:rFonts w:ascii="Book Antiqua" w:eastAsia="Book Antiqua" w:hAnsi="Book Antiqua" w:cs="Book Antiqua"/>
          <w:color w:val="000000"/>
        </w:rPr>
        <w:t xml:space="preserve">Case </w:t>
      </w:r>
      <w:r w:rsidRPr="00FB188E">
        <w:rPr>
          <w:rFonts w:ascii="Book Antiqua" w:eastAsia="Book Antiqua" w:hAnsi="Book Antiqua" w:cs="Book Antiqua"/>
          <w:color w:val="000000"/>
        </w:rPr>
        <w:t>report</w:t>
      </w:r>
    </w:p>
    <w:p w14:paraId="585DEB42" w14:textId="77777777" w:rsidR="00A77B3E" w:rsidRPr="00FB188E" w:rsidRDefault="00A77B3E" w:rsidP="00FB188E">
      <w:pPr>
        <w:adjustRightInd w:val="0"/>
        <w:snapToGrid w:val="0"/>
        <w:spacing w:line="360" w:lineRule="auto"/>
        <w:jc w:val="both"/>
        <w:rPr>
          <w:rFonts w:ascii="Book Antiqua" w:hAnsi="Book Antiqua"/>
        </w:rPr>
      </w:pPr>
    </w:p>
    <w:p w14:paraId="26172DFA" w14:textId="6296FCB6"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Lin Q, Bai MJ, Wang HF, Wu XY, Huang MS, Li X. Aspirin-induced long-term tumor remission in hepatocellular carcinoma with </w:t>
      </w:r>
      <w:r w:rsidR="006128A2" w:rsidRPr="00FB188E">
        <w:rPr>
          <w:rFonts w:ascii="Book Antiqua" w:eastAsia="Book Antiqua" w:hAnsi="Book Antiqua" w:cs="Book Antiqua"/>
          <w:color w:val="000000"/>
        </w:rPr>
        <w:t xml:space="preserve">adenomatous polyposis coli </w:t>
      </w:r>
      <w:r w:rsidRPr="00FB188E">
        <w:rPr>
          <w:rFonts w:ascii="Book Antiqua" w:eastAsia="Book Antiqua" w:hAnsi="Book Antiqua" w:cs="Book Antiqua"/>
          <w:color w:val="000000"/>
        </w:rPr>
        <w:t>stop</w:t>
      </w:r>
      <w:r w:rsidR="00DE0D13">
        <w:rPr>
          <w:rFonts w:ascii="Book Antiqua" w:eastAsia="Book Antiqua" w:hAnsi="Book Antiqua" w:cs="Book Antiqua"/>
          <w:color w:val="000000"/>
        </w:rPr>
        <w:t>-</w:t>
      </w:r>
      <w:r w:rsidRPr="00FB188E">
        <w:rPr>
          <w:rFonts w:ascii="Book Antiqua" w:eastAsia="Book Antiqua" w:hAnsi="Book Antiqua" w:cs="Book Antiqua"/>
          <w:color w:val="000000"/>
        </w:rPr>
        <w:t xml:space="preserve">gain mutation: </w:t>
      </w:r>
      <w:r w:rsidR="006128A2" w:rsidRPr="00FB188E">
        <w:rPr>
          <w:rFonts w:ascii="Book Antiqua" w:eastAsia="Book Antiqua" w:hAnsi="Book Antiqua" w:cs="Book Antiqua"/>
          <w:color w:val="000000"/>
        </w:rPr>
        <w:t>A</w:t>
      </w:r>
      <w:r w:rsidRPr="00FB188E">
        <w:rPr>
          <w:rFonts w:ascii="Book Antiqua" w:eastAsia="Book Antiqua" w:hAnsi="Book Antiqua" w:cs="Book Antiqua"/>
          <w:color w:val="000000"/>
        </w:rPr>
        <w:t xml:space="preserve"> case report. </w:t>
      </w:r>
      <w:r w:rsidRPr="00FB188E">
        <w:rPr>
          <w:rFonts w:ascii="Book Antiqua" w:eastAsia="Book Antiqua" w:hAnsi="Book Antiqua" w:cs="Book Antiqua"/>
          <w:i/>
          <w:iCs/>
          <w:color w:val="000000"/>
        </w:rPr>
        <w:t>World J Clin Cases</w:t>
      </w:r>
      <w:r w:rsidRPr="00FB188E">
        <w:rPr>
          <w:rFonts w:ascii="Book Antiqua" w:eastAsia="Book Antiqua" w:hAnsi="Book Antiqua" w:cs="Book Antiqua"/>
          <w:color w:val="000000"/>
        </w:rPr>
        <w:t xml:space="preserve"> 2021; In press</w:t>
      </w:r>
    </w:p>
    <w:p w14:paraId="624B91FB" w14:textId="77777777" w:rsidR="00A77B3E" w:rsidRPr="00FB188E" w:rsidRDefault="00A77B3E" w:rsidP="00FB188E">
      <w:pPr>
        <w:adjustRightInd w:val="0"/>
        <w:snapToGrid w:val="0"/>
        <w:spacing w:line="360" w:lineRule="auto"/>
        <w:jc w:val="both"/>
        <w:rPr>
          <w:rFonts w:ascii="Book Antiqua" w:hAnsi="Book Antiqua"/>
        </w:rPr>
      </w:pPr>
    </w:p>
    <w:p w14:paraId="082C32F0" w14:textId="32ADD7B2"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bCs/>
          <w:color w:val="000000"/>
        </w:rPr>
        <w:t xml:space="preserve">Core Tip: </w:t>
      </w:r>
      <w:r w:rsidR="006128A2" w:rsidRPr="00FB188E">
        <w:rPr>
          <w:rFonts w:ascii="Book Antiqua" w:eastAsia="Book Antiqua" w:hAnsi="Book Antiqua" w:cs="Book Antiqua"/>
          <w:color w:val="000000"/>
        </w:rPr>
        <w:t>Hepatocellular carcinoma (</w:t>
      </w:r>
      <w:r w:rsidRPr="00FB188E">
        <w:rPr>
          <w:rFonts w:ascii="Book Antiqua" w:eastAsia="Book Antiqua" w:hAnsi="Book Antiqua" w:cs="Book Antiqua"/>
          <w:color w:val="000000"/>
        </w:rPr>
        <w:t>HCC</w:t>
      </w:r>
      <w:r w:rsidR="006128A2" w:rsidRPr="00FB188E">
        <w:rPr>
          <w:rFonts w:ascii="Book Antiqua" w:eastAsia="Book Antiqua" w:hAnsi="Book Antiqua" w:cs="Book Antiqua"/>
          <w:color w:val="000000"/>
        </w:rPr>
        <w:t>)</w:t>
      </w:r>
      <w:r w:rsidRPr="00FB188E">
        <w:rPr>
          <w:rFonts w:ascii="Book Antiqua" w:eastAsia="Book Antiqua" w:hAnsi="Book Antiqua" w:cs="Book Antiqua"/>
          <w:color w:val="000000"/>
        </w:rPr>
        <w:t xml:space="preserve"> is a highly heterogeneous disease. Due to the differences in etiology and ethnicities, the driving genes in HCC are likely to be different globally. </w:t>
      </w:r>
      <w:r w:rsidR="006128A2" w:rsidRPr="00FB188E">
        <w:rPr>
          <w:rFonts w:ascii="Book Antiqua" w:eastAsia="Book Antiqua" w:hAnsi="Book Antiqua" w:cs="Book Antiqua"/>
          <w:color w:val="000000"/>
        </w:rPr>
        <w:t>Adenomatous polyposis coli (</w:t>
      </w:r>
      <w:r w:rsidRPr="00FB188E">
        <w:rPr>
          <w:rFonts w:ascii="Book Antiqua" w:eastAsia="Book Antiqua" w:hAnsi="Book Antiqua" w:cs="Book Antiqua"/>
          <w:color w:val="000000"/>
        </w:rPr>
        <w:t>APC</w:t>
      </w:r>
      <w:r w:rsidR="006128A2" w:rsidRPr="00FB188E">
        <w:rPr>
          <w:rFonts w:ascii="Book Antiqua" w:eastAsia="Book Antiqua" w:hAnsi="Book Antiqua" w:cs="Book Antiqua"/>
          <w:color w:val="000000"/>
        </w:rPr>
        <w:t>)</w:t>
      </w:r>
      <w:r w:rsidRPr="00FB188E">
        <w:rPr>
          <w:rFonts w:ascii="Book Antiqua" w:eastAsia="Book Antiqua" w:hAnsi="Book Antiqua" w:cs="Book Antiqua"/>
          <w:color w:val="000000"/>
        </w:rPr>
        <w:t xml:space="preserve"> mutations are critical in a fraction of HCC patients, as APC mutations might trigger HCC by activating the </w:t>
      </w:r>
      <w:proofErr w:type="spellStart"/>
      <w:r w:rsidRPr="00FB188E">
        <w:rPr>
          <w:rFonts w:ascii="Book Antiqua" w:eastAsia="Book Antiqua" w:hAnsi="Book Antiqua" w:cs="Book Antiqua"/>
          <w:color w:val="000000"/>
        </w:rPr>
        <w:t>Wnt</w:t>
      </w:r>
      <w:proofErr w:type="spellEnd"/>
      <w:r w:rsidRPr="00FB188E">
        <w:rPr>
          <w:rFonts w:ascii="Book Antiqua" w:eastAsia="Book Antiqua" w:hAnsi="Book Antiqua" w:cs="Book Antiqua"/>
          <w:color w:val="000000"/>
        </w:rPr>
        <w:t xml:space="preserve"> pathway. The effects of this mutation could be consistently suppressed by aspirin. Thus, APC mutation-triggered HCC might be a new subgroup of chronic hepatitis B virus infection-related HCC. </w:t>
      </w:r>
      <w:proofErr w:type="spellStart"/>
      <w:r w:rsidRPr="00FB188E">
        <w:rPr>
          <w:rFonts w:ascii="Book Antiqua" w:eastAsia="Book Antiqua" w:hAnsi="Book Antiqua" w:cs="Book Antiqua"/>
          <w:color w:val="000000"/>
        </w:rPr>
        <w:t>Wnt</w:t>
      </w:r>
      <w:proofErr w:type="spellEnd"/>
      <w:r w:rsidRPr="00FB188E">
        <w:rPr>
          <w:rFonts w:ascii="Book Antiqua" w:eastAsia="Book Antiqua" w:hAnsi="Book Antiqua" w:cs="Book Antiqua"/>
          <w:color w:val="000000"/>
        </w:rPr>
        <w:t xml:space="preserve"> pathway inhibition could be an effective remedy for this subgroup of patients.</w:t>
      </w:r>
    </w:p>
    <w:p w14:paraId="22AAD21E" w14:textId="77777777" w:rsidR="00A77B3E" w:rsidRPr="00FB188E" w:rsidRDefault="00A77B3E" w:rsidP="00FB188E">
      <w:pPr>
        <w:adjustRightInd w:val="0"/>
        <w:snapToGrid w:val="0"/>
        <w:spacing w:line="360" w:lineRule="auto"/>
        <w:jc w:val="both"/>
        <w:rPr>
          <w:rFonts w:ascii="Book Antiqua" w:hAnsi="Book Antiqua"/>
        </w:rPr>
      </w:pPr>
    </w:p>
    <w:p w14:paraId="0E4B93D5" w14:textId="3086FEF8" w:rsidR="00A77B3E" w:rsidRPr="00FB188E" w:rsidRDefault="009B63A2"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aps/>
          <w:color w:val="000000"/>
          <w:u w:val="single"/>
        </w:rPr>
        <w:br w:type="page"/>
      </w:r>
      <w:r w:rsidR="00922338" w:rsidRPr="00FB188E">
        <w:rPr>
          <w:rFonts w:ascii="Book Antiqua" w:eastAsia="Book Antiqua" w:hAnsi="Book Antiqua" w:cs="Book Antiqua"/>
          <w:b/>
          <w:caps/>
          <w:color w:val="000000"/>
          <w:u w:val="single"/>
        </w:rPr>
        <w:lastRenderedPageBreak/>
        <w:t>INTRODUCTION</w:t>
      </w:r>
    </w:p>
    <w:p w14:paraId="584B0267" w14:textId="744564F4" w:rsidR="0027377C"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Some small molecular agents with multiple targets, including sorafenib, </w:t>
      </w:r>
      <w:proofErr w:type="spellStart"/>
      <w:r w:rsidRPr="00FB188E">
        <w:rPr>
          <w:rFonts w:ascii="Book Antiqua" w:eastAsia="Book Antiqua" w:hAnsi="Book Antiqua" w:cs="Book Antiqua"/>
          <w:color w:val="000000"/>
        </w:rPr>
        <w:t>lenvatinib</w:t>
      </w:r>
      <w:proofErr w:type="spellEnd"/>
      <w:r w:rsidRPr="00FB188E">
        <w:rPr>
          <w:rFonts w:ascii="Book Antiqua" w:eastAsia="Book Antiqua" w:hAnsi="Book Antiqua" w:cs="Book Antiqua"/>
          <w:color w:val="000000"/>
        </w:rPr>
        <w:t>, and regorafenib, are reported to be effective against hepatocellular carcinoma (HCC</w:t>
      </w:r>
      <w:proofErr w:type="gramStart"/>
      <w:r w:rsidRPr="00FB188E">
        <w:rPr>
          <w:rFonts w:ascii="Book Antiqua" w:eastAsia="Book Antiqua" w:hAnsi="Book Antiqua" w:cs="Book Antiqua"/>
          <w:color w:val="000000"/>
        </w:rPr>
        <w:t>)</w:t>
      </w:r>
      <w:r w:rsidRPr="00FB188E">
        <w:rPr>
          <w:rFonts w:ascii="Book Antiqua" w:eastAsia="Book Antiqua" w:hAnsi="Book Antiqua" w:cs="Book Antiqua"/>
          <w:color w:val="000000"/>
          <w:vertAlign w:val="superscript"/>
        </w:rPr>
        <w:t>[</w:t>
      </w:r>
      <w:proofErr w:type="gramEnd"/>
      <w:r w:rsidRPr="00FB188E">
        <w:rPr>
          <w:rFonts w:ascii="Book Antiqua" w:eastAsia="Book Antiqua" w:hAnsi="Book Antiqua" w:cs="Book Antiqua"/>
          <w:color w:val="000000"/>
          <w:vertAlign w:val="superscript"/>
        </w:rPr>
        <w:t>1]</w:t>
      </w:r>
      <w:r w:rsidRPr="00FB188E">
        <w:rPr>
          <w:rFonts w:ascii="Book Antiqua" w:eastAsia="Book Antiqua" w:hAnsi="Book Antiqua" w:cs="Book Antiqua"/>
          <w:color w:val="000000"/>
        </w:rPr>
        <w:t xml:space="preserve">. However, the efficacy of these agents is unpredictable. </w:t>
      </w:r>
      <w:r w:rsidR="00DE0D13">
        <w:rPr>
          <w:rFonts w:ascii="Book Antiqua" w:eastAsia="Book Antiqua" w:hAnsi="Book Antiqua" w:cs="Book Antiqua"/>
          <w:color w:val="000000"/>
        </w:rPr>
        <w:t>As</w:t>
      </w:r>
      <w:r w:rsidRPr="00FB188E">
        <w:rPr>
          <w:rFonts w:ascii="Book Antiqua" w:eastAsia="Book Antiqua" w:hAnsi="Book Antiqua" w:cs="Book Antiqua"/>
          <w:color w:val="000000"/>
        </w:rPr>
        <w:t xml:space="preserve"> the average overall survival of patients with advanced HCC is only approximately three </w:t>
      </w:r>
      <w:proofErr w:type="gramStart"/>
      <w:r w:rsidRPr="00FB188E">
        <w:rPr>
          <w:rFonts w:ascii="Book Antiqua" w:eastAsia="Book Antiqua" w:hAnsi="Book Antiqua" w:cs="Book Antiqua"/>
          <w:color w:val="000000"/>
        </w:rPr>
        <w:t>months</w:t>
      </w:r>
      <w:r w:rsidRPr="00FB188E">
        <w:rPr>
          <w:rFonts w:ascii="Book Antiqua" w:eastAsia="Book Antiqua" w:hAnsi="Book Antiqua" w:cs="Book Antiqua"/>
          <w:color w:val="000000"/>
          <w:vertAlign w:val="superscript"/>
        </w:rPr>
        <w:t>[</w:t>
      </w:r>
      <w:proofErr w:type="gramEnd"/>
      <w:r w:rsidRPr="00FB188E">
        <w:rPr>
          <w:rFonts w:ascii="Book Antiqua" w:eastAsia="Book Antiqua" w:hAnsi="Book Antiqua" w:cs="Book Antiqua"/>
          <w:color w:val="000000"/>
          <w:vertAlign w:val="superscript"/>
        </w:rPr>
        <w:t>2]</w:t>
      </w:r>
      <w:r w:rsidRPr="00FB188E">
        <w:rPr>
          <w:rFonts w:ascii="Book Antiqua" w:eastAsia="Book Antiqua" w:hAnsi="Book Antiqua" w:cs="Book Antiqua"/>
          <w:color w:val="000000"/>
        </w:rPr>
        <w:t>, primary resistance to first-line treatment may prevent the possibility of second-line remedies. Thus, precise therapy is needed for the treatment of advanced HCC.</w:t>
      </w:r>
    </w:p>
    <w:p w14:paraId="52B25802" w14:textId="77777777" w:rsidR="0027377C" w:rsidRPr="00FB188E" w:rsidRDefault="00922338" w:rsidP="00FB188E">
      <w:pPr>
        <w:adjustRightInd w:val="0"/>
        <w:snapToGrid w:val="0"/>
        <w:spacing w:line="360" w:lineRule="auto"/>
        <w:ind w:firstLineChars="100" w:firstLine="240"/>
        <w:jc w:val="both"/>
        <w:rPr>
          <w:rFonts w:ascii="Book Antiqua" w:hAnsi="Book Antiqua"/>
        </w:rPr>
      </w:pPr>
      <w:r w:rsidRPr="00FB188E">
        <w:rPr>
          <w:rFonts w:ascii="Book Antiqua" w:eastAsia="Book Antiqua" w:hAnsi="Book Antiqua" w:cs="Book Antiqua"/>
          <w:color w:val="000000"/>
        </w:rPr>
        <w:t xml:space="preserve">In this era of precise therapy, treatments can be administered with maximum efficacy if the target is clearly identified. For the multi-targeted agents used for HCC, unsatisfactory safety profiles and limited improvement in overall survival have hindered their use in the treatment of advanced HCC. RNA sequencing can be used to identify the causative gene mutations in tumor tissues to provide more accurate targets for the treatment of HCC. </w:t>
      </w:r>
    </w:p>
    <w:p w14:paraId="223FB8F1" w14:textId="77657514" w:rsidR="00A77B3E" w:rsidRPr="00FB188E" w:rsidRDefault="00922338" w:rsidP="00FB188E">
      <w:pPr>
        <w:adjustRightInd w:val="0"/>
        <w:snapToGrid w:val="0"/>
        <w:spacing w:line="360" w:lineRule="auto"/>
        <w:ind w:firstLineChars="100" w:firstLine="240"/>
        <w:jc w:val="both"/>
        <w:rPr>
          <w:rFonts w:ascii="Book Antiqua" w:hAnsi="Book Antiqua"/>
        </w:rPr>
      </w:pPr>
      <w:r w:rsidRPr="00FB188E">
        <w:rPr>
          <w:rFonts w:ascii="Book Antiqua" w:eastAsia="Book Antiqua" w:hAnsi="Book Antiqua" w:cs="Book Antiqua"/>
          <w:color w:val="000000"/>
        </w:rPr>
        <w:t xml:space="preserve">In this case of advanced HCC, we screened for mutations in an HCC patient using the Illumina Hiseq2000 platform and identified mutated adenomatous polyposis coli (APC) as the major driver gene. Aspirin was chosen as the targeted agent to treat this patient, which achieved </w:t>
      </w:r>
      <w:r w:rsidR="00611D84" w:rsidRPr="00FB188E">
        <w:rPr>
          <w:rFonts w:ascii="Book Antiqua" w:eastAsia="Book Antiqua" w:hAnsi="Book Antiqua" w:cs="Book Antiqua"/>
          <w:color w:val="000000"/>
        </w:rPr>
        <w:t xml:space="preserve">disease control </w:t>
      </w:r>
      <w:r w:rsidR="00611D84">
        <w:rPr>
          <w:rFonts w:ascii="Book Antiqua" w:eastAsia="Book Antiqua" w:hAnsi="Book Antiqua" w:cs="Book Antiqua"/>
          <w:color w:val="000000"/>
        </w:rPr>
        <w:t xml:space="preserve">for </w:t>
      </w:r>
      <w:r w:rsidRPr="00FB188E">
        <w:rPr>
          <w:rFonts w:ascii="Book Antiqua" w:eastAsia="Book Antiqua" w:hAnsi="Book Antiqua" w:cs="Book Antiqua"/>
          <w:color w:val="000000"/>
        </w:rPr>
        <w:t>at least four</w:t>
      </w:r>
      <w:r w:rsidR="00611D84">
        <w:rPr>
          <w:rFonts w:ascii="Book Antiqua" w:eastAsia="Book Antiqua" w:hAnsi="Book Antiqua" w:cs="Book Antiqua"/>
          <w:color w:val="000000"/>
        </w:rPr>
        <w:t xml:space="preserve"> </w:t>
      </w:r>
      <w:r w:rsidRPr="00FB188E">
        <w:rPr>
          <w:rFonts w:ascii="Book Antiqua" w:eastAsia="Book Antiqua" w:hAnsi="Book Antiqua" w:cs="Book Antiqua"/>
          <w:color w:val="000000"/>
        </w:rPr>
        <w:t>year</w:t>
      </w:r>
      <w:r w:rsidR="00611D84">
        <w:rPr>
          <w:rFonts w:ascii="Book Antiqua" w:eastAsia="Book Antiqua" w:hAnsi="Book Antiqua" w:cs="Book Antiqua"/>
          <w:color w:val="000000"/>
        </w:rPr>
        <w:t>s</w:t>
      </w:r>
      <w:r w:rsidRPr="00FB188E">
        <w:rPr>
          <w:rFonts w:ascii="Book Antiqua" w:eastAsia="Book Antiqua" w:hAnsi="Book Antiqua" w:cs="Book Antiqua"/>
          <w:color w:val="000000"/>
        </w:rPr>
        <w:t xml:space="preserve">. </w:t>
      </w:r>
    </w:p>
    <w:p w14:paraId="01A6CB93" w14:textId="77777777" w:rsidR="00A77B3E" w:rsidRPr="00FB188E" w:rsidRDefault="00A77B3E" w:rsidP="00FB188E">
      <w:pPr>
        <w:adjustRightInd w:val="0"/>
        <w:snapToGrid w:val="0"/>
        <w:spacing w:line="360" w:lineRule="auto"/>
        <w:ind w:firstLine="480"/>
        <w:jc w:val="both"/>
        <w:rPr>
          <w:rFonts w:ascii="Book Antiqua" w:hAnsi="Book Antiqua"/>
        </w:rPr>
      </w:pPr>
    </w:p>
    <w:p w14:paraId="76DC6798"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aps/>
          <w:color w:val="000000"/>
          <w:u w:val="single"/>
        </w:rPr>
        <w:t>CASE PRESENTATION</w:t>
      </w:r>
    </w:p>
    <w:p w14:paraId="007F1DF9"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i/>
          <w:color w:val="000000"/>
        </w:rPr>
        <w:t>Chief complaints</w:t>
      </w:r>
    </w:p>
    <w:p w14:paraId="27AD79C1" w14:textId="01811DAB" w:rsidR="00A77B3E" w:rsidRPr="00FB188E" w:rsidRDefault="00922338" w:rsidP="00FB188E">
      <w:pPr>
        <w:adjustRightInd w:val="0"/>
        <w:snapToGrid w:val="0"/>
        <w:spacing w:line="360" w:lineRule="auto"/>
        <w:jc w:val="both"/>
        <w:rPr>
          <w:rFonts w:ascii="Book Antiqua" w:eastAsia="Book Antiqua" w:hAnsi="Book Antiqua" w:cs="Book Antiqua"/>
          <w:color w:val="000000"/>
        </w:rPr>
      </w:pPr>
      <w:r w:rsidRPr="00FB188E">
        <w:rPr>
          <w:rFonts w:ascii="Book Antiqua" w:eastAsia="Book Antiqua" w:hAnsi="Book Antiqua" w:cs="Book Antiqua"/>
          <w:color w:val="000000"/>
        </w:rPr>
        <w:t xml:space="preserve">Recurrent </w:t>
      </w:r>
      <w:r w:rsidR="009733E6" w:rsidRPr="00FB188E">
        <w:rPr>
          <w:rFonts w:ascii="Book Antiqua" w:eastAsia="Book Antiqua" w:hAnsi="Book Antiqua" w:cs="Book Antiqua"/>
          <w:color w:val="000000"/>
        </w:rPr>
        <w:t xml:space="preserve">HCC </w:t>
      </w:r>
      <w:r w:rsidRPr="00FB188E">
        <w:rPr>
          <w:rFonts w:ascii="Book Antiqua" w:eastAsia="Book Antiqua" w:hAnsi="Book Antiqua" w:cs="Book Antiqua"/>
          <w:color w:val="000000"/>
        </w:rPr>
        <w:t>with APC stop</w:t>
      </w:r>
      <w:r w:rsidR="00611D84">
        <w:rPr>
          <w:rFonts w:ascii="Book Antiqua" w:eastAsia="Book Antiqua" w:hAnsi="Book Antiqua" w:cs="Book Antiqua"/>
          <w:color w:val="000000"/>
        </w:rPr>
        <w:t>-</w:t>
      </w:r>
      <w:r w:rsidRPr="00FB188E">
        <w:rPr>
          <w:rFonts w:ascii="Book Antiqua" w:eastAsia="Book Antiqua" w:hAnsi="Book Antiqua" w:cs="Book Antiqua"/>
          <w:color w:val="000000"/>
        </w:rPr>
        <w:t>gain mutation.</w:t>
      </w:r>
    </w:p>
    <w:p w14:paraId="24BA44C5" w14:textId="77777777" w:rsidR="0027377C" w:rsidRPr="00FB188E" w:rsidRDefault="0027377C" w:rsidP="00FB188E">
      <w:pPr>
        <w:adjustRightInd w:val="0"/>
        <w:snapToGrid w:val="0"/>
        <w:spacing w:line="360" w:lineRule="auto"/>
        <w:jc w:val="both"/>
        <w:rPr>
          <w:rFonts w:ascii="Book Antiqua" w:hAnsi="Book Antiqua"/>
        </w:rPr>
      </w:pPr>
    </w:p>
    <w:p w14:paraId="60CA1F49"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i/>
          <w:color w:val="000000"/>
        </w:rPr>
        <w:t>History of present illness</w:t>
      </w:r>
    </w:p>
    <w:p w14:paraId="451F1B85" w14:textId="2BD47BE8"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A Chinese male patient with chronic hepatitis B infection was admitted to the Cancer Center of Sun </w:t>
      </w:r>
      <w:proofErr w:type="spellStart"/>
      <w:r w:rsidRPr="00FB188E">
        <w:rPr>
          <w:rFonts w:ascii="Book Antiqua" w:eastAsia="Book Antiqua" w:hAnsi="Book Antiqua" w:cs="Book Antiqua"/>
          <w:color w:val="000000"/>
        </w:rPr>
        <w:t>Yat-sen</w:t>
      </w:r>
      <w:proofErr w:type="spellEnd"/>
      <w:r w:rsidRPr="00FB188E">
        <w:rPr>
          <w:rFonts w:ascii="Book Antiqua" w:eastAsia="Book Antiqua" w:hAnsi="Book Antiqua" w:cs="Book Antiqua"/>
          <w:color w:val="000000"/>
        </w:rPr>
        <w:t xml:space="preserve"> University for the treatment of HCC identified in the S6 segment of the liver by contrast computed tomography </w:t>
      </w:r>
      <w:r w:rsidR="00611D84">
        <w:rPr>
          <w:rFonts w:ascii="Book Antiqua" w:eastAsia="Book Antiqua" w:hAnsi="Book Antiqua" w:cs="Book Antiqua"/>
          <w:color w:val="000000"/>
        </w:rPr>
        <w:t xml:space="preserve">(CT) </w:t>
      </w:r>
      <w:r w:rsidRPr="00FB188E">
        <w:rPr>
          <w:rFonts w:ascii="Book Antiqua" w:eastAsia="Book Antiqua" w:hAnsi="Book Antiqua" w:cs="Book Antiqua"/>
          <w:color w:val="000000"/>
        </w:rPr>
        <w:t xml:space="preserve">scan in June 2012. Radical resection was performed. Tumor recurrence was observed in March 2014. Transcatheter arterial chemoembolization (TACE) was performed followed by radiofrequency ablation with radical intent. However, the tumor recurred at the juncture of the S2 and S3 sections in </w:t>
      </w:r>
      <w:r w:rsidRPr="00FB188E">
        <w:rPr>
          <w:rFonts w:ascii="Book Antiqua" w:eastAsia="Book Antiqua" w:hAnsi="Book Antiqua" w:cs="Book Antiqua"/>
          <w:color w:val="000000"/>
        </w:rPr>
        <w:lastRenderedPageBreak/>
        <w:t xml:space="preserve">September 2014. The tumor was resected. The tumor recurred in February 2015. A series of TACE procedures were performed as palliative local regional therapy from February 2015 to October 2016 at the Third Affiliated Hospital of Sun </w:t>
      </w:r>
      <w:proofErr w:type="spellStart"/>
      <w:r w:rsidRPr="00FB188E">
        <w:rPr>
          <w:rFonts w:ascii="Book Antiqua" w:eastAsia="Book Antiqua" w:hAnsi="Book Antiqua" w:cs="Book Antiqua"/>
          <w:color w:val="000000"/>
        </w:rPr>
        <w:t>Yat-sen</w:t>
      </w:r>
      <w:proofErr w:type="spellEnd"/>
      <w:r w:rsidRPr="00FB188E">
        <w:rPr>
          <w:rFonts w:ascii="Book Antiqua" w:eastAsia="Book Antiqua" w:hAnsi="Book Antiqua" w:cs="Book Antiqua"/>
          <w:color w:val="000000"/>
        </w:rPr>
        <w:t xml:space="preserve"> University. Sorafenib was administered after the first cycle of palliative TACE, but the treatment was suspended one month later due to grade III diarrhea. In that period, tumor progression was noted three times, which made local regional therapy an inappropriate choice for disease control. Alteration of alpha-fetoprotein indicated the efficacy of each therapy (Figure </w:t>
      </w:r>
      <w:r w:rsidR="005B064C" w:rsidRPr="00FB188E">
        <w:rPr>
          <w:rFonts w:ascii="Book Antiqua" w:eastAsia="Book Antiqua" w:hAnsi="Book Antiqua" w:cs="Book Antiqua"/>
          <w:color w:val="000000"/>
        </w:rPr>
        <w:t>1</w:t>
      </w:r>
      <w:r w:rsidRPr="00FB188E">
        <w:rPr>
          <w:rFonts w:ascii="Book Antiqua" w:eastAsia="Book Antiqua" w:hAnsi="Book Antiqua" w:cs="Book Antiqua"/>
          <w:color w:val="000000"/>
        </w:rPr>
        <w:t xml:space="preserve">A). </w:t>
      </w:r>
    </w:p>
    <w:p w14:paraId="556F9BA6" w14:textId="77777777" w:rsidR="00A77B3E" w:rsidRPr="00FB188E" w:rsidRDefault="00A77B3E" w:rsidP="00FB188E">
      <w:pPr>
        <w:adjustRightInd w:val="0"/>
        <w:snapToGrid w:val="0"/>
        <w:spacing w:line="360" w:lineRule="auto"/>
        <w:jc w:val="both"/>
        <w:rPr>
          <w:rFonts w:ascii="Book Antiqua" w:hAnsi="Book Antiqua"/>
        </w:rPr>
      </w:pPr>
    </w:p>
    <w:p w14:paraId="35B32372"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i/>
          <w:color w:val="000000"/>
        </w:rPr>
        <w:t>History of past illness</w:t>
      </w:r>
    </w:p>
    <w:p w14:paraId="346394B9"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Untreated chronic hepatitis B.</w:t>
      </w:r>
    </w:p>
    <w:p w14:paraId="6B4D3B8C" w14:textId="77777777" w:rsidR="00A77B3E" w:rsidRPr="00FB188E" w:rsidRDefault="00A77B3E" w:rsidP="00FB188E">
      <w:pPr>
        <w:adjustRightInd w:val="0"/>
        <w:snapToGrid w:val="0"/>
        <w:spacing w:line="360" w:lineRule="auto"/>
        <w:jc w:val="both"/>
        <w:rPr>
          <w:rFonts w:ascii="Book Antiqua" w:hAnsi="Book Antiqua"/>
        </w:rPr>
      </w:pPr>
    </w:p>
    <w:p w14:paraId="0CF2487F"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i/>
          <w:color w:val="000000"/>
        </w:rPr>
        <w:t>Personal and family history</w:t>
      </w:r>
    </w:p>
    <w:p w14:paraId="45D3F37F"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None.</w:t>
      </w:r>
    </w:p>
    <w:p w14:paraId="6F31344A" w14:textId="77777777" w:rsidR="00A77B3E" w:rsidRPr="00FB188E" w:rsidRDefault="00A77B3E" w:rsidP="00FB188E">
      <w:pPr>
        <w:adjustRightInd w:val="0"/>
        <w:snapToGrid w:val="0"/>
        <w:spacing w:line="360" w:lineRule="auto"/>
        <w:jc w:val="both"/>
        <w:rPr>
          <w:rFonts w:ascii="Book Antiqua" w:hAnsi="Book Antiqua"/>
        </w:rPr>
      </w:pPr>
    </w:p>
    <w:p w14:paraId="4DAFDCF7"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i/>
          <w:color w:val="000000"/>
        </w:rPr>
        <w:t>Physical examination</w:t>
      </w:r>
    </w:p>
    <w:p w14:paraId="6EBCC0BA"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Normal.</w:t>
      </w:r>
    </w:p>
    <w:p w14:paraId="5A3A86F8" w14:textId="77777777" w:rsidR="00A77B3E" w:rsidRPr="00FB188E" w:rsidRDefault="00A77B3E" w:rsidP="00FB188E">
      <w:pPr>
        <w:adjustRightInd w:val="0"/>
        <w:snapToGrid w:val="0"/>
        <w:spacing w:line="360" w:lineRule="auto"/>
        <w:jc w:val="both"/>
        <w:rPr>
          <w:rFonts w:ascii="Book Antiqua" w:hAnsi="Book Antiqua"/>
        </w:rPr>
      </w:pPr>
    </w:p>
    <w:p w14:paraId="1258CB69"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i/>
          <w:color w:val="000000"/>
        </w:rPr>
        <w:t>Laboratory examinations</w:t>
      </w:r>
    </w:p>
    <w:p w14:paraId="52F0E63C" w14:textId="4E58522A" w:rsidR="003B6A13"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RNA sequence-based precise therapy was also considered. RNA sequencing was conducted on recurrent tumor tissue from a needle core biopsy in April 2016 to identify the gene mutation(s). Sequencing revealed that APC mutations are the major driver mutations. Stop</w:t>
      </w:r>
      <w:r w:rsidR="00611D84">
        <w:rPr>
          <w:rFonts w:ascii="Book Antiqua" w:eastAsia="Book Antiqua" w:hAnsi="Book Antiqua" w:cs="Book Antiqua"/>
          <w:color w:val="000000"/>
        </w:rPr>
        <w:t>-</w:t>
      </w:r>
      <w:r w:rsidRPr="00FB188E">
        <w:rPr>
          <w:rFonts w:ascii="Book Antiqua" w:eastAsia="Book Antiqua" w:hAnsi="Book Antiqua" w:cs="Book Antiqua"/>
          <w:color w:val="000000"/>
        </w:rPr>
        <w:t xml:space="preserve">gain c.3676A&gt;T and c.4402A&gt;T APC mutations were the most prevalent (42.2% and 35.1%, respectively). ABL1 missense mutations, </w:t>
      </w:r>
      <w:r w:rsidRPr="00FB188E">
        <w:rPr>
          <w:rFonts w:ascii="Book Antiqua" w:eastAsia="Book Antiqua" w:hAnsi="Book Antiqua" w:cs="Book Antiqua"/>
          <w:i/>
          <w:iCs/>
          <w:color w:val="000000"/>
        </w:rPr>
        <w:t>TP53</w:t>
      </w:r>
      <w:r w:rsidRPr="00FB188E">
        <w:rPr>
          <w:rFonts w:ascii="Book Antiqua" w:eastAsia="Book Antiqua" w:hAnsi="Book Antiqua" w:cs="Book Antiqua"/>
          <w:color w:val="000000"/>
        </w:rPr>
        <w:t xml:space="preserve"> stop</w:t>
      </w:r>
      <w:r w:rsidR="00611D84">
        <w:rPr>
          <w:rFonts w:ascii="Book Antiqua" w:eastAsia="Book Antiqua" w:hAnsi="Book Antiqua" w:cs="Book Antiqua"/>
          <w:color w:val="000000"/>
        </w:rPr>
        <w:t>-</w:t>
      </w:r>
      <w:r w:rsidRPr="00FB188E">
        <w:rPr>
          <w:rFonts w:ascii="Book Antiqua" w:eastAsia="Book Antiqua" w:hAnsi="Book Antiqua" w:cs="Book Antiqua"/>
          <w:color w:val="000000"/>
        </w:rPr>
        <w:t xml:space="preserve">gain, and </w:t>
      </w:r>
      <w:r w:rsidRPr="00FB188E">
        <w:rPr>
          <w:rFonts w:ascii="Book Antiqua" w:eastAsia="Book Antiqua" w:hAnsi="Book Antiqua" w:cs="Book Antiqua"/>
          <w:i/>
          <w:iCs/>
          <w:color w:val="000000"/>
        </w:rPr>
        <w:t>TNFAIP3</w:t>
      </w:r>
      <w:r w:rsidRPr="00FB188E">
        <w:rPr>
          <w:rFonts w:ascii="Book Antiqua" w:eastAsia="Book Antiqua" w:hAnsi="Book Antiqua" w:cs="Book Antiqua"/>
          <w:color w:val="000000"/>
        </w:rPr>
        <w:t xml:space="preserve"> missense mutations were less frequent (Table 1). </w:t>
      </w:r>
    </w:p>
    <w:p w14:paraId="1AAB575B" w14:textId="6CA59F02" w:rsidR="00A77B3E" w:rsidRPr="00FB188E" w:rsidRDefault="00922338" w:rsidP="00FB188E">
      <w:pPr>
        <w:adjustRightInd w:val="0"/>
        <w:snapToGrid w:val="0"/>
        <w:spacing w:line="360" w:lineRule="auto"/>
        <w:ind w:firstLineChars="100" w:firstLine="240"/>
        <w:jc w:val="both"/>
        <w:rPr>
          <w:rFonts w:ascii="Book Antiqua" w:hAnsi="Book Antiqua"/>
        </w:rPr>
      </w:pPr>
      <w:r w:rsidRPr="00FB188E">
        <w:rPr>
          <w:rFonts w:ascii="Book Antiqua" w:eastAsia="Book Antiqua" w:hAnsi="Book Antiqua" w:cs="Book Antiqua"/>
          <w:color w:val="000000"/>
        </w:rPr>
        <w:t xml:space="preserve">The amino acid sequences of APC mutations indicated a strongly truncated APC protein (Supplementary data). </w:t>
      </w:r>
      <w:proofErr w:type="spellStart"/>
      <w:r w:rsidRPr="00FB188E">
        <w:rPr>
          <w:rFonts w:ascii="Book Antiqua" w:eastAsia="Book Antiqua" w:hAnsi="Book Antiqua" w:cs="Book Antiqua"/>
          <w:color w:val="000000"/>
        </w:rPr>
        <w:t>MutationMapper</w:t>
      </w:r>
      <w:proofErr w:type="spellEnd"/>
      <w:r w:rsidRPr="00FB188E">
        <w:rPr>
          <w:rFonts w:ascii="Book Antiqua" w:eastAsia="Book Antiqua" w:hAnsi="Book Antiqua" w:cs="Book Antiqua"/>
          <w:color w:val="000000"/>
        </w:rPr>
        <w:t xml:space="preserve"> analysis indicated that the functional domain of APC was lost in both mutants in HCC tissue (Figure </w:t>
      </w:r>
      <w:r w:rsidR="005B064C" w:rsidRPr="00FB188E">
        <w:rPr>
          <w:rFonts w:ascii="Book Antiqua" w:eastAsia="Book Antiqua" w:hAnsi="Book Antiqua" w:cs="Book Antiqua"/>
          <w:color w:val="000000"/>
        </w:rPr>
        <w:t>1</w:t>
      </w:r>
      <w:r w:rsidRPr="00FB188E">
        <w:rPr>
          <w:rFonts w:ascii="Book Antiqua" w:eastAsia="Book Antiqua" w:hAnsi="Book Antiqua" w:cs="Book Antiqua"/>
          <w:color w:val="000000"/>
        </w:rPr>
        <w:t xml:space="preserve">B). </w:t>
      </w:r>
    </w:p>
    <w:p w14:paraId="3A42F249" w14:textId="77777777" w:rsidR="00A77B3E" w:rsidRPr="00FB188E" w:rsidRDefault="00A77B3E" w:rsidP="00FB188E">
      <w:pPr>
        <w:adjustRightInd w:val="0"/>
        <w:snapToGrid w:val="0"/>
        <w:spacing w:line="360" w:lineRule="auto"/>
        <w:ind w:firstLine="480"/>
        <w:jc w:val="both"/>
        <w:rPr>
          <w:rFonts w:ascii="Book Antiqua" w:hAnsi="Book Antiqua"/>
        </w:rPr>
      </w:pPr>
    </w:p>
    <w:p w14:paraId="3555A526"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i/>
          <w:color w:val="000000"/>
        </w:rPr>
        <w:lastRenderedPageBreak/>
        <w:t>Imaging examinations</w:t>
      </w:r>
    </w:p>
    <w:p w14:paraId="31AD7959" w14:textId="412B6942" w:rsidR="00A77B3E" w:rsidRPr="00FB188E" w:rsidRDefault="00922338" w:rsidP="00FB188E">
      <w:pPr>
        <w:adjustRightInd w:val="0"/>
        <w:snapToGrid w:val="0"/>
        <w:spacing w:line="360" w:lineRule="auto"/>
        <w:jc w:val="both"/>
        <w:rPr>
          <w:rFonts w:ascii="Book Antiqua" w:eastAsia="Book Antiqua" w:hAnsi="Book Antiqua" w:cs="Book Antiqua"/>
          <w:color w:val="000000"/>
        </w:rPr>
      </w:pPr>
      <w:r w:rsidRPr="00FB188E">
        <w:rPr>
          <w:rFonts w:ascii="Book Antiqua" w:eastAsia="Book Antiqua" w:hAnsi="Book Antiqua" w:cs="Book Antiqua"/>
          <w:color w:val="000000"/>
        </w:rPr>
        <w:t xml:space="preserve">Recurrent HCC </w:t>
      </w:r>
      <w:r w:rsidR="00611D84">
        <w:rPr>
          <w:rFonts w:ascii="Book Antiqua" w:eastAsia="Book Antiqua" w:hAnsi="Book Antiqua" w:cs="Book Antiqua"/>
          <w:color w:val="000000"/>
        </w:rPr>
        <w:t xml:space="preserve">was revealed </w:t>
      </w:r>
      <w:r w:rsidRPr="00FB188E">
        <w:rPr>
          <w:rFonts w:ascii="Book Antiqua" w:eastAsia="Book Antiqua" w:hAnsi="Book Antiqua" w:cs="Book Antiqua"/>
          <w:color w:val="000000"/>
        </w:rPr>
        <w:t xml:space="preserve">by </w:t>
      </w:r>
      <w:r w:rsidR="00611D84">
        <w:rPr>
          <w:rFonts w:ascii="Book Antiqua" w:eastAsia="Book Antiqua" w:hAnsi="Book Antiqua" w:cs="Book Antiqua"/>
          <w:color w:val="000000"/>
        </w:rPr>
        <w:t>CT</w:t>
      </w:r>
      <w:r w:rsidRPr="00FB188E">
        <w:rPr>
          <w:rFonts w:ascii="Book Antiqua" w:eastAsia="Book Antiqua" w:hAnsi="Book Antiqua" w:cs="Book Antiqua"/>
          <w:color w:val="000000"/>
        </w:rPr>
        <w:t>.</w:t>
      </w:r>
    </w:p>
    <w:p w14:paraId="488B3573" w14:textId="77777777" w:rsidR="00110042" w:rsidRPr="00FB188E" w:rsidRDefault="00110042" w:rsidP="00FB188E">
      <w:pPr>
        <w:adjustRightInd w:val="0"/>
        <w:snapToGrid w:val="0"/>
        <w:spacing w:line="360" w:lineRule="auto"/>
        <w:jc w:val="both"/>
        <w:rPr>
          <w:rFonts w:ascii="Book Antiqua" w:hAnsi="Book Antiqua"/>
        </w:rPr>
      </w:pPr>
    </w:p>
    <w:p w14:paraId="5DA3E2C7" w14:textId="6754A3F3" w:rsidR="008D4026" w:rsidRPr="00FB188E" w:rsidRDefault="008D4026" w:rsidP="00FB188E">
      <w:pPr>
        <w:adjustRightInd w:val="0"/>
        <w:snapToGrid w:val="0"/>
        <w:spacing w:line="360" w:lineRule="auto"/>
        <w:jc w:val="both"/>
        <w:rPr>
          <w:rFonts w:ascii="Book Antiqua" w:eastAsia="Book Antiqua" w:hAnsi="Book Antiqua" w:cs="Book Antiqua"/>
          <w:b/>
          <w:bCs/>
          <w:i/>
          <w:iCs/>
          <w:color w:val="000000"/>
        </w:rPr>
      </w:pPr>
      <w:r w:rsidRPr="00FB188E">
        <w:rPr>
          <w:rFonts w:ascii="Book Antiqua" w:eastAsia="Book Antiqua" w:hAnsi="Book Antiqua" w:cs="Book Antiqua"/>
          <w:b/>
          <w:bCs/>
          <w:i/>
          <w:iCs/>
          <w:color w:val="000000"/>
        </w:rPr>
        <w:t>Gene mutations screen</w:t>
      </w:r>
    </w:p>
    <w:p w14:paraId="7342195E" w14:textId="11A250A5" w:rsidR="00110042" w:rsidRPr="00FB188E" w:rsidRDefault="00110042"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Gene mutations were screened from HCC tissue samples from four patients and circulating tumor DNA samples from 41 HCC patients at The Third Affiliated Hospital of Sun </w:t>
      </w:r>
      <w:proofErr w:type="spellStart"/>
      <w:r w:rsidRPr="00FB188E">
        <w:rPr>
          <w:rFonts w:ascii="Book Antiqua" w:eastAsia="Book Antiqua" w:hAnsi="Book Antiqua" w:cs="Book Antiqua"/>
          <w:color w:val="000000"/>
        </w:rPr>
        <w:t>Yat-sen</w:t>
      </w:r>
      <w:proofErr w:type="spellEnd"/>
      <w:r w:rsidRPr="00FB188E">
        <w:rPr>
          <w:rFonts w:ascii="Book Antiqua" w:eastAsia="Book Antiqua" w:hAnsi="Book Antiqua" w:cs="Book Antiqua"/>
          <w:color w:val="000000"/>
        </w:rPr>
        <w:t xml:space="preserve"> University between February 2016 to January 2018 using the Illumina Hiseq2000 platform. Their gene mutation profiles were compared with those of the global HCC population from the </w:t>
      </w:r>
      <w:r w:rsidRPr="00FB188E">
        <w:rPr>
          <w:rFonts w:ascii="Book Antiqua" w:eastAsia="Book Antiqua" w:hAnsi="Book Antiqua" w:cs="Book Antiqua"/>
          <w:color w:val="000000"/>
          <w:u w:color="0000EE"/>
        </w:rPr>
        <w:t>Catalog of Somatic Mutations in Cancer</w:t>
      </w:r>
      <w:r w:rsidRPr="00FB188E">
        <w:rPr>
          <w:rFonts w:ascii="Book Antiqua" w:eastAsia="Book Antiqua" w:hAnsi="Book Antiqua" w:cs="Book Antiqua"/>
          <w:color w:val="000000"/>
        </w:rPr>
        <w:t xml:space="preserve"> (COSMIC) database. For patients with APC mutations, the amino acid sequences of APC mutations were evaluated using </w:t>
      </w:r>
      <w:r w:rsidR="00611D84">
        <w:rPr>
          <w:rFonts w:ascii="Book Antiqua" w:eastAsia="Book Antiqua" w:hAnsi="Book Antiqua" w:cs="Book Antiqua"/>
          <w:color w:val="000000"/>
        </w:rPr>
        <w:t xml:space="preserve">the </w:t>
      </w:r>
      <w:r w:rsidRPr="00FB188E">
        <w:rPr>
          <w:rFonts w:ascii="Book Antiqua" w:eastAsia="Book Antiqua" w:hAnsi="Book Antiqua" w:cs="Book Antiqua"/>
          <w:color w:val="000000"/>
        </w:rPr>
        <w:t xml:space="preserve">Mutation Taster (http:// www.mutationtaster.org/) program. Using amino acid sequences generated by Mutation Taster, </w:t>
      </w:r>
      <w:proofErr w:type="spellStart"/>
      <w:proofErr w:type="gramStart"/>
      <w:r w:rsidRPr="00FB188E">
        <w:rPr>
          <w:rFonts w:ascii="Book Antiqua" w:eastAsia="Book Antiqua" w:hAnsi="Book Antiqua" w:cs="Book Antiqua"/>
          <w:color w:val="000000"/>
        </w:rPr>
        <w:t>MutationMapper</w:t>
      </w:r>
      <w:proofErr w:type="spellEnd"/>
      <w:r w:rsidRPr="00FB188E">
        <w:rPr>
          <w:rFonts w:ascii="Book Antiqua" w:eastAsia="Book Antiqua" w:hAnsi="Book Antiqua" w:cs="Book Antiqua"/>
          <w:color w:val="000000"/>
          <w:vertAlign w:val="superscript"/>
        </w:rPr>
        <w:t>[</w:t>
      </w:r>
      <w:proofErr w:type="gramEnd"/>
      <w:r w:rsidRPr="00FB188E">
        <w:rPr>
          <w:rFonts w:ascii="Book Antiqua" w:eastAsia="Book Antiqua" w:hAnsi="Book Antiqua" w:cs="Book Antiqua"/>
          <w:color w:val="000000"/>
          <w:vertAlign w:val="superscript"/>
        </w:rPr>
        <w:t>3]</w:t>
      </w:r>
      <w:r w:rsidRPr="00FB188E">
        <w:rPr>
          <w:rFonts w:ascii="Book Antiqua" w:eastAsia="Book Antiqua" w:hAnsi="Book Antiqua" w:cs="Book Antiqua"/>
          <w:color w:val="000000"/>
        </w:rPr>
        <w:t xml:space="preserve"> was used to analyze the functional defects of the APC mutants. </w:t>
      </w:r>
    </w:p>
    <w:p w14:paraId="02393B4A" w14:textId="77777777" w:rsidR="00110042" w:rsidRPr="00FB188E" w:rsidRDefault="00110042" w:rsidP="00FB188E">
      <w:pPr>
        <w:adjustRightInd w:val="0"/>
        <w:snapToGrid w:val="0"/>
        <w:spacing w:line="360" w:lineRule="auto"/>
        <w:jc w:val="both"/>
        <w:rPr>
          <w:rFonts w:ascii="Book Antiqua" w:eastAsia="Book Antiqua" w:hAnsi="Book Antiqua" w:cs="Book Antiqua"/>
          <w:b/>
          <w:bCs/>
          <w:color w:val="000000"/>
        </w:rPr>
      </w:pPr>
    </w:p>
    <w:p w14:paraId="49D43278" w14:textId="5CAD5F98" w:rsidR="00110042" w:rsidRPr="00FB188E" w:rsidRDefault="00110042" w:rsidP="00FB188E">
      <w:pPr>
        <w:adjustRightInd w:val="0"/>
        <w:snapToGrid w:val="0"/>
        <w:spacing w:line="360" w:lineRule="auto"/>
        <w:jc w:val="both"/>
        <w:rPr>
          <w:rFonts w:ascii="Book Antiqua" w:hAnsi="Book Antiqua"/>
          <w:i/>
          <w:iCs/>
        </w:rPr>
      </w:pPr>
      <w:r w:rsidRPr="00FB188E">
        <w:rPr>
          <w:rFonts w:ascii="Book Antiqua" w:eastAsia="Book Antiqua" w:hAnsi="Book Antiqua" w:cs="Book Antiqua"/>
          <w:b/>
          <w:bCs/>
          <w:i/>
          <w:iCs/>
          <w:color w:val="000000"/>
        </w:rPr>
        <w:t>HCC gene mutation profile of hepatitis B-related HCC</w:t>
      </w:r>
    </w:p>
    <w:p w14:paraId="1BD7BE09" w14:textId="3971D5B4" w:rsidR="00A11D90" w:rsidRDefault="00110042" w:rsidP="00A11D90">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The gene mutation profile of Chinese patients with HCC was different </w:t>
      </w:r>
      <w:r w:rsidR="00611D84">
        <w:rPr>
          <w:rFonts w:ascii="Book Antiqua" w:eastAsia="Book Antiqua" w:hAnsi="Book Antiqua" w:cs="Book Antiqua"/>
          <w:color w:val="000000"/>
        </w:rPr>
        <w:t xml:space="preserve">to </w:t>
      </w:r>
      <w:r w:rsidRPr="00FB188E">
        <w:rPr>
          <w:rFonts w:ascii="Book Antiqua" w:eastAsia="Book Antiqua" w:hAnsi="Book Antiqua" w:cs="Book Antiqua"/>
          <w:color w:val="000000"/>
        </w:rPr>
        <w:t>that of the global HCC population from the COSMIC database. According to our RNA sequence analysis of tumor tissues (</w:t>
      </w:r>
      <w:r w:rsidRPr="00FB188E">
        <w:rPr>
          <w:rFonts w:ascii="Book Antiqua" w:eastAsia="Book Antiqua" w:hAnsi="Book Antiqua" w:cs="Book Antiqua"/>
          <w:i/>
          <w:iCs/>
          <w:color w:val="000000"/>
        </w:rPr>
        <w:t>n</w:t>
      </w:r>
      <w:r w:rsidRPr="00FB188E">
        <w:rPr>
          <w:rFonts w:ascii="Book Antiqua" w:eastAsia="Book Antiqua" w:hAnsi="Book Antiqua" w:cs="Book Antiqua"/>
          <w:color w:val="000000"/>
        </w:rPr>
        <w:t xml:space="preserve"> = 4) and circulating tumor DNA samples (</w:t>
      </w:r>
      <w:r w:rsidRPr="00FB188E">
        <w:rPr>
          <w:rFonts w:ascii="Book Antiqua" w:eastAsia="Book Antiqua" w:hAnsi="Book Antiqua" w:cs="Book Antiqua"/>
          <w:i/>
          <w:iCs/>
          <w:color w:val="000000"/>
        </w:rPr>
        <w:t>n</w:t>
      </w:r>
      <w:r w:rsidRPr="00FB188E">
        <w:rPr>
          <w:rFonts w:ascii="Book Antiqua" w:eastAsia="Book Antiqua" w:hAnsi="Book Antiqua" w:cs="Book Antiqua"/>
          <w:color w:val="000000"/>
        </w:rPr>
        <w:t xml:space="preserve"> = 41) from hepatitis B-related HCC patients, the most prevalent mutated genes were </w:t>
      </w:r>
      <w:r w:rsidRPr="00FB188E">
        <w:rPr>
          <w:rFonts w:ascii="Book Antiqua" w:eastAsia="Book Antiqua" w:hAnsi="Book Antiqua" w:cs="Book Antiqua"/>
          <w:i/>
          <w:iCs/>
          <w:color w:val="000000"/>
        </w:rPr>
        <w:t>TP53, APOB, KMT2D, LRP1B, EGFR, ATM, CHD7, CTNNB1, ARID1A, TSC2, FAT4, HNF1A, PTPRB,</w:t>
      </w:r>
      <w:r w:rsidRPr="00FB188E">
        <w:rPr>
          <w:rFonts w:ascii="Book Antiqua" w:eastAsia="Book Antiqua" w:hAnsi="Book Antiqua" w:cs="Book Antiqua"/>
          <w:color w:val="000000"/>
        </w:rPr>
        <w:t xml:space="preserve"> and </w:t>
      </w:r>
      <w:r w:rsidRPr="00FB188E">
        <w:rPr>
          <w:rFonts w:ascii="Book Antiqua" w:eastAsia="Book Antiqua" w:hAnsi="Book Antiqua" w:cs="Book Antiqua"/>
          <w:i/>
          <w:iCs/>
          <w:color w:val="000000"/>
        </w:rPr>
        <w:t>APC</w:t>
      </w:r>
      <w:r w:rsidRPr="00FB188E">
        <w:rPr>
          <w:rFonts w:ascii="Book Antiqua" w:eastAsia="Book Antiqua" w:hAnsi="Book Antiqua" w:cs="Book Antiqua"/>
          <w:color w:val="000000"/>
        </w:rPr>
        <w:t xml:space="preserve"> (Figure </w:t>
      </w:r>
      <w:r w:rsidR="005B064C" w:rsidRPr="00FB188E">
        <w:rPr>
          <w:rFonts w:ascii="Book Antiqua" w:eastAsia="Book Antiqua" w:hAnsi="Book Antiqua" w:cs="Book Antiqua"/>
          <w:color w:val="000000"/>
        </w:rPr>
        <w:t>2</w:t>
      </w:r>
      <w:r w:rsidRPr="00FB188E">
        <w:rPr>
          <w:rFonts w:ascii="Book Antiqua" w:eastAsia="Book Antiqua" w:hAnsi="Book Antiqua" w:cs="Book Antiqua"/>
          <w:color w:val="000000"/>
        </w:rPr>
        <w:t xml:space="preserve">A). This profile differed from the COSMIC global data (Figure </w:t>
      </w:r>
      <w:r w:rsidR="005B064C" w:rsidRPr="00FB188E">
        <w:rPr>
          <w:rFonts w:ascii="Book Antiqua" w:eastAsia="Book Antiqua" w:hAnsi="Book Antiqua" w:cs="Book Antiqua"/>
          <w:color w:val="000000"/>
        </w:rPr>
        <w:t>2</w:t>
      </w:r>
      <w:r w:rsidRPr="00FB188E">
        <w:rPr>
          <w:rFonts w:ascii="Book Antiqua" w:eastAsia="Book Antiqua" w:hAnsi="Book Antiqua" w:cs="Book Antiqua"/>
          <w:color w:val="000000"/>
        </w:rPr>
        <w:t xml:space="preserve">B). Among the top 20 most frequent mutation genes, </w:t>
      </w:r>
      <w:r w:rsidRPr="00FB188E">
        <w:rPr>
          <w:rFonts w:ascii="Book Antiqua" w:eastAsia="Book Antiqua" w:hAnsi="Book Antiqua" w:cs="Book Antiqua"/>
          <w:i/>
          <w:iCs/>
          <w:color w:val="000000"/>
        </w:rPr>
        <w:t>APOB, EGFR, ATM, CHD7, PTPRB, APC,</w:t>
      </w:r>
      <w:r w:rsidRPr="00FB188E">
        <w:rPr>
          <w:rFonts w:ascii="Book Antiqua" w:eastAsia="Book Antiqua" w:hAnsi="Book Antiqua" w:cs="Book Antiqua"/>
          <w:color w:val="000000"/>
        </w:rPr>
        <w:t xml:space="preserve"> and </w:t>
      </w:r>
      <w:r w:rsidRPr="00FB188E">
        <w:rPr>
          <w:rFonts w:ascii="Book Antiqua" w:eastAsia="Book Antiqua" w:hAnsi="Book Antiqua" w:cs="Book Antiqua"/>
          <w:i/>
          <w:iCs/>
          <w:color w:val="000000"/>
        </w:rPr>
        <w:t>GNAS</w:t>
      </w:r>
      <w:r w:rsidRPr="00FB188E">
        <w:rPr>
          <w:rFonts w:ascii="Book Antiqua" w:eastAsia="Book Antiqua" w:hAnsi="Book Antiqua" w:cs="Book Antiqua"/>
          <w:color w:val="000000"/>
        </w:rPr>
        <w:t xml:space="preserve"> mutations were much more frequent among Chinese patients with HCC. Thus, these mutations may be potential targets for precise therapy.</w:t>
      </w:r>
    </w:p>
    <w:p w14:paraId="3ED2C9E7" w14:textId="74452635" w:rsidR="00A77B3E" w:rsidRPr="00FB188E" w:rsidRDefault="00922338" w:rsidP="00A11D90">
      <w:pPr>
        <w:adjustRightInd w:val="0"/>
        <w:snapToGrid w:val="0"/>
        <w:spacing w:line="360" w:lineRule="auto"/>
        <w:ind w:firstLineChars="100" w:firstLine="240"/>
        <w:jc w:val="both"/>
        <w:rPr>
          <w:rFonts w:ascii="Book Antiqua" w:hAnsi="Book Antiqua"/>
        </w:rPr>
      </w:pPr>
      <w:r w:rsidRPr="00FB188E">
        <w:rPr>
          <w:rFonts w:ascii="Book Antiqua" w:eastAsia="Book Antiqua" w:hAnsi="Book Antiqua" w:cs="Book Antiqua"/>
          <w:color w:val="000000"/>
        </w:rPr>
        <w:t xml:space="preserve">APC is a major suppressive regulator of the </w:t>
      </w:r>
      <w:proofErr w:type="spellStart"/>
      <w:r w:rsidRPr="00FB188E">
        <w:rPr>
          <w:rFonts w:ascii="Book Antiqua" w:eastAsia="Book Antiqua" w:hAnsi="Book Antiqua" w:cs="Book Antiqua"/>
          <w:color w:val="000000"/>
        </w:rPr>
        <w:t>Wnt</w:t>
      </w:r>
      <w:proofErr w:type="spellEnd"/>
      <w:r w:rsidRPr="00FB188E">
        <w:rPr>
          <w:rFonts w:ascii="Book Antiqua" w:eastAsia="Book Antiqua" w:hAnsi="Book Antiqua" w:cs="Book Antiqua"/>
          <w:color w:val="000000"/>
        </w:rPr>
        <w:t xml:space="preserve"> </w:t>
      </w:r>
      <w:proofErr w:type="gramStart"/>
      <w:r w:rsidRPr="00FB188E">
        <w:rPr>
          <w:rFonts w:ascii="Book Antiqua" w:eastAsia="Book Antiqua" w:hAnsi="Book Antiqua" w:cs="Book Antiqua"/>
          <w:color w:val="000000"/>
        </w:rPr>
        <w:t>pathway</w:t>
      </w:r>
      <w:r w:rsidRPr="00FB188E">
        <w:rPr>
          <w:rFonts w:ascii="Book Antiqua" w:eastAsia="Book Antiqua" w:hAnsi="Book Antiqua" w:cs="Book Antiqua"/>
          <w:color w:val="000000"/>
          <w:vertAlign w:val="superscript"/>
        </w:rPr>
        <w:t>[</w:t>
      </w:r>
      <w:proofErr w:type="gramEnd"/>
      <w:r w:rsidRPr="00FB188E">
        <w:rPr>
          <w:rFonts w:ascii="Book Antiqua" w:eastAsia="Book Antiqua" w:hAnsi="Book Antiqua" w:cs="Book Antiqua"/>
          <w:color w:val="000000"/>
          <w:vertAlign w:val="superscript"/>
        </w:rPr>
        <w:t>4]</w:t>
      </w:r>
      <w:r w:rsidRPr="00FB188E">
        <w:rPr>
          <w:rFonts w:ascii="Book Antiqua" w:eastAsia="Book Antiqua" w:hAnsi="Book Antiqua" w:cs="Book Antiqua"/>
          <w:color w:val="000000"/>
        </w:rPr>
        <w:t xml:space="preserve">. In this pathway, APC and </w:t>
      </w:r>
      <w:r w:rsidRPr="00FB188E">
        <w:rPr>
          <w:rStyle w:val="st"/>
          <w:rFonts w:ascii="Book Antiqua" w:eastAsia="Book Antiqua" w:hAnsi="Book Antiqua" w:cs="Book Antiqua"/>
          <w:color w:val="000000"/>
        </w:rPr>
        <w:t>glycogen synthase kinase 3 beta</w:t>
      </w:r>
      <w:r w:rsidRPr="00FB188E">
        <w:rPr>
          <w:rFonts w:ascii="Book Antiqua" w:eastAsia="Book Antiqua" w:hAnsi="Book Antiqua" w:cs="Book Antiqua"/>
          <w:color w:val="000000"/>
        </w:rPr>
        <w:t xml:space="preserve"> (GSK3β) combined with </w:t>
      </w:r>
      <w:proofErr w:type="spellStart"/>
      <w:r w:rsidRPr="00FB188E">
        <w:rPr>
          <w:rFonts w:ascii="Book Antiqua" w:eastAsia="Book Antiqua" w:hAnsi="Book Antiqua" w:cs="Book Antiqua"/>
          <w:color w:val="000000"/>
        </w:rPr>
        <w:t>Wnt</w:t>
      </w:r>
      <w:proofErr w:type="spellEnd"/>
      <w:r w:rsidRPr="00FB188E">
        <w:rPr>
          <w:rFonts w:ascii="Book Antiqua" w:eastAsia="Book Antiqua" w:hAnsi="Book Antiqua" w:cs="Book Antiqua"/>
          <w:color w:val="000000"/>
        </w:rPr>
        <w:t xml:space="preserve"> pathway key regulator β-catenin induces β-catenin phosphorylation and degradation to avoid </w:t>
      </w:r>
      <w:proofErr w:type="spellStart"/>
      <w:r w:rsidRPr="00FB188E">
        <w:rPr>
          <w:rFonts w:ascii="Book Antiqua" w:eastAsia="Book Antiqua" w:hAnsi="Book Antiqua" w:cs="Book Antiqua"/>
          <w:color w:val="000000"/>
        </w:rPr>
        <w:t>Wnt</w:t>
      </w:r>
      <w:proofErr w:type="spellEnd"/>
      <w:r w:rsidRPr="00FB188E">
        <w:rPr>
          <w:rFonts w:ascii="Book Antiqua" w:eastAsia="Book Antiqua" w:hAnsi="Book Antiqua" w:cs="Book Antiqua"/>
          <w:color w:val="000000"/>
        </w:rPr>
        <w:t xml:space="preserve"> pathway over-activation. The </w:t>
      </w:r>
      <w:proofErr w:type="spellStart"/>
      <w:r w:rsidRPr="00FB188E">
        <w:rPr>
          <w:rFonts w:ascii="Book Antiqua" w:eastAsia="Book Antiqua" w:hAnsi="Book Antiqua" w:cs="Book Antiqua"/>
          <w:color w:val="000000"/>
        </w:rPr>
        <w:t>Wnt</w:t>
      </w:r>
      <w:proofErr w:type="spellEnd"/>
      <w:r w:rsidRPr="00FB188E">
        <w:rPr>
          <w:rFonts w:ascii="Book Antiqua" w:eastAsia="Book Antiqua" w:hAnsi="Book Antiqua" w:cs="Book Antiqua"/>
          <w:color w:val="000000"/>
        </w:rPr>
        <w:t xml:space="preserve"> pathway can be activated by multiple causes in HCC, including mutations in Axin1, Axin2, and β-</w:t>
      </w:r>
      <w:proofErr w:type="gramStart"/>
      <w:r w:rsidRPr="00FB188E">
        <w:rPr>
          <w:rFonts w:ascii="Book Antiqua" w:eastAsia="Book Antiqua" w:hAnsi="Book Antiqua" w:cs="Book Antiqua"/>
          <w:color w:val="000000"/>
        </w:rPr>
        <w:t>catenin</w:t>
      </w:r>
      <w:r w:rsidRPr="00FB188E">
        <w:rPr>
          <w:rFonts w:ascii="Book Antiqua" w:eastAsia="Book Antiqua" w:hAnsi="Book Antiqua" w:cs="Book Antiqua"/>
          <w:color w:val="000000"/>
          <w:vertAlign w:val="superscript"/>
        </w:rPr>
        <w:t>[</w:t>
      </w:r>
      <w:proofErr w:type="gramEnd"/>
      <w:r w:rsidRPr="00FB188E">
        <w:rPr>
          <w:rFonts w:ascii="Book Antiqua" w:eastAsia="Book Antiqua" w:hAnsi="Book Antiqua" w:cs="Book Antiqua"/>
          <w:color w:val="000000"/>
          <w:vertAlign w:val="superscript"/>
        </w:rPr>
        <w:t>5]</w:t>
      </w:r>
      <w:r w:rsidRPr="00FB188E">
        <w:rPr>
          <w:rFonts w:ascii="Book Antiqua" w:eastAsia="Book Antiqua" w:hAnsi="Book Antiqua" w:cs="Book Antiqua"/>
          <w:color w:val="000000"/>
        </w:rPr>
        <w:t xml:space="preserve">. However, mutations in APC and </w:t>
      </w:r>
      <w:r w:rsidRPr="00FB188E">
        <w:rPr>
          <w:rFonts w:ascii="Book Antiqua" w:eastAsia="Book Antiqua" w:hAnsi="Book Antiqua" w:cs="Book Antiqua"/>
          <w:color w:val="000000"/>
        </w:rPr>
        <w:lastRenderedPageBreak/>
        <w:t xml:space="preserve">GSK3β are </w:t>
      </w:r>
      <w:proofErr w:type="gramStart"/>
      <w:r w:rsidRPr="00FB188E">
        <w:rPr>
          <w:rFonts w:ascii="Book Antiqua" w:eastAsia="Book Antiqua" w:hAnsi="Book Antiqua" w:cs="Book Antiqua"/>
          <w:color w:val="000000"/>
        </w:rPr>
        <w:t>rare</w:t>
      </w:r>
      <w:r w:rsidRPr="00FB188E">
        <w:rPr>
          <w:rFonts w:ascii="Book Antiqua" w:eastAsia="Book Antiqua" w:hAnsi="Book Antiqua" w:cs="Book Antiqua"/>
          <w:color w:val="000000"/>
          <w:vertAlign w:val="superscript"/>
        </w:rPr>
        <w:t>[</w:t>
      </w:r>
      <w:proofErr w:type="gramEnd"/>
      <w:r w:rsidRPr="00FB188E">
        <w:rPr>
          <w:rFonts w:ascii="Book Antiqua" w:eastAsia="Book Antiqua" w:hAnsi="Book Antiqua" w:cs="Book Antiqua"/>
          <w:color w:val="000000"/>
          <w:vertAlign w:val="superscript"/>
        </w:rPr>
        <w:t>6]</w:t>
      </w:r>
      <w:r w:rsidRPr="00FB188E">
        <w:rPr>
          <w:rFonts w:ascii="Book Antiqua" w:eastAsia="Book Antiqua" w:hAnsi="Book Antiqua" w:cs="Book Antiqua"/>
          <w:color w:val="000000"/>
        </w:rPr>
        <w:t xml:space="preserve">. In the present study, APC was the only mutated gene in the </w:t>
      </w:r>
      <w:proofErr w:type="spellStart"/>
      <w:r w:rsidRPr="00FB188E">
        <w:rPr>
          <w:rFonts w:ascii="Book Antiqua" w:eastAsia="Book Antiqua" w:hAnsi="Book Antiqua" w:cs="Book Antiqua"/>
          <w:color w:val="000000"/>
        </w:rPr>
        <w:t>Wnt</w:t>
      </w:r>
      <w:proofErr w:type="spellEnd"/>
      <w:r w:rsidRPr="00FB188E">
        <w:rPr>
          <w:rFonts w:ascii="Book Antiqua" w:eastAsia="Book Antiqua" w:hAnsi="Book Antiqua" w:cs="Book Antiqua"/>
          <w:color w:val="000000"/>
        </w:rPr>
        <w:t xml:space="preserve"> pathway, which was presumed to be the exclusive cause of </w:t>
      </w:r>
      <w:proofErr w:type="spellStart"/>
      <w:r w:rsidRPr="00FB188E">
        <w:rPr>
          <w:rFonts w:ascii="Book Antiqua" w:eastAsia="Book Antiqua" w:hAnsi="Book Antiqua" w:cs="Book Antiqua"/>
          <w:color w:val="000000"/>
        </w:rPr>
        <w:t>Wnt</w:t>
      </w:r>
      <w:proofErr w:type="spellEnd"/>
      <w:r w:rsidRPr="00FB188E">
        <w:rPr>
          <w:rFonts w:ascii="Book Antiqua" w:eastAsia="Book Antiqua" w:hAnsi="Book Antiqua" w:cs="Book Antiqua"/>
          <w:color w:val="000000"/>
        </w:rPr>
        <w:t xml:space="preserve"> pathway over-activation. Due to the potentially normal function of other elements of the </w:t>
      </w:r>
      <w:proofErr w:type="spellStart"/>
      <w:r w:rsidRPr="00FB188E">
        <w:rPr>
          <w:rFonts w:ascii="Book Antiqua" w:eastAsia="Book Antiqua" w:hAnsi="Book Antiqua" w:cs="Book Antiqua"/>
          <w:color w:val="000000"/>
        </w:rPr>
        <w:t>Wnt</w:t>
      </w:r>
      <w:proofErr w:type="spellEnd"/>
      <w:r w:rsidRPr="00FB188E">
        <w:rPr>
          <w:rFonts w:ascii="Book Antiqua" w:eastAsia="Book Antiqua" w:hAnsi="Book Antiqua" w:cs="Book Antiqua"/>
          <w:color w:val="000000"/>
        </w:rPr>
        <w:t xml:space="preserve"> pathway, decreased β-catenin phosphorylation was the only trigger for this pathway. Thus, acceleration of β-catenin phosphorylation might abrogate the </w:t>
      </w:r>
      <w:proofErr w:type="spellStart"/>
      <w:r w:rsidRPr="00FB188E">
        <w:rPr>
          <w:rFonts w:ascii="Book Antiqua" w:eastAsia="Book Antiqua" w:hAnsi="Book Antiqua" w:cs="Book Antiqua"/>
          <w:color w:val="000000"/>
        </w:rPr>
        <w:t>Wnt</w:t>
      </w:r>
      <w:proofErr w:type="spellEnd"/>
      <w:r w:rsidRPr="00FB188E">
        <w:rPr>
          <w:rFonts w:ascii="Book Antiqua" w:eastAsia="Book Antiqua" w:hAnsi="Book Antiqua" w:cs="Book Antiqua"/>
          <w:color w:val="000000"/>
        </w:rPr>
        <w:t xml:space="preserve"> pathway, implicating GSK3β as a potential target. </w:t>
      </w:r>
    </w:p>
    <w:p w14:paraId="3798702B" w14:textId="77777777" w:rsidR="00A77B3E" w:rsidRPr="00FB188E" w:rsidRDefault="00A77B3E" w:rsidP="00FB188E">
      <w:pPr>
        <w:adjustRightInd w:val="0"/>
        <w:snapToGrid w:val="0"/>
        <w:spacing w:line="360" w:lineRule="auto"/>
        <w:ind w:firstLine="480"/>
        <w:jc w:val="both"/>
        <w:rPr>
          <w:rFonts w:ascii="Book Antiqua" w:hAnsi="Book Antiqua"/>
        </w:rPr>
      </w:pPr>
    </w:p>
    <w:p w14:paraId="6E1405DF"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aps/>
          <w:color w:val="000000"/>
          <w:u w:val="single"/>
        </w:rPr>
        <w:t>FINAL DIAGNOSIS</w:t>
      </w:r>
    </w:p>
    <w:p w14:paraId="11323D91" w14:textId="5F20343A"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Recurrent </w:t>
      </w:r>
      <w:r w:rsidR="00611D84">
        <w:rPr>
          <w:rFonts w:ascii="Book Antiqua" w:eastAsia="Book Antiqua" w:hAnsi="Book Antiqua" w:cs="Book Antiqua"/>
          <w:color w:val="000000"/>
        </w:rPr>
        <w:t>HCC</w:t>
      </w:r>
      <w:r w:rsidRPr="00FB188E">
        <w:rPr>
          <w:rFonts w:ascii="Book Antiqua" w:eastAsia="Book Antiqua" w:hAnsi="Book Antiqua" w:cs="Book Antiqua"/>
          <w:color w:val="000000"/>
        </w:rPr>
        <w:t xml:space="preserve"> with APC stop</w:t>
      </w:r>
      <w:r w:rsidR="00611D84">
        <w:rPr>
          <w:rFonts w:ascii="Book Antiqua" w:eastAsia="Book Antiqua" w:hAnsi="Book Antiqua" w:cs="Book Antiqua"/>
          <w:color w:val="000000"/>
        </w:rPr>
        <w:t>-</w:t>
      </w:r>
      <w:r w:rsidRPr="00FB188E">
        <w:rPr>
          <w:rFonts w:ascii="Book Antiqua" w:eastAsia="Book Antiqua" w:hAnsi="Book Antiqua" w:cs="Book Antiqua"/>
          <w:color w:val="000000"/>
        </w:rPr>
        <w:t>gain mutation.</w:t>
      </w:r>
    </w:p>
    <w:p w14:paraId="4F709966" w14:textId="77777777" w:rsidR="00A77B3E" w:rsidRPr="00FB188E" w:rsidRDefault="00A77B3E" w:rsidP="00FB188E">
      <w:pPr>
        <w:adjustRightInd w:val="0"/>
        <w:snapToGrid w:val="0"/>
        <w:spacing w:line="360" w:lineRule="auto"/>
        <w:jc w:val="both"/>
        <w:rPr>
          <w:rFonts w:ascii="Book Antiqua" w:hAnsi="Book Antiqua"/>
        </w:rPr>
      </w:pPr>
    </w:p>
    <w:p w14:paraId="2DB9C0F6"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aps/>
          <w:color w:val="000000"/>
          <w:u w:val="single"/>
        </w:rPr>
        <w:t>TREATMENT</w:t>
      </w:r>
    </w:p>
    <w:p w14:paraId="4A2C6E37" w14:textId="7DEAED62"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Aspirin is reported to be effective in inducing β-catenin phosphorylation by activating GSK3β due to inhibition of </w:t>
      </w:r>
      <w:r w:rsidR="00611D84">
        <w:rPr>
          <w:rFonts w:ascii="Book Antiqua" w:eastAsia="Book Antiqua" w:hAnsi="Book Antiqua" w:cs="Book Antiqua"/>
          <w:color w:val="000000"/>
        </w:rPr>
        <w:t xml:space="preserve">the </w:t>
      </w:r>
      <w:r w:rsidR="009D0A6F" w:rsidRPr="00FB188E">
        <w:rPr>
          <w:rFonts w:ascii="Book Antiqua" w:eastAsia="Book Antiqua" w:hAnsi="Book Antiqua" w:cs="Book Antiqua"/>
          <w:color w:val="000000"/>
        </w:rPr>
        <w:t>cyclooxygenase 2 (</w:t>
      </w:r>
      <w:r w:rsidRPr="00FB188E">
        <w:rPr>
          <w:rFonts w:ascii="Book Antiqua" w:eastAsia="Book Antiqua" w:hAnsi="Book Antiqua" w:cs="Book Antiqua"/>
          <w:color w:val="000000"/>
        </w:rPr>
        <w:t>C</w:t>
      </w:r>
      <w:r w:rsidR="00E60FA5">
        <w:rPr>
          <w:rFonts w:ascii="Book Antiqua" w:eastAsia="Book Antiqua" w:hAnsi="Book Antiqua" w:cs="Book Antiqua"/>
          <w:color w:val="000000"/>
        </w:rPr>
        <w:t>OX</w:t>
      </w:r>
      <w:r w:rsidRPr="00FB188E">
        <w:rPr>
          <w:rFonts w:ascii="Book Antiqua" w:eastAsia="Book Antiqua" w:hAnsi="Book Antiqua" w:cs="Book Antiqua"/>
          <w:color w:val="000000"/>
        </w:rPr>
        <w:t>2</w:t>
      </w:r>
      <w:r w:rsidR="009D0A6F" w:rsidRPr="00FB188E">
        <w:rPr>
          <w:rFonts w:ascii="Book Antiqua" w:eastAsia="Book Antiqua" w:hAnsi="Book Antiqua" w:cs="Book Antiqua"/>
          <w:color w:val="000000"/>
        </w:rPr>
        <w:t>)</w:t>
      </w:r>
      <w:r w:rsidRPr="00FB188E">
        <w:rPr>
          <w:rFonts w:ascii="Book Antiqua" w:eastAsia="Book Antiqua" w:hAnsi="Book Antiqua" w:cs="Book Antiqua"/>
          <w:color w:val="000000"/>
        </w:rPr>
        <w:t xml:space="preserve"> </w:t>
      </w:r>
      <w:proofErr w:type="gramStart"/>
      <w:r w:rsidRPr="00FB188E">
        <w:rPr>
          <w:rFonts w:ascii="Book Antiqua" w:eastAsia="Book Antiqua" w:hAnsi="Book Antiqua" w:cs="Book Antiqua"/>
          <w:color w:val="000000"/>
        </w:rPr>
        <w:t>pathway</w:t>
      </w:r>
      <w:r w:rsidRPr="00FB188E">
        <w:rPr>
          <w:rFonts w:ascii="Book Antiqua" w:eastAsia="Book Antiqua" w:hAnsi="Book Antiqua" w:cs="Book Antiqua"/>
          <w:color w:val="000000"/>
          <w:vertAlign w:val="superscript"/>
        </w:rPr>
        <w:t>[</w:t>
      </w:r>
      <w:proofErr w:type="gramEnd"/>
      <w:r w:rsidRPr="00FB188E">
        <w:rPr>
          <w:rFonts w:ascii="Book Antiqua" w:eastAsia="Book Antiqua" w:hAnsi="Book Antiqua" w:cs="Book Antiqua"/>
          <w:color w:val="000000"/>
          <w:vertAlign w:val="superscript"/>
        </w:rPr>
        <w:t>7]</w:t>
      </w:r>
      <w:r w:rsidRPr="00FB188E">
        <w:rPr>
          <w:rFonts w:ascii="Book Antiqua" w:eastAsia="Book Antiqua" w:hAnsi="Book Antiqua" w:cs="Book Antiqua"/>
          <w:color w:val="000000"/>
        </w:rPr>
        <w:t xml:space="preserve">. </w:t>
      </w:r>
      <w:r w:rsidR="00611D84">
        <w:rPr>
          <w:rFonts w:ascii="Book Antiqua" w:eastAsia="Book Antiqua" w:hAnsi="Book Antiqua" w:cs="Book Antiqua"/>
          <w:color w:val="000000"/>
        </w:rPr>
        <w:t xml:space="preserve">As </w:t>
      </w:r>
      <w:r w:rsidRPr="00FB188E">
        <w:rPr>
          <w:rFonts w:ascii="Book Antiqua" w:eastAsia="Book Antiqua" w:hAnsi="Book Antiqua" w:cs="Book Antiqua"/>
          <w:color w:val="000000"/>
        </w:rPr>
        <w:t>the C</w:t>
      </w:r>
      <w:r w:rsidR="00E60FA5">
        <w:rPr>
          <w:rFonts w:ascii="Book Antiqua" w:eastAsia="Book Antiqua" w:hAnsi="Book Antiqua" w:cs="Book Antiqua"/>
          <w:color w:val="000000"/>
        </w:rPr>
        <w:t>OX</w:t>
      </w:r>
      <w:r w:rsidRPr="00FB188E">
        <w:rPr>
          <w:rFonts w:ascii="Book Antiqua" w:eastAsia="Book Antiqua" w:hAnsi="Book Antiqua" w:cs="Book Antiqua"/>
          <w:color w:val="000000"/>
        </w:rPr>
        <w:t>2 pathway was assumed to act normally, high-dose aspirin (0.3 g</w:t>
      </w:r>
      <w:r w:rsidR="00611D84">
        <w:rPr>
          <w:rFonts w:ascii="Book Antiqua" w:eastAsia="Book Antiqua" w:hAnsi="Book Antiqua" w:cs="Book Antiqua"/>
          <w:color w:val="000000"/>
        </w:rPr>
        <w:t>/</w:t>
      </w:r>
      <w:r w:rsidRPr="00FB188E">
        <w:rPr>
          <w:rFonts w:ascii="Book Antiqua" w:eastAsia="Book Antiqua" w:hAnsi="Book Antiqua" w:cs="Book Antiqua"/>
          <w:color w:val="000000"/>
        </w:rPr>
        <w:t xml:space="preserve">day) was chosen as a remedy from April 2016. </w:t>
      </w:r>
    </w:p>
    <w:p w14:paraId="258D0D72" w14:textId="77777777" w:rsidR="00A77B3E" w:rsidRPr="00FB188E" w:rsidRDefault="00A77B3E" w:rsidP="00FB188E">
      <w:pPr>
        <w:adjustRightInd w:val="0"/>
        <w:snapToGrid w:val="0"/>
        <w:spacing w:line="360" w:lineRule="auto"/>
        <w:jc w:val="both"/>
        <w:rPr>
          <w:rFonts w:ascii="Book Antiqua" w:hAnsi="Book Antiqua"/>
        </w:rPr>
      </w:pPr>
    </w:p>
    <w:p w14:paraId="2F49A39C"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aps/>
          <w:color w:val="000000"/>
          <w:u w:val="single"/>
        </w:rPr>
        <w:t>OUTCOME AND FOLLOW-UP</w:t>
      </w:r>
    </w:p>
    <w:p w14:paraId="37165F4E" w14:textId="38A1CC1A"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This strategy achieved disease control </w:t>
      </w:r>
      <w:r w:rsidR="00611D84">
        <w:rPr>
          <w:rFonts w:ascii="Book Antiqua" w:eastAsia="Book Antiqua" w:hAnsi="Book Antiqua" w:cs="Book Antiqua"/>
          <w:color w:val="000000"/>
        </w:rPr>
        <w:t xml:space="preserve">for </w:t>
      </w:r>
      <w:r w:rsidR="00611D84" w:rsidRPr="00FB188E">
        <w:rPr>
          <w:rFonts w:ascii="Book Antiqua" w:eastAsia="Book Antiqua" w:hAnsi="Book Antiqua" w:cs="Book Antiqua"/>
          <w:color w:val="000000"/>
        </w:rPr>
        <w:t>almost 5</w:t>
      </w:r>
      <w:r w:rsidR="00611D84">
        <w:rPr>
          <w:rFonts w:ascii="Book Antiqua" w:eastAsia="Book Antiqua" w:hAnsi="Book Antiqua" w:cs="Book Antiqua"/>
          <w:color w:val="000000"/>
        </w:rPr>
        <w:t xml:space="preserve"> </w:t>
      </w:r>
      <w:r w:rsidR="00611D84" w:rsidRPr="00FB188E">
        <w:rPr>
          <w:rFonts w:ascii="Book Antiqua" w:eastAsia="Book Antiqua" w:hAnsi="Book Antiqua" w:cs="Book Antiqua"/>
          <w:color w:val="000000"/>
        </w:rPr>
        <w:t>year</w:t>
      </w:r>
      <w:r w:rsidR="00611D84">
        <w:rPr>
          <w:rFonts w:ascii="Book Antiqua" w:eastAsia="Book Antiqua" w:hAnsi="Book Antiqua" w:cs="Book Antiqua"/>
          <w:color w:val="000000"/>
        </w:rPr>
        <w:t>s</w:t>
      </w:r>
      <w:r w:rsidR="00611D84" w:rsidRPr="00FB188E">
        <w:rPr>
          <w:rFonts w:ascii="Book Antiqua" w:eastAsia="Book Antiqua" w:hAnsi="Book Antiqua" w:cs="Book Antiqua"/>
          <w:color w:val="000000"/>
        </w:rPr>
        <w:t xml:space="preserve"> </w:t>
      </w:r>
      <w:r w:rsidRPr="00FB188E">
        <w:rPr>
          <w:rFonts w:ascii="Book Antiqua" w:eastAsia="Book Antiqua" w:hAnsi="Book Antiqua" w:cs="Book Antiqua"/>
          <w:color w:val="000000"/>
        </w:rPr>
        <w:t xml:space="preserve">until February 2021, as confirmed by magnetic resonance imaging and monitoring of alpha fetoprotein. The treatment was well tolerated (Figure </w:t>
      </w:r>
      <w:r w:rsidR="005B064C" w:rsidRPr="00FB188E">
        <w:rPr>
          <w:rFonts w:ascii="Book Antiqua" w:eastAsia="Book Antiqua" w:hAnsi="Book Antiqua" w:cs="Book Antiqua"/>
          <w:color w:val="000000"/>
        </w:rPr>
        <w:t>1</w:t>
      </w:r>
      <w:r w:rsidRPr="00FB188E">
        <w:rPr>
          <w:rFonts w:ascii="Book Antiqua" w:eastAsia="Book Antiqua" w:hAnsi="Book Antiqua" w:cs="Book Antiqua"/>
          <w:color w:val="000000"/>
        </w:rPr>
        <w:t xml:space="preserve">A and C). </w:t>
      </w:r>
    </w:p>
    <w:p w14:paraId="7052FFAF" w14:textId="77777777" w:rsidR="00A77B3E" w:rsidRPr="00FB188E" w:rsidRDefault="00A77B3E" w:rsidP="00FB188E">
      <w:pPr>
        <w:adjustRightInd w:val="0"/>
        <w:snapToGrid w:val="0"/>
        <w:spacing w:line="360" w:lineRule="auto"/>
        <w:jc w:val="both"/>
        <w:rPr>
          <w:rFonts w:ascii="Book Antiqua" w:hAnsi="Book Antiqua"/>
        </w:rPr>
      </w:pPr>
    </w:p>
    <w:p w14:paraId="3B27E04C"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aps/>
          <w:color w:val="000000"/>
          <w:u w:val="single"/>
        </w:rPr>
        <w:t>DISCUSSION</w:t>
      </w:r>
    </w:p>
    <w:p w14:paraId="26F3FB8B" w14:textId="7F654A6F" w:rsidR="009D0A6F"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HCC is a highly heterogeneous </w:t>
      </w:r>
      <w:proofErr w:type="gramStart"/>
      <w:r w:rsidRPr="00FB188E">
        <w:rPr>
          <w:rFonts w:ascii="Book Antiqua" w:eastAsia="Book Antiqua" w:hAnsi="Book Antiqua" w:cs="Book Antiqua"/>
          <w:color w:val="000000"/>
        </w:rPr>
        <w:t>disease</w:t>
      </w:r>
      <w:r w:rsidRPr="00FB188E">
        <w:rPr>
          <w:rFonts w:ascii="Book Antiqua" w:eastAsia="Book Antiqua" w:hAnsi="Book Antiqua" w:cs="Book Antiqua"/>
          <w:color w:val="000000"/>
          <w:vertAlign w:val="superscript"/>
        </w:rPr>
        <w:t>[</w:t>
      </w:r>
      <w:proofErr w:type="gramEnd"/>
      <w:r w:rsidRPr="00FB188E">
        <w:rPr>
          <w:rFonts w:ascii="Book Antiqua" w:eastAsia="Book Antiqua" w:hAnsi="Book Antiqua" w:cs="Book Antiqua"/>
          <w:color w:val="000000"/>
          <w:vertAlign w:val="superscript"/>
        </w:rPr>
        <w:t>8]</w:t>
      </w:r>
      <w:r w:rsidRPr="00FB188E">
        <w:rPr>
          <w:rFonts w:ascii="Book Antiqua" w:eastAsia="Book Antiqua" w:hAnsi="Book Antiqua" w:cs="Book Antiqua"/>
          <w:color w:val="000000"/>
        </w:rPr>
        <w:t xml:space="preserve">. The etiology of HCC in Chinese individuals is mainly chronic hepatitis B virus infection, which is quite different </w:t>
      </w:r>
      <w:r w:rsidR="00E60FA5">
        <w:rPr>
          <w:rFonts w:ascii="Book Antiqua" w:eastAsia="Book Antiqua" w:hAnsi="Book Antiqua" w:cs="Book Antiqua"/>
          <w:color w:val="000000"/>
        </w:rPr>
        <w:t>to</w:t>
      </w:r>
      <w:r w:rsidRPr="00FB188E">
        <w:rPr>
          <w:rFonts w:ascii="Book Antiqua" w:eastAsia="Book Antiqua" w:hAnsi="Book Antiqua" w:cs="Book Antiqua"/>
          <w:color w:val="000000"/>
        </w:rPr>
        <w:t xml:space="preserve"> that in European patients, for whom HCC is caused mainly by alcohol and chronic hepatitis C virus </w:t>
      </w:r>
      <w:proofErr w:type="gramStart"/>
      <w:r w:rsidRPr="00FB188E">
        <w:rPr>
          <w:rFonts w:ascii="Book Antiqua" w:eastAsia="Book Antiqua" w:hAnsi="Book Antiqua" w:cs="Book Antiqua"/>
          <w:color w:val="000000"/>
        </w:rPr>
        <w:t>infection</w:t>
      </w:r>
      <w:r w:rsidRPr="00FB188E">
        <w:rPr>
          <w:rFonts w:ascii="Book Antiqua" w:eastAsia="Book Antiqua" w:hAnsi="Book Antiqua" w:cs="Book Antiqua"/>
          <w:color w:val="000000"/>
          <w:vertAlign w:val="superscript"/>
        </w:rPr>
        <w:t>[</w:t>
      </w:r>
      <w:proofErr w:type="gramEnd"/>
      <w:r w:rsidRPr="00FB188E">
        <w:rPr>
          <w:rFonts w:ascii="Book Antiqua" w:eastAsia="Book Antiqua" w:hAnsi="Book Antiqua" w:cs="Book Antiqua"/>
          <w:color w:val="000000"/>
          <w:vertAlign w:val="superscript"/>
        </w:rPr>
        <w:t>2]</w:t>
      </w:r>
      <w:r w:rsidRPr="00FB188E">
        <w:rPr>
          <w:rFonts w:ascii="Book Antiqua" w:eastAsia="Book Antiqua" w:hAnsi="Book Antiqua" w:cs="Book Antiqua"/>
          <w:color w:val="000000"/>
        </w:rPr>
        <w:t xml:space="preserve">. Due to the differences in etiology and ethnicities, the driving genes in HCC must be different globally. </w:t>
      </w:r>
      <w:r w:rsidR="00E60FA5">
        <w:rPr>
          <w:rFonts w:ascii="Book Antiqua" w:eastAsia="Book Antiqua" w:hAnsi="Book Antiqua" w:cs="Book Antiqua"/>
          <w:color w:val="000000"/>
        </w:rPr>
        <w:t>According to</w:t>
      </w:r>
      <w:r w:rsidRPr="00FB188E">
        <w:rPr>
          <w:rFonts w:ascii="Book Antiqua" w:eastAsia="Book Antiqua" w:hAnsi="Book Antiqua" w:cs="Book Antiqua"/>
          <w:color w:val="000000"/>
        </w:rPr>
        <w:t xml:space="preserve"> our data, APC mutations were among the top 20 most frequent mutations. However, in the COSMIC database, APC mutations are very rare, and few APC mutations related to HCC have been </w:t>
      </w:r>
      <w:proofErr w:type="gramStart"/>
      <w:r w:rsidRPr="00FB188E">
        <w:rPr>
          <w:rFonts w:ascii="Book Antiqua" w:eastAsia="Book Antiqua" w:hAnsi="Book Antiqua" w:cs="Book Antiqua"/>
          <w:color w:val="000000"/>
        </w:rPr>
        <w:t>reported</w:t>
      </w:r>
      <w:r w:rsidRPr="00FB188E">
        <w:rPr>
          <w:rFonts w:ascii="Book Antiqua" w:eastAsia="Book Antiqua" w:hAnsi="Book Antiqua" w:cs="Book Antiqua"/>
          <w:color w:val="000000"/>
          <w:vertAlign w:val="superscript"/>
        </w:rPr>
        <w:t>[</w:t>
      </w:r>
      <w:proofErr w:type="gramEnd"/>
      <w:r w:rsidRPr="00FB188E">
        <w:rPr>
          <w:rFonts w:ascii="Book Antiqua" w:eastAsia="Book Antiqua" w:hAnsi="Book Antiqua" w:cs="Book Antiqua"/>
          <w:color w:val="000000"/>
          <w:vertAlign w:val="superscript"/>
        </w:rPr>
        <w:t>6]</w:t>
      </w:r>
      <w:r w:rsidRPr="00FB188E">
        <w:rPr>
          <w:rFonts w:ascii="Book Antiqua" w:eastAsia="Book Antiqua" w:hAnsi="Book Antiqua" w:cs="Book Antiqua"/>
          <w:color w:val="000000"/>
        </w:rPr>
        <w:t xml:space="preserve">. In the present </w:t>
      </w:r>
      <w:r w:rsidRPr="00FB188E">
        <w:rPr>
          <w:rFonts w:ascii="Book Antiqua" w:eastAsia="Book Antiqua" w:hAnsi="Book Antiqua" w:cs="Book Antiqua"/>
          <w:color w:val="000000"/>
        </w:rPr>
        <w:lastRenderedPageBreak/>
        <w:t xml:space="preserve">case, we found an APC mutation that triggered HCC. The effects of this mutation could be consistently suppressed by aspirin. Thus, APC mutation-triggered HCC might be a new subgroup of chronic hepatitis B virus infection-related HCC. </w:t>
      </w:r>
      <w:proofErr w:type="spellStart"/>
      <w:r w:rsidRPr="00FB188E">
        <w:rPr>
          <w:rFonts w:ascii="Book Antiqua" w:eastAsia="Book Antiqua" w:hAnsi="Book Antiqua" w:cs="Book Antiqua"/>
          <w:color w:val="000000"/>
        </w:rPr>
        <w:t>Wnt</w:t>
      </w:r>
      <w:proofErr w:type="spellEnd"/>
      <w:r w:rsidRPr="00FB188E">
        <w:rPr>
          <w:rFonts w:ascii="Book Antiqua" w:eastAsia="Book Antiqua" w:hAnsi="Book Antiqua" w:cs="Book Antiqua"/>
          <w:color w:val="000000"/>
        </w:rPr>
        <w:t xml:space="preserve"> pathway inhibition could be an effective remedy for this subgroup of patients. </w:t>
      </w:r>
    </w:p>
    <w:p w14:paraId="1762FD89" w14:textId="5CD27AF7" w:rsidR="009D0A6F" w:rsidRPr="00FB188E" w:rsidRDefault="00922338" w:rsidP="00FB188E">
      <w:pPr>
        <w:adjustRightInd w:val="0"/>
        <w:snapToGrid w:val="0"/>
        <w:spacing w:line="360" w:lineRule="auto"/>
        <w:ind w:firstLineChars="100" w:firstLine="240"/>
        <w:jc w:val="both"/>
        <w:rPr>
          <w:rFonts w:ascii="Book Antiqua" w:hAnsi="Book Antiqua"/>
        </w:rPr>
      </w:pPr>
      <w:r w:rsidRPr="00FB188E">
        <w:rPr>
          <w:rFonts w:ascii="Book Antiqua" w:eastAsia="Book Antiqua" w:hAnsi="Book Antiqua" w:cs="Book Antiqua"/>
          <w:color w:val="000000"/>
        </w:rPr>
        <w:t xml:space="preserve">The </w:t>
      </w:r>
      <w:proofErr w:type="spellStart"/>
      <w:r w:rsidRPr="00FB188E">
        <w:rPr>
          <w:rFonts w:ascii="Book Antiqua" w:eastAsia="Book Antiqua" w:hAnsi="Book Antiqua" w:cs="Book Antiqua"/>
          <w:color w:val="000000"/>
        </w:rPr>
        <w:t>Wnt</w:t>
      </w:r>
      <w:proofErr w:type="spellEnd"/>
      <w:r w:rsidRPr="00FB188E">
        <w:rPr>
          <w:rFonts w:ascii="Book Antiqua" w:eastAsia="Book Antiqua" w:hAnsi="Book Antiqua" w:cs="Book Antiqua"/>
          <w:color w:val="000000"/>
        </w:rPr>
        <w:t xml:space="preserve"> pathway has been reported to be very important in the development of </w:t>
      </w:r>
      <w:proofErr w:type="gramStart"/>
      <w:r w:rsidRPr="00FB188E">
        <w:rPr>
          <w:rFonts w:ascii="Book Antiqua" w:eastAsia="Book Antiqua" w:hAnsi="Book Antiqua" w:cs="Book Antiqua"/>
          <w:color w:val="000000"/>
        </w:rPr>
        <w:t>malignancies</w:t>
      </w:r>
      <w:r w:rsidRPr="00FB188E">
        <w:rPr>
          <w:rFonts w:ascii="Book Antiqua" w:eastAsia="Book Antiqua" w:hAnsi="Book Antiqua" w:cs="Book Antiqua"/>
          <w:color w:val="000000"/>
          <w:vertAlign w:val="superscript"/>
        </w:rPr>
        <w:t>[</w:t>
      </w:r>
      <w:proofErr w:type="gramEnd"/>
      <w:r w:rsidRPr="00FB188E">
        <w:rPr>
          <w:rFonts w:ascii="Book Antiqua" w:eastAsia="Book Antiqua" w:hAnsi="Book Antiqua" w:cs="Book Antiqua"/>
          <w:color w:val="000000"/>
          <w:vertAlign w:val="superscript"/>
        </w:rPr>
        <w:t>9]</w:t>
      </w:r>
      <w:r w:rsidRPr="00FB188E">
        <w:rPr>
          <w:rFonts w:ascii="Book Antiqua" w:eastAsia="Book Antiqua" w:hAnsi="Book Antiqua" w:cs="Book Antiqua"/>
          <w:color w:val="000000"/>
        </w:rPr>
        <w:t xml:space="preserve">. Approximately 20% of HCC patients reportedly display </w:t>
      </w:r>
      <w:proofErr w:type="spellStart"/>
      <w:r w:rsidRPr="00FB188E">
        <w:rPr>
          <w:rFonts w:ascii="Book Antiqua" w:eastAsia="Book Antiqua" w:hAnsi="Book Antiqua" w:cs="Book Antiqua"/>
          <w:color w:val="000000"/>
        </w:rPr>
        <w:t>Wnt</w:t>
      </w:r>
      <w:proofErr w:type="spellEnd"/>
      <w:r w:rsidRPr="00FB188E">
        <w:rPr>
          <w:rFonts w:ascii="Book Antiqua" w:eastAsia="Book Antiqua" w:hAnsi="Book Antiqua" w:cs="Book Antiqua"/>
          <w:color w:val="000000"/>
        </w:rPr>
        <w:t xml:space="preserve"> pathway </w:t>
      </w:r>
      <w:proofErr w:type="gramStart"/>
      <w:r w:rsidRPr="00FB188E">
        <w:rPr>
          <w:rFonts w:ascii="Book Antiqua" w:eastAsia="Book Antiqua" w:hAnsi="Book Antiqua" w:cs="Book Antiqua"/>
          <w:color w:val="000000"/>
        </w:rPr>
        <w:t>activation</w:t>
      </w:r>
      <w:r w:rsidRPr="00FB188E">
        <w:rPr>
          <w:rFonts w:ascii="Book Antiqua" w:eastAsia="Book Antiqua" w:hAnsi="Book Antiqua" w:cs="Book Antiqua"/>
          <w:color w:val="000000"/>
          <w:vertAlign w:val="superscript"/>
        </w:rPr>
        <w:t>[</w:t>
      </w:r>
      <w:proofErr w:type="gramEnd"/>
      <w:r w:rsidRPr="00FB188E">
        <w:rPr>
          <w:rFonts w:ascii="Book Antiqua" w:eastAsia="Book Antiqua" w:hAnsi="Book Antiqua" w:cs="Book Antiqua"/>
          <w:color w:val="000000"/>
          <w:vertAlign w:val="superscript"/>
        </w:rPr>
        <w:t>5]</w:t>
      </w:r>
      <w:r w:rsidRPr="00FB188E">
        <w:rPr>
          <w:rFonts w:ascii="Book Antiqua" w:eastAsia="Book Antiqua" w:hAnsi="Book Antiqua" w:cs="Book Antiqua"/>
          <w:color w:val="000000"/>
        </w:rPr>
        <w:t xml:space="preserve">. The causes of </w:t>
      </w:r>
      <w:proofErr w:type="spellStart"/>
      <w:r w:rsidRPr="00FB188E">
        <w:rPr>
          <w:rFonts w:ascii="Book Antiqua" w:eastAsia="Book Antiqua" w:hAnsi="Book Antiqua" w:cs="Book Antiqua"/>
          <w:color w:val="000000"/>
        </w:rPr>
        <w:t>Wnt</w:t>
      </w:r>
      <w:proofErr w:type="spellEnd"/>
      <w:r w:rsidRPr="00FB188E">
        <w:rPr>
          <w:rFonts w:ascii="Book Antiqua" w:eastAsia="Book Antiqua" w:hAnsi="Book Antiqua" w:cs="Book Antiqua"/>
          <w:color w:val="000000"/>
        </w:rPr>
        <w:t xml:space="preserve"> pathway over-activation are complex. The importance of </w:t>
      </w:r>
      <w:proofErr w:type="spellStart"/>
      <w:r w:rsidRPr="00FB188E">
        <w:rPr>
          <w:rFonts w:ascii="Book Antiqua" w:eastAsia="Book Antiqua" w:hAnsi="Book Antiqua" w:cs="Book Antiqua"/>
          <w:color w:val="000000"/>
        </w:rPr>
        <w:t>Wnt</w:t>
      </w:r>
      <w:proofErr w:type="spellEnd"/>
      <w:r w:rsidRPr="00FB188E">
        <w:rPr>
          <w:rFonts w:ascii="Book Antiqua" w:eastAsia="Book Antiqua" w:hAnsi="Book Antiqua" w:cs="Book Antiqua"/>
          <w:color w:val="000000"/>
        </w:rPr>
        <w:t xml:space="preserve"> over-activation in the development of HCC could differ from one patient to another, which might not be evident in a large cohort study. Thus, the </w:t>
      </w:r>
      <w:proofErr w:type="spellStart"/>
      <w:r w:rsidRPr="00FB188E">
        <w:rPr>
          <w:rFonts w:ascii="Book Antiqua" w:eastAsia="Book Antiqua" w:hAnsi="Book Antiqua" w:cs="Book Antiqua"/>
          <w:color w:val="000000"/>
        </w:rPr>
        <w:t>Wnt</w:t>
      </w:r>
      <w:proofErr w:type="spellEnd"/>
      <w:r w:rsidRPr="00FB188E">
        <w:rPr>
          <w:rFonts w:ascii="Book Antiqua" w:eastAsia="Book Antiqua" w:hAnsi="Book Antiqua" w:cs="Book Antiqua"/>
          <w:color w:val="000000"/>
        </w:rPr>
        <w:t xml:space="preserve"> inhibitor failed to show reliable efficacy among non-selected HCC patients. In the present case, an APC mutation triggered HCC and the </w:t>
      </w:r>
      <w:proofErr w:type="spellStart"/>
      <w:r w:rsidRPr="00FB188E">
        <w:rPr>
          <w:rFonts w:ascii="Book Antiqua" w:eastAsia="Book Antiqua" w:hAnsi="Book Antiqua" w:cs="Book Antiqua"/>
          <w:color w:val="000000"/>
        </w:rPr>
        <w:t>Wnt</w:t>
      </w:r>
      <w:proofErr w:type="spellEnd"/>
      <w:r w:rsidRPr="00FB188E">
        <w:rPr>
          <w:rFonts w:ascii="Book Antiqua" w:eastAsia="Book Antiqua" w:hAnsi="Book Antiqua" w:cs="Book Antiqua"/>
          <w:color w:val="000000"/>
        </w:rPr>
        <w:t xml:space="preserve"> pathway was exclusively activated by APC dysfunction, </w:t>
      </w:r>
      <w:r w:rsidR="00E60FA5">
        <w:rPr>
          <w:rFonts w:ascii="Book Antiqua" w:eastAsia="Book Antiqua" w:hAnsi="Book Antiqua" w:cs="Book Antiqua"/>
          <w:color w:val="000000"/>
        </w:rPr>
        <w:t>as</w:t>
      </w:r>
      <w:r w:rsidRPr="00FB188E">
        <w:rPr>
          <w:rFonts w:ascii="Book Antiqua" w:eastAsia="Book Antiqua" w:hAnsi="Book Antiqua" w:cs="Book Antiqua"/>
          <w:color w:val="000000"/>
        </w:rPr>
        <w:t xml:space="preserve"> other elements of the </w:t>
      </w:r>
      <w:proofErr w:type="spellStart"/>
      <w:r w:rsidRPr="00FB188E">
        <w:rPr>
          <w:rFonts w:ascii="Book Antiqua" w:eastAsia="Book Antiqua" w:hAnsi="Book Antiqua" w:cs="Book Antiqua"/>
          <w:color w:val="000000"/>
        </w:rPr>
        <w:t>Wnt</w:t>
      </w:r>
      <w:proofErr w:type="spellEnd"/>
      <w:r w:rsidRPr="00FB188E">
        <w:rPr>
          <w:rFonts w:ascii="Book Antiqua" w:eastAsia="Book Antiqua" w:hAnsi="Book Antiqua" w:cs="Book Antiqua"/>
          <w:color w:val="000000"/>
        </w:rPr>
        <w:t xml:space="preserve"> pathway were not mutated. Knowledge of the </w:t>
      </w:r>
      <w:proofErr w:type="spellStart"/>
      <w:r w:rsidRPr="00FB188E">
        <w:rPr>
          <w:rFonts w:ascii="Book Antiqua" w:eastAsia="Book Antiqua" w:hAnsi="Book Antiqua" w:cs="Book Antiqua"/>
          <w:color w:val="000000"/>
        </w:rPr>
        <w:t>Wnt</w:t>
      </w:r>
      <w:proofErr w:type="spellEnd"/>
      <w:r w:rsidRPr="00FB188E">
        <w:rPr>
          <w:rFonts w:ascii="Book Antiqua" w:eastAsia="Book Antiqua" w:hAnsi="Book Antiqua" w:cs="Book Antiqua"/>
          <w:color w:val="000000"/>
        </w:rPr>
        <w:t xml:space="preserve"> pathway and its association with the COX2 pathway has led to the use of COX2 </w:t>
      </w:r>
      <w:proofErr w:type="gramStart"/>
      <w:r w:rsidRPr="00FB188E">
        <w:rPr>
          <w:rFonts w:ascii="Book Antiqua" w:eastAsia="Book Antiqua" w:hAnsi="Book Antiqua" w:cs="Book Antiqua"/>
          <w:color w:val="000000"/>
        </w:rPr>
        <w:t>inhibitors</w:t>
      </w:r>
      <w:r w:rsidRPr="00FB188E">
        <w:rPr>
          <w:rFonts w:ascii="Book Antiqua" w:eastAsia="Book Antiqua" w:hAnsi="Book Antiqua" w:cs="Book Antiqua"/>
          <w:color w:val="000000"/>
          <w:vertAlign w:val="superscript"/>
        </w:rPr>
        <w:t>[</w:t>
      </w:r>
      <w:proofErr w:type="gramEnd"/>
      <w:r w:rsidRPr="00FB188E">
        <w:rPr>
          <w:rFonts w:ascii="Book Antiqua" w:eastAsia="Book Antiqua" w:hAnsi="Book Antiqua" w:cs="Book Antiqua"/>
          <w:color w:val="000000"/>
          <w:vertAlign w:val="superscript"/>
        </w:rPr>
        <w:t>7]</w:t>
      </w:r>
      <w:r w:rsidRPr="00FB188E">
        <w:rPr>
          <w:rFonts w:ascii="Book Antiqua" w:eastAsia="Book Antiqua" w:hAnsi="Book Antiqua" w:cs="Book Antiqua"/>
          <w:color w:val="000000"/>
        </w:rPr>
        <w:t xml:space="preserve">, including the COX inhibitor aspirin and the selective COX2 inhibitors celecoxib and meloxicam, which are clinically available. In the present case, we chose aspirin and achieved long-term disease control. </w:t>
      </w:r>
    </w:p>
    <w:p w14:paraId="660490CC" w14:textId="11C44E25" w:rsidR="00A77B3E" w:rsidRPr="00FB188E" w:rsidRDefault="00922338" w:rsidP="00FB188E">
      <w:pPr>
        <w:adjustRightInd w:val="0"/>
        <w:snapToGrid w:val="0"/>
        <w:spacing w:line="360" w:lineRule="auto"/>
        <w:ind w:firstLineChars="100" w:firstLine="240"/>
        <w:jc w:val="both"/>
        <w:rPr>
          <w:rFonts w:ascii="Book Antiqua" w:hAnsi="Book Antiqua"/>
        </w:rPr>
      </w:pPr>
      <w:r w:rsidRPr="00FB188E">
        <w:rPr>
          <w:rFonts w:ascii="Book Antiqua" w:eastAsia="Book Antiqua" w:hAnsi="Book Antiqua" w:cs="Book Antiqua"/>
          <w:color w:val="000000"/>
        </w:rPr>
        <w:t xml:space="preserve">The diagnosis of HCC does not rely on a pathologic </w:t>
      </w:r>
      <w:proofErr w:type="gramStart"/>
      <w:r w:rsidRPr="00FB188E">
        <w:rPr>
          <w:rFonts w:ascii="Book Antiqua" w:eastAsia="Book Antiqua" w:hAnsi="Book Antiqua" w:cs="Book Antiqua"/>
          <w:color w:val="000000"/>
        </w:rPr>
        <w:t>test</w:t>
      </w:r>
      <w:r w:rsidRPr="00FB188E">
        <w:rPr>
          <w:rFonts w:ascii="Book Antiqua" w:eastAsia="Book Antiqua" w:hAnsi="Book Antiqua" w:cs="Book Antiqua"/>
          <w:color w:val="000000"/>
          <w:vertAlign w:val="superscript"/>
        </w:rPr>
        <w:t>[</w:t>
      </w:r>
      <w:proofErr w:type="gramEnd"/>
      <w:r w:rsidRPr="00FB188E">
        <w:rPr>
          <w:rFonts w:ascii="Book Antiqua" w:eastAsia="Book Antiqua" w:hAnsi="Book Antiqua" w:cs="Book Antiqua"/>
          <w:color w:val="000000"/>
          <w:vertAlign w:val="superscript"/>
        </w:rPr>
        <w:t>2]</w:t>
      </w:r>
      <w:r w:rsidRPr="00FB188E">
        <w:rPr>
          <w:rFonts w:ascii="Book Antiqua" w:eastAsia="Book Antiqua" w:hAnsi="Book Antiqua" w:cs="Book Antiqua"/>
          <w:color w:val="000000"/>
        </w:rPr>
        <w:t xml:space="preserve">, which decreases the availability of RNA sequences in tumor tissues. The lack of tumor tissue gene mutation information, especially for advanced and recurrent diseases, has limited the extensive application of precisely designed targeted therapy based on dominant driver genes. Thus, needle biopsy might be of potential benefit for advanced and recurrent HCC. The present case </w:t>
      </w:r>
      <w:r w:rsidR="00E60FA5">
        <w:rPr>
          <w:rFonts w:ascii="Book Antiqua" w:eastAsia="Book Antiqua" w:hAnsi="Book Antiqua" w:cs="Book Antiqua"/>
          <w:color w:val="000000"/>
        </w:rPr>
        <w:t>demonstrates</w:t>
      </w:r>
      <w:r w:rsidRPr="00FB188E">
        <w:rPr>
          <w:rFonts w:ascii="Book Antiqua" w:eastAsia="Book Antiqua" w:hAnsi="Book Antiqua" w:cs="Book Antiqua"/>
          <w:color w:val="000000"/>
        </w:rPr>
        <w:t xml:space="preserve"> that RNA sequencing of HCC tissues might be a valuable approach and that the current HCC diagnostic procedure without histological tests might be insufficient for precise targeted therapy.</w:t>
      </w:r>
    </w:p>
    <w:p w14:paraId="5833C8E9" w14:textId="77777777" w:rsidR="00A77B3E" w:rsidRPr="00FB188E" w:rsidRDefault="00A77B3E" w:rsidP="00FB188E">
      <w:pPr>
        <w:adjustRightInd w:val="0"/>
        <w:snapToGrid w:val="0"/>
        <w:spacing w:line="360" w:lineRule="auto"/>
        <w:ind w:firstLine="480"/>
        <w:jc w:val="both"/>
        <w:rPr>
          <w:rFonts w:ascii="Book Antiqua" w:hAnsi="Book Antiqua"/>
        </w:rPr>
      </w:pPr>
    </w:p>
    <w:p w14:paraId="55AF7493"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aps/>
          <w:color w:val="000000"/>
          <w:u w:val="single"/>
        </w:rPr>
        <w:t>CONCLUSION</w:t>
      </w:r>
    </w:p>
    <w:p w14:paraId="471814C0"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In the present case, the success of aspirin treatment was based on the dominant genetically driven </w:t>
      </w:r>
      <w:proofErr w:type="spellStart"/>
      <w:r w:rsidRPr="00FB188E">
        <w:rPr>
          <w:rFonts w:ascii="Book Antiqua" w:eastAsia="Book Antiqua" w:hAnsi="Book Antiqua" w:cs="Book Antiqua"/>
          <w:color w:val="000000"/>
        </w:rPr>
        <w:t>Wnt</w:t>
      </w:r>
      <w:proofErr w:type="spellEnd"/>
      <w:r w:rsidRPr="00FB188E">
        <w:rPr>
          <w:rFonts w:ascii="Book Antiqua" w:eastAsia="Book Antiqua" w:hAnsi="Book Antiqua" w:cs="Book Antiqua"/>
          <w:color w:val="000000"/>
        </w:rPr>
        <w:t xml:space="preserve"> pathway and exclusive mutation of APC among all the </w:t>
      </w:r>
      <w:proofErr w:type="spellStart"/>
      <w:r w:rsidRPr="00FB188E">
        <w:rPr>
          <w:rFonts w:ascii="Book Antiqua" w:eastAsia="Book Antiqua" w:hAnsi="Book Antiqua" w:cs="Book Antiqua"/>
          <w:color w:val="000000"/>
        </w:rPr>
        <w:t>Wnt</w:t>
      </w:r>
      <w:proofErr w:type="spellEnd"/>
      <w:r w:rsidRPr="00FB188E">
        <w:rPr>
          <w:rFonts w:ascii="Book Antiqua" w:eastAsia="Book Antiqua" w:hAnsi="Book Antiqua" w:cs="Book Antiqua"/>
          <w:color w:val="000000"/>
        </w:rPr>
        <w:t xml:space="preserve"> pathway elements, as discovered by RNA sequencing. </w:t>
      </w:r>
    </w:p>
    <w:p w14:paraId="01E0F26E" w14:textId="77777777" w:rsidR="00A77B3E" w:rsidRPr="00FB188E" w:rsidRDefault="00A77B3E" w:rsidP="00FB188E">
      <w:pPr>
        <w:adjustRightInd w:val="0"/>
        <w:snapToGrid w:val="0"/>
        <w:spacing w:line="360" w:lineRule="auto"/>
        <w:jc w:val="both"/>
        <w:rPr>
          <w:rFonts w:ascii="Book Antiqua" w:hAnsi="Book Antiqua"/>
        </w:rPr>
      </w:pPr>
    </w:p>
    <w:p w14:paraId="2DC10FEC"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olor w:val="000000"/>
        </w:rPr>
        <w:t>REFERENCES</w:t>
      </w:r>
    </w:p>
    <w:p w14:paraId="628C9FC9"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1 </w:t>
      </w:r>
      <w:proofErr w:type="spellStart"/>
      <w:r w:rsidRPr="00FB188E">
        <w:rPr>
          <w:rFonts w:ascii="Book Antiqua" w:eastAsia="Book Antiqua" w:hAnsi="Book Antiqua" w:cs="Book Antiqua"/>
          <w:b/>
          <w:bCs/>
          <w:color w:val="000000"/>
        </w:rPr>
        <w:t>Heimbach</w:t>
      </w:r>
      <w:proofErr w:type="spellEnd"/>
      <w:r w:rsidRPr="00FB188E">
        <w:rPr>
          <w:rFonts w:ascii="Book Antiqua" w:eastAsia="Book Antiqua" w:hAnsi="Book Antiqua" w:cs="Book Antiqua"/>
          <w:b/>
          <w:bCs/>
          <w:color w:val="000000"/>
        </w:rPr>
        <w:t xml:space="preserve"> JK</w:t>
      </w:r>
      <w:r w:rsidRPr="00FB188E">
        <w:rPr>
          <w:rFonts w:ascii="Book Antiqua" w:eastAsia="Book Antiqua" w:hAnsi="Book Antiqua" w:cs="Book Antiqua"/>
          <w:color w:val="000000"/>
        </w:rPr>
        <w:t xml:space="preserve">, Kulik LM, Finn RS, </w:t>
      </w:r>
      <w:proofErr w:type="spellStart"/>
      <w:r w:rsidRPr="00FB188E">
        <w:rPr>
          <w:rFonts w:ascii="Book Antiqua" w:eastAsia="Book Antiqua" w:hAnsi="Book Antiqua" w:cs="Book Antiqua"/>
          <w:color w:val="000000"/>
        </w:rPr>
        <w:t>Sirlin</w:t>
      </w:r>
      <w:proofErr w:type="spellEnd"/>
      <w:r w:rsidRPr="00FB188E">
        <w:rPr>
          <w:rFonts w:ascii="Book Antiqua" w:eastAsia="Book Antiqua" w:hAnsi="Book Antiqua" w:cs="Book Antiqua"/>
          <w:color w:val="000000"/>
        </w:rPr>
        <w:t xml:space="preserve"> CB, </w:t>
      </w:r>
      <w:proofErr w:type="spellStart"/>
      <w:r w:rsidRPr="00FB188E">
        <w:rPr>
          <w:rFonts w:ascii="Book Antiqua" w:eastAsia="Book Antiqua" w:hAnsi="Book Antiqua" w:cs="Book Antiqua"/>
          <w:color w:val="000000"/>
        </w:rPr>
        <w:t>Abecassis</w:t>
      </w:r>
      <w:proofErr w:type="spellEnd"/>
      <w:r w:rsidRPr="00FB188E">
        <w:rPr>
          <w:rFonts w:ascii="Book Antiqua" w:eastAsia="Book Antiqua" w:hAnsi="Book Antiqua" w:cs="Book Antiqua"/>
          <w:color w:val="000000"/>
        </w:rPr>
        <w:t xml:space="preserve"> MM, Roberts LR, Zhu AX, Murad MH, Marrero JA. AASLD guidelines for the treatment of hepatocellular carcinoma. </w:t>
      </w:r>
      <w:r w:rsidRPr="00FB188E">
        <w:rPr>
          <w:rFonts w:ascii="Book Antiqua" w:eastAsia="Book Antiqua" w:hAnsi="Book Antiqua" w:cs="Book Antiqua"/>
          <w:i/>
          <w:iCs/>
          <w:color w:val="000000"/>
        </w:rPr>
        <w:t>Hepatology</w:t>
      </w:r>
      <w:r w:rsidRPr="00FB188E">
        <w:rPr>
          <w:rFonts w:ascii="Book Antiqua" w:eastAsia="Book Antiqua" w:hAnsi="Book Antiqua" w:cs="Book Antiqua"/>
          <w:color w:val="000000"/>
        </w:rPr>
        <w:t xml:space="preserve"> 2018; </w:t>
      </w:r>
      <w:r w:rsidRPr="00FB188E">
        <w:rPr>
          <w:rFonts w:ascii="Book Antiqua" w:eastAsia="Book Antiqua" w:hAnsi="Book Antiqua" w:cs="Book Antiqua"/>
          <w:b/>
          <w:bCs/>
          <w:color w:val="000000"/>
        </w:rPr>
        <w:t>67</w:t>
      </w:r>
      <w:r w:rsidRPr="00FB188E">
        <w:rPr>
          <w:rFonts w:ascii="Book Antiqua" w:eastAsia="Book Antiqua" w:hAnsi="Book Antiqua" w:cs="Book Antiqua"/>
          <w:color w:val="000000"/>
        </w:rPr>
        <w:t>: 358-380 [PMID: 28130846 DOI: 10.1002/hep.29086]</w:t>
      </w:r>
    </w:p>
    <w:p w14:paraId="47DAC4B3"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2 </w:t>
      </w:r>
      <w:r w:rsidRPr="00FB188E">
        <w:rPr>
          <w:rFonts w:ascii="Book Antiqua" w:eastAsia="Book Antiqua" w:hAnsi="Book Antiqua" w:cs="Book Antiqua"/>
          <w:b/>
          <w:bCs/>
          <w:color w:val="000000"/>
        </w:rPr>
        <w:t>Li X</w:t>
      </w:r>
      <w:r w:rsidRPr="00FB188E">
        <w:rPr>
          <w:rFonts w:ascii="Book Antiqua" w:eastAsia="Book Antiqua" w:hAnsi="Book Antiqua" w:cs="Book Antiqua"/>
          <w:color w:val="000000"/>
        </w:rPr>
        <w:t xml:space="preserve">, Dong M, Lin Q, Chen ZH, Ma XK, Xing YF, Wan XB, Wen JY, Wei L, Chen J, Wu XY. Comparison of current staging systems for advanced hepatocellular carcinoma not amendable to locoregional therapy as inclusion criteria for clinical trials. </w:t>
      </w:r>
      <w:r w:rsidRPr="00FB188E">
        <w:rPr>
          <w:rFonts w:ascii="Book Antiqua" w:eastAsia="Book Antiqua" w:hAnsi="Book Antiqua" w:cs="Book Antiqua"/>
          <w:i/>
          <w:iCs/>
          <w:color w:val="000000"/>
        </w:rPr>
        <w:t>Asia Pac J Clin Oncol</w:t>
      </w:r>
      <w:r w:rsidRPr="00FB188E">
        <w:rPr>
          <w:rFonts w:ascii="Book Antiqua" w:eastAsia="Book Antiqua" w:hAnsi="Book Antiqua" w:cs="Book Antiqua"/>
          <w:color w:val="000000"/>
        </w:rPr>
        <w:t xml:space="preserve"> 2013; </w:t>
      </w:r>
      <w:r w:rsidRPr="00FB188E">
        <w:rPr>
          <w:rFonts w:ascii="Book Antiqua" w:eastAsia="Book Antiqua" w:hAnsi="Book Antiqua" w:cs="Book Antiqua"/>
          <w:b/>
          <w:bCs/>
          <w:color w:val="000000"/>
        </w:rPr>
        <w:t>9</w:t>
      </w:r>
      <w:r w:rsidRPr="00FB188E">
        <w:rPr>
          <w:rFonts w:ascii="Book Antiqua" w:eastAsia="Book Antiqua" w:hAnsi="Book Antiqua" w:cs="Book Antiqua"/>
          <w:color w:val="000000"/>
        </w:rPr>
        <w:t>: 86-92 [PMID: 23279888 DOI: 10.1111/ajco.12050]</w:t>
      </w:r>
    </w:p>
    <w:p w14:paraId="2EB8E956"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3 </w:t>
      </w:r>
      <w:r w:rsidRPr="00FB188E">
        <w:rPr>
          <w:rFonts w:ascii="Book Antiqua" w:eastAsia="Book Antiqua" w:hAnsi="Book Antiqua" w:cs="Book Antiqua"/>
          <w:b/>
          <w:bCs/>
          <w:color w:val="000000"/>
        </w:rPr>
        <w:t>Vohra S</w:t>
      </w:r>
      <w:r w:rsidRPr="00FB188E">
        <w:rPr>
          <w:rFonts w:ascii="Book Antiqua" w:eastAsia="Book Antiqua" w:hAnsi="Book Antiqua" w:cs="Book Antiqua"/>
          <w:color w:val="000000"/>
        </w:rPr>
        <w:t xml:space="preserve">, Biggin PC. </w:t>
      </w:r>
      <w:proofErr w:type="spellStart"/>
      <w:r w:rsidRPr="00FB188E">
        <w:rPr>
          <w:rFonts w:ascii="Book Antiqua" w:eastAsia="Book Antiqua" w:hAnsi="Book Antiqua" w:cs="Book Antiqua"/>
          <w:color w:val="000000"/>
        </w:rPr>
        <w:t>Mutationmapper</w:t>
      </w:r>
      <w:proofErr w:type="spellEnd"/>
      <w:r w:rsidRPr="00FB188E">
        <w:rPr>
          <w:rFonts w:ascii="Book Antiqua" w:eastAsia="Book Antiqua" w:hAnsi="Book Antiqua" w:cs="Book Antiqua"/>
          <w:color w:val="000000"/>
        </w:rPr>
        <w:t xml:space="preserve">: a tool to aid the mapping of protein mutation data. </w:t>
      </w:r>
      <w:proofErr w:type="spellStart"/>
      <w:r w:rsidRPr="00FB188E">
        <w:rPr>
          <w:rFonts w:ascii="Book Antiqua" w:eastAsia="Book Antiqua" w:hAnsi="Book Antiqua" w:cs="Book Antiqua"/>
          <w:i/>
          <w:iCs/>
          <w:color w:val="000000"/>
        </w:rPr>
        <w:t>PLoS</w:t>
      </w:r>
      <w:proofErr w:type="spellEnd"/>
      <w:r w:rsidRPr="00FB188E">
        <w:rPr>
          <w:rFonts w:ascii="Book Antiqua" w:eastAsia="Book Antiqua" w:hAnsi="Book Antiqua" w:cs="Book Antiqua"/>
          <w:i/>
          <w:iCs/>
          <w:color w:val="000000"/>
        </w:rPr>
        <w:t xml:space="preserve"> One</w:t>
      </w:r>
      <w:r w:rsidRPr="00FB188E">
        <w:rPr>
          <w:rFonts w:ascii="Book Antiqua" w:eastAsia="Book Antiqua" w:hAnsi="Book Antiqua" w:cs="Book Antiqua"/>
          <w:color w:val="000000"/>
        </w:rPr>
        <w:t xml:space="preserve"> 2013; </w:t>
      </w:r>
      <w:r w:rsidRPr="00FB188E">
        <w:rPr>
          <w:rFonts w:ascii="Book Antiqua" w:eastAsia="Book Antiqua" w:hAnsi="Book Antiqua" w:cs="Book Antiqua"/>
          <w:b/>
          <w:bCs/>
          <w:color w:val="000000"/>
        </w:rPr>
        <w:t>8</w:t>
      </w:r>
      <w:r w:rsidRPr="00FB188E">
        <w:rPr>
          <w:rFonts w:ascii="Book Antiqua" w:eastAsia="Book Antiqua" w:hAnsi="Book Antiqua" w:cs="Book Antiqua"/>
          <w:color w:val="000000"/>
        </w:rPr>
        <w:t>: e71711 [PMID: 23951226 DOI: 10.1371/journal.pone.0071711]</w:t>
      </w:r>
    </w:p>
    <w:p w14:paraId="06DC47B6"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4 </w:t>
      </w:r>
      <w:r w:rsidRPr="00FB188E">
        <w:rPr>
          <w:rFonts w:ascii="Book Antiqua" w:eastAsia="Book Antiqua" w:hAnsi="Book Antiqua" w:cs="Book Antiqua"/>
          <w:b/>
          <w:bCs/>
          <w:color w:val="000000"/>
        </w:rPr>
        <w:t>Giles RH</w:t>
      </w:r>
      <w:r w:rsidRPr="00FB188E">
        <w:rPr>
          <w:rFonts w:ascii="Book Antiqua" w:eastAsia="Book Antiqua" w:hAnsi="Book Antiqua" w:cs="Book Antiqua"/>
          <w:color w:val="000000"/>
        </w:rPr>
        <w:t xml:space="preserve">, van Es JH, </w:t>
      </w:r>
      <w:proofErr w:type="spellStart"/>
      <w:r w:rsidRPr="00FB188E">
        <w:rPr>
          <w:rFonts w:ascii="Book Antiqua" w:eastAsia="Book Antiqua" w:hAnsi="Book Antiqua" w:cs="Book Antiqua"/>
          <w:color w:val="000000"/>
        </w:rPr>
        <w:t>Clevers</w:t>
      </w:r>
      <w:proofErr w:type="spellEnd"/>
      <w:r w:rsidRPr="00FB188E">
        <w:rPr>
          <w:rFonts w:ascii="Book Antiqua" w:eastAsia="Book Antiqua" w:hAnsi="Book Antiqua" w:cs="Book Antiqua"/>
          <w:color w:val="000000"/>
        </w:rPr>
        <w:t xml:space="preserve"> H. Caught up in a </w:t>
      </w:r>
      <w:proofErr w:type="spellStart"/>
      <w:r w:rsidRPr="00FB188E">
        <w:rPr>
          <w:rFonts w:ascii="Book Antiqua" w:eastAsia="Book Antiqua" w:hAnsi="Book Antiqua" w:cs="Book Antiqua"/>
          <w:color w:val="000000"/>
        </w:rPr>
        <w:t>Wnt</w:t>
      </w:r>
      <w:proofErr w:type="spellEnd"/>
      <w:r w:rsidRPr="00FB188E">
        <w:rPr>
          <w:rFonts w:ascii="Book Antiqua" w:eastAsia="Book Antiqua" w:hAnsi="Book Antiqua" w:cs="Book Antiqua"/>
          <w:color w:val="000000"/>
        </w:rPr>
        <w:t xml:space="preserve"> storm: </w:t>
      </w:r>
      <w:proofErr w:type="spellStart"/>
      <w:r w:rsidRPr="00FB188E">
        <w:rPr>
          <w:rFonts w:ascii="Book Antiqua" w:eastAsia="Book Antiqua" w:hAnsi="Book Antiqua" w:cs="Book Antiqua"/>
          <w:color w:val="000000"/>
        </w:rPr>
        <w:t>Wnt</w:t>
      </w:r>
      <w:proofErr w:type="spellEnd"/>
      <w:r w:rsidRPr="00FB188E">
        <w:rPr>
          <w:rFonts w:ascii="Book Antiqua" w:eastAsia="Book Antiqua" w:hAnsi="Book Antiqua" w:cs="Book Antiqua"/>
          <w:color w:val="000000"/>
        </w:rPr>
        <w:t xml:space="preserve"> signaling in cancer. </w:t>
      </w:r>
      <w:proofErr w:type="spellStart"/>
      <w:r w:rsidRPr="00FB188E">
        <w:rPr>
          <w:rFonts w:ascii="Book Antiqua" w:eastAsia="Book Antiqua" w:hAnsi="Book Antiqua" w:cs="Book Antiqua"/>
          <w:i/>
          <w:iCs/>
          <w:color w:val="000000"/>
        </w:rPr>
        <w:t>Biochim</w:t>
      </w:r>
      <w:proofErr w:type="spellEnd"/>
      <w:r w:rsidRPr="00FB188E">
        <w:rPr>
          <w:rFonts w:ascii="Book Antiqua" w:eastAsia="Book Antiqua" w:hAnsi="Book Antiqua" w:cs="Book Antiqua"/>
          <w:i/>
          <w:iCs/>
          <w:color w:val="000000"/>
        </w:rPr>
        <w:t xml:space="preserve"> </w:t>
      </w:r>
      <w:proofErr w:type="spellStart"/>
      <w:r w:rsidRPr="00FB188E">
        <w:rPr>
          <w:rFonts w:ascii="Book Antiqua" w:eastAsia="Book Antiqua" w:hAnsi="Book Antiqua" w:cs="Book Antiqua"/>
          <w:i/>
          <w:iCs/>
          <w:color w:val="000000"/>
        </w:rPr>
        <w:t>Biophys</w:t>
      </w:r>
      <w:proofErr w:type="spellEnd"/>
      <w:r w:rsidRPr="00FB188E">
        <w:rPr>
          <w:rFonts w:ascii="Book Antiqua" w:eastAsia="Book Antiqua" w:hAnsi="Book Antiqua" w:cs="Book Antiqua"/>
          <w:i/>
          <w:iCs/>
          <w:color w:val="000000"/>
        </w:rPr>
        <w:t xml:space="preserve"> Acta</w:t>
      </w:r>
      <w:r w:rsidRPr="00FB188E">
        <w:rPr>
          <w:rFonts w:ascii="Book Antiqua" w:eastAsia="Book Antiqua" w:hAnsi="Book Antiqua" w:cs="Book Antiqua"/>
          <w:color w:val="000000"/>
        </w:rPr>
        <w:t xml:space="preserve"> 2003; </w:t>
      </w:r>
      <w:r w:rsidRPr="00FB188E">
        <w:rPr>
          <w:rFonts w:ascii="Book Antiqua" w:eastAsia="Book Antiqua" w:hAnsi="Book Antiqua" w:cs="Book Antiqua"/>
          <w:b/>
          <w:bCs/>
          <w:color w:val="000000"/>
        </w:rPr>
        <w:t>1653</w:t>
      </w:r>
      <w:r w:rsidRPr="00FB188E">
        <w:rPr>
          <w:rFonts w:ascii="Book Antiqua" w:eastAsia="Book Antiqua" w:hAnsi="Book Antiqua" w:cs="Book Antiqua"/>
          <w:color w:val="000000"/>
        </w:rPr>
        <w:t>: 1-24 [PMID: 12781368 DOI: 10.1016/s0304-419</w:t>
      </w:r>
      <w:proofErr w:type="gramStart"/>
      <w:r w:rsidRPr="00FB188E">
        <w:rPr>
          <w:rFonts w:ascii="Book Antiqua" w:eastAsia="Book Antiqua" w:hAnsi="Book Antiqua" w:cs="Book Antiqua"/>
          <w:color w:val="000000"/>
        </w:rPr>
        <w:t>x(</w:t>
      </w:r>
      <w:proofErr w:type="gramEnd"/>
      <w:r w:rsidRPr="00FB188E">
        <w:rPr>
          <w:rFonts w:ascii="Book Antiqua" w:eastAsia="Book Antiqua" w:hAnsi="Book Antiqua" w:cs="Book Antiqua"/>
          <w:color w:val="000000"/>
        </w:rPr>
        <w:t>03)00005-2]</w:t>
      </w:r>
    </w:p>
    <w:p w14:paraId="4BB7BED3"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5 </w:t>
      </w:r>
      <w:proofErr w:type="spellStart"/>
      <w:r w:rsidRPr="00FB188E">
        <w:rPr>
          <w:rFonts w:ascii="Book Antiqua" w:eastAsia="Book Antiqua" w:hAnsi="Book Antiqua" w:cs="Book Antiqua"/>
          <w:b/>
          <w:bCs/>
          <w:color w:val="000000"/>
        </w:rPr>
        <w:t>Takigawa</w:t>
      </w:r>
      <w:proofErr w:type="spellEnd"/>
      <w:r w:rsidRPr="00FB188E">
        <w:rPr>
          <w:rFonts w:ascii="Book Antiqua" w:eastAsia="Book Antiqua" w:hAnsi="Book Antiqua" w:cs="Book Antiqua"/>
          <w:b/>
          <w:bCs/>
          <w:color w:val="000000"/>
        </w:rPr>
        <w:t xml:space="preserve"> Y</w:t>
      </w:r>
      <w:r w:rsidRPr="00FB188E">
        <w:rPr>
          <w:rFonts w:ascii="Book Antiqua" w:eastAsia="Book Antiqua" w:hAnsi="Book Antiqua" w:cs="Book Antiqua"/>
          <w:color w:val="000000"/>
        </w:rPr>
        <w:t xml:space="preserve">, Brown AM. </w:t>
      </w:r>
      <w:proofErr w:type="spellStart"/>
      <w:r w:rsidRPr="00FB188E">
        <w:rPr>
          <w:rFonts w:ascii="Book Antiqua" w:eastAsia="Book Antiqua" w:hAnsi="Book Antiqua" w:cs="Book Antiqua"/>
          <w:color w:val="000000"/>
        </w:rPr>
        <w:t>Wnt</w:t>
      </w:r>
      <w:proofErr w:type="spellEnd"/>
      <w:r w:rsidRPr="00FB188E">
        <w:rPr>
          <w:rFonts w:ascii="Book Antiqua" w:eastAsia="Book Antiqua" w:hAnsi="Book Antiqua" w:cs="Book Antiqua"/>
          <w:color w:val="000000"/>
        </w:rPr>
        <w:t xml:space="preserve"> signaling in liver cancer. </w:t>
      </w:r>
      <w:proofErr w:type="spellStart"/>
      <w:r w:rsidRPr="00FB188E">
        <w:rPr>
          <w:rFonts w:ascii="Book Antiqua" w:eastAsia="Book Antiqua" w:hAnsi="Book Antiqua" w:cs="Book Antiqua"/>
          <w:i/>
          <w:iCs/>
          <w:color w:val="000000"/>
        </w:rPr>
        <w:t>Curr</w:t>
      </w:r>
      <w:proofErr w:type="spellEnd"/>
      <w:r w:rsidRPr="00FB188E">
        <w:rPr>
          <w:rFonts w:ascii="Book Antiqua" w:eastAsia="Book Antiqua" w:hAnsi="Book Antiqua" w:cs="Book Antiqua"/>
          <w:i/>
          <w:iCs/>
          <w:color w:val="000000"/>
        </w:rPr>
        <w:t xml:space="preserve"> Drug Targets</w:t>
      </w:r>
      <w:r w:rsidRPr="00FB188E">
        <w:rPr>
          <w:rFonts w:ascii="Book Antiqua" w:eastAsia="Book Antiqua" w:hAnsi="Book Antiqua" w:cs="Book Antiqua"/>
          <w:color w:val="000000"/>
        </w:rPr>
        <w:t xml:space="preserve"> 2008; </w:t>
      </w:r>
      <w:r w:rsidRPr="00FB188E">
        <w:rPr>
          <w:rFonts w:ascii="Book Antiqua" w:eastAsia="Book Antiqua" w:hAnsi="Book Antiqua" w:cs="Book Antiqua"/>
          <w:b/>
          <w:bCs/>
          <w:color w:val="000000"/>
        </w:rPr>
        <w:t>9</w:t>
      </w:r>
      <w:r w:rsidRPr="00FB188E">
        <w:rPr>
          <w:rFonts w:ascii="Book Antiqua" w:eastAsia="Book Antiqua" w:hAnsi="Book Antiqua" w:cs="Book Antiqua"/>
          <w:color w:val="000000"/>
        </w:rPr>
        <w:t>: 1013-1024 [PMID: 18991612 DOI: 10.2174/138945008786786127]</w:t>
      </w:r>
    </w:p>
    <w:p w14:paraId="632076D9"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6 </w:t>
      </w:r>
      <w:r w:rsidRPr="00FB188E">
        <w:rPr>
          <w:rFonts w:ascii="Book Antiqua" w:eastAsia="Book Antiqua" w:hAnsi="Book Antiqua" w:cs="Book Antiqua"/>
          <w:b/>
          <w:bCs/>
          <w:color w:val="000000"/>
        </w:rPr>
        <w:t>Chen TC</w:t>
      </w:r>
      <w:r w:rsidRPr="00FB188E">
        <w:rPr>
          <w:rFonts w:ascii="Book Antiqua" w:eastAsia="Book Antiqua" w:hAnsi="Book Antiqua" w:cs="Book Antiqua"/>
          <w:color w:val="000000"/>
        </w:rPr>
        <w:t xml:space="preserve">, Hsieh LL, Ng KF, </w:t>
      </w:r>
      <w:proofErr w:type="spellStart"/>
      <w:r w:rsidRPr="00FB188E">
        <w:rPr>
          <w:rFonts w:ascii="Book Antiqua" w:eastAsia="Book Antiqua" w:hAnsi="Book Antiqua" w:cs="Book Antiqua"/>
          <w:color w:val="000000"/>
        </w:rPr>
        <w:t>Jeng</w:t>
      </w:r>
      <w:proofErr w:type="spellEnd"/>
      <w:r w:rsidRPr="00FB188E">
        <w:rPr>
          <w:rFonts w:ascii="Book Antiqua" w:eastAsia="Book Antiqua" w:hAnsi="Book Antiqua" w:cs="Book Antiqua"/>
          <w:color w:val="000000"/>
        </w:rPr>
        <w:t xml:space="preserve"> LB, Chen MF. Absence of APC gene mutation in the mutation cluster region in hepatocellular carcinoma. </w:t>
      </w:r>
      <w:r w:rsidRPr="00FB188E">
        <w:rPr>
          <w:rFonts w:ascii="Book Antiqua" w:eastAsia="Book Antiqua" w:hAnsi="Book Antiqua" w:cs="Book Antiqua"/>
          <w:i/>
          <w:iCs/>
          <w:color w:val="000000"/>
        </w:rPr>
        <w:t>Cancer Lett</w:t>
      </w:r>
      <w:r w:rsidRPr="00FB188E">
        <w:rPr>
          <w:rFonts w:ascii="Book Antiqua" w:eastAsia="Book Antiqua" w:hAnsi="Book Antiqua" w:cs="Book Antiqua"/>
          <w:color w:val="000000"/>
        </w:rPr>
        <w:t xml:space="preserve"> 1998; </w:t>
      </w:r>
      <w:r w:rsidRPr="00FB188E">
        <w:rPr>
          <w:rFonts w:ascii="Book Antiqua" w:eastAsia="Book Antiqua" w:hAnsi="Book Antiqua" w:cs="Book Antiqua"/>
          <w:b/>
          <w:bCs/>
          <w:color w:val="000000"/>
        </w:rPr>
        <w:t>134</w:t>
      </w:r>
      <w:r w:rsidRPr="00FB188E">
        <w:rPr>
          <w:rFonts w:ascii="Book Antiqua" w:eastAsia="Book Antiqua" w:hAnsi="Book Antiqua" w:cs="Book Antiqua"/>
          <w:color w:val="000000"/>
        </w:rPr>
        <w:t>: 23-28 [PMID: 10381126 DOI: 10.1016/s0304-3835(98)00238-9]</w:t>
      </w:r>
    </w:p>
    <w:p w14:paraId="6F7C46A2"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7 </w:t>
      </w:r>
      <w:r w:rsidRPr="00FB188E">
        <w:rPr>
          <w:rFonts w:ascii="Book Antiqua" w:eastAsia="Book Antiqua" w:hAnsi="Book Antiqua" w:cs="Book Antiqua"/>
          <w:b/>
          <w:bCs/>
          <w:color w:val="000000"/>
        </w:rPr>
        <w:t>Gala MK</w:t>
      </w:r>
      <w:r w:rsidRPr="00FB188E">
        <w:rPr>
          <w:rFonts w:ascii="Book Antiqua" w:eastAsia="Book Antiqua" w:hAnsi="Book Antiqua" w:cs="Book Antiqua"/>
          <w:color w:val="000000"/>
        </w:rPr>
        <w:t xml:space="preserve">, Chan AT. Molecular pathways: aspirin and </w:t>
      </w:r>
      <w:proofErr w:type="spellStart"/>
      <w:r w:rsidRPr="00FB188E">
        <w:rPr>
          <w:rFonts w:ascii="Book Antiqua" w:eastAsia="Book Antiqua" w:hAnsi="Book Antiqua" w:cs="Book Antiqua"/>
          <w:color w:val="000000"/>
        </w:rPr>
        <w:t>Wnt</w:t>
      </w:r>
      <w:proofErr w:type="spellEnd"/>
      <w:r w:rsidRPr="00FB188E">
        <w:rPr>
          <w:rFonts w:ascii="Book Antiqua" w:eastAsia="Book Antiqua" w:hAnsi="Book Antiqua" w:cs="Book Antiqua"/>
          <w:color w:val="000000"/>
        </w:rPr>
        <w:t xml:space="preserve"> signaling-a molecularly targeted approach to cancer prevention and treatment. </w:t>
      </w:r>
      <w:r w:rsidRPr="00FB188E">
        <w:rPr>
          <w:rFonts w:ascii="Book Antiqua" w:eastAsia="Book Antiqua" w:hAnsi="Book Antiqua" w:cs="Book Antiqua"/>
          <w:i/>
          <w:iCs/>
          <w:color w:val="000000"/>
        </w:rPr>
        <w:t>Clin Cancer Res</w:t>
      </w:r>
      <w:r w:rsidRPr="00FB188E">
        <w:rPr>
          <w:rFonts w:ascii="Book Antiqua" w:eastAsia="Book Antiqua" w:hAnsi="Book Antiqua" w:cs="Book Antiqua"/>
          <w:color w:val="000000"/>
        </w:rPr>
        <w:t xml:space="preserve"> 2015; </w:t>
      </w:r>
      <w:r w:rsidRPr="00FB188E">
        <w:rPr>
          <w:rFonts w:ascii="Book Antiqua" w:eastAsia="Book Antiqua" w:hAnsi="Book Antiqua" w:cs="Book Antiqua"/>
          <w:b/>
          <w:bCs/>
          <w:color w:val="000000"/>
        </w:rPr>
        <w:t>21</w:t>
      </w:r>
      <w:r w:rsidRPr="00FB188E">
        <w:rPr>
          <w:rFonts w:ascii="Book Antiqua" w:eastAsia="Book Antiqua" w:hAnsi="Book Antiqua" w:cs="Book Antiqua"/>
          <w:color w:val="000000"/>
        </w:rPr>
        <w:t>: 1543-1548 [PMID: 25501125 DOI: 10.1158/1078-0432.CCR-14-0877]</w:t>
      </w:r>
    </w:p>
    <w:p w14:paraId="0DAEB2F6"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 xml:space="preserve">8 </w:t>
      </w:r>
      <w:r w:rsidRPr="00FB188E">
        <w:rPr>
          <w:rFonts w:ascii="Book Antiqua" w:eastAsia="Book Antiqua" w:hAnsi="Book Antiqua" w:cs="Book Antiqua"/>
          <w:b/>
          <w:bCs/>
          <w:color w:val="000000"/>
        </w:rPr>
        <w:t>Hammoud GM</w:t>
      </w:r>
      <w:r w:rsidRPr="00FB188E">
        <w:rPr>
          <w:rFonts w:ascii="Book Antiqua" w:eastAsia="Book Antiqua" w:hAnsi="Book Antiqua" w:cs="Book Antiqua"/>
          <w:color w:val="000000"/>
        </w:rPr>
        <w:t xml:space="preserve">, </w:t>
      </w:r>
      <w:proofErr w:type="spellStart"/>
      <w:r w:rsidRPr="00FB188E">
        <w:rPr>
          <w:rFonts w:ascii="Book Antiqua" w:eastAsia="Book Antiqua" w:hAnsi="Book Antiqua" w:cs="Book Antiqua"/>
          <w:color w:val="000000"/>
        </w:rPr>
        <w:t>Ibdah</w:t>
      </w:r>
      <w:proofErr w:type="spellEnd"/>
      <w:r w:rsidRPr="00FB188E">
        <w:rPr>
          <w:rFonts w:ascii="Book Antiqua" w:eastAsia="Book Antiqua" w:hAnsi="Book Antiqua" w:cs="Book Antiqua"/>
          <w:color w:val="000000"/>
        </w:rPr>
        <w:t xml:space="preserve"> JA. Are we getting closer to understanding intratumor heterogeneity in hepatocellular carcinoma? </w:t>
      </w:r>
      <w:r w:rsidRPr="00FB188E">
        <w:rPr>
          <w:rFonts w:ascii="Book Antiqua" w:eastAsia="Book Antiqua" w:hAnsi="Book Antiqua" w:cs="Book Antiqua"/>
          <w:i/>
          <w:iCs/>
          <w:color w:val="000000"/>
        </w:rPr>
        <w:t xml:space="preserve">Hepatobiliary Surg </w:t>
      </w:r>
      <w:proofErr w:type="spellStart"/>
      <w:r w:rsidRPr="00FB188E">
        <w:rPr>
          <w:rFonts w:ascii="Book Antiqua" w:eastAsia="Book Antiqua" w:hAnsi="Book Antiqua" w:cs="Book Antiqua"/>
          <w:i/>
          <w:iCs/>
          <w:color w:val="000000"/>
        </w:rPr>
        <w:t>Nutr</w:t>
      </w:r>
      <w:proofErr w:type="spellEnd"/>
      <w:r w:rsidRPr="00FB188E">
        <w:rPr>
          <w:rFonts w:ascii="Book Antiqua" w:eastAsia="Book Antiqua" w:hAnsi="Book Antiqua" w:cs="Book Antiqua"/>
          <w:color w:val="000000"/>
        </w:rPr>
        <w:t xml:space="preserve"> 2016; </w:t>
      </w:r>
      <w:r w:rsidRPr="00FB188E">
        <w:rPr>
          <w:rFonts w:ascii="Book Antiqua" w:eastAsia="Book Antiqua" w:hAnsi="Book Antiqua" w:cs="Book Antiqua"/>
          <w:b/>
          <w:bCs/>
          <w:color w:val="000000"/>
        </w:rPr>
        <w:t>5</w:t>
      </w:r>
      <w:r w:rsidRPr="00FB188E">
        <w:rPr>
          <w:rFonts w:ascii="Book Antiqua" w:eastAsia="Book Antiqua" w:hAnsi="Book Antiqua" w:cs="Book Antiqua"/>
          <w:color w:val="000000"/>
        </w:rPr>
        <w:t>: 188-190 [PMID: 27115014 DOI: 10.3978/j.issn.2304-3881.2016.01.06]</w:t>
      </w:r>
    </w:p>
    <w:p w14:paraId="7DCF4EE1" w14:textId="77777777" w:rsidR="005B064C" w:rsidRPr="00FB188E" w:rsidRDefault="00922338" w:rsidP="00FB188E">
      <w:pPr>
        <w:adjustRightInd w:val="0"/>
        <w:snapToGrid w:val="0"/>
        <w:spacing w:line="360" w:lineRule="auto"/>
        <w:jc w:val="both"/>
        <w:rPr>
          <w:rFonts w:ascii="Book Antiqua" w:eastAsia="Book Antiqua" w:hAnsi="Book Antiqua" w:cs="Book Antiqua"/>
          <w:color w:val="000000"/>
        </w:rPr>
      </w:pPr>
      <w:r w:rsidRPr="00FB188E">
        <w:rPr>
          <w:rFonts w:ascii="Book Antiqua" w:eastAsia="Book Antiqua" w:hAnsi="Book Antiqua" w:cs="Book Antiqua"/>
          <w:color w:val="000000"/>
        </w:rPr>
        <w:t xml:space="preserve">9 </w:t>
      </w:r>
      <w:r w:rsidRPr="00FB188E">
        <w:rPr>
          <w:rFonts w:ascii="Book Antiqua" w:eastAsia="Book Antiqua" w:hAnsi="Book Antiqua" w:cs="Book Antiqua"/>
          <w:b/>
          <w:bCs/>
          <w:color w:val="000000"/>
        </w:rPr>
        <w:t>Barker N</w:t>
      </w:r>
      <w:r w:rsidRPr="00FB188E">
        <w:rPr>
          <w:rFonts w:ascii="Book Antiqua" w:eastAsia="Book Antiqua" w:hAnsi="Book Antiqua" w:cs="Book Antiqua"/>
          <w:color w:val="000000"/>
        </w:rPr>
        <w:t xml:space="preserve">, </w:t>
      </w:r>
      <w:proofErr w:type="spellStart"/>
      <w:r w:rsidRPr="00FB188E">
        <w:rPr>
          <w:rFonts w:ascii="Book Antiqua" w:eastAsia="Book Antiqua" w:hAnsi="Book Antiqua" w:cs="Book Antiqua"/>
          <w:color w:val="000000"/>
        </w:rPr>
        <w:t>Clevers</w:t>
      </w:r>
      <w:proofErr w:type="spellEnd"/>
      <w:r w:rsidRPr="00FB188E">
        <w:rPr>
          <w:rFonts w:ascii="Book Antiqua" w:eastAsia="Book Antiqua" w:hAnsi="Book Antiqua" w:cs="Book Antiqua"/>
          <w:color w:val="000000"/>
        </w:rPr>
        <w:t xml:space="preserve"> H. Mining the </w:t>
      </w:r>
      <w:proofErr w:type="spellStart"/>
      <w:r w:rsidRPr="00FB188E">
        <w:rPr>
          <w:rFonts w:ascii="Book Antiqua" w:eastAsia="Book Antiqua" w:hAnsi="Book Antiqua" w:cs="Book Antiqua"/>
          <w:color w:val="000000"/>
        </w:rPr>
        <w:t>Wnt</w:t>
      </w:r>
      <w:proofErr w:type="spellEnd"/>
      <w:r w:rsidRPr="00FB188E">
        <w:rPr>
          <w:rFonts w:ascii="Book Antiqua" w:eastAsia="Book Antiqua" w:hAnsi="Book Antiqua" w:cs="Book Antiqua"/>
          <w:color w:val="000000"/>
        </w:rPr>
        <w:t xml:space="preserve"> pathway for cancer therapeutics. </w:t>
      </w:r>
      <w:r w:rsidRPr="00FB188E">
        <w:rPr>
          <w:rFonts w:ascii="Book Antiqua" w:eastAsia="Book Antiqua" w:hAnsi="Book Antiqua" w:cs="Book Antiqua"/>
          <w:i/>
          <w:iCs/>
          <w:color w:val="000000"/>
        </w:rPr>
        <w:t xml:space="preserve">Nat Rev Drug </w:t>
      </w:r>
      <w:proofErr w:type="spellStart"/>
      <w:r w:rsidRPr="00FB188E">
        <w:rPr>
          <w:rFonts w:ascii="Book Antiqua" w:eastAsia="Book Antiqua" w:hAnsi="Book Antiqua" w:cs="Book Antiqua"/>
          <w:i/>
          <w:iCs/>
          <w:color w:val="000000"/>
        </w:rPr>
        <w:t>Discov</w:t>
      </w:r>
      <w:proofErr w:type="spellEnd"/>
      <w:r w:rsidRPr="00FB188E">
        <w:rPr>
          <w:rFonts w:ascii="Book Antiqua" w:eastAsia="Book Antiqua" w:hAnsi="Book Antiqua" w:cs="Book Antiqua"/>
          <w:color w:val="000000"/>
        </w:rPr>
        <w:t xml:space="preserve"> 2006; </w:t>
      </w:r>
      <w:r w:rsidRPr="00FB188E">
        <w:rPr>
          <w:rFonts w:ascii="Book Antiqua" w:eastAsia="Book Antiqua" w:hAnsi="Book Antiqua" w:cs="Book Antiqua"/>
          <w:b/>
          <w:bCs/>
          <w:color w:val="000000"/>
        </w:rPr>
        <w:t>5</w:t>
      </w:r>
      <w:r w:rsidRPr="00FB188E">
        <w:rPr>
          <w:rFonts w:ascii="Book Antiqua" w:eastAsia="Book Antiqua" w:hAnsi="Book Antiqua" w:cs="Book Antiqua"/>
          <w:color w:val="000000"/>
        </w:rPr>
        <w:t>: 997-1014 [PMID: 17139285 DOI: 10.1038/nrd2154]</w:t>
      </w:r>
    </w:p>
    <w:p w14:paraId="71D2DB1B" w14:textId="77777777" w:rsidR="005B064C" w:rsidRPr="00FB188E" w:rsidRDefault="005B064C" w:rsidP="00FB188E">
      <w:pPr>
        <w:adjustRightInd w:val="0"/>
        <w:snapToGrid w:val="0"/>
        <w:spacing w:line="360" w:lineRule="auto"/>
        <w:jc w:val="both"/>
        <w:rPr>
          <w:rFonts w:ascii="Book Antiqua" w:eastAsia="Book Antiqua" w:hAnsi="Book Antiqua" w:cs="Book Antiqua"/>
          <w:color w:val="000000"/>
        </w:rPr>
      </w:pPr>
    </w:p>
    <w:p w14:paraId="62BD27E1" w14:textId="77777777" w:rsidR="005B064C" w:rsidRPr="00FB188E" w:rsidRDefault="005B064C" w:rsidP="00FB188E">
      <w:pPr>
        <w:adjustRightInd w:val="0"/>
        <w:snapToGrid w:val="0"/>
        <w:spacing w:line="360" w:lineRule="auto"/>
        <w:jc w:val="both"/>
        <w:rPr>
          <w:rFonts w:ascii="Book Antiqua" w:eastAsia="Book Antiqua" w:hAnsi="Book Antiqua" w:cs="Book Antiqua"/>
          <w:color w:val="000000"/>
        </w:rPr>
      </w:pPr>
    </w:p>
    <w:p w14:paraId="0C815918" w14:textId="412C7CD1"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olor w:val="000000"/>
        </w:rPr>
        <w:lastRenderedPageBreak/>
        <w:t>Footnotes</w:t>
      </w:r>
    </w:p>
    <w:p w14:paraId="59439A00"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bCs/>
          <w:color w:val="000000"/>
        </w:rPr>
        <w:t xml:space="preserve">Informed consent statement: </w:t>
      </w:r>
      <w:r w:rsidRPr="00FB188E">
        <w:rPr>
          <w:rFonts w:ascii="Book Antiqua" w:eastAsia="Book Antiqua" w:hAnsi="Book Antiqua" w:cs="Book Antiqua"/>
          <w:color w:val="000000"/>
        </w:rPr>
        <w:t>Informed written consent was obtained from the patient for publication of this report and any accompanying images.</w:t>
      </w:r>
    </w:p>
    <w:p w14:paraId="1177D941" w14:textId="77777777" w:rsidR="00A77B3E" w:rsidRPr="00FB188E" w:rsidRDefault="00A77B3E" w:rsidP="00FB188E">
      <w:pPr>
        <w:adjustRightInd w:val="0"/>
        <w:snapToGrid w:val="0"/>
        <w:spacing w:line="360" w:lineRule="auto"/>
        <w:jc w:val="both"/>
        <w:rPr>
          <w:rFonts w:ascii="Book Antiqua" w:hAnsi="Book Antiqua"/>
        </w:rPr>
      </w:pPr>
    </w:p>
    <w:p w14:paraId="3DD651A1"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bCs/>
          <w:color w:val="000000"/>
        </w:rPr>
        <w:t xml:space="preserve">Conflict-of-interest statement: </w:t>
      </w:r>
      <w:r w:rsidRPr="00FB188E">
        <w:rPr>
          <w:rFonts w:ascii="Book Antiqua" w:eastAsia="Book Antiqua" w:hAnsi="Book Antiqua" w:cs="Book Antiqua"/>
          <w:color w:val="000000"/>
        </w:rPr>
        <w:t>The authors declare that they have no conflict of interest.</w:t>
      </w:r>
    </w:p>
    <w:p w14:paraId="62065E1C" w14:textId="77777777" w:rsidR="00A77B3E" w:rsidRPr="00FB188E" w:rsidRDefault="00A77B3E" w:rsidP="00FB188E">
      <w:pPr>
        <w:adjustRightInd w:val="0"/>
        <w:snapToGrid w:val="0"/>
        <w:spacing w:line="360" w:lineRule="auto"/>
        <w:jc w:val="both"/>
        <w:rPr>
          <w:rFonts w:ascii="Book Antiqua" w:hAnsi="Book Antiqua"/>
        </w:rPr>
      </w:pPr>
    </w:p>
    <w:p w14:paraId="29554319"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bCs/>
          <w:color w:val="000000"/>
        </w:rPr>
        <w:t xml:space="preserve">CARE Checklist (2016) statement: </w:t>
      </w:r>
      <w:r w:rsidRPr="00FB188E">
        <w:rPr>
          <w:rFonts w:ascii="Book Antiqua" w:eastAsia="Book Antiqua" w:hAnsi="Book Antiqua" w:cs="Book Antiqua"/>
          <w:color w:val="000000"/>
        </w:rPr>
        <w:t>The authors have read the CARE Checklist (2016), and the manuscript was prepared and revised according to the CARE Checklist (2016).</w:t>
      </w:r>
    </w:p>
    <w:p w14:paraId="46FBD146" w14:textId="77777777" w:rsidR="00A77B3E" w:rsidRPr="00FB188E" w:rsidRDefault="00A77B3E" w:rsidP="00FB188E">
      <w:pPr>
        <w:adjustRightInd w:val="0"/>
        <w:snapToGrid w:val="0"/>
        <w:spacing w:line="360" w:lineRule="auto"/>
        <w:jc w:val="both"/>
        <w:rPr>
          <w:rFonts w:ascii="Book Antiqua" w:hAnsi="Book Antiqua"/>
        </w:rPr>
      </w:pPr>
    </w:p>
    <w:p w14:paraId="4598574D"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bCs/>
          <w:color w:val="000000"/>
        </w:rPr>
        <w:t xml:space="preserve">Open-Access: </w:t>
      </w:r>
      <w:r w:rsidRPr="00FB188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B188E">
        <w:rPr>
          <w:rFonts w:ascii="Book Antiqua" w:eastAsia="Book Antiqua" w:hAnsi="Book Antiqua" w:cs="Book Antiqua"/>
          <w:color w:val="000000"/>
        </w:rPr>
        <w:t>NonCommercial</w:t>
      </w:r>
      <w:proofErr w:type="spellEnd"/>
      <w:r w:rsidRPr="00FB188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59FBE5" w14:textId="77777777" w:rsidR="00A77B3E" w:rsidRPr="00FB188E" w:rsidRDefault="00A77B3E" w:rsidP="00FB188E">
      <w:pPr>
        <w:adjustRightInd w:val="0"/>
        <w:snapToGrid w:val="0"/>
        <w:spacing w:line="360" w:lineRule="auto"/>
        <w:jc w:val="both"/>
        <w:rPr>
          <w:rFonts w:ascii="Book Antiqua" w:hAnsi="Book Antiqua"/>
        </w:rPr>
      </w:pPr>
    </w:p>
    <w:p w14:paraId="17212848" w14:textId="6A25617A"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olor w:val="000000"/>
        </w:rPr>
        <w:t xml:space="preserve">Manuscript source: </w:t>
      </w:r>
      <w:r w:rsidRPr="00FB188E">
        <w:rPr>
          <w:rFonts w:ascii="Book Antiqua" w:eastAsia="Book Antiqua" w:hAnsi="Book Antiqua" w:cs="Book Antiqua"/>
          <w:color w:val="000000"/>
        </w:rPr>
        <w:t xml:space="preserve">Unsolicited </w:t>
      </w:r>
      <w:r w:rsidR="00F74C71" w:rsidRPr="00FB188E">
        <w:rPr>
          <w:rFonts w:ascii="Book Antiqua" w:eastAsia="Book Antiqua" w:hAnsi="Book Antiqua" w:cs="Book Antiqua"/>
          <w:color w:val="000000"/>
        </w:rPr>
        <w:t>manuscript</w:t>
      </w:r>
    </w:p>
    <w:p w14:paraId="6E130C73" w14:textId="77777777" w:rsidR="00A77B3E" w:rsidRPr="00FB188E" w:rsidRDefault="00A77B3E" w:rsidP="00FB188E">
      <w:pPr>
        <w:adjustRightInd w:val="0"/>
        <w:snapToGrid w:val="0"/>
        <w:spacing w:line="360" w:lineRule="auto"/>
        <w:jc w:val="both"/>
        <w:rPr>
          <w:rFonts w:ascii="Book Antiqua" w:hAnsi="Book Antiqua"/>
        </w:rPr>
      </w:pPr>
    </w:p>
    <w:p w14:paraId="6BD18C1F"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olor w:val="000000"/>
        </w:rPr>
        <w:t xml:space="preserve">Peer-review started: </w:t>
      </w:r>
      <w:r w:rsidRPr="00FB188E">
        <w:rPr>
          <w:rFonts w:ascii="Book Antiqua" w:eastAsia="Book Antiqua" w:hAnsi="Book Antiqua" w:cs="Book Antiqua"/>
          <w:color w:val="000000"/>
        </w:rPr>
        <w:t>February 1, 2021</w:t>
      </w:r>
    </w:p>
    <w:p w14:paraId="60F96657"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olor w:val="000000"/>
        </w:rPr>
        <w:t xml:space="preserve">First decision: </w:t>
      </w:r>
      <w:r w:rsidRPr="00FB188E">
        <w:rPr>
          <w:rFonts w:ascii="Book Antiqua" w:eastAsia="Book Antiqua" w:hAnsi="Book Antiqua" w:cs="Book Antiqua"/>
          <w:color w:val="000000"/>
        </w:rPr>
        <w:t>March 7, 2021</w:t>
      </w:r>
    </w:p>
    <w:p w14:paraId="5AD7F2CB"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olor w:val="000000"/>
        </w:rPr>
        <w:t xml:space="preserve">Article in press: </w:t>
      </w:r>
    </w:p>
    <w:p w14:paraId="298A31C2" w14:textId="77777777" w:rsidR="00A77B3E" w:rsidRPr="00FB188E" w:rsidRDefault="00A77B3E" w:rsidP="00FB188E">
      <w:pPr>
        <w:adjustRightInd w:val="0"/>
        <w:snapToGrid w:val="0"/>
        <w:spacing w:line="360" w:lineRule="auto"/>
        <w:jc w:val="both"/>
        <w:rPr>
          <w:rFonts w:ascii="Book Antiqua" w:hAnsi="Book Antiqua"/>
        </w:rPr>
      </w:pPr>
    </w:p>
    <w:p w14:paraId="35A3BB6A"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olor w:val="000000"/>
        </w:rPr>
        <w:t xml:space="preserve">Specialty type: </w:t>
      </w:r>
      <w:r w:rsidRPr="00FB188E">
        <w:rPr>
          <w:rFonts w:ascii="Book Antiqua" w:eastAsia="Book Antiqua" w:hAnsi="Book Antiqua" w:cs="Book Antiqua"/>
          <w:color w:val="000000"/>
        </w:rPr>
        <w:t>Medicine, Research and Experimental</w:t>
      </w:r>
    </w:p>
    <w:p w14:paraId="6559A679"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olor w:val="000000"/>
        </w:rPr>
        <w:t xml:space="preserve">Country/Territory of origin: </w:t>
      </w:r>
      <w:r w:rsidRPr="00FB188E">
        <w:rPr>
          <w:rFonts w:ascii="Book Antiqua" w:eastAsia="Book Antiqua" w:hAnsi="Book Antiqua" w:cs="Book Antiqua"/>
          <w:color w:val="000000"/>
        </w:rPr>
        <w:t>China</w:t>
      </w:r>
    </w:p>
    <w:p w14:paraId="3B546F69"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color w:val="000000"/>
        </w:rPr>
        <w:t>Peer-review report’s scientific quality classification</w:t>
      </w:r>
    </w:p>
    <w:p w14:paraId="3142E7DC"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Grade A (Excellent): 0</w:t>
      </w:r>
    </w:p>
    <w:p w14:paraId="6EC5BF28"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Grade B (Very good): B</w:t>
      </w:r>
    </w:p>
    <w:p w14:paraId="33435260" w14:textId="0A4D1654"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Grade C (Good): C, C</w:t>
      </w:r>
      <w:r w:rsidR="00FA1E6A" w:rsidRPr="00FB188E">
        <w:rPr>
          <w:rFonts w:ascii="Book Antiqua" w:eastAsia="Book Antiqua" w:hAnsi="Book Antiqua" w:cs="Book Antiqua"/>
          <w:color w:val="000000"/>
        </w:rPr>
        <w:t>, C</w:t>
      </w:r>
    </w:p>
    <w:p w14:paraId="38BBF5A2"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lastRenderedPageBreak/>
        <w:t>Grade D (Fair): 0</w:t>
      </w:r>
    </w:p>
    <w:p w14:paraId="1DCB09A4" w14:textId="77777777" w:rsidR="00A77B3E" w:rsidRPr="00FB188E" w:rsidRDefault="00922338" w:rsidP="00FB188E">
      <w:pPr>
        <w:adjustRightInd w:val="0"/>
        <w:snapToGrid w:val="0"/>
        <w:spacing w:line="360" w:lineRule="auto"/>
        <w:jc w:val="both"/>
        <w:rPr>
          <w:rFonts w:ascii="Book Antiqua" w:hAnsi="Book Antiqua"/>
        </w:rPr>
      </w:pPr>
      <w:r w:rsidRPr="00FB188E">
        <w:rPr>
          <w:rFonts w:ascii="Book Antiqua" w:eastAsia="Book Antiqua" w:hAnsi="Book Antiqua" w:cs="Book Antiqua"/>
          <w:color w:val="000000"/>
        </w:rPr>
        <w:t>Grade E (Poor): 0</w:t>
      </w:r>
    </w:p>
    <w:p w14:paraId="113D9E7D" w14:textId="77777777" w:rsidR="00A77B3E" w:rsidRPr="00FB188E" w:rsidRDefault="00A77B3E" w:rsidP="00FB188E">
      <w:pPr>
        <w:adjustRightInd w:val="0"/>
        <w:snapToGrid w:val="0"/>
        <w:spacing w:line="360" w:lineRule="auto"/>
        <w:jc w:val="both"/>
        <w:rPr>
          <w:rFonts w:ascii="Book Antiqua" w:hAnsi="Book Antiqua"/>
        </w:rPr>
      </w:pPr>
    </w:p>
    <w:p w14:paraId="67DF65F7" w14:textId="19B36A37" w:rsidR="00A77B3E" w:rsidRPr="00FB188E" w:rsidRDefault="00922338" w:rsidP="00FB188E">
      <w:pPr>
        <w:adjustRightInd w:val="0"/>
        <w:snapToGrid w:val="0"/>
        <w:spacing w:line="360" w:lineRule="auto"/>
        <w:jc w:val="both"/>
        <w:rPr>
          <w:rFonts w:ascii="Book Antiqua" w:eastAsia="Book Antiqua" w:hAnsi="Book Antiqua" w:cs="Book Antiqua"/>
          <w:b/>
          <w:color w:val="000000"/>
        </w:rPr>
      </w:pPr>
      <w:r w:rsidRPr="00FB188E">
        <w:rPr>
          <w:rFonts w:ascii="Book Antiqua" w:eastAsia="Book Antiqua" w:hAnsi="Book Antiqua" w:cs="Book Antiqua"/>
          <w:b/>
          <w:color w:val="000000"/>
        </w:rPr>
        <w:t xml:space="preserve">P-Reviewer: </w:t>
      </w:r>
      <w:r w:rsidRPr="00FB188E">
        <w:rPr>
          <w:rFonts w:ascii="Book Antiqua" w:eastAsia="Book Antiqua" w:hAnsi="Book Antiqua" w:cs="Book Antiqua"/>
          <w:color w:val="000000"/>
        </w:rPr>
        <w:t xml:space="preserve">Di </w:t>
      </w:r>
      <w:proofErr w:type="spellStart"/>
      <w:r w:rsidRPr="00FB188E">
        <w:rPr>
          <w:rFonts w:ascii="Book Antiqua" w:eastAsia="Book Antiqua" w:hAnsi="Book Antiqua" w:cs="Book Antiqua"/>
          <w:color w:val="000000"/>
        </w:rPr>
        <w:t>Pasqua</w:t>
      </w:r>
      <w:proofErr w:type="spellEnd"/>
      <w:r w:rsidRPr="00FB188E">
        <w:rPr>
          <w:rFonts w:ascii="Book Antiqua" w:eastAsia="Book Antiqua" w:hAnsi="Book Antiqua" w:cs="Book Antiqua"/>
          <w:color w:val="000000"/>
        </w:rPr>
        <w:t xml:space="preserve"> LG, lee Y</w:t>
      </w:r>
      <w:r w:rsidRPr="00FB188E">
        <w:rPr>
          <w:rFonts w:ascii="Book Antiqua" w:eastAsia="Book Antiqua" w:hAnsi="Book Antiqua" w:cs="Book Antiqua"/>
          <w:b/>
          <w:color w:val="000000"/>
        </w:rPr>
        <w:t xml:space="preserve"> S-Editor: </w:t>
      </w:r>
      <w:r w:rsidRPr="00FB188E">
        <w:rPr>
          <w:rFonts w:ascii="Book Antiqua" w:eastAsia="Book Antiqua" w:hAnsi="Book Antiqua" w:cs="Book Antiqua"/>
          <w:color w:val="000000"/>
        </w:rPr>
        <w:t>Wang JL</w:t>
      </w:r>
      <w:r w:rsidRPr="00FB188E">
        <w:rPr>
          <w:rFonts w:ascii="Book Antiqua" w:eastAsia="Book Antiqua" w:hAnsi="Book Antiqua" w:cs="Book Antiqua"/>
          <w:b/>
          <w:color w:val="000000"/>
        </w:rPr>
        <w:t xml:space="preserve"> L-Editor: </w:t>
      </w:r>
      <w:r w:rsidR="00E60FA5">
        <w:rPr>
          <w:rFonts w:ascii="Book Antiqua" w:eastAsia="Book Antiqua" w:hAnsi="Book Antiqua" w:cs="Book Antiqua"/>
          <w:color w:val="000000"/>
        </w:rPr>
        <w:t xml:space="preserve">Webster JR </w:t>
      </w:r>
      <w:r w:rsidRPr="00FB188E">
        <w:rPr>
          <w:rFonts w:ascii="Book Antiqua" w:eastAsia="Book Antiqua" w:hAnsi="Book Antiqua" w:cs="Book Antiqua"/>
          <w:b/>
          <w:color w:val="000000"/>
        </w:rPr>
        <w:t xml:space="preserve">P-Editor: </w:t>
      </w:r>
    </w:p>
    <w:p w14:paraId="4941B0A5" w14:textId="77777777" w:rsidR="005B064C" w:rsidRPr="00FB188E" w:rsidRDefault="005B064C" w:rsidP="00FB188E">
      <w:pPr>
        <w:adjustRightInd w:val="0"/>
        <w:snapToGrid w:val="0"/>
        <w:spacing w:line="360" w:lineRule="auto"/>
        <w:jc w:val="both"/>
        <w:rPr>
          <w:rFonts w:ascii="Book Antiqua" w:eastAsia="Book Antiqua" w:hAnsi="Book Antiqua" w:cs="Book Antiqua"/>
          <w:b/>
          <w:color w:val="000000"/>
        </w:rPr>
      </w:pPr>
    </w:p>
    <w:p w14:paraId="0BA99AF9" w14:textId="71568CD7" w:rsidR="00A77B3E" w:rsidRPr="00FB188E" w:rsidRDefault="00922338" w:rsidP="00FB188E">
      <w:pPr>
        <w:adjustRightInd w:val="0"/>
        <w:snapToGrid w:val="0"/>
        <w:spacing w:line="360" w:lineRule="auto"/>
        <w:jc w:val="both"/>
        <w:rPr>
          <w:rFonts w:ascii="Book Antiqua" w:eastAsia="Book Antiqua" w:hAnsi="Book Antiqua" w:cs="Book Antiqua"/>
          <w:b/>
          <w:color w:val="000000"/>
        </w:rPr>
      </w:pPr>
      <w:r w:rsidRPr="00FB188E">
        <w:rPr>
          <w:rFonts w:ascii="Book Antiqua" w:eastAsia="Book Antiqua" w:hAnsi="Book Antiqua" w:cs="Book Antiqua"/>
          <w:b/>
          <w:color w:val="000000"/>
        </w:rPr>
        <w:t>Figure Legends</w:t>
      </w:r>
    </w:p>
    <w:p w14:paraId="064E5613" w14:textId="3C5C3D67" w:rsidR="005B064C" w:rsidRPr="00FB188E" w:rsidRDefault="00AD7621" w:rsidP="00FB188E">
      <w:pPr>
        <w:adjustRightInd w:val="0"/>
        <w:snapToGrid w:val="0"/>
        <w:spacing w:line="360" w:lineRule="auto"/>
        <w:jc w:val="both"/>
        <w:rPr>
          <w:rFonts w:ascii="Book Antiqua" w:eastAsia="Book Antiqua" w:hAnsi="Book Antiqua" w:cs="Book Antiqua"/>
          <w:color w:val="000000"/>
        </w:rPr>
      </w:pPr>
      <w:r>
        <w:rPr>
          <w:noProof/>
          <w:lang w:val="en-GB" w:eastAsia="zh-CN"/>
        </w:rPr>
        <w:drawing>
          <wp:inline distT="0" distB="0" distL="0" distR="0" wp14:anchorId="39AC7927" wp14:editId="2ACE0665">
            <wp:extent cx="4810539" cy="595932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35614" cy="5990386"/>
                    </a:xfrm>
                    <a:prstGeom prst="rect">
                      <a:avLst/>
                    </a:prstGeom>
                  </pic:spPr>
                </pic:pic>
              </a:graphicData>
            </a:graphic>
          </wp:inline>
        </w:drawing>
      </w:r>
    </w:p>
    <w:p w14:paraId="2E56D831" w14:textId="77777777" w:rsidR="00AD7621" w:rsidRDefault="00AD7621" w:rsidP="00FB188E">
      <w:pPr>
        <w:adjustRightInd w:val="0"/>
        <w:snapToGrid w:val="0"/>
        <w:spacing w:line="360" w:lineRule="auto"/>
        <w:jc w:val="both"/>
        <w:rPr>
          <w:rFonts w:ascii="Book Antiqua" w:eastAsia="Book Antiqua" w:hAnsi="Book Antiqua" w:cs="Book Antiqua"/>
          <w:b/>
          <w:bCs/>
          <w:color w:val="000000"/>
        </w:rPr>
      </w:pPr>
      <w:r>
        <w:rPr>
          <w:noProof/>
          <w:lang w:val="en-GB" w:eastAsia="zh-CN"/>
        </w:rPr>
        <w:lastRenderedPageBreak/>
        <w:drawing>
          <wp:inline distT="0" distB="0" distL="0" distR="0" wp14:anchorId="1CAE1BD9" wp14:editId="57B306B3">
            <wp:extent cx="5573864" cy="370816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01914" cy="3726829"/>
                    </a:xfrm>
                    <a:prstGeom prst="rect">
                      <a:avLst/>
                    </a:prstGeom>
                  </pic:spPr>
                </pic:pic>
              </a:graphicData>
            </a:graphic>
          </wp:inline>
        </w:drawing>
      </w:r>
    </w:p>
    <w:p w14:paraId="0648CC1B" w14:textId="382373E6" w:rsidR="005B064C" w:rsidRPr="00FB188E" w:rsidRDefault="005B064C" w:rsidP="00FB188E">
      <w:pPr>
        <w:adjustRightInd w:val="0"/>
        <w:snapToGrid w:val="0"/>
        <w:spacing w:line="360" w:lineRule="auto"/>
        <w:jc w:val="both"/>
        <w:rPr>
          <w:rFonts w:ascii="Book Antiqua" w:hAnsi="Book Antiqua"/>
        </w:rPr>
      </w:pPr>
      <w:r w:rsidRPr="00FB188E">
        <w:rPr>
          <w:rFonts w:ascii="Book Antiqua" w:eastAsia="Book Antiqua" w:hAnsi="Book Antiqua" w:cs="Book Antiqua"/>
          <w:b/>
          <w:bCs/>
          <w:color w:val="000000"/>
        </w:rPr>
        <w:t>Figure 1 Patient information.</w:t>
      </w:r>
      <w:r w:rsidRPr="00FB188E">
        <w:rPr>
          <w:rFonts w:ascii="Book Antiqua" w:eastAsia="Book Antiqua" w:hAnsi="Book Antiqua" w:cs="Book Antiqua"/>
          <w:color w:val="000000"/>
        </w:rPr>
        <w:t xml:space="preserve"> A</w:t>
      </w:r>
      <w:r w:rsidR="00F062EB" w:rsidRPr="00FB188E">
        <w:rPr>
          <w:rFonts w:ascii="Book Antiqua" w:eastAsia="Book Antiqua" w:hAnsi="Book Antiqua" w:cs="Book Antiqua"/>
          <w:color w:val="000000"/>
        </w:rPr>
        <w:t>:</w:t>
      </w:r>
      <w:r w:rsidRPr="00FB188E">
        <w:rPr>
          <w:rFonts w:ascii="Book Antiqua" w:eastAsia="Book Antiqua" w:hAnsi="Book Antiqua" w:cs="Book Antiqua"/>
          <w:color w:val="000000"/>
        </w:rPr>
        <w:t xml:space="preserve"> Changes </w:t>
      </w:r>
      <w:r w:rsidR="00E60FA5">
        <w:rPr>
          <w:rFonts w:ascii="Book Antiqua" w:eastAsia="Book Antiqua" w:hAnsi="Book Antiqua" w:cs="Book Antiqua"/>
          <w:color w:val="000000"/>
        </w:rPr>
        <w:t>in</w:t>
      </w:r>
      <w:r w:rsidRPr="00FB188E">
        <w:rPr>
          <w:rFonts w:ascii="Book Antiqua" w:eastAsia="Book Antiqua" w:hAnsi="Book Antiqua" w:cs="Book Antiqua"/>
          <w:color w:val="000000"/>
        </w:rPr>
        <w:t xml:space="preserve"> alpha fetoprotein during treatment. B</w:t>
      </w:r>
      <w:r w:rsidR="00F062EB" w:rsidRPr="00FB188E">
        <w:rPr>
          <w:rFonts w:ascii="Book Antiqua" w:eastAsia="Book Antiqua" w:hAnsi="Book Antiqua" w:cs="Book Antiqua"/>
          <w:color w:val="000000"/>
        </w:rPr>
        <w:t xml:space="preserve">: </w:t>
      </w:r>
      <w:r w:rsidRPr="00FB188E">
        <w:rPr>
          <w:rFonts w:ascii="Book Antiqua" w:eastAsia="Book Antiqua" w:hAnsi="Book Antiqua" w:cs="Book Antiqua"/>
          <w:color w:val="000000"/>
        </w:rPr>
        <w:t xml:space="preserve">Mutation map of </w:t>
      </w:r>
      <w:r w:rsidR="000C6988" w:rsidRPr="00FB188E">
        <w:rPr>
          <w:rFonts w:ascii="Book Antiqua" w:eastAsia="Book Antiqua" w:hAnsi="Book Antiqua" w:cs="Book Antiqua"/>
          <w:color w:val="000000"/>
        </w:rPr>
        <w:t>adenomatous polyposis coli</w:t>
      </w:r>
      <w:r w:rsidRPr="00FB188E">
        <w:rPr>
          <w:rFonts w:ascii="Book Antiqua" w:eastAsia="Book Antiqua" w:hAnsi="Book Antiqua" w:cs="Book Antiqua"/>
          <w:color w:val="000000"/>
        </w:rPr>
        <w:t xml:space="preserve"> domains</w:t>
      </w:r>
      <w:r w:rsidR="00F062EB" w:rsidRPr="00FB188E">
        <w:rPr>
          <w:rFonts w:ascii="Book Antiqua" w:eastAsia="Book Antiqua" w:hAnsi="Book Antiqua" w:cs="Book Antiqua"/>
          <w:color w:val="000000"/>
        </w:rPr>
        <w:t>;</w:t>
      </w:r>
      <w:r w:rsidRPr="00FB188E">
        <w:rPr>
          <w:rFonts w:ascii="Book Antiqua" w:eastAsia="Book Antiqua" w:hAnsi="Book Antiqua" w:cs="Book Antiqua"/>
          <w:color w:val="000000"/>
        </w:rPr>
        <w:t xml:space="preserve"> C</w:t>
      </w:r>
      <w:r w:rsidR="00F062EB" w:rsidRPr="00FB188E">
        <w:rPr>
          <w:rFonts w:ascii="Book Antiqua" w:eastAsia="Book Antiqua" w:hAnsi="Book Antiqua" w:cs="Book Antiqua"/>
          <w:color w:val="000000"/>
        </w:rPr>
        <w:t>:</w:t>
      </w:r>
      <w:r w:rsidRPr="00FB188E">
        <w:rPr>
          <w:rFonts w:ascii="Book Antiqua" w:eastAsia="Book Antiqua" w:hAnsi="Book Antiqua" w:cs="Book Antiqua"/>
          <w:color w:val="000000"/>
        </w:rPr>
        <w:t xml:space="preserve"> Changes </w:t>
      </w:r>
      <w:r w:rsidR="00E60FA5">
        <w:rPr>
          <w:rFonts w:ascii="Book Antiqua" w:eastAsia="Book Antiqua" w:hAnsi="Book Antiqua" w:cs="Book Antiqua"/>
          <w:color w:val="000000"/>
        </w:rPr>
        <w:t>in</w:t>
      </w:r>
      <w:r w:rsidRPr="00FB188E">
        <w:rPr>
          <w:rFonts w:ascii="Book Antiqua" w:eastAsia="Book Antiqua" w:hAnsi="Book Antiqua" w:cs="Book Antiqua"/>
          <w:color w:val="000000"/>
        </w:rPr>
        <w:t xml:space="preserve"> tumor masses by magnetic resonance imaging before and after aspirin treatment. </w:t>
      </w:r>
      <w:r w:rsidR="000C6988" w:rsidRPr="00FB188E">
        <w:rPr>
          <w:rFonts w:ascii="Book Antiqua" w:eastAsia="Book Antiqua" w:hAnsi="Book Antiqua" w:cs="Book Antiqua"/>
          <w:color w:val="000000"/>
        </w:rPr>
        <w:t>APC: Adenomatous polyposis coli; TACE: Transcatheter arterial chemoembolization.</w:t>
      </w:r>
    </w:p>
    <w:p w14:paraId="20660EB1" w14:textId="77777777" w:rsidR="005B064C" w:rsidRPr="00FB188E" w:rsidRDefault="005B064C" w:rsidP="00FB188E">
      <w:pPr>
        <w:adjustRightInd w:val="0"/>
        <w:snapToGrid w:val="0"/>
        <w:spacing w:line="360" w:lineRule="auto"/>
        <w:jc w:val="both"/>
        <w:rPr>
          <w:rFonts w:ascii="Book Antiqua" w:hAnsi="Book Antiqua"/>
        </w:rPr>
      </w:pPr>
    </w:p>
    <w:p w14:paraId="5B406554" w14:textId="77777777" w:rsidR="005B064C" w:rsidRPr="00FB188E" w:rsidRDefault="005B064C" w:rsidP="00FB188E">
      <w:pPr>
        <w:adjustRightInd w:val="0"/>
        <w:snapToGrid w:val="0"/>
        <w:spacing w:line="360" w:lineRule="auto"/>
        <w:jc w:val="both"/>
        <w:rPr>
          <w:rFonts w:ascii="Book Antiqua" w:eastAsia="Book Antiqua" w:hAnsi="Book Antiqua" w:cs="Book Antiqua"/>
          <w:color w:val="000000"/>
        </w:rPr>
      </w:pPr>
      <w:r w:rsidRPr="00FB188E">
        <w:rPr>
          <w:rFonts w:ascii="Book Antiqua" w:hAnsi="Book Antiqua"/>
          <w:noProof/>
          <w:lang w:val="en-GB" w:eastAsia="zh-CN"/>
        </w:rPr>
        <w:lastRenderedPageBreak/>
        <w:drawing>
          <wp:inline distT="0" distB="0" distL="0" distR="0" wp14:anchorId="7AD53585" wp14:editId="55BDFE8D">
            <wp:extent cx="5462546" cy="39532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4704" cy="3962009"/>
                    </a:xfrm>
                    <a:prstGeom prst="rect">
                      <a:avLst/>
                    </a:prstGeom>
                    <a:noFill/>
                    <a:ln>
                      <a:noFill/>
                    </a:ln>
                  </pic:spPr>
                </pic:pic>
              </a:graphicData>
            </a:graphic>
          </wp:inline>
        </w:drawing>
      </w:r>
    </w:p>
    <w:p w14:paraId="2CF086F3" w14:textId="1E1A04F3" w:rsidR="005B064C" w:rsidRPr="00FB188E" w:rsidRDefault="00922338" w:rsidP="00FB188E">
      <w:pPr>
        <w:adjustRightInd w:val="0"/>
        <w:snapToGrid w:val="0"/>
        <w:spacing w:line="360" w:lineRule="auto"/>
        <w:jc w:val="both"/>
        <w:rPr>
          <w:rFonts w:ascii="Book Antiqua" w:eastAsia="Book Antiqua" w:hAnsi="Book Antiqua" w:cs="Book Antiqua"/>
          <w:color w:val="000000"/>
        </w:rPr>
      </w:pPr>
      <w:r w:rsidRPr="00FB188E">
        <w:rPr>
          <w:rFonts w:ascii="Book Antiqua" w:eastAsia="Book Antiqua" w:hAnsi="Book Antiqua" w:cs="Book Antiqua"/>
          <w:b/>
          <w:bCs/>
          <w:color w:val="000000"/>
        </w:rPr>
        <w:t xml:space="preserve">Figure </w:t>
      </w:r>
      <w:r w:rsidR="005B064C" w:rsidRPr="00FB188E">
        <w:rPr>
          <w:rFonts w:ascii="Book Antiqua" w:eastAsia="Book Antiqua" w:hAnsi="Book Antiqua" w:cs="Book Antiqua"/>
          <w:b/>
          <w:bCs/>
          <w:color w:val="000000"/>
        </w:rPr>
        <w:t>2</w:t>
      </w:r>
      <w:r w:rsidRPr="00FB188E">
        <w:rPr>
          <w:rFonts w:ascii="Book Antiqua" w:eastAsia="Book Antiqua" w:hAnsi="Book Antiqua" w:cs="Book Antiqua"/>
          <w:b/>
          <w:bCs/>
          <w:color w:val="000000"/>
        </w:rPr>
        <w:t xml:space="preserve"> Gene mutation profiles</w:t>
      </w:r>
      <w:r w:rsidR="000C6988" w:rsidRPr="00FB188E">
        <w:rPr>
          <w:rFonts w:ascii="Book Antiqua" w:eastAsia="Book Antiqua" w:hAnsi="Book Antiqua" w:cs="Book Antiqua"/>
          <w:b/>
          <w:bCs/>
          <w:color w:val="000000"/>
        </w:rPr>
        <w:t>.</w:t>
      </w:r>
      <w:r w:rsidRPr="00FB188E">
        <w:rPr>
          <w:rFonts w:ascii="Book Antiqua" w:eastAsia="Book Antiqua" w:hAnsi="Book Antiqua" w:cs="Book Antiqua"/>
          <w:b/>
          <w:bCs/>
          <w:color w:val="000000"/>
        </w:rPr>
        <w:t xml:space="preserve"> </w:t>
      </w:r>
      <w:r w:rsidRPr="00FB188E">
        <w:rPr>
          <w:rFonts w:ascii="Book Antiqua" w:eastAsia="Book Antiqua" w:hAnsi="Book Antiqua" w:cs="Book Antiqua"/>
          <w:color w:val="000000"/>
        </w:rPr>
        <w:t>A</w:t>
      </w:r>
      <w:r w:rsidR="000C6988" w:rsidRPr="00FB188E">
        <w:rPr>
          <w:rFonts w:ascii="Book Antiqua" w:eastAsia="Book Antiqua" w:hAnsi="Book Antiqua" w:cs="Book Antiqua"/>
          <w:color w:val="000000"/>
        </w:rPr>
        <w:t>:</w:t>
      </w:r>
      <w:r w:rsidRPr="00FB188E">
        <w:rPr>
          <w:rFonts w:ascii="Book Antiqua" w:eastAsia="Book Antiqua" w:hAnsi="Book Antiqua" w:cs="Book Antiqua"/>
          <w:color w:val="000000"/>
        </w:rPr>
        <w:t xml:space="preserve"> </w:t>
      </w:r>
      <w:r w:rsidR="000C6988" w:rsidRPr="00FB188E">
        <w:rPr>
          <w:rFonts w:ascii="Book Antiqua" w:eastAsia="Book Antiqua" w:hAnsi="Book Antiqua" w:cs="Book Antiqua"/>
          <w:color w:val="000000"/>
        </w:rPr>
        <w:t xml:space="preserve">Patients </w:t>
      </w:r>
      <w:r w:rsidRPr="00FB188E">
        <w:rPr>
          <w:rFonts w:ascii="Book Antiqua" w:eastAsia="Book Antiqua" w:hAnsi="Book Antiqua" w:cs="Book Antiqua"/>
          <w:color w:val="000000"/>
        </w:rPr>
        <w:t xml:space="preserve">with hepatitis B-related hepatocellular carcinoma (HCC, </w:t>
      </w:r>
      <w:r w:rsidRPr="00FB188E">
        <w:rPr>
          <w:rFonts w:ascii="Book Antiqua" w:eastAsia="Book Antiqua" w:hAnsi="Book Antiqua" w:cs="Book Antiqua"/>
          <w:i/>
          <w:iCs/>
          <w:color w:val="000000"/>
        </w:rPr>
        <w:t>n</w:t>
      </w:r>
      <w:r w:rsidRPr="00FB188E">
        <w:rPr>
          <w:rFonts w:ascii="Book Antiqua" w:eastAsia="Book Antiqua" w:hAnsi="Book Antiqua" w:cs="Book Antiqua"/>
          <w:color w:val="000000"/>
        </w:rPr>
        <w:t xml:space="preserve"> = 41)</w:t>
      </w:r>
      <w:r w:rsidR="000C6988" w:rsidRPr="00FB188E">
        <w:rPr>
          <w:rFonts w:ascii="Book Antiqua" w:eastAsia="Book Antiqua" w:hAnsi="Book Antiqua" w:cs="Book Antiqua"/>
          <w:color w:val="000000"/>
        </w:rPr>
        <w:t xml:space="preserve">; </w:t>
      </w:r>
      <w:r w:rsidRPr="00FB188E">
        <w:rPr>
          <w:rFonts w:ascii="Book Antiqua" w:eastAsia="Book Antiqua" w:hAnsi="Book Antiqua" w:cs="Book Antiqua"/>
          <w:color w:val="000000"/>
        </w:rPr>
        <w:t>B</w:t>
      </w:r>
      <w:r w:rsidR="000C6988" w:rsidRPr="00FB188E">
        <w:rPr>
          <w:rFonts w:ascii="Book Antiqua" w:eastAsia="Book Antiqua" w:hAnsi="Book Antiqua" w:cs="Book Antiqua"/>
          <w:color w:val="000000"/>
        </w:rPr>
        <w:t>:</w:t>
      </w:r>
      <w:r w:rsidRPr="00FB188E">
        <w:rPr>
          <w:rFonts w:ascii="Book Antiqua" w:eastAsia="Book Antiqua" w:hAnsi="Book Antiqua" w:cs="Book Antiqua"/>
          <w:color w:val="000000"/>
        </w:rPr>
        <w:t xml:space="preserve"> </w:t>
      </w:r>
      <w:r w:rsidR="000C6988" w:rsidRPr="00FB188E">
        <w:rPr>
          <w:rFonts w:ascii="Book Antiqua" w:eastAsia="Book Antiqua" w:hAnsi="Book Antiqua" w:cs="Book Antiqua"/>
          <w:color w:val="000000"/>
        </w:rPr>
        <w:t xml:space="preserve">Global </w:t>
      </w:r>
      <w:r w:rsidRPr="00FB188E">
        <w:rPr>
          <w:rFonts w:ascii="Book Antiqua" w:eastAsia="Book Antiqua" w:hAnsi="Book Antiqua" w:cs="Book Antiqua"/>
          <w:color w:val="000000"/>
        </w:rPr>
        <w:t xml:space="preserve">HCC population from the </w:t>
      </w:r>
      <w:r w:rsidRPr="00FB188E">
        <w:rPr>
          <w:rFonts w:ascii="Book Antiqua" w:eastAsia="Book Antiqua" w:hAnsi="Book Antiqua" w:cs="Book Antiqua"/>
          <w:color w:val="000000"/>
          <w:u w:color="0000EE"/>
        </w:rPr>
        <w:t>Catalogue of Somatic Mutations in Cancer</w:t>
      </w:r>
      <w:r w:rsidRPr="00FB188E">
        <w:rPr>
          <w:rFonts w:ascii="Book Antiqua" w:eastAsia="Book Antiqua" w:hAnsi="Book Antiqua" w:cs="Book Antiqua"/>
          <w:color w:val="000000"/>
        </w:rPr>
        <w:t xml:space="preserve"> database. </w:t>
      </w:r>
      <w:r w:rsidR="000C6988" w:rsidRPr="00FB188E">
        <w:rPr>
          <w:rFonts w:ascii="Book Antiqua" w:eastAsia="Book Antiqua" w:hAnsi="Book Antiqua" w:cs="Book Antiqua"/>
          <w:color w:val="000000"/>
        </w:rPr>
        <w:t xml:space="preserve">COSMIC: </w:t>
      </w:r>
      <w:r w:rsidR="000C6988" w:rsidRPr="00FB188E">
        <w:rPr>
          <w:rFonts w:ascii="Book Antiqua" w:eastAsia="Book Antiqua" w:hAnsi="Book Antiqua" w:cs="Book Antiqua"/>
          <w:color w:val="000000"/>
          <w:u w:color="0000EE"/>
        </w:rPr>
        <w:t>Catalogue of Somatic Mutations in Cancer</w:t>
      </w:r>
      <w:r w:rsidR="000C6988" w:rsidRPr="00FB188E">
        <w:rPr>
          <w:rFonts w:ascii="Book Antiqua" w:eastAsia="Book Antiqua" w:hAnsi="Book Antiqua" w:cs="Book Antiqua"/>
          <w:color w:val="000000"/>
        </w:rPr>
        <w:t xml:space="preserve"> database.</w:t>
      </w:r>
    </w:p>
    <w:p w14:paraId="70C39E7C" w14:textId="6B5443B2" w:rsidR="00AE27F7" w:rsidRPr="00831AD8" w:rsidRDefault="00AE27F7" w:rsidP="00FB188E">
      <w:pPr>
        <w:adjustRightInd w:val="0"/>
        <w:snapToGrid w:val="0"/>
        <w:spacing w:line="360" w:lineRule="auto"/>
        <w:jc w:val="both"/>
        <w:rPr>
          <w:rFonts w:ascii="Book Antiqua" w:hAnsi="Book Antiqua"/>
          <w:b/>
          <w:bCs/>
        </w:rPr>
      </w:pPr>
      <w:r w:rsidRPr="00FB188E">
        <w:rPr>
          <w:rFonts w:ascii="Book Antiqua" w:eastAsia="Book Antiqua" w:hAnsi="Book Antiqua" w:cs="Book Antiqua"/>
          <w:color w:val="000000"/>
        </w:rPr>
        <w:br w:type="page"/>
      </w:r>
      <w:r w:rsidRPr="00831AD8">
        <w:rPr>
          <w:rFonts w:ascii="Book Antiqua" w:hAnsi="Book Antiqua"/>
          <w:b/>
          <w:bCs/>
        </w:rPr>
        <w:lastRenderedPageBreak/>
        <w:t>Table 1</w:t>
      </w:r>
      <w:r w:rsidR="00831AD8" w:rsidRPr="00831AD8">
        <w:rPr>
          <w:rFonts w:ascii="Book Antiqua" w:hAnsi="Book Antiqua"/>
          <w:b/>
          <w:bCs/>
        </w:rPr>
        <w:t xml:space="preserve"> Gene mutation</w:t>
      </w:r>
      <w:r w:rsidR="00634C5F">
        <w:rPr>
          <w:rFonts w:ascii="Book Antiqua" w:hAnsi="Book Antiqua"/>
          <w:b/>
          <w:bCs/>
        </w:rPr>
        <w:t xml:space="preserve"> analysis</w:t>
      </w:r>
    </w:p>
    <w:tbl>
      <w:tblPr>
        <w:tblStyle w:val="a7"/>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1515"/>
        <w:gridCol w:w="1119"/>
        <w:gridCol w:w="1282"/>
        <w:gridCol w:w="1422"/>
        <w:gridCol w:w="1507"/>
        <w:gridCol w:w="1646"/>
      </w:tblGrid>
      <w:tr w:rsidR="00FB188E" w:rsidRPr="00FB188E" w14:paraId="45C10B24" w14:textId="77777777" w:rsidTr="009D3135">
        <w:tc>
          <w:tcPr>
            <w:tcW w:w="524" w:type="pct"/>
            <w:tcBorders>
              <w:top w:val="single" w:sz="8" w:space="0" w:color="auto"/>
              <w:bottom w:val="single" w:sz="8" w:space="0" w:color="auto"/>
            </w:tcBorders>
          </w:tcPr>
          <w:p w14:paraId="1BA3E885" w14:textId="77777777" w:rsidR="00AE27F7" w:rsidRPr="009D3135" w:rsidRDefault="00AE27F7" w:rsidP="00FB188E">
            <w:pPr>
              <w:adjustRightInd w:val="0"/>
              <w:snapToGrid w:val="0"/>
              <w:spacing w:line="360" w:lineRule="auto"/>
              <w:jc w:val="both"/>
              <w:rPr>
                <w:rFonts w:ascii="Book Antiqua" w:hAnsi="Book Antiqua" w:cs="Times New Roman"/>
                <w:b/>
                <w:bCs/>
              </w:rPr>
            </w:pPr>
            <w:r w:rsidRPr="009D3135">
              <w:rPr>
                <w:rFonts w:ascii="Book Antiqua" w:hAnsi="Book Antiqua" w:cs="Times New Roman"/>
                <w:b/>
                <w:bCs/>
              </w:rPr>
              <w:t>Gene</w:t>
            </w:r>
          </w:p>
        </w:tc>
        <w:tc>
          <w:tcPr>
            <w:tcW w:w="689" w:type="pct"/>
            <w:tcBorders>
              <w:top w:val="single" w:sz="8" w:space="0" w:color="auto"/>
              <w:bottom w:val="single" w:sz="8" w:space="0" w:color="auto"/>
            </w:tcBorders>
          </w:tcPr>
          <w:p w14:paraId="7A1BF853" w14:textId="77777777" w:rsidR="00AE27F7" w:rsidRPr="009D3135" w:rsidRDefault="00AE27F7" w:rsidP="00FB188E">
            <w:pPr>
              <w:adjustRightInd w:val="0"/>
              <w:snapToGrid w:val="0"/>
              <w:spacing w:line="360" w:lineRule="auto"/>
              <w:jc w:val="both"/>
              <w:rPr>
                <w:rFonts w:ascii="Book Antiqua" w:hAnsi="Book Antiqua" w:cs="Times New Roman"/>
                <w:b/>
                <w:bCs/>
              </w:rPr>
            </w:pPr>
            <w:r w:rsidRPr="009D3135">
              <w:rPr>
                <w:rFonts w:ascii="Book Antiqua" w:hAnsi="Book Antiqua" w:cs="Times New Roman"/>
                <w:b/>
                <w:bCs/>
              </w:rPr>
              <w:t>Mutation type</w:t>
            </w:r>
          </w:p>
        </w:tc>
        <w:tc>
          <w:tcPr>
            <w:tcW w:w="722" w:type="pct"/>
            <w:tcBorders>
              <w:top w:val="single" w:sz="8" w:space="0" w:color="auto"/>
              <w:bottom w:val="single" w:sz="8" w:space="0" w:color="auto"/>
            </w:tcBorders>
          </w:tcPr>
          <w:p w14:paraId="1E128955" w14:textId="2DD3B365" w:rsidR="00AE27F7" w:rsidRPr="009D3135" w:rsidRDefault="00AE27F7" w:rsidP="00FB188E">
            <w:pPr>
              <w:adjustRightInd w:val="0"/>
              <w:snapToGrid w:val="0"/>
              <w:spacing w:line="360" w:lineRule="auto"/>
              <w:jc w:val="both"/>
              <w:rPr>
                <w:rFonts w:ascii="Book Antiqua" w:hAnsi="Book Antiqua" w:cs="Times New Roman"/>
                <w:b/>
                <w:bCs/>
              </w:rPr>
            </w:pPr>
            <w:r w:rsidRPr="009D3135">
              <w:rPr>
                <w:rFonts w:ascii="Book Antiqua" w:hAnsi="Book Antiqua" w:cs="Times New Roman"/>
                <w:b/>
                <w:bCs/>
              </w:rPr>
              <w:t>Mutation ratio</w:t>
            </w:r>
            <w:r w:rsidR="00634C5F">
              <w:rPr>
                <w:rFonts w:ascii="Book Antiqua" w:hAnsi="Book Antiqua" w:cs="Times New Roman"/>
                <w:b/>
                <w:bCs/>
              </w:rPr>
              <w:t xml:space="preserve"> </w:t>
            </w:r>
            <w:r w:rsidRPr="009D3135">
              <w:rPr>
                <w:rFonts w:ascii="Book Antiqua" w:hAnsi="Book Antiqua" w:cs="Times New Roman"/>
                <w:b/>
                <w:bCs/>
              </w:rPr>
              <w:t>(%)</w:t>
            </w:r>
          </w:p>
        </w:tc>
        <w:tc>
          <w:tcPr>
            <w:tcW w:w="764" w:type="pct"/>
            <w:tcBorders>
              <w:top w:val="single" w:sz="8" w:space="0" w:color="auto"/>
              <w:bottom w:val="single" w:sz="8" w:space="0" w:color="auto"/>
            </w:tcBorders>
          </w:tcPr>
          <w:p w14:paraId="482B3B0D" w14:textId="3D84D70C" w:rsidR="00AE27F7" w:rsidRPr="009D3135" w:rsidRDefault="00634C5F" w:rsidP="00FB188E">
            <w:pPr>
              <w:adjustRightInd w:val="0"/>
              <w:snapToGrid w:val="0"/>
              <w:spacing w:line="360" w:lineRule="auto"/>
              <w:jc w:val="both"/>
              <w:rPr>
                <w:rFonts w:ascii="Book Antiqua" w:hAnsi="Book Antiqua" w:cs="Times New Roman"/>
                <w:b/>
                <w:bCs/>
              </w:rPr>
            </w:pPr>
            <w:r w:rsidRPr="009D3135">
              <w:rPr>
                <w:rFonts w:ascii="Book Antiqua" w:hAnsi="Book Antiqua" w:cs="Times New Roman"/>
                <w:b/>
                <w:bCs/>
              </w:rPr>
              <w:t xml:space="preserve">Nucleotide </w:t>
            </w:r>
            <w:r w:rsidR="00AE27F7" w:rsidRPr="009D3135">
              <w:rPr>
                <w:rFonts w:ascii="Book Antiqua" w:hAnsi="Book Antiqua" w:cs="Times New Roman"/>
                <w:b/>
                <w:bCs/>
              </w:rPr>
              <w:t>change</w:t>
            </w:r>
          </w:p>
        </w:tc>
        <w:tc>
          <w:tcPr>
            <w:tcW w:w="822" w:type="pct"/>
            <w:tcBorders>
              <w:top w:val="single" w:sz="8" w:space="0" w:color="auto"/>
              <w:bottom w:val="single" w:sz="8" w:space="0" w:color="auto"/>
            </w:tcBorders>
          </w:tcPr>
          <w:p w14:paraId="3D852BE7" w14:textId="77777777" w:rsidR="00AE27F7" w:rsidRPr="009D3135" w:rsidRDefault="00AE27F7" w:rsidP="00FB188E">
            <w:pPr>
              <w:adjustRightInd w:val="0"/>
              <w:snapToGrid w:val="0"/>
              <w:spacing w:line="360" w:lineRule="auto"/>
              <w:jc w:val="both"/>
              <w:rPr>
                <w:rFonts w:ascii="Book Antiqua" w:hAnsi="Book Antiqua" w:cs="Times New Roman"/>
                <w:b/>
                <w:bCs/>
              </w:rPr>
            </w:pPr>
            <w:r w:rsidRPr="009D3135">
              <w:rPr>
                <w:rFonts w:ascii="Book Antiqua" w:hAnsi="Book Antiqua" w:cs="Times New Roman"/>
                <w:b/>
                <w:bCs/>
              </w:rPr>
              <w:t>Amino acid change</w:t>
            </w:r>
          </w:p>
        </w:tc>
        <w:tc>
          <w:tcPr>
            <w:tcW w:w="676" w:type="pct"/>
            <w:tcBorders>
              <w:top w:val="single" w:sz="8" w:space="0" w:color="auto"/>
              <w:bottom w:val="single" w:sz="8" w:space="0" w:color="auto"/>
            </w:tcBorders>
          </w:tcPr>
          <w:p w14:paraId="38F21004" w14:textId="77777777" w:rsidR="00AE27F7" w:rsidRPr="009D3135" w:rsidRDefault="00AE27F7" w:rsidP="00FB188E">
            <w:pPr>
              <w:adjustRightInd w:val="0"/>
              <w:snapToGrid w:val="0"/>
              <w:spacing w:line="360" w:lineRule="auto"/>
              <w:jc w:val="both"/>
              <w:rPr>
                <w:rFonts w:ascii="Book Antiqua" w:hAnsi="Book Antiqua" w:cs="Times New Roman"/>
                <w:b/>
                <w:bCs/>
              </w:rPr>
            </w:pPr>
            <w:r w:rsidRPr="009D3135">
              <w:rPr>
                <w:rFonts w:ascii="Book Antiqua" w:hAnsi="Book Antiqua" w:cs="Times New Roman"/>
                <w:b/>
                <w:bCs/>
              </w:rPr>
              <w:t>Chromosome</w:t>
            </w:r>
          </w:p>
        </w:tc>
        <w:tc>
          <w:tcPr>
            <w:tcW w:w="804" w:type="pct"/>
            <w:tcBorders>
              <w:top w:val="single" w:sz="8" w:space="0" w:color="auto"/>
              <w:bottom w:val="single" w:sz="8" w:space="0" w:color="auto"/>
            </w:tcBorders>
          </w:tcPr>
          <w:p w14:paraId="46B26B09" w14:textId="6B2CD6F4" w:rsidR="00AE27F7" w:rsidRPr="009D3135" w:rsidRDefault="00AE27F7" w:rsidP="00FB188E">
            <w:pPr>
              <w:adjustRightInd w:val="0"/>
              <w:snapToGrid w:val="0"/>
              <w:spacing w:line="360" w:lineRule="auto"/>
              <w:jc w:val="both"/>
              <w:rPr>
                <w:rFonts w:ascii="Book Antiqua" w:hAnsi="Book Antiqua" w:cs="Times New Roman"/>
                <w:b/>
                <w:bCs/>
              </w:rPr>
            </w:pPr>
            <w:proofErr w:type="spellStart"/>
            <w:r w:rsidRPr="009D3135">
              <w:rPr>
                <w:rFonts w:ascii="Book Antiqua" w:hAnsi="Book Antiqua" w:cs="Times New Roman"/>
                <w:b/>
                <w:bCs/>
              </w:rPr>
              <w:t>Genbank</w:t>
            </w:r>
            <w:proofErr w:type="spellEnd"/>
            <w:r w:rsidR="00634C5F">
              <w:rPr>
                <w:rFonts w:ascii="Book Antiqua" w:hAnsi="Book Antiqua" w:cs="Times New Roman" w:hint="eastAsia"/>
                <w:b/>
                <w:bCs/>
              </w:rPr>
              <w:t xml:space="preserve"> </w:t>
            </w:r>
            <w:r w:rsidRPr="009D3135">
              <w:rPr>
                <w:rFonts w:ascii="Book Antiqua" w:hAnsi="Book Antiqua" w:cs="Times New Roman"/>
                <w:b/>
                <w:bCs/>
              </w:rPr>
              <w:t>transcript ID</w:t>
            </w:r>
          </w:p>
        </w:tc>
      </w:tr>
      <w:tr w:rsidR="00FB188E" w:rsidRPr="00FB188E" w14:paraId="09BB4CD7" w14:textId="77777777" w:rsidTr="009D3135">
        <w:tc>
          <w:tcPr>
            <w:tcW w:w="524" w:type="pct"/>
            <w:tcBorders>
              <w:top w:val="single" w:sz="8" w:space="0" w:color="auto"/>
            </w:tcBorders>
          </w:tcPr>
          <w:p w14:paraId="19D539E0" w14:textId="77777777" w:rsidR="00AE27F7" w:rsidRPr="00831AD8" w:rsidRDefault="00AE27F7" w:rsidP="00FB188E">
            <w:pPr>
              <w:adjustRightInd w:val="0"/>
              <w:snapToGrid w:val="0"/>
              <w:spacing w:line="360" w:lineRule="auto"/>
              <w:jc w:val="both"/>
              <w:rPr>
                <w:rFonts w:ascii="Book Antiqua" w:hAnsi="Book Antiqua" w:cs="Times New Roman"/>
                <w:i/>
                <w:iCs/>
              </w:rPr>
            </w:pPr>
            <w:r w:rsidRPr="00831AD8">
              <w:rPr>
                <w:rFonts w:ascii="Book Antiqua" w:hAnsi="Book Antiqua" w:cs="Times New Roman"/>
                <w:i/>
                <w:iCs/>
              </w:rPr>
              <w:t>ABL 1</w:t>
            </w:r>
          </w:p>
        </w:tc>
        <w:tc>
          <w:tcPr>
            <w:tcW w:w="689" w:type="pct"/>
            <w:tcBorders>
              <w:top w:val="single" w:sz="8" w:space="0" w:color="auto"/>
            </w:tcBorders>
          </w:tcPr>
          <w:p w14:paraId="2419F907"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Missense</w:t>
            </w:r>
          </w:p>
        </w:tc>
        <w:tc>
          <w:tcPr>
            <w:tcW w:w="722" w:type="pct"/>
            <w:tcBorders>
              <w:top w:val="single" w:sz="8" w:space="0" w:color="auto"/>
            </w:tcBorders>
          </w:tcPr>
          <w:p w14:paraId="1373534B"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30.2</w:t>
            </w:r>
          </w:p>
        </w:tc>
        <w:tc>
          <w:tcPr>
            <w:tcW w:w="764" w:type="pct"/>
            <w:tcBorders>
              <w:top w:val="single" w:sz="8" w:space="0" w:color="auto"/>
            </w:tcBorders>
          </w:tcPr>
          <w:p w14:paraId="4A4F1E3E"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c.1363G&gt;C</w:t>
            </w:r>
          </w:p>
        </w:tc>
        <w:tc>
          <w:tcPr>
            <w:tcW w:w="822" w:type="pct"/>
            <w:tcBorders>
              <w:top w:val="single" w:sz="8" w:space="0" w:color="auto"/>
            </w:tcBorders>
          </w:tcPr>
          <w:p w14:paraId="5847FAA0"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p.Asp455His</w:t>
            </w:r>
          </w:p>
        </w:tc>
        <w:tc>
          <w:tcPr>
            <w:tcW w:w="676" w:type="pct"/>
            <w:tcBorders>
              <w:top w:val="single" w:sz="8" w:space="0" w:color="auto"/>
            </w:tcBorders>
          </w:tcPr>
          <w:p w14:paraId="5C66BE9D"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9</w:t>
            </w:r>
          </w:p>
        </w:tc>
        <w:tc>
          <w:tcPr>
            <w:tcW w:w="804" w:type="pct"/>
            <w:tcBorders>
              <w:top w:val="single" w:sz="8" w:space="0" w:color="auto"/>
            </w:tcBorders>
          </w:tcPr>
          <w:p w14:paraId="6CAB7BDA"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NM_005157</w:t>
            </w:r>
          </w:p>
        </w:tc>
      </w:tr>
      <w:tr w:rsidR="00FB188E" w:rsidRPr="00FB188E" w14:paraId="55D814D3" w14:textId="77777777" w:rsidTr="009D3135">
        <w:tc>
          <w:tcPr>
            <w:tcW w:w="524" w:type="pct"/>
          </w:tcPr>
          <w:p w14:paraId="717F8448" w14:textId="77777777" w:rsidR="00AE27F7" w:rsidRPr="00831AD8" w:rsidRDefault="00AE27F7" w:rsidP="00FB188E">
            <w:pPr>
              <w:adjustRightInd w:val="0"/>
              <w:snapToGrid w:val="0"/>
              <w:spacing w:line="360" w:lineRule="auto"/>
              <w:jc w:val="both"/>
              <w:rPr>
                <w:rFonts w:ascii="Book Antiqua" w:hAnsi="Book Antiqua" w:cs="Times New Roman"/>
                <w:i/>
                <w:iCs/>
              </w:rPr>
            </w:pPr>
            <w:r w:rsidRPr="00831AD8">
              <w:rPr>
                <w:rFonts w:ascii="Book Antiqua" w:hAnsi="Book Antiqua" w:cs="Times New Roman"/>
                <w:i/>
                <w:iCs/>
              </w:rPr>
              <w:t>APC</w:t>
            </w:r>
          </w:p>
        </w:tc>
        <w:tc>
          <w:tcPr>
            <w:tcW w:w="689" w:type="pct"/>
          </w:tcPr>
          <w:p w14:paraId="4402B67E" w14:textId="40EAD47A"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Stop</w:t>
            </w:r>
            <w:r w:rsidR="00E60FA5">
              <w:rPr>
                <w:rFonts w:ascii="Book Antiqua" w:hAnsi="Book Antiqua" w:cs="Times New Roman"/>
              </w:rPr>
              <w:t>-</w:t>
            </w:r>
            <w:r w:rsidRPr="00FB188E">
              <w:rPr>
                <w:rFonts w:ascii="Book Antiqua" w:hAnsi="Book Antiqua" w:cs="Times New Roman"/>
              </w:rPr>
              <w:t>gain</w:t>
            </w:r>
          </w:p>
        </w:tc>
        <w:tc>
          <w:tcPr>
            <w:tcW w:w="722" w:type="pct"/>
          </w:tcPr>
          <w:p w14:paraId="371FCED3"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42.2</w:t>
            </w:r>
          </w:p>
        </w:tc>
        <w:tc>
          <w:tcPr>
            <w:tcW w:w="764" w:type="pct"/>
          </w:tcPr>
          <w:p w14:paraId="5A4E4054"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c.3676A&gt;T</w:t>
            </w:r>
          </w:p>
        </w:tc>
        <w:tc>
          <w:tcPr>
            <w:tcW w:w="822" w:type="pct"/>
          </w:tcPr>
          <w:p w14:paraId="0706C1E4"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p.Lys1226X</w:t>
            </w:r>
          </w:p>
        </w:tc>
        <w:tc>
          <w:tcPr>
            <w:tcW w:w="676" w:type="pct"/>
          </w:tcPr>
          <w:p w14:paraId="29490678"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5</w:t>
            </w:r>
          </w:p>
        </w:tc>
        <w:tc>
          <w:tcPr>
            <w:tcW w:w="804" w:type="pct"/>
          </w:tcPr>
          <w:p w14:paraId="7189FDBC"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NM_000038</w:t>
            </w:r>
          </w:p>
        </w:tc>
      </w:tr>
      <w:tr w:rsidR="00FB188E" w:rsidRPr="00FB188E" w14:paraId="7810671B" w14:textId="77777777" w:rsidTr="009D3135">
        <w:tc>
          <w:tcPr>
            <w:tcW w:w="524" w:type="pct"/>
          </w:tcPr>
          <w:p w14:paraId="5DA3C27C" w14:textId="77777777" w:rsidR="00AE27F7" w:rsidRPr="00831AD8" w:rsidRDefault="00AE27F7" w:rsidP="00FB188E">
            <w:pPr>
              <w:adjustRightInd w:val="0"/>
              <w:snapToGrid w:val="0"/>
              <w:spacing w:line="360" w:lineRule="auto"/>
              <w:jc w:val="both"/>
              <w:rPr>
                <w:rFonts w:ascii="Book Antiqua" w:hAnsi="Book Antiqua" w:cs="Times New Roman"/>
                <w:i/>
                <w:iCs/>
              </w:rPr>
            </w:pPr>
            <w:r w:rsidRPr="00831AD8">
              <w:rPr>
                <w:rFonts w:ascii="Book Antiqua" w:hAnsi="Book Antiqua" w:cs="Times New Roman"/>
                <w:i/>
                <w:iCs/>
              </w:rPr>
              <w:t>APC</w:t>
            </w:r>
          </w:p>
        </w:tc>
        <w:tc>
          <w:tcPr>
            <w:tcW w:w="689" w:type="pct"/>
          </w:tcPr>
          <w:p w14:paraId="6E68F519" w14:textId="0BE62C15"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Stop</w:t>
            </w:r>
            <w:r w:rsidR="00E60FA5">
              <w:rPr>
                <w:rFonts w:ascii="Book Antiqua" w:hAnsi="Book Antiqua" w:cs="Times New Roman"/>
              </w:rPr>
              <w:t>-</w:t>
            </w:r>
            <w:r w:rsidRPr="00FB188E">
              <w:rPr>
                <w:rFonts w:ascii="Book Antiqua" w:hAnsi="Book Antiqua" w:cs="Times New Roman"/>
              </w:rPr>
              <w:t>gain</w:t>
            </w:r>
          </w:p>
        </w:tc>
        <w:tc>
          <w:tcPr>
            <w:tcW w:w="722" w:type="pct"/>
          </w:tcPr>
          <w:p w14:paraId="4B8FA90E"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35.1</w:t>
            </w:r>
          </w:p>
        </w:tc>
        <w:tc>
          <w:tcPr>
            <w:tcW w:w="764" w:type="pct"/>
          </w:tcPr>
          <w:p w14:paraId="61556A5B"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c.4402A&gt;T</w:t>
            </w:r>
          </w:p>
        </w:tc>
        <w:tc>
          <w:tcPr>
            <w:tcW w:w="822" w:type="pct"/>
          </w:tcPr>
          <w:p w14:paraId="24DE10F5"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p.Lys1468X</w:t>
            </w:r>
          </w:p>
        </w:tc>
        <w:tc>
          <w:tcPr>
            <w:tcW w:w="676" w:type="pct"/>
          </w:tcPr>
          <w:p w14:paraId="763D500E"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5</w:t>
            </w:r>
          </w:p>
        </w:tc>
        <w:tc>
          <w:tcPr>
            <w:tcW w:w="804" w:type="pct"/>
          </w:tcPr>
          <w:p w14:paraId="29352D1C"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NM_000038</w:t>
            </w:r>
          </w:p>
        </w:tc>
      </w:tr>
      <w:tr w:rsidR="00FB188E" w:rsidRPr="00FB188E" w14:paraId="60F555D4" w14:textId="77777777" w:rsidTr="009D3135">
        <w:tc>
          <w:tcPr>
            <w:tcW w:w="524" w:type="pct"/>
          </w:tcPr>
          <w:p w14:paraId="28507224" w14:textId="77777777" w:rsidR="00AE27F7" w:rsidRPr="00831AD8" w:rsidRDefault="00AE27F7" w:rsidP="00FB188E">
            <w:pPr>
              <w:adjustRightInd w:val="0"/>
              <w:snapToGrid w:val="0"/>
              <w:spacing w:line="360" w:lineRule="auto"/>
              <w:jc w:val="both"/>
              <w:rPr>
                <w:rFonts w:ascii="Book Antiqua" w:hAnsi="Book Antiqua" w:cs="Times New Roman"/>
                <w:i/>
                <w:iCs/>
              </w:rPr>
            </w:pPr>
            <w:r w:rsidRPr="00831AD8">
              <w:rPr>
                <w:rFonts w:ascii="Book Antiqua" w:hAnsi="Book Antiqua" w:cs="Times New Roman"/>
                <w:i/>
                <w:iCs/>
              </w:rPr>
              <w:t>TP53</w:t>
            </w:r>
          </w:p>
        </w:tc>
        <w:tc>
          <w:tcPr>
            <w:tcW w:w="689" w:type="pct"/>
          </w:tcPr>
          <w:p w14:paraId="3137A852" w14:textId="1835DA5A"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Stop</w:t>
            </w:r>
            <w:r w:rsidR="00E60FA5">
              <w:rPr>
                <w:rFonts w:ascii="Book Antiqua" w:hAnsi="Book Antiqua" w:cs="Times New Roman"/>
              </w:rPr>
              <w:t>-</w:t>
            </w:r>
            <w:r w:rsidRPr="00FB188E">
              <w:rPr>
                <w:rFonts w:ascii="Book Antiqua" w:hAnsi="Book Antiqua" w:cs="Times New Roman"/>
              </w:rPr>
              <w:t>gain</w:t>
            </w:r>
          </w:p>
        </w:tc>
        <w:tc>
          <w:tcPr>
            <w:tcW w:w="722" w:type="pct"/>
          </w:tcPr>
          <w:p w14:paraId="3F411214"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27.7</w:t>
            </w:r>
          </w:p>
        </w:tc>
        <w:tc>
          <w:tcPr>
            <w:tcW w:w="764" w:type="pct"/>
          </w:tcPr>
          <w:p w14:paraId="3E5F5D43"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c.193A&gt;T</w:t>
            </w:r>
          </w:p>
        </w:tc>
        <w:tc>
          <w:tcPr>
            <w:tcW w:w="822" w:type="pct"/>
          </w:tcPr>
          <w:p w14:paraId="6B899E91"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p.Arg65X</w:t>
            </w:r>
          </w:p>
        </w:tc>
        <w:tc>
          <w:tcPr>
            <w:tcW w:w="676" w:type="pct"/>
          </w:tcPr>
          <w:p w14:paraId="1995089B"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17</w:t>
            </w:r>
          </w:p>
        </w:tc>
        <w:tc>
          <w:tcPr>
            <w:tcW w:w="804" w:type="pct"/>
          </w:tcPr>
          <w:p w14:paraId="0577D364"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NM_000546</w:t>
            </w:r>
          </w:p>
        </w:tc>
      </w:tr>
      <w:tr w:rsidR="00FB188E" w:rsidRPr="00FB188E" w14:paraId="5318E0D4" w14:textId="77777777" w:rsidTr="009D3135">
        <w:tc>
          <w:tcPr>
            <w:tcW w:w="524" w:type="pct"/>
          </w:tcPr>
          <w:p w14:paraId="3EEA9030" w14:textId="77777777" w:rsidR="00AE27F7" w:rsidRPr="00831AD8" w:rsidRDefault="00AE27F7" w:rsidP="00FB188E">
            <w:pPr>
              <w:adjustRightInd w:val="0"/>
              <w:snapToGrid w:val="0"/>
              <w:spacing w:line="360" w:lineRule="auto"/>
              <w:jc w:val="both"/>
              <w:rPr>
                <w:rFonts w:ascii="Book Antiqua" w:hAnsi="Book Antiqua" w:cs="Times New Roman"/>
                <w:i/>
                <w:iCs/>
              </w:rPr>
            </w:pPr>
            <w:r w:rsidRPr="00831AD8">
              <w:rPr>
                <w:rFonts w:ascii="Book Antiqua" w:hAnsi="Book Antiqua" w:cs="Times New Roman"/>
                <w:i/>
                <w:iCs/>
              </w:rPr>
              <w:t>TNFAIP3</w:t>
            </w:r>
          </w:p>
        </w:tc>
        <w:tc>
          <w:tcPr>
            <w:tcW w:w="689" w:type="pct"/>
          </w:tcPr>
          <w:p w14:paraId="47AA6A0A" w14:textId="01C18F40" w:rsidR="00AE27F7" w:rsidRPr="00FB188E" w:rsidRDefault="00922338"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Missense</w:t>
            </w:r>
          </w:p>
        </w:tc>
        <w:tc>
          <w:tcPr>
            <w:tcW w:w="722" w:type="pct"/>
          </w:tcPr>
          <w:p w14:paraId="6FB2CAFC"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5.5</w:t>
            </w:r>
          </w:p>
        </w:tc>
        <w:tc>
          <w:tcPr>
            <w:tcW w:w="764" w:type="pct"/>
          </w:tcPr>
          <w:p w14:paraId="39221F15"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c.1787G&gt;A</w:t>
            </w:r>
          </w:p>
        </w:tc>
        <w:tc>
          <w:tcPr>
            <w:tcW w:w="822" w:type="pct"/>
          </w:tcPr>
          <w:p w14:paraId="6D0F3414"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p.Arg596Gln</w:t>
            </w:r>
          </w:p>
        </w:tc>
        <w:tc>
          <w:tcPr>
            <w:tcW w:w="676" w:type="pct"/>
          </w:tcPr>
          <w:p w14:paraId="7B4DE018"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6</w:t>
            </w:r>
          </w:p>
        </w:tc>
        <w:tc>
          <w:tcPr>
            <w:tcW w:w="804" w:type="pct"/>
          </w:tcPr>
          <w:p w14:paraId="759AEA3B"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NM_001270507</w:t>
            </w:r>
          </w:p>
        </w:tc>
      </w:tr>
      <w:tr w:rsidR="00FB188E" w:rsidRPr="00FB188E" w14:paraId="62AD7529" w14:textId="77777777" w:rsidTr="009D3135">
        <w:tc>
          <w:tcPr>
            <w:tcW w:w="524" w:type="pct"/>
          </w:tcPr>
          <w:p w14:paraId="7C76078B" w14:textId="77777777" w:rsidR="00AE27F7" w:rsidRPr="00831AD8" w:rsidRDefault="00AE27F7" w:rsidP="00FB188E">
            <w:pPr>
              <w:adjustRightInd w:val="0"/>
              <w:snapToGrid w:val="0"/>
              <w:spacing w:line="360" w:lineRule="auto"/>
              <w:jc w:val="both"/>
              <w:rPr>
                <w:rFonts w:ascii="Book Antiqua" w:hAnsi="Book Antiqua" w:cs="Times New Roman"/>
                <w:i/>
                <w:iCs/>
              </w:rPr>
            </w:pPr>
            <w:r w:rsidRPr="00831AD8">
              <w:rPr>
                <w:rFonts w:ascii="Book Antiqua" w:hAnsi="Book Antiqua" w:cs="Times New Roman"/>
                <w:i/>
                <w:iCs/>
              </w:rPr>
              <w:t>Gene</w:t>
            </w:r>
          </w:p>
        </w:tc>
        <w:tc>
          <w:tcPr>
            <w:tcW w:w="689" w:type="pct"/>
          </w:tcPr>
          <w:p w14:paraId="570C5A3A"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Mutation type</w:t>
            </w:r>
          </w:p>
        </w:tc>
        <w:tc>
          <w:tcPr>
            <w:tcW w:w="722" w:type="pct"/>
          </w:tcPr>
          <w:p w14:paraId="0FEE514B" w14:textId="30EDCCB9" w:rsidR="00AE27F7" w:rsidRPr="00FB188E" w:rsidRDefault="00634C5F"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Folds</w:t>
            </w:r>
          </w:p>
        </w:tc>
        <w:tc>
          <w:tcPr>
            <w:tcW w:w="764" w:type="pct"/>
          </w:tcPr>
          <w:p w14:paraId="44B16524"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Starting position</w:t>
            </w:r>
          </w:p>
        </w:tc>
        <w:tc>
          <w:tcPr>
            <w:tcW w:w="822" w:type="pct"/>
          </w:tcPr>
          <w:p w14:paraId="6481E713"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Ending position</w:t>
            </w:r>
          </w:p>
        </w:tc>
        <w:tc>
          <w:tcPr>
            <w:tcW w:w="676" w:type="pct"/>
          </w:tcPr>
          <w:p w14:paraId="668AAB4D"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Chromosome</w:t>
            </w:r>
          </w:p>
        </w:tc>
        <w:tc>
          <w:tcPr>
            <w:tcW w:w="804" w:type="pct"/>
          </w:tcPr>
          <w:p w14:paraId="0DAA8B44" w14:textId="4C2506C8" w:rsidR="00AE27F7" w:rsidRPr="00FB188E" w:rsidRDefault="00AE27F7" w:rsidP="00FB188E">
            <w:pPr>
              <w:adjustRightInd w:val="0"/>
              <w:snapToGrid w:val="0"/>
              <w:spacing w:line="360" w:lineRule="auto"/>
              <w:jc w:val="both"/>
              <w:rPr>
                <w:rFonts w:ascii="Book Antiqua" w:hAnsi="Book Antiqua" w:cs="Times New Roman"/>
              </w:rPr>
            </w:pPr>
            <w:proofErr w:type="spellStart"/>
            <w:r w:rsidRPr="00FB188E">
              <w:rPr>
                <w:rFonts w:ascii="Book Antiqua" w:hAnsi="Book Antiqua" w:cs="Times New Roman"/>
              </w:rPr>
              <w:t>Genbank</w:t>
            </w:r>
            <w:proofErr w:type="spellEnd"/>
            <w:r w:rsidR="00BB4094">
              <w:rPr>
                <w:rFonts w:ascii="Book Antiqua" w:hAnsi="Book Antiqua" w:cs="Times New Roman" w:hint="eastAsia"/>
              </w:rPr>
              <w:t xml:space="preserve"> </w:t>
            </w:r>
            <w:r w:rsidRPr="00FB188E">
              <w:rPr>
                <w:rFonts w:ascii="Book Antiqua" w:hAnsi="Book Antiqua" w:cs="Times New Roman"/>
              </w:rPr>
              <w:t>transcript ID</w:t>
            </w:r>
          </w:p>
        </w:tc>
      </w:tr>
      <w:tr w:rsidR="00FB188E" w:rsidRPr="00FB188E" w14:paraId="0967379E" w14:textId="77777777" w:rsidTr="009D3135">
        <w:tc>
          <w:tcPr>
            <w:tcW w:w="524" w:type="pct"/>
          </w:tcPr>
          <w:p w14:paraId="33748E58" w14:textId="77777777" w:rsidR="00AE27F7" w:rsidRPr="00831AD8" w:rsidRDefault="00AE27F7" w:rsidP="00FB188E">
            <w:pPr>
              <w:adjustRightInd w:val="0"/>
              <w:snapToGrid w:val="0"/>
              <w:spacing w:line="360" w:lineRule="auto"/>
              <w:jc w:val="both"/>
              <w:rPr>
                <w:rFonts w:ascii="Book Antiqua" w:hAnsi="Book Antiqua" w:cs="Times New Roman"/>
                <w:i/>
                <w:iCs/>
              </w:rPr>
            </w:pPr>
            <w:r w:rsidRPr="00831AD8">
              <w:rPr>
                <w:rFonts w:ascii="Book Antiqua" w:hAnsi="Book Antiqua" w:cs="Times New Roman"/>
                <w:i/>
                <w:iCs/>
              </w:rPr>
              <w:t>MDM4</w:t>
            </w:r>
          </w:p>
        </w:tc>
        <w:tc>
          <w:tcPr>
            <w:tcW w:w="689" w:type="pct"/>
          </w:tcPr>
          <w:p w14:paraId="1985A7C1" w14:textId="2285CB95" w:rsidR="00AE27F7" w:rsidRPr="00FB188E" w:rsidRDefault="00922338"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Amplification</w:t>
            </w:r>
          </w:p>
        </w:tc>
        <w:tc>
          <w:tcPr>
            <w:tcW w:w="722" w:type="pct"/>
          </w:tcPr>
          <w:p w14:paraId="37814C2A"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1.9</w:t>
            </w:r>
          </w:p>
        </w:tc>
        <w:tc>
          <w:tcPr>
            <w:tcW w:w="764" w:type="pct"/>
          </w:tcPr>
          <w:p w14:paraId="7653B1CF"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204485510</w:t>
            </w:r>
          </w:p>
        </w:tc>
        <w:tc>
          <w:tcPr>
            <w:tcW w:w="822" w:type="pct"/>
          </w:tcPr>
          <w:p w14:paraId="03D94824"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204527248</w:t>
            </w:r>
          </w:p>
        </w:tc>
        <w:tc>
          <w:tcPr>
            <w:tcW w:w="676" w:type="pct"/>
          </w:tcPr>
          <w:p w14:paraId="41B13CF5"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1</w:t>
            </w:r>
          </w:p>
        </w:tc>
        <w:tc>
          <w:tcPr>
            <w:tcW w:w="804" w:type="pct"/>
          </w:tcPr>
          <w:p w14:paraId="477C5F77" w14:textId="77777777" w:rsidR="00AE27F7" w:rsidRPr="00FB188E" w:rsidRDefault="00AE27F7" w:rsidP="00FB188E">
            <w:pPr>
              <w:adjustRightInd w:val="0"/>
              <w:snapToGrid w:val="0"/>
              <w:spacing w:line="360" w:lineRule="auto"/>
              <w:jc w:val="both"/>
              <w:rPr>
                <w:rFonts w:ascii="Book Antiqua" w:hAnsi="Book Antiqua" w:cs="Times New Roman"/>
              </w:rPr>
            </w:pPr>
            <w:r w:rsidRPr="00FB188E">
              <w:rPr>
                <w:rFonts w:ascii="Book Antiqua" w:hAnsi="Book Antiqua" w:cs="Times New Roman"/>
              </w:rPr>
              <w:t>N/A</w:t>
            </w:r>
          </w:p>
        </w:tc>
      </w:tr>
    </w:tbl>
    <w:p w14:paraId="673C9054" w14:textId="7D9AC2EA" w:rsidR="00AE27F7" w:rsidRPr="00FB188E" w:rsidRDefault="00AE27F7" w:rsidP="00FB188E">
      <w:pPr>
        <w:adjustRightInd w:val="0"/>
        <w:snapToGrid w:val="0"/>
        <w:spacing w:line="360" w:lineRule="auto"/>
        <w:jc w:val="both"/>
        <w:rPr>
          <w:rFonts w:ascii="Book Antiqua" w:eastAsia="Book Antiqua" w:hAnsi="Book Antiqua" w:cs="Book Antiqua"/>
          <w:color w:val="000000"/>
        </w:rPr>
      </w:pPr>
    </w:p>
    <w:sectPr w:rsidR="00AE27F7" w:rsidRPr="00FB188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06C2" w14:textId="77777777" w:rsidR="00704949" w:rsidRDefault="00704949" w:rsidP="007C0391">
      <w:r>
        <w:separator/>
      </w:r>
    </w:p>
  </w:endnote>
  <w:endnote w:type="continuationSeparator" w:id="0">
    <w:p w14:paraId="547706B5" w14:textId="77777777" w:rsidR="00704949" w:rsidRDefault="00704949" w:rsidP="007C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937687"/>
      <w:docPartObj>
        <w:docPartGallery w:val="Page Numbers (Bottom of Page)"/>
        <w:docPartUnique/>
      </w:docPartObj>
    </w:sdtPr>
    <w:sdtEndPr/>
    <w:sdtContent>
      <w:sdt>
        <w:sdtPr>
          <w:id w:val="-1769616900"/>
          <w:docPartObj>
            <w:docPartGallery w:val="Page Numbers (Top of Page)"/>
            <w:docPartUnique/>
          </w:docPartObj>
        </w:sdtPr>
        <w:sdtEndPr/>
        <w:sdtContent>
          <w:p w14:paraId="6939FCF1" w14:textId="35DF99EF" w:rsidR="007C0391" w:rsidRDefault="007C039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E5E4D">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E5E4D">
              <w:rPr>
                <w:b/>
                <w:bCs/>
                <w:noProof/>
              </w:rPr>
              <w:t>14</w:t>
            </w:r>
            <w:r>
              <w:rPr>
                <w:b/>
                <w:bCs/>
                <w:sz w:val="24"/>
                <w:szCs w:val="24"/>
              </w:rPr>
              <w:fldChar w:fldCharType="end"/>
            </w:r>
          </w:p>
        </w:sdtContent>
      </w:sdt>
    </w:sdtContent>
  </w:sdt>
  <w:p w14:paraId="694AC79A" w14:textId="77777777" w:rsidR="007C0391" w:rsidRDefault="007C03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910CC" w14:textId="77777777" w:rsidR="00704949" w:rsidRDefault="00704949" w:rsidP="007C0391">
      <w:r>
        <w:separator/>
      </w:r>
    </w:p>
  </w:footnote>
  <w:footnote w:type="continuationSeparator" w:id="0">
    <w:p w14:paraId="6DC451DC" w14:textId="77777777" w:rsidR="00704949" w:rsidRDefault="00704949" w:rsidP="007C0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82F9F"/>
    <w:rsid w:val="00085C32"/>
    <w:rsid w:val="000C6988"/>
    <w:rsid w:val="00110042"/>
    <w:rsid w:val="0027377C"/>
    <w:rsid w:val="0027425E"/>
    <w:rsid w:val="00297227"/>
    <w:rsid w:val="00387EDD"/>
    <w:rsid w:val="003B6A13"/>
    <w:rsid w:val="00433856"/>
    <w:rsid w:val="005B064C"/>
    <w:rsid w:val="005C0307"/>
    <w:rsid w:val="00611D84"/>
    <w:rsid w:val="006128A2"/>
    <w:rsid w:val="00634C5F"/>
    <w:rsid w:val="0064731E"/>
    <w:rsid w:val="00704949"/>
    <w:rsid w:val="007C0391"/>
    <w:rsid w:val="00831AD8"/>
    <w:rsid w:val="008D4026"/>
    <w:rsid w:val="00922338"/>
    <w:rsid w:val="009733E6"/>
    <w:rsid w:val="009B63A2"/>
    <w:rsid w:val="009D0A6F"/>
    <w:rsid w:val="009D3135"/>
    <w:rsid w:val="00A11D90"/>
    <w:rsid w:val="00A33ADC"/>
    <w:rsid w:val="00A77B3E"/>
    <w:rsid w:val="00AD7621"/>
    <w:rsid w:val="00AE27F7"/>
    <w:rsid w:val="00BB1E71"/>
    <w:rsid w:val="00BB4094"/>
    <w:rsid w:val="00CA2A55"/>
    <w:rsid w:val="00CC149A"/>
    <w:rsid w:val="00CE30A0"/>
    <w:rsid w:val="00CE5E4D"/>
    <w:rsid w:val="00D70064"/>
    <w:rsid w:val="00DE0D13"/>
    <w:rsid w:val="00E024D9"/>
    <w:rsid w:val="00E60FA5"/>
    <w:rsid w:val="00F062EB"/>
    <w:rsid w:val="00F74C71"/>
    <w:rsid w:val="00F875CD"/>
    <w:rsid w:val="00FA1E6A"/>
    <w:rsid w:val="00FB188E"/>
    <w:rsid w:val="00FE1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D7BB9D"/>
  <w15:docId w15:val="{D144C14A-F455-4C1E-8482-22FBFBED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style>
  <w:style w:type="paragraph" w:styleId="a3">
    <w:name w:val="header"/>
    <w:basedOn w:val="a"/>
    <w:link w:val="a4"/>
    <w:unhideWhenUsed/>
    <w:rsid w:val="007C03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C0391"/>
    <w:rPr>
      <w:sz w:val="18"/>
      <w:szCs w:val="18"/>
    </w:rPr>
  </w:style>
  <w:style w:type="paragraph" w:styleId="a5">
    <w:name w:val="footer"/>
    <w:basedOn w:val="a"/>
    <w:link w:val="a6"/>
    <w:uiPriority w:val="99"/>
    <w:unhideWhenUsed/>
    <w:rsid w:val="007C0391"/>
    <w:pPr>
      <w:tabs>
        <w:tab w:val="center" w:pos="4153"/>
        <w:tab w:val="right" w:pos="8306"/>
      </w:tabs>
      <w:snapToGrid w:val="0"/>
    </w:pPr>
    <w:rPr>
      <w:sz w:val="18"/>
      <w:szCs w:val="18"/>
    </w:rPr>
  </w:style>
  <w:style w:type="character" w:customStyle="1" w:styleId="a6">
    <w:name w:val="页脚 字符"/>
    <w:basedOn w:val="a0"/>
    <w:link w:val="a5"/>
    <w:uiPriority w:val="99"/>
    <w:rsid w:val="007C0391"/>
    <w:rPr>
      <w:sz w:val="18"/>
      <w:szCs w:val="18"/>
    </w:rPr>
  </w:style>
  <w:style w:type="table" w:styleId="a7">
    <w:name w:val="Table Grid"/>
    <w:basedOn w:val="a1"/>
    <w:uiPriority w:val="39"/>
    <w:rsid w:val="00AE27F7"/>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E0D13"/>
    <w:rPr>
      <w:rFonts w:ascii="Tahoma" w:hAnsi="Tahoma" w:cs="Tahoma"/>
      <w:sz w:val="16"/>
      <w:szCs w:val="16"/>
    </w:rPr>
  </w:style>
  <w:style w:type="character" w:customStyle="1" w:styleId="a9">
    <w:name w:val="批注框文本 字符"/>
    <w:basedOn w:val="a0"/>
    <w:link w:val="a8"/>
    <w:rsid w:val="00DE0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2599</Words>
  <Characters>14817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刘 曼</cp:lastModifiedBy>
  <cp:revision>3</cp:revision>
  <dcterms:created xsi:type="dcterms:W3CDTF">2021-06-28T09:16:00Z</dcterms:created>
  <dcterms:modified xsi:type="dcterms:W3CDTF">2021-07-02T09:28:00Z</dcterms:modified>
</cp:coreProperties>
</file>