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AD58" w14:textId="301CB24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25EDA45" w14:textId="6435315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63621</w:t>
      </w:r>
    </w:p>
    <w:p w14:paraId="5BE83F9D" w14:textId="5CD42C4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7DD4CDD" w14:textId="77777777" w:rsidR="00A77B3E" w:rsidRDefault="00A77B3E">
      <w:pPr>
        <w:spacing w:line="360" w:lineRule="auto"/>
        <w:jc w:val="both"/>
      </w:pPr>
    </w:p>
    <w:p w14:paraId="7FDAAA86" w14:textId="1939696A" w:rsidR="00A77B3E" w:rsidRDefault="008C7DFC">
      <w:pPr>
        <w:spacing w:line="360" w:lineRule="auto"/>
        <w:jc w:val="both"/>
      </w:pPr>
      <w:bookmarkStart w:id="0" w:name="OLE_LINK9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Perianal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superficial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CD34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positive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fibroblastic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tumor: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A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report</w:t>
      </w:r>
    </w:p>
    <w:bookmarkEnd w:id="0"/>
    <w:p w14:paraId="02CCDAC8" w14:textId="77777777" w:rsidR="00A77B3E" w:rsidRDefault="00A77B3E">
      <w:pPr>
        <w:spacing w:line="360" w:lineRule="auto"/>
        <w:jc w:val="both"/>
      </w:pPr>
    </w:p>
    <w:p w14:paraId="07F1E721" w14:textId="2FE6B74F" w:rsidR="00A77B3E" w:rsidRDefault="00635F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Long CY </w:t>
      </w:r>
      <w:r w:rsidRPr="00635FA9">
        <w:rPr>
          <w:rFonts w:ascii="Book Antiqua" w:eastAsia="Book Antiqua" w:hAnsi="Book Antiqua" w:cs="Book Antiqua"/>
          <w:i/>
          <w:iCs/>
          <w:color w:val="000000"/>
        </w:rPr>
        <w:t>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5FA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bookmarkStart w:id="1" w:name="OLE_LINK10"/>
      <w:r w:rsidR="008C7DFC">
        <w:rPr>
          <w:rFonts w:ascii="Book Antiqua" w:eastAsia="Book Antiqua" w:hAnsi="Book Antiqua" w:cs="Book Antiqua"/>
          <w:color w:val="000000"/>
        </w:rPr>
        <w:t>Perianal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SCPFT</w:t>
      </w:r>
      <w:bookmarkEnd w:id="1"/>
    </w:p>
    <w:p w14:paraId="663C8081" w14:textId="77777777" w:rsidR="00A77B3E" w:rsidRDefault="00A77B3E">
      <w:pPr>
        <w:spacing w:line="360" w:lineRule="auto"/>
        <w:jc w:val="both"/>
      </w:pPr>
    </w:p>
    <w:p w14:paraId="3A1AC971" w14:textId="7E0E5CA2" w:rsidR="00A77B3E" w:rsidRDefault="008C7DFC">
      <w:pPr>
        <w:spacing w:line="360" w:lineRule="auto"/>
        <w:jc w:val="both"/>
      </w:pPr>
      <w:bookmarkStart w:id="2" w:name="OLE_LINK1"/>
      <w:r>
        <w:rPr>
          <w:rFonts w:ascii="Book Antiqua" w:eastAsia="Book Antiqua" w:hAnsi="Book Antiqua" w:cs="Book Antiqua"/>
          <w:color w:val="000000"/>
        </w:rPr>
        <w:t>Chen-</w:t>
      </w:r>
      <w:r w:rsidR="00635FA9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an</w:t>
      </w:r>
      <w:bookmarkEnd w:id="2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5"/>
      <w:r>
        <w:rPr>
          <w:rFonts w:ascii="Book Antiqua" w:eastAsia="Book Antiqua" w:hAnsi="Book Antiqua" w:cs="Book Antiqua"/>
          <w:color w:val="000000"/>
        </w:rPr>
        <w:t>Tao-</w:t>
      </w:r>
      <w:r w:rsidR="00635FA9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bookmarkEnd w:id="3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30AED6E2" w14:textId="77777777" w:rsidR="00A77B3E" w:rsidRDefault="00A77B3E">
      <w:pPr>
        <w:spacing w:line="360" w:lineRule="auto"/>
        <w:jc w:val="both"/>
      </w:pPr>
    </w:p>
    <w:p w14:paraId="3E7665FB" w14:textId="42B57B0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Chen-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2"/>
      <w:r w:rsidR="00635FA9">
        <w:rPr>
          <w:rFonts w:ascii="Book Antiqua" w:eastAsia="Book Antiqua" w:hAnsi="Book Antiqua" w:cs="Book Antiqua"/>
          <w:color w:val="000000"/>
        </w:rPr>
        <w:t xml:space="preserve">The Second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General </w:t>
      </w:r>
      <w:r>
        <w:rPr>
          <w:rFonts w:ascii="Book Antiqua" w:eastAsia="Book Antiqua" w:hAnsi="Book Antiqua" w:cs="Book Antiqua"/>
          <w:color w:val="000000"/>
        </w:rPr>
        <w:t>Surgery</w:t>
      </w:r>
      <w:bookmarkEnd w:id="4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4"/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bookmarkEnd w:id="6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332BC4" w14:textId="77777777" w:rsidR="00A77B3E" w:rsidRDefault="00A77B3E">
      <w:pPr>
        <w:spacing w:line="360" w:lineRule="auto"/>
        <w:jc w:val="both"/>
      </w:pPr>
    </w:p>
    <w:p w14:paraId="4922F963" w14:textId="382F01C4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Tao-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"/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bookmarkEnd w:id="7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DC6161E" w14:textId="77777777" w:rsidR="00A77B3E" w:rsidRDefault="00A77B3E">
      <w:pPr>
        <w:spacing w:line="360" w:lineRule="auto"/>
        <w:jc w:val="both"/>
      </w:pPr>
    </w:p>
    <w:p w14:paraId="134B5DDC" w14:textId="0ED5E80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8" w:name="OLE_LINK11"/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TL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constructive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input;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8"/>
    </w:p>
    <w:p w14:paraId="4D5C760C" w14:textId="77777777" w:rsidR="00A77B3E" w:rsidRDefault="00A77B3E">
      <w:pPr>
        <w:spacing w:line="360" w:lineRule="auto"/>
        <w:jc w:val="both"/>
      </w:pPr>
    </w:p>
    <w:p w14:paraId="6F297BE1" w14:textId="0BD638F2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Tao-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Xiangya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8"/>
      <w:r w:rsidR="00635FA9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116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Changjiang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wtl820419@sina.cn</w:t>
      </w:r>
    </w:p>
    <w:p w14:paraId="2582588E" w14:textId="77777777" w:rsidR="00A77B3E" w:rsidRDefault="00A77B3E">
      <w:pPr>
        <w:spacing w:line="360" w:lineRule="auto"/>
        <w:jc w:val="both"/>
      </w:pPr>
    </w:p>
    <w:p w14:paraId="148C1622" w14:textId="1502C2B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39C1F5" w14:textId="2FF9F33D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April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2021</w:t>
      </w:r>
    </w:p>
    <w:p w14:paraId="0BD2C945" w14:textId="09D7866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1BFA" w:rsidRPr="00731BFA">
        <w:rPr>
          <w:rFonts w:ascii="Book Antiqua" w:eastAsia="Book Antiqua" w:hAnsi="Book Antiqua" w:cs="Book Antiqua"/>
          <w:color w:val="000000"/>
        </w:rPr>
        <w:t>May 15, 2021</w:t>
      </w:r>
    </w:p>
    <w:p w14:paraId="308019CF" w14:textId="6F1E61D2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6AE77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E0B08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3A0D17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A152DBC" w14:textId="7071E0CE" w:rsidR="00A77B3E" w:rsidRDefault="008C7DFC">
      <w:pPr>
        <w:spacing w:line="360" w:lineRule="auto"/>
        <w:jc w:val="both"/>
      </w:pPr>
      <w:bookmarkStart w:id="10" w:name="OLE_LINK14"/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(SCPFTs)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myofibroblast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bookmarkEnd w:id="10"/>
    <w:p w14:paraId="69883ADE" w14:textId="77777777" w:rsidR="00A77B3E" w:rsidRDefault="00A77B3E">
      <w:pPr>
        <w:spacing w:line="360" w:lineRule="auto"/>
        <w:jc w:val="both"/>
      </w:pPr>
    </w:p>
    <w:p w14:paraId="2A4751FB" w14:textId="7518800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D20E347" w14:textId="745D4D41" w:rsidR="00A77B3E" w:rsidRDefault="008C7DFC">
      <w:pPr>
        <w:spacing w:line="360" w:lineRule="auto"/>
        <w:jc w:val="both"/>
      </w:pPr>
      <w:bookmarkStart w:id="11" w:name="OLE_LINK15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55-year-old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well-circumscribed,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spindle-cell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bookmarkEnd w:id="11"/>
    <w:p w14:paraId="41BBCD25" w14:textId="77777777" w:rsidR="00A77B3E" w:rsidRDefault="00A77B3E">
      <w:pPr>
        <w:spacing w:line="360" w:lineRule="auto"/>
        <w:jc w:val="both"/>
      </w:pPr>
    </w:p>
    <w:p w14:paraId="5CB9E0AD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1ED3DB0" w14:textId="62064DF7" w:rsidR="00A77B3E" w:rsidRDefault="008C7DFC">
      <w:pPr>
        <w:spacing w:line="360" w:lineRule="auto"/>
        <w:jc w:val="both"/>
      </w:pPr>
      <w:bookmarkStart w:id="12" w:name="OLE_LINK16"/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histomorphology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C104C"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bookmarkEnd w:id="12"/>
    <w:p w14:paraId="656477E8" w14:textId="77777777" w:rsidR="00A77B3E" w:rsidRDefault="00A77B3E">
      <w:pPr>
        <w:spacing w:line="360" w:lineRule="auto"/>
        <w:jc w:val="both"/>
      </w:pPr>
    </w:p>
    <w:p w14:paraId="5A58D97E" w14:textId="1F7BE48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3"/>
      <w:r w:rsidRPr="00635FA9">
        <w:rPr>
          <w:rFonts w:ascii="Book Antiqua" w:eastAsia="Book Antiqua" w:hAnsi="Book Antiqua" w:cs="Book Antiqua"/>
          <w:color w:val="000000"/>
        </w:rPr>
        <w:t>Superficiality;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bookmarkEnd w:id="13"/>
    <w:p w14:paraId="1D9CAB4A" w14:textId="77777777" w:rsidR="00A77B3E" w:rsidRDefault="00A77B3E">
      <w:pPr>
        <w:spacing w:line="360" w:lineRule="auto"/>
        <w:jc w:val="both"/>
      </w:pPr>
    </w:p>
    <w:p w14:paraId="1E63FAAB" w14:textId="06F08A8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A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C944237" w14:textId="77777777" w:rsidR="00A77B3E" w:rsidRDefault="00A77B3E">
      <w:pPr>
        <w:spacing w:line="360" w:lineRule="auto"/>
        <w:jc w:val="both"/>
      </w:pPr>
    </w:p>
    <w:p w14:paraId="5EBD3EDA" w14:textId="31B85DFD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Core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4" w:name="OLE_LINK12"/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positivity for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bookmarkEnd w:id="14"/>
    <w:p w14:paraId="4FA719A0" w14:textId="77777777" w:rsidR="00635FA9" w:rsidRDefault="00635FA9">
      <w:pPr>
        <w:spacing w:line="360" w:lineRule="auto"/>
        <w:jc w:val="both"/>
        <w:sectPr w:rsidR="00635F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C2D0C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C08EE91" w14:textId="2599A2E8" w:rsidR="00A77B3E" w:rsidRDefault="008C7DFC">
      <w:pPr>
        <w:spacing w:line="360" w:lineRule="auto"/>
        <w:jc w:val="both"/>
      </w:pPr>
      <w:bookmarkStart w:id="15" w:name="OLE_LINK17"/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(SCPFTs)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myofibroblast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bookmarkEnd w:id="15"/>
    <w:p w14:paraId="6DB4F5E8" w14:textId="77777777" w:rsidR="00A77B3E" w:rsidRDefault="00A77B3E">
      <w:pPr>
        <w:spacing w:line="360" w:lineRule="auto"/>
        <w:jc w:val="both"/>
      </w:pPr>
    </w:p>
    <w:p w14:paraId="524ABF30" w14:textId="5C039AD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89582A9" w14:textId="6C5EF98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AC2484A" w14:textId="4FABF7A5" w:rsidR="00A77B3E" w:rsidRDefault="008C7DFC">
      <w:pPr>
        <w:spacing w:line="360" w:lineRule="auto"/>
        <w:jc w:val="both"/>
      </w:pPr>
      <w:bookmarkStart w:id="16" w:name="OLE_LINK18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55-year-old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bookmarkEnd w:id="16"/>
    <w:p w14:paraId="4A5C0FE1" w14:textId="77777777" w:rsidR="00A77B3E" w:rsidRDefault="00A77B3E">
      <w:pPr>
        <w:spacing w:line="360" w:lineRule="auto"/>
        <w:jc w:val="both"/>
      </w:pPr>
    </w:p>
    <w:p w14:paraId="48DA1224" w14:textId="6445B29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F6BC07" w14:textId="433BFCD6" w:rsidR="00A77B3E" w:rsidRDefault="008C7DFC">
      <w:pPr>
        <w:spacing w:line="360" w:lineRule="auto"/>
        <w:jc w:val="both"/>
      </w:pPr>
      <w:bookmarkStart w:id="17" w:name="OLE_LINK19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bookmarkEnd w:id="17"/>
    <w:p w14:paraId="44984749" w14:textId="77777777" w:rsidR="00A77B3E" w:rsidRDefault="00A77B3E">
      <w:pPr>
        <w:spacing w:line="360" w:lineRule="auto"/>
        <w:jc w:val="both"/>
      </w:pPr>
    </w:p>
    <w:p w14:paraId="20F3A758" w14:textId="395591C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E679D0E" w14:textId="40557171" w:rsidR="00A77B3E" w:rsidRDefault="008C7DFC">
      <w:pPr>
        <w:spacing w:line="360" w:lineRule="auto"/>
        <w:jc w:val="both"/>
      </w:pPr>
      <w:bookmarkStart w:id="18" w:name="OLE_LINK20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bookmarkEnd w:id="18"/>
    <w:p w14:paraId="280103DF" w14:textId="77777777" w:rsidR="00A77B3E" w:rsidRDefault="00A77B3E">
      <w:pPr>
        <w:spacing w:line="360" w:lineRule="auto"/>
        <w:jc w:val="both"/>
      </w:pPr>
    </w:p>
    <w:p w14:paraId="49FE3710" w14:textId="1DFB5C0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932B5E" w14:textId="62D2B399" w:rsidR="00A77B3E" w:rsidRDefault="008C7DFC">
      <w:pPr>
        <w:spacing w:line="360" w:lineRule="auto"/>
        <w:jc w:val="both"/>
      </w:pPr>
      <w:bookmarkStart w:id="19" w:name="OLE_LINK21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bookmarkEnd w:id="19"/>
    <w:p w14:paraId="00F384BA" w14:textId="77777777" w:rsidR="00A77B3E" w:rsidRDefault="00A77B3E">
      <w:pPr>
        <w:spacing w:line="360" w:lineRule="auto"/>
        <w:jc w:val="both"/>
      </w:pPr>
    </w:p>
    <w:p w14:paraId="1937834D" w14:textId="7B6C5DA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1B4EF81" w14:textId="0DFEE3BF" w:rsidR="00A77B3E" w:rsidRDefault="008C7DFC">
      <w:pPr>
        <w:spacing w:line="360" w:lineRule="auto"/>
        <w:jc w:val="both"/>
      </w:pPr>
      <w:bookmarkStart w:id="20" w:name="OLE_LINK22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</w:p>
    <w:bookmarkEnd w:id="20"/>
    <w:p w14:paraId="1554CE44" w14:textId="77777777" w:rsidR="00A77B3E" w:rsidRDefault="00A77B3E">
      <w:pPr>
        <w:spacing w:line="360" w:lineRule="auto"/>
        <w:jc w:val="both"/>
      </w:pPr>
    </w:p>
    <w:p w14:paraId="7179D0D8" w14:textId="2913B25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94DE843" w14:textId="222D8729" w:rsidR="00A77B3E" w:rsidRDefault="008C7DFC">
      <w:pPr>
        <w:spacing w:line="360" w:lineRule="auto"/>
        <w:jc w:val="both"/>
      </w:pPr>
      <w:bookmarkStart w:id="21" w:name="OLE_LINK23"/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C104C">
        <w:rPr>
          <w:rFonts w:ascii="Book Antiqua" w:eastAsia="Book Antiqua" w:hAnsi="Book Antiqua" w:cs="Book Antiqua"/>
          <w:color w:val="000000"/>
        </w:rPr>
        <w:t>, 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biomarkers.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syphilis,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</w:p>
    <w:p w14:paraId="6CD44940" w14:textId="6EAE8346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showed that a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taupe,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mucoid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="005D6B6A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70B0035" w14:textId="3F515FF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the tumor cells were diffusely and strongly positive for </w:t>
      </w:r>
      <w:r>
        <w:rPr>
          <w:rFonts w:ascii="Book Antiqua" w:eastAsia="Book Antiqua" w:hAnsi="Book Antiqua" w:cs="Book Antiqua"/>
          <w:color w:val="000000"/>
        </w:rPr>
        <w:t>CD34</w:t>
      </w:r>
      <w:r w:rsidR="005C104C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vimentin,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but negative 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S100,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_GoBack"/>
      <w:proofErr w:type="spellStart"/>
      <w:r>
        <w:rPr>
          <w:rFonts w:ascii="Book Antiqua" w:eastAsia="Book Antiqua" w:hAnsi="Book Antiqua" w:cs="Book Antiqua"/>
          <w:color w:val="000000"/>
        </w:rPr>
        <w:t>desmin</w:t>
      </w:r>
      <w:bookmarkEnd w:id="22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CD117,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Dog-1,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CK-P,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CD68,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STAT6,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HMB45,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(D5F3)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C104C">
        <w:rPr>
          <w:rFonts w:ascii="Book Antiqua" w:eastAsia="Book Antiqua" w:hAnsi="Book Antiqua" w:cs="Book Antiqua"/>
          <w:color w:val="000000"/>
        </w:rPr>
        <w:t>. The</w:t>
      </w:r>
      <w:r w:rsidR="005C104C" w:rsidRPr="005C104C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Ki-67 index was &lt; 1%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21"/>
    <w:p w14:paraId="6C13B0B7" w14:textId="77777777" w:rsidR="00A77B3E" w:rsidRDefault="00A77B3E">
      <w:pPr>
        <w:spacing w:line="360" w:lineRule="auto"/>
        <w:jc w:val="both"/>
      </w:pPr>
    </w:p>
    <w:p w14:paraId="4A6F56EA" w14:textId="6E23666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C66215B" w14:textId="679A42BF" w:rsidR="00A77B3E" w:rsidRDefault="00120C5D">
      <w:pPr>
        <w:spacing w:line="360" w:lineRule="auto"/>
        <w:jc w:val="both"/>
      </w:pPr>
      <w:bookmarkStart w:id="23" w:name="OLE_LINK24"/>
      <w:r>
        <w:rPr>
          <w:rFonts w:ascii="Book Antiqua" w:eastAsia="Book Antiqua" w:hAnsi="Book Antiqua" w:cs="Book Antiqua"/>
          <w:color w:val="000000"/>
        </w:rPr>
        <w:t>U</w:t>
      </w:r>
      <w:r w:rsidR="008C7DFC">
        <w:rPr>
          <w:rFonts w:ascii="Book Antiqua" w:eastAsia="Book Antiqua" w:hAnsi="Book Antiqua" w:cs="Book Antiqua"/>
          <w:color w:val="000000"/>
        </w:rPr>
        <w:t>ltrasound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7.9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7.6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cystic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knee-chest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position.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border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poor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entrant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rear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echo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enhancement.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vascular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signals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could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detected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around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(Figure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5</w:t>
      </w:r>
      <w:r w:rsidR="008C7DFC">
        <w:rPr>
          <w:rFonts w:ascii="Book Antiqua" w:eastAsia="Book Antiqua" w:hAnsi="Book Antiqua" w:cs="Book Antiqua"/>
          <w:color w:val="000000"/>
        </w:rPr>
        <w:t>)</w:t>
      </w:r>
      <w:r w:rsidR="00635FA9">
        <w:rPr>
          <w:rFonts w:ascii="Book Antiqua" w:eastAsia="Book Antiqua" w:hAnsi="Book Antiqua" w:cs="Book Antiqua"/>
          <w:color w:val="000000"/>
        </w:rPr>
        <w:t>.</w:t>
      </w:r>
    </w:p>
    <w:bookmarkEnd w:id="23"/>
    <w:p w14:paraId="651A6B6F" w14:textId="77777777" w:rsidR="00A77B3E" w:rsidRDefault="00A77B3E">
      <w:pPr>
        <w:spacing w:line="360" w:lineRule="auto"/>
        <w:jc w:val="both"/>
      </w:pPr>
    </w:p>
    <w:p w14:paraId="41987730" w14:textId="622FB46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1213B91" w14:textId="77777777" w:rsidR="00A77B3E" w:rsidRDefault="008C7DFC">
      <w:pPr>
        <w:spacing w:line="360" w:lineRule="auto"/>
        <w:jc w:val="both"/>
      </w:pPr>
      <w:bookmarkStart w:id="24" w:name="OLE_LINK25"/>
      <w:r>
        <w:rPr>
          <w:rFonts w:ascii="Book Antiqua" w:eastAsia="Book Antiqua" w:hAnsi="Book Antiqua" w:cs="Book Antiqua"/>
          <w:color w:val="000000"/>
        </w:rPr>
        <w:t>SCPFT.</w:t>
      </w:r>
    </w:p>
    <w:bookmarkEnd w:id="24"/>
    <w:p w14:paraId="42F6D5F5" w14:textId="77777777" w:rsidR="00A77B3E" w:rsidRDefault="00A77B3E">
      <w:pPr>
        <w:spacing w:line="360" w:lineRule="auto"/>
        <w:jc w:val="both"/>
      </w:pPr>
    </w:p>
    <w:p w14:paraId="127AFF42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39F45FF" w14:textId="63E101D4" w:rsidR="00A77B3E" w:rsidRDefault="008C7DFC">
      <w:pPr>
        <w:spacing w:line="360" w:lineRule="auto"/>
        <w:jc w:val="both"/>
      </w:pPr>
      <w:bookmarkStart w:id="25" w:name="OLE_LINK26"/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</w:p>
    <w:bookmarkEnd w:id="25"/>
    <w:p w14:paraId="604CF1E5" w14:textId="77777777" w:rsidR="00A77B3E" w:rsidRDefault="00A77B3E">
      <w:pPr>
        <w:spacing w:line="360" w:lineRule="auto"/>
        <w:jc w:val="both"/>
      </w:pPr>
    </w:p>
    <w:p w14:paraId="02E8C91E" w14:textId="18289E7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7783F18" w14:textId="6A345E0E" w:rsidR="00A77B3E" w:rsidRDefault="008C7DFC">
      <w:pPr>
        <w:spacing w:line="360" w:lineRule="auto"/>
        <w:jc w:val="both"/>
      </w:pPr>
      <w:bookmarkStart w:id="26" w:name="OLE_LINK27"/>
      <w:r>
        <w:rPr>
          <w:rFonts w:ascii="Book Antiqua" w:eastAsia="Book Antiqua" w:hAnsi="Book Antiqua" w:cs="Book Antiqua"/>
          <w:color w:val="000000"/>
        </w:rPr>
        <w:t>There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bookmarkEnd w:id="26"/>
    <w:p w14:paraId="1B19423B" w14:textId="77777777" w:rsidR="00A77B3E" w:rsidRDefault="00A77B3E">
      <w:pPr>
        <w:spacing w:line="360" w:lineRule="auto"/>
        <w:jc w:val="both"/>
      </w:pPr>
    </w:p>
    <w:p w14:paraId="330E98FE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100DA8" w14:textId="6F63D0ED" w:rsidR="00A77B3E" w:rsidRDefault="008C7DFC">
      <w:pPr>
        <w:spacing w:line="360" w:lineRule="auto"/>
        <w:jc w:val="both"/>
      </w:pPr>
      <w:bookmarkStart w:id="27" w:name="OLE_LINK28"/>
      <w:r>
        <w:rPr>
          <w:rFonts w:ascii="Book Antiqua" w:eastAsia="Book Antiqua" w:hAnsi="Book Antiqua" w:cs="Book Antiqua"/>
          <w:color w:val="000000"/>
        </w:rPr>
        <w:t>SCPFTs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C104C"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20-76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preponderance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3-8]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buttock,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C104C">
        <w:rPr>
          <w:rFonts w:ascii="Book Antiqua" w:eastAsia="Book Antiqua" w:hAnsi="Book Antiqua" w:cs="Book Antiqua"/>
          <w:color w:val="000000"/>
        </w:rPr>
        <w:t xml:space="preserve"> a small red mass but 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232DBD">
        <w:rPr>
          <w:rFonts w:ascii="Book Antiqua" w:eastAsia="Book Antiqua" w:hAnsi="Book Antiqua" w:cs="Book Antiqua"/>
          <w:color w:val="000000"/>
        </w:rPr>
        <w:t xml:space="preserve">expression status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</w:p>
    <w:p w14:paraId="4CE8C783" w14:textId="4A9A0C64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Histologically,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635FA9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fibroadipose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cells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epithelioid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Ki67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3AD27F" w14:textId="2BA04F31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bookmarkEnd w:id="27"/>
    <w:p w14:paraId="00AA06D1" w14:textId="77777777" w:rsidR="00A77B3E" w:rsidRDefault="00A77B3E">
      <w:pPr>
        <w:spacing w:line="360" w:lineRule="auto"/>
        <w:jc w:val="both"/>
      </w:pPr>
    </w:p>
    <w:p w14:paraId="15D427A4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017C66" w14:textId="0589BB59" w:rsidR="00A77B3E" w:rsidRDefault="008C7DFC">
      <w:pPr>
        <w:spacing w:line="360" w:lineRule="auto"/>
        <w:jc w:val="both"/>
      </w:pPr>
      <w:bookmarkStart w:id="28" w:name="OLE_LINK29"/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bookmarkEnd w:id="28"/>
    <w:p w14:paraId="5F0E0E69" w14:textId="77777777" w:rsidR="00A77B3E" w:rsidRDefault="00A77B3E">
      <w:pPr>
        <w:spacing w:line="360" w:lineRule="auto"/>
        <w:jc w:val="both"/>
      </w:pPr>
    </w:p>
    <w:p w14:paraId="394BC0ED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A35201C" w14:textId="5102ED74" w:rsidR="00A77B3E" w:rsidRDefault="008C7DFC">
      <w:pPr>
        <w:spacing w:line="360" w:lineRule="auto"/>
        <w:jc w:val="both"/>
      </w:pPr>
      <w:bookmarkStart w:id="29" w:name="OLE_LINK6"/>
      <w:r>
        <w:rPr>
          <w:rFonts w:ascii="Book Antiqua" w:eastAsia="Book Antiqua" w:hAnsi="Book Antiqua" w:cs="Book Antiqua"/>
          <w:color w:val="000000"/>
        </w:rPr>
        <w:t>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Linos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DiCaudo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Folpe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(borderline)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Mod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294-302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23887307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10.1038/modpathol.2013.139]</w:t>
      </w:r>
    </w:p>
    <w:p w14:paraId="531DAE1C" w14:textId="6037BFC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Weng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Dermatopathol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68-71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30702454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10.1097/DAD.0000000000001355]</w:t>
      </w:r>
    </w:p>
    <w:p w14:paraId="34AD3D24" w14:textId="73115F1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Lao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Wang</w:t>
      </w:r>
      <w:proofErr w:type="gram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394-401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27636918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10.1111/his.13088]</w:t>
      </w:r>
    </w:p>
    <w:p w14:paraId="750F672A" w14:textId="7DACD2F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Hendry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Papadimitriou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479-482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26126039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10.1097/PAT.0000000000000281]</w:t>
      </w:r>
    </w:p>
    <w:p w14:paraId="6AF5B555" w14:textId="30900C7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Uchi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Furue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934-936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26946226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10.1111/1346-8138.13327]</w:t>
      </w:r>
    </w:p>
    <w:p w14:paraId="6F3A807A" w14:textId="59BFD80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Molnar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Cytologic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ancillary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Cytopathol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926-930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27432164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10.1002/dc.23529]</w:t>
      </w:r>
    </w:p>
    <w:p w14:paraId="325FB93D" w14:textId="1B72775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Donaldson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Micrographic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1489-1491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28263196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10.1097/DSS.0000000000001073]</w:t>
      </w:r>
    </w:p>
    <w:p w14:paraId="1D5228D0" w14:textId="6D442DF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Khandelia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377-380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28937375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10.4103/IJPM.IJPM_589_16]</w:t>
      </w:r>
    </w:p>
    <w:p w14:paraId="73F46A42" w14:textId="6A86540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Zemheri</w:t>
      </w:r>
      <w:proofErr w:type="spellEnd"/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Karadag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Yılmaz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İ.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526-529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33487713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10.4103/ijd.IJD_585_18]</w:t>
      </w:r>
    </w:p>
    <w:p w14:paraId="029D56BF" w14:textId="07E23624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[Updates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tumors].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Xue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Za</w:t>
      </w:r>
      <w:proofErr w:type="spellEnd"/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145-146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23769430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10.3760/cma.j.issn.0529-5807.2013.03.001]</w:t>
      </w:r>
    </w:p>
    <w:bookmarkEnd w:id="29"/>
    <w:p w14:paraId="69159F1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56762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DC21A0" w14:textId="6A663FD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0"/>
      <w:r>
        <w:rPr>
          <w:rFonts w:ascii="Book Antiqua" w:eastAsia="Book Antiqua" w:hAnsi="Book Antiqua" w:cs="Book Antiqua"/>
          <w:color w:val="000000"/>
        </w:rPr>
        <w:t>Informed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bookmarkEnd w:id="30"/>
    </w:p>
    <w:p w14:paraId="7502B6E3" w14:textId="77777777" w:rsidR="00A77B3E" w:rsidRDefault="00A77B3E">
      <w:pPr>
        <w:spacing w:line="360" w:lineRule="auto"/>
        <w:jc w:val="both"/>
      </w:pPr>
    </w:p>
    <w:p w14:paraId="042F126A" w14:textId="7739A83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1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232DBD">
        <w:rPr>
          <w:rFonts w:ascii="Book Antiqua" w:eastAsia="Book Antiqua" w:hAnsi="Book Antiqua" w:cs="Book Antiqua"/>
          <w:color w:val="000000"/>
        </w:rPr>
        <w:t xml:space="preserve"> to report</w:t>
      </w:r>
      <w:r>
        <w:rPr>
          <w:rFonts w:ascii="Book Antiqua" w:eastAsia="Book Antiqua" w:hAnsi="Book Antiqua" w:cs="Book Antiqua"/>
          <w:color w:val="000000"/>
        </w:rPr>
        <w:t>.</w:t>
      </w:r>
      <w:bookmarkEnd w:id="31"/>
    </w:p>
    <w:p w14:paraId="1CE21EF0" w14:textId="77777777" w:rsidR="00A77B3E" w:rsidRDefault="00A77B3E">
      <w:pPr>
        <w:spacing w:line="360" w:lineRule="auto"/>
        <w:jc w:val="both"/>
      </w:pPr>
    </w:p>
    <w:p w14:paraId="29C99A08" w14:textId="01DB8F3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32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C38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  <w:bookmarkEnd w:id="32"/>
    </w:p>
    <w:p w14:paraId="3626EB44" w14:textId="77777777" w:rsidR="00A77B3E" w:rsidRDefault="00A77B3E">
      <w:pPr>
        <w:spacing w:line="360" w:lineRule="auto"/>
        <w:jc w:val="both"/>
      </w:pPr>
    </w:p>
    <w:p w14:paraId="0E1C58B0" w14:textId="26B6673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0830843" w14:textId="77777777" w:rsidR="00A77B3E" w:rsidRDefault="00A77B3E">
      <w:pPr>
        <w:spacing w:line="360" w:lineRule="auto"/>
        <w:jc w:val="both"/>
      </w:pPr>
    </w:p>
    <w:p w14:paraId="6DE0F89C" w14:textId="758ED4D8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6AAE65B1" w14:textId="77777777" w:rsidR="00A77B3E" w:rsidRDefault="00A77B3E">
      <w:pPr>
        <w:spacing w:line="360" w:lineRule="auto"/>
        <w:jc w:val="both"/>
      </w:pPr>
    </w:p>
    <w:p w14:paraId="3F801C3B" w14:textId="36387DC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C7D09C" w14:textId="08F09D16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C9ACDF4" w14:textId="2E5E9A7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DC0F50" w14:textId="77777777" w:rsidR="00A77B3E" w:rsidRDefault="00A77B3E">
      <w:pPr>
        <w:spacing w:line="360" w:lineRule="auto"/>
        <w:jc w:val="both"/>
      </w:pPr>
    </w:p>
    <w:p w14:paraId="6A444BB3" w14:textId="6000A3C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5918F17C" w14:textId="7016BF16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CF50B9F" w14:textId="0A71EAD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CBA9FA" w14:textId="01BC7332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344C625" w14:textId="1EEE384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B</w:t>
      </w:r>
    </w:p>
    <w:p w14:paraId="1072499E" w14:textId="5020B333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B7EF384" w14:textId="48484E5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50BC83" w14:textId="4C5A2583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5CB1D9" w14:textId="77777777" w:rsidR="00A77B3E" w:rsidRDefault="00A77B3E">
      <w:pPr>
        <w:spacing w:line="360" w:lineRule="auto"/>
        <w:jc w:val="both"/>
      </w:pPr>
    </w:p>
    <w:p w14:paraId="031FBDE2" w14:textId="79F794EE" w:rsidR="00A77B3E" w:rsidRDefault="008C7DF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Barosi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Yan JP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2DBD" w:rsidRPr="004D19DA">
        <w:rPr>
          <w:rFonts w:ascii="Book Antiqua" w:eastAsia="Book Antiqua" w:hAnsi="Book Antiqua" w:cs="Book Antiqua"/>
          <w:color w:val="000000"/>
        </w:rPr>
        <w:t>Wang TQ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C437BA" w14:textId="6BDA03F2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55E4CD0" w14:textId="77777777" w:rsidR="005D6B6A" w:rsidRDefault="005D6B6A">
      <w:pPr>
        <w:spacing w:line="360" w:lineRule="auto"/>
        <w:jc w:val="both"/>
      </w:pPr>
    </w:p>
    <w:p w14:paraId="544ACD0D" w14:textId="77777777" w:rsidR="005D6B6A" w:rsidRDefault="005D6B6A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710D1D1C" wp14:editId="1F22B83B">
            <wp:extent cx="2880000" cy="2591591"/>
            <wp:effectExtent l="0" t="0" r="0" b="0"/>
            <wp:docPr id="6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4D4A4A-2E8D-4511-ABFA-B72864419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4D4A4A-2E8D-4511-ABFA-B72864419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9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92C5" w14:textId="481A9BC2" w:rsidR="005D6B6A" w:rsidRDefault="005D6B6A" w:rsidP="005D6B6A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1 Postoperative gross pathology.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subcutaneous tumor </w:t>
      </w:r>
      <w:r>
        <w:rPr>
          <w:rFonts w:ascii="Book Antiqua" w:eastAsia="Book Antiqua" w:hAnsi="Book Antiqua" w:cs="Book Antiqua"/>
          <w:color w:val="000000"/>
        </w:rPr>
        <w:t>approximately 8 cm in diameter was observed 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perianal area.</w:t>
      </w:r>
    </w:p>
    <w:p w14:paraId="6881C351" w14:textId="77777777" w:rsidR="005C3855" w:rsidRDefault="005C38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51B0F" w14:textId="7EC50C9C" w:rsidR="005C3855" w:rsidRDefault="005C38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23A3A068" w14:textId="0F28A28E" w:rsidR="005C3855" w:rsidRDefault="005C3855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24F0E998" wp14:editId="493E350C">
            <wp:extent cx="2880000" cy="2160762"/>
            <wp:effectExtent l="0" t="0" r="0" b="0"/>
            <wp:docPr id="1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1CB181-F1BB-4950-8CC2-1B9A897D4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1CB181-F1BB-4950-8CC2-1B9A897D4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70F5" w14:textId="16BD1A79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Histopathological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hematoxylin-eosin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staining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(0.45</w:t>
      </w:r>
      <w:r w:rsidR="005C385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×).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dermis.</w:t>
      </w:r>
    </w:p>
    <w:p w14:paraId="6C18E3CA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C62DF" w14:textId="26718570" w:rsidR="005C3855" w:rsidRDefault="005C3855">
      <w:pPr>
        <w:spacing w:line="360" w:lineRule="auto"/>
        <w:jc w:val="both"/>
      </w:pPr>
    </w:p>
    <w:p w14:paraId="32939DB6" w14:textId="2465C72A" w:rsidR="005C3855" w:rsidRDefault="005C3855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6F9661A2" wp14:editId="772C79B6">
            <wp:extent cx="2880000" cy="2880000"/>
            <wp:effectExtent l="0" t="0" r="0" b="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DF3707-98CE-448D-ACFD-B7046137E2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DF3707-98CE-448D-ACFD-B7046137E2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1BD4" w14:textId="68E4791A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</w:rPr>
        <w:t>3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Histopathological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hematoxylin-eosin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staining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(20</w:t>
      </w:r>
      <w:r w:rsidR="005C385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×).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1535336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19193" w14:textId="14809D68" w:rsidR="005C3855" w:rsidRDefault="005C3855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667FC65D" wp14:editId="2BFFEF00">
            <wp:extent cx="4667250" cy="23361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4728" w14:textId="77777777" w:rsidR="005C3855" w:rsidRDefault="005C3855">
      <w:pPr>
        <w:spacing w:line="360" w:lineRule="auto"/>
        <w:jc w:val="both"/>
      </w:pPr>
    </w:p>
    <w:p w14:paraId="42457007" w14:textId="3F36040D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4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Immunohistochemical</w:t>
      </w:r>
      <w:proofErr w:type="spellEnd"/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EnVision</w:t>
      </w:r>
      <w:proofErr w:type="spellEnd"/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method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(400</w:t>
      </w:r>
      <w:r w:rsidR="005C38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×).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CD34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CD34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sparse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7BDE9D35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0455C7" w14:textId="77777777" w:rsidR="005D6B6A" w:rsidRDefault="005D6B6A" w:rsidP="005D6B6A">
      <w:pPr>
        <w:spacing w:line="360" w:lineRule="auto"/>
        <w:jc w:val="both"/>
      </w:pPr>
      <w:r w:rsidRPr="005C3855">
        <w:rPr>
          <w:noProof/>
          <w:lang w:eastAsia="zh-CN"/>
        </w:rPr>
        <w:lastRenderedPageBreak/>
        <w:drawing>
          <wp:inline distT="0" distB="0" distL="0" distR="0" wp14:anchorId="31536240" wp14:editId="66ECF1E9">
            <wp:extent cx="2880000" cy="2880000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157E4-CFE9-4224-96AE-E864B54AC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157E4-CFE9-4224-96AE-E864B54ACE75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8D94" w14:textId="1B81247F" w:rsidR="005D6B6A" w:rsidRDefault="005D6B6A" w:rsidP="005D6B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5 </w:t>
      </w:r>
      <w:r w:rsidR="00232DBD"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ltrasound image. </w:t>
      </w:r>
      <w:r>
        <w:rPr>
          <w:rFonts w:ascii="Book Antiqua" w:eastAsia="Book Antiqua" w:hAnsi="Book Antiqua" w:cs="Book Antiqua"/>
          <w:color w:val="000000"/>
        </w:rPr>
        <w:t xml:space="preserve">A perianal cystic mass, </w:t>
      </w:r>
      <w:r w:rsidR="00232DBD">
        <w:rPr>
          <w:rFonts w:ascii="Book Antiqua" w:eastAsia="Book Antiqua" w:hAnsi="Book Antiqua" w:cs="Book Antiqua"/>
          <w:color w:val="000000"/>
        </w:rPr>
        <w:t xml:space="preserve">which was initially </w:t>
      </w:r>
      <w:r>
        <w:rPr>
          <w:rFonts w:ascii="Book Antiqua" w:eastAsia="Book Antiqua" w:hAnsi="Book Antiqua" w:cs="Book Antiqua"/>
          <w:color w:val="000000"/>
        </w:rPr>
        <w:t>consider</w:t>
      </w:r>
      <w:r w:rsidR="00232DBD">
        <w:rPr>
          <w:rFonts w:ascii="Book Antiqua" w:eastAsia="Book Antiqua" w:hAnsi="Book Antiqua" w:cs="Book Antiqua"/>
          <w:color w:val="000000"/>
        </w:rPr>
        <w:t>ed as a</w:t>
      </w:r>
      <w:r>
        <w:rPr>
          <w:rFonts w:ascii="Book Antiqua" w:eastAsia="Book Antiqua" w:hAnsi="Book Antiqua" w:cs="Book Antiqua"/>
          <w:color w:val="000000"/>
        </w:rPr>
        <w:t xml:space="preserve"> perianal abscess</w:t>
      </w:r>
      <w:r w:rsidR="00232DB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was observed.</w:t>
      </w:r>
    </w:p>
    <w:p w14:paraId="162C559B" w14:textId="77777777" w:rsidR="005D6B6A" w:rsidRPr="005D6B6A" w:rsidRDefault="005D6B6A" w:rsidP="005C3855">
      <w:pPr>
        <w:pStyle w:val="EndNoteBibliography"/>
        <w:rPr>
          <w:b/>
          <w:bCs/>
          <w:szCs w:val="24"/>
        </w:rPr>
      </w:pPr>
    </w:p>
    <w:p w14:paraId="12C96E82" w14:textId="77777777" w:rsidR="005D6B6A" w:rsidRDefault="005D6B6A" w:rsidP="005C3855">
      <w:pPr>
        <w:pStyle w:val="EndNoteBibliography"/>
        <w:rPr>
          <w:b/>
          <w:bCs/>
          <w:szCs w:val="24"/>
        </w:rPr>
        <w:sectPr w:rsidR="005D6B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2FCD3" w14:textId="3DDCE08B" w:rsidR="005C3855" w:rsidRPr="00FD4D0B" w:rsidRDefault="005C3855" w:rsidP="005C3855">
      <w:pPr>
        <w:pStyle w:val="EndNoteBibliography"/>
        <w:rPr>
          <w:b/>
          <w:bCs/>
          <w:szCs w:val="24"/>
        </w:rPr>
      </w:pPr>
      <w:r w:rsidRPr="00FD4D0B">
        <w:rPr>
          <w:b/>
          <w:bCs/>
          <w:szCs w:val="24"/>
        </w:rPr>
        <w:lastRenderedPageBreak/>
        <w:t>Table 1</w:t>
      </w:r>
      <w:bookmarkStart w:id="33" w:name="_Hlk64751870"/>
      <w:r w:rsidRPr="00FD4D0B">
        <w:rPr>
          <w:b/>
          <w:bCs/>
          <w:szCs w:val="24"/>
        </w:rPr>
        <w:t xml:space="preserve"> Inflammatory factors and tumor biomarkers </w:t>
      </w:r>
      <w:bookmarkEnd w:id="33"/>
      <w:r w:rsidRPr="00FD4D0B">
        <w:rPr>
          <w:b/>
          <w:bCs/>
          <w:szCs w:val="24"/>
        </w:rPr>
        <w:t>of this patient</w:t>
      </w:r>
    </w:p>
    <w:tbl>
      <w:tblPr>
        <w:tblStyle w:val="a5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622"/>
        <w:gridCol w:w="2722"/>
        <w:gridCol w:w="1965"/>
      </w:tblGrid>
      <w:tr w:rsidR="005C3855" w:rsidRPr="00FD4D0B" w14:paraId="140941F3" w14:textId="77777777" w:rsidTr="005D6B6A">
        <w:trPr>
          <w:trHeight w:val="398"/>
        </w:trPr>
        <w:tc>
          <w:tcPr>
            <w:tcW w:w="4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D4AF" w14:textId="4461CA84" w:rsidR="005C3855" w:rsidRPr="005C3855" w:rsidRDefault="005C3855" w:rsidP="005D6B6A">
            <w:pPr>
              <w:pStyle w:val="EndNoteBibliography"/>
              <w:rPr>
                <w:b/>
                <w:bCs/>
                <w:szCs w:val="24"/>
              </w:rPr>
            </w:pPr>
            <w:r w:rsidRPr="005C3855">
              <w:rPr>
                <w:b/>
                <w:bCs/>
                <w:szCs w:val="24"/>
              </w:rPr>
              <w:t>Inflammatory factor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39F4" w14:textId="76A31480" w:rsidR="005C3855" w:rsidRPr="005C3855" w:rsidRDefault="005C3855" w:rsidP="005D6B6A">
            <w:pPr>
              <w:pStyle w:val="EndNoteBibliography"/>
              <w:ind w:firstLine="480"/>
              <w:rPr>
                <w:b/>
                <w:bCs/>
                <w:szCs w:val="24"/>
              </w:rPr>
            </w:pPr>
            <w:r w:rsidRPr="005C3855">
              <w:rPr>
                <w:b/>
                <w:bCs/>
                <w:szCs w:val="24"/>
              </w:rPr>
              <w:t>Tumor biomark</w:t>
            </w:r>
          </w:p>
        </w:tc>
      </w:tr>
      <w:tr w:rsidR="005C3855" w:rsidRPr="00FD4D0B" w14:paraId="5BE77E35" w14:textId="77777777" w:rsidTr="005D6B6A">
        <w:trPr>
          <w:trHeight w:val="828"/>
        </w:trPr>
        <w:tc>
          <w:tcPr>
            <w:tcW w:w="3063" w:type="dxa"/>
            <w:tcBorders>
              <w:top w:val="single" w:sz="4" w:space="0" w:color="auto"/>
            </w:tcBorders>
          </w:tcPr>
          <w:p w14:paraId="4233C7F1" w14:textId="792FFDED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White blood cell count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78A3906" w14:textId="3256D98F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7.55</w:t>
            </w:r>
            <w:r>
              <w:rPr>
                <w:szCs w:val="24"/>
              </w:rPr>
              <w:t xml:space="preserve"> </w:t>
            </w:r>
            <w:r w:rsidRPr="005C3855">
              <w:rPr>
                <w:rFonts w:cs="Times New Roman"/>
                <w:szCs w:val="24"/>
              </w:rPr>
              <w:t>×</w:t>
            </w:r>
            <w:r w:rsidRPr="005C3855">
              <w:rPr>
                <w:szCs w:val="24"/>
              </w:rPr>
              <w:t xml:space="preserve"> </w:t>
            </w:r>
            <w:r w:rsidRPr="00FD4D0B">
              <w:rPr>
                <w:szCs w:val="24"/>
              </w:rPr>
              <w:t>10</w:t>
            </w:r>
            <w:r w:rsidRPr="00FD4D0B">
              <w:rPr>
                <w:szCs w:val="24"/>
                <w:vertAlign w:val="superscript"/>
              </w:rPr>
              <w:t>9</w:t>
            </w:r>
            <w:r w:rsidRPr="00FD4D0B">
              <w:rPr>
                <w:szCs w:val="24"/>
              </w:rPr>
              <w:t>/L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CBA782A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AFP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48A0CD0E" w14:textId="709E3CFF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szCs w:val="24"/>
              </w:rPr>
              <w:t>4.08 ng/m</w:t>
            </w:r>
            <w:r w:rsidR="005D6B6A" w:rsidRPr="00FD4D0B">
              <w:rPr>
                <w:szCs w:val="24"/>
              </w:rPr>
              <w:t>L</w:t>
            </w:r>
          </w:p>
        </w:tc>
      </w:tr>
      <w:tr w:rsidR="005C3855" w:rsidRPr="00FD4D0B" w14:paraId="6F6AB095" w14:textId="77777777" w:rsidTr="005D6B6A">
        <w:trPr>
          <w:trHeight w:val="828"/>
        </w:trPr>
        <w:tc>
          <w:tcPr>
            <w:tcW w:w="3063" w:type="dxa"/>
          </w:tcPr>
          <w:p w14:paraId="5AE19536" w14:textId="03B917E6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Neutrophil count</w:t>
            </w:r>
          </w:p>
        </w:tc>
        <w:tc>
          <w:tcPr>
            <w:tcW w:w="1622" w:type="dxa"/>
          </w:tcPr>
          <w:p w14:paraId="1B263048" w14:textId="4F24805E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4.28</w:t>
            </w:r>
            <w:r>
              <w:rPr>
                <w:szCs w:val="24"/>
              </w:rPr>
              <w:t xml:space="preserve"> </w:t>
            </w:r>
            <w:r w:rsidRPr="005C3855">
              <w:rPr>
                <w:rFonts w:cs="Times New Roman"/>
                <w:szCs w:val="24"/>
              </w:rPr>
              <w:t>×</w:t>
            </w:r>
            <w:r>
              <w:rPr>
                <w:rFonts w:cs="Times New Roman"/>
                <w:szCs w:val="24"/>
              </w:rPr>
              <w:t xml:space="preserve"> </w:t>
            </w:r>
            <w:r w:rsidRPr="00FD4D0B">
              <w:rPr>
                <w:szCs w:val="24"/>
              </w:rPr>
              <w:t>10</w:t>
            </w:r>
            <w:r w:rsidRPr="00FD4D0B">
              <w:rPr>
                <w:szCs w:val="24"/>
                <w:vertAlign w:val="superscript"/>
              </w:rPr>
              <w:t>9</w:t>
            </w:r>
            <w:r w:rsidRPr="00FD4D0B">
              <w:rPr>
                <w:szCs w:val="24"/>
              </w:rPr>
              <w:t>/L</w:t>
            </w:r>
          </w:p>
        </w:tc>
        <w:tc>
          <w:tcPr>
            <w:tcW w:w="2722" w:type="dxa"/>
          </w:tcPr>
          <w:p w14:paraId="2316F0B5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CA19-9</w:t>
            </w:r>
          </w:p>
        </w:tc>
        <w:tc>
          <w:tcPr>
            <w:tcW w:w="1964" w:type="dxa"/>
          </w:tcPr>
          <w:p w14:paraId="421D0C39" w14:textId="15ED6F1B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color w:val="000000"/>
                <w:szCs w:val="24"/>
              </w:rPr>
              <w:t>11.51 U/m</w:t>
            </w:r>
            <w:r w:rsidR="005D6B6A" w:rsidRPr="00FD4D0B">
              <w:rPr>
                <w:color w:val="000000"/>
                <w:szCs w:val="24"/>
              </w:rPr>
              <w:t>L</w:t>
            </w:r>
          </w:p>
        </w:tc>
      </w:tr>
      <w:tr w:rsidR="005C3855" w:rsidRPr="00FD4D0B" w14:paraId="083C15A4" w14:textId="77777777" w:rsidTr="005D6B6A">
        <w:trPr>
          <w:trHeight w:val="406"/>
        </w:trPr>
        <w:tc>
          <w:tcPr>
            <w:tcW w:w="3063" w:type="dxa"/>
          </w:tcPr>
          <w:p w14:paraId="6B054813" w14:textId="391CB8D8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Neutrophil percentage</w:t>
            </w:r>
          </w:p>
        </w:tc>
        <w:tc>
          <w:tcPr>
            <w:tcW w:w="1622" w:type="dxa"/>
          </w:tcPr>
          <w:p w14:paraId="44AAFC29" w14:textId="77777777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56.6%</w:t>
            </w:r>
          </w:p>
        </w:tc>
        <w:tc>
          <w:tcPr>
            <w:tcW w:w="2722" w:type="dxa"/>
          </w:tcPr>
          <w:p w14:paraId="6E988317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CA125</w:t>
            </w:r>
          </w:p>
        </w:tc>
        <w:tc>
          <w:tcPr>
            <w:tcW w:w="1964" w:type="dxa"/>
          </w:tcPr>
          <w:p w14:paraId="6BE9ED28" w14:textId="3F0341E9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color w:val="000000"/>
                <w:szCs w:val="24"/>
              </w:rPr>
              <w:t>7.6 U/m</w:t>
            </w:r>
            <w:r w:rsidR="005D6B6A" w:rsidRPr="00FD4D0B">
              <w:rPr>
                <w:color w:val="000000"/>
                <w:szCs w:val="24"/>
              </w:rPr>
              <w:t>L</w:t>
            </w:r>
          </w:p>
        </w:tc>
      </w:tr>
      <w:tr w:rsidR="005C3855" w14:paraId="17A863EA" w14:textId="77777777" w:rsidTr="005D6B6A">
        <w:trPr>
          <w:trHeight w:val="828"/>
        </w:trPr>
        <w:tc>
          <w:tcPr>
            <w:tcW w:w="3063" w:type="dxa"/>
            <w:tcBorders>
              <w:bottom w:val="single" w:sz="4" w:space="0" w:color="auto"/>
            </w:tcBorders>
          </w:tcPr>
          <w:p w14:paraId="0416DCAB" w14:textId="61E0042A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High-sensitivity C-reactive protein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C1C4669" w14:textId="77777777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0.46 mg/L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63C6367C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CEA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46251521" w14:textId="714ACD28" w:rsidR="005C3855" w:rsidRPr="003F0219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szCs w:val="24"/>
              </w:rPr>
              <w:t>1.97 ng/m</w:t>
            </w:r>
            <w:r w:rsidR="005D6B6A" w:rsidRPr="00FD4D0B">
              <w:rPr>
                <w:szCs w:val="24"/>
              </w:rPr>
              <w:t>L</w:t>
            </w:r>
          </w:p>
        </w:tc>
      </w:tr>
    </w:tbl>
    <w:p w14:paraId="5936C734" w14:textId="25850A08" w:rsidR="005C3855" w:rsidRDefault="005C3855">
      <w:pPr>
        <w:spacing w:line="360" w:lineRule="auto"/>
        <w:jc w:val="both"/>
      </w:pPr>
    </w:p>
    <w:sectPr w:rsidR="005C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B17C" w14:textId="77777777" w:rsidR="0035390A" w:rsidRDefault="0035390A" w:rsidP="00635FA9">
      <w:r>
        <w:separator/>
      </w:r>
    </w:p>
  </w:endnote>
  <w:endnote w:type="continuationSeparator" w:id="0">
    <w:p w14:paraId="419E406D" w14:textId="77777777" w:rsidR="0035390A" w:rsidRDefault="0035390A" w:rsidP="006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1F9D" w14:textId="77777777" w:rsidR="00635FA9" w:rsidRPr="00635FA9" w:rsidRDefault="00635FA9" w:rsidP="00635FA9">
    <w:pPr>
      <w:pStyle w:val="a4"/>
      <w:jc w:val="right"/>
      <w:rPr>
        <w:rFonts w:ascii="Book Antiqua" w:hAnsi="Book Antiqua"/>
        <w:sz w:val="24"/>
        <w:szCs w:val="24"/>
      </w:rPr>
    </w:pPr>
    <w:r w:rsidRPr="00635FA9">
      <w:rPr>
        <w:rFonts w:ascii="Book Antiqua" w:hAnsi="Book Antiqua"/>
        <w:sz w:val="24"/>
        <w:szCs w:val="24"/>
        <w:lang w:val="zh-CN" w:eastAsia="zh-CN"/>
      </w:rPr>
      <w:t xml:space="preserve"> </w:t>
    </w:r>
    <w:r w:rsidRPr="00635FA9">
      <w:rPr>
        <w:rFonts w:ascii="Book Antiqua" w:hAnsi="Book Antiqua"/>
        <w:sz w:val="24"/>
        <w:szCs w:val="24"/>
      </w:rPr>
      <w:fldChar w:fldCharType="begin"/>
    </w:r>
    <w:r w:rsidRPr="00635FA9">
      <w:rPr>
        <w:rFonts w:ascii="Book Antiqua" w:hAnsi="Book Antiqua"/>
        <w:sz w:val="24"/>
        <w:szCs w:val="24"/>
      </w:rPr>
      <w:instrText>PAGE  \* Arabic  \* MERGEFORMAT</w:instrText>
    </w:r>
    <w:r w:rsidRPr="00635FA9">
      <w:rPr>
        <w:rFonts w:ascii="Book Antiqua" w:hAnsi="Book Antiqua"/>
        <w:sz w:val="24"/>
        <w:szCs w:val="24"/>
      </w:rPr>
      <w:fldChar w:fldCharType="separate"/>
    </w:r>
    <w:r w:rsidR="0059359B" w:rsidRPr="0059359B">
      <w:rPr>
        <w:rFonts w:ascii="Book Antiqua" w:hAnsi="Book Antiqua"/>
        <w:noProof/>
        <w:sz w:val="24"/>
        <w:szCs w:val="24"/>
        <w:lang w:val="zh-CN" w:eastAsia="zh-CN"/>
      </w:rPr>
      <w:t>15</w:t>
    </w:r>
    <w:r w:rsidRPr="00635FA9">
      <w:rPr>
        <w:rFonts w:ascii="Book Antiqua" w:hAnsi="Book Antiqua"/>
        <w:sz w:val="24"/>
        <w:szCs w:val="24"/>
      </w:rPr>
      <w:fldChar w:fldCharType="end"/>
    </w:r>
    <w:r w:rsidRPr="00635FA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635FA9">
      <w:rPr>
        <w:rFonts w:ascii="Book Antiqua" w:hAnsi="Book Antiqua"/>
        <w:sz w:val="24"/>
        <w:szCs w:val="24"/>
      </w:rPr>
      <w:fldChar w:fldCharType="begin"/>
    </w:r>
    <w:r w:rsidRPr="00635FA9">
      <w:rPr>
        <w:rFonts w:ascii="Book Antiqua" w:hAnsi="Book Antiqua"/>
        <w:sz w:val="24"/>
        <w:szCs w:val="24"/>
      </w:rPr>
      <w:instrText>NUMPAGES  \* Arabic  \* MERGEFORMAT</w:instrText>
    </w:r>
    <w:r w:rsidRPr="00635FA9">
      <w:rPr>
        <w:rFonts w:ascii="Book Antiqua" w:hAnsi="Book Antiqua"/>
        <w:sz w:val="24"/>
        <w:szCs w:val="24"/>
      </w:rPr>
      <w:fldChar w:fldCharType="separate"/>
    </w:r>
    <w:r w:rsidR="0059359B" w:rsidRPr="0059359B">
      <w:rPr>
        <w:rFonts w:ascii="Book Antiqua" w:hAnsi="Book Antiqua"/>
        <w:noProof/>
        <w:sz w:val="24"/>
        <w:szCs w:val="24"/>
        <w:lang w:val="zh-CN" w:eastAsia="zh-CN"/>
      </w:rPr>
      <w:t>15</w:t>
    </w:r>
    <w:r w:rsidRPr="00635FA9">
      <w:rPr>
        <w:rFonts w:ascii="Book Antiqua" w:hAnsi="Book Antiqua"/>
        <w:sz w:val="24"/>
        <w:szCs w:val="24"/>
      </w:rPr>
      <w:fldChar w:fldCharType="end"/>
    </w:r>
  </w:p>
  <w:p w14:paraId="01821E40" w14:textId="77777777" w:rsidR="00635FA9" w:rsidRDefault="00635F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747B" w14:textId="77777777" w:rsidR="0035390A" w:rsidRDefault="0035390A" w:rsidP="00635FA9">
      <w:r>
        <w:separator/>
      </w:r>
    </w:p>
  </w:footnote>
  <w:footnote w:type="continuationSeparator" w:id="0">
    <w:p w14:paraId="37D52BDF" w14:textId="77777777" w:rsidR="0035390A" w:rsidRDefault="0035390A" w:rsidP="0063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B1C"/>
    <w:rsid w:val="00120C5D"/>
    <w:rsid w:val="001D667E"/>
    <w:rsid w:val="00232DBD"/>
    <w:rsid w:val="00284DED"/>
    <w:rsid w:val="0035390A"/>
    <w:rsid w:val="00433B0C"/>
    <w:rsid w:val="004D19DA"/>
    <w:rsid w:val="0059359B"/>
    <w:rsid w:val="005C104C"/>
    <w:rsid w:val="005C3855"/>
    <w:rsid w:val="005D6B6A"/>
    <w:rsid w:val="00635FA9"/>
    <w:rsid w:val="00692EFE"/>
    <w:rsid w:val="00731BFA"/>
    <w:rsid w:val="008C7DFC"/>
    <w:rsid w:val="00A77B3E"/>
    <w:rsid w:val="00CA2A55"/>
    <w:rsid w:val="00CD093C"/>
    <w:rsid w:val="00CD51C1"/>
    <w:rsid w:val="00E4249B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17BA7"/>
  <w15:docId w15:val="{1751BEE3-BC42-4C19-AE49-DCF7E5EB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3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F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A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5C3855"/>
    <w:pPr>
      <w:widowControl w:val="0"/>
      <w:spacing w:line="360" w:lineRule="auto"/>
      <w:jc w:val="both"/>
    </w:pPr>
    <w:rPr>
      <w:rFonts w:ascii="Book Antiqua" w:eastAsia="等线" w:hAnsi="Book Antiqua" w:cstheme="minorBidi"/>
      <w:noProof/>
      <w:kern w:val="2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rsid w:val="005C3855"/>
    <w:rPr>
      <w:rFonts w:ascii="Book Antiqua" w:eastAsia="等线" w:hAnsi="Book Antiqua" w:cstheme="minorBidi"/>
      <w:noProof/>
      <w:kern w:val="2"/>
      <w:sz w:val="24"/>
      <w:szCs w:val="22"/>
      <w:lang w:eastAsia="zh-CN"/>
    </w:rPr>
  </w:style>
  <w:style w:type="table" w:styleId="a5">
    <w:name w:val="Table Grid"/>
    <w:basedOn w:val="a1"/>
    <w:uiPriority w:val="39"/>
    <w:rsid w:val="005C385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ibm</cp:lastModifiedBy>
  <cp:revision>3</cp:revision>
  <dcterms:created xsi:type="dcterms:W3CDTF">2021-05-24T00:32:00Z</dcterms:created>
  <dcterms:modified xsi:type="dcterms:W3CDTF">2021-05-24T00:34:00Z</dcterms:modified>
</cp:coreProperties>
</file>