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A0DD4" w14:textId="77777777" w:rsidR="001D7A68" w:rsidRDefault="00A70108">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8215D2C" w14:textId="77777777" w:rsidR="001D7A68" w:rsidRDefault="00A70108">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63654</w:t>
      </w:r>
    </w:p>
    <w:p w14:paraId="3300550D" w14:textId="77777777" w:rsidR="001D7A68" w:rsidRDefault="00A70108">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2ECB9523" w14:textId="77777777" w:rsidR="001D7A68" w:rsidRDefault="001D7A68">
      <w:pPr>
        <w:spacing w:line="360" w:lineRule="auto"/>
        <w:jc w:val="both"/>
        <w:rPr>
          <w:rFonts w:ascii="Book Antiqua" w:hAnsi="Book Antiqua"/>
        </w:rPr>
      </w:pPr>
    </w:p>
    <w:p w14:paraId="53252925" w14:textId="77777777" w:rsidR="001D7A68" w:rsidRDefault="00A70108">
      <w:pPr>
        <w:spacing w:line="360" w:lineRule="auto"/>
        <w:jc w:val="both"/>
        <w:rPr>
          <w:rFonts w:ascii="Book Antiqua" w:hAnsi="Book Antiqua"/>
        </w:rPr>
      </w:pPr>
      <w:r>
        <w:rPr>
          <w:rFonts w:ascii="Book Antiqua" w:eastAsia="Book Antiqua" w:hAnsi="Book Antiqua" w:cs="Book Antiqua"/>
          <w:b/>
          <w:color w:val="000000"/>
        </w:rPr>
        <w:t>Atezolizumab-induced anaphylactic shock in a patient with hepatocellular carcinoma undergoing immunotherapy: A case report</w:t>
      </w:r>
    </w:p>
    <w:p w14:paraId="53A84A94" w14:textId="77777777" w:rsidR="001D7A68" w:rsidRDefault="001D7A68">
      <w:pPr>
        <w:spacing w:line="360" w:lineRule="auto"/>
        <w:jc w:val="both"/>
        <w:rPr>
          <w:rFonts w:ascii="Book Antiqua" w:hAnsi="Book Antiqua"/>
        </w:rPr>
      </w:pPr>
    </w:p>
    <w:p w14:paraId="7A41FD4F" w14:textId="77777777" w:rsidR="001D7A68" w:rsidRDefault="00A70108">
      <w:pPr>
        <w:spacing w:line="360" w:lineRule="auto"/>
        <w:jc w:val="both"/>
        <w:rPr>
          <w:rFonts w:ascii="Book Antiqua" w:hAnsi="Book Antiqua"/>
        </w:rPr>
      </w:pPr>
      <w:proofErr w:type="spellStart"/>
      <w:r>
        <w:rPr>
          <w:rFonts w:ascii="Book Antiqua" w:eastAsia="Book Antiqua" w:hAnsi="Book Antiqua" w:cs="Book Antiqua"/>
          <w:color w:val="000000"/>
        </w:rPr>
        <w:t>Bian</w:t>
      </w:r>
      <w:proofErr w:type="spellEnd"/>
      <w:r>
        <w:rPr>
          <w:rFonts w:ascii="Book Antiqua" w:eastAsia="Book Antiqua" w:hAnsi="Book Antiqua" w:cs="Book Antiqua"/>
          <w:color w:val="000000"/>
        </w:rPr>
        <w:t xml:space="preserve"> LF </w:t>
      </w:r>
      <w:r>
        <w:rPr>
          <w:rFonts w:ascii="Book Antiqua" w:eastAsia="Book Antiqua" w:hAnsi="Book Antiqua" w:cs="Book Antiqua"/>
          <w:i/>
          <w:iCs/>
          <w:color w:val="000000"/>
        </w:rPr>
        <w:t>et al</w:t>
      </w:r>
      <w:r>
        <w:rPr>
          <w:rFonts w:ascii="Book Antiqua" w:eastAsia="Book Antiqua" w:hAnsi="Book Antiqua" w:cs="Book Antiqua"/>
          <w:color w:val="000000"/>
        </w:rPr>
        <w:t>. Atezolizumab-induced anaphylactic shock</w:t>
      </w:r>
    </w:p>
    <w:p w14:paraId="509FAEF8" w14:textId="77777777" w:rsidR="001D7A68" w:rsidRDefault="001D7A68">
      <w:pPr>
        <w:spacing w:line="360" w:lineRule="auto"/>
        <w:jc w:val="both"/>
        <w:rPr>
          <w:rFonts w:ascii="Book Antiqua" w:hAnsi="Book Antiqua"/>
        </w:rPr>
      </w:pPr>
    </w:p>
    <w:p w14:paraId="19082FE5" w14:textId="77777777" w:rsidR="001D7A68" w:rsidRDefault="00A70108">
      <w:pPr>
        <w:spacing w:line="360" w:lineRule="auto"/>
        <w:jc w:val="both"/>
        <w:rPr>
          <w:rFonts w:ascii="Book Antiqua" w:hAnsi="Book Antiqua"/>
        </w:rPr>
      </w:pPr>
      <w:r>
        <w:rPr>
          <w:rFonts w:ascii="Book Antiqua" w:eastAsia="Book Antiqua" w:hAnsi="Book Antiqua" w:cs="Book Antiqua"/>
          <w:color w:val="000000"/>
        </w:rPr>
        <w:t xml:space="preserve">Li-Fang </w:t>
      </w:r>
      <w:proofErr w:type="spellStart"/>
      <w:r>
        <w:rPr>
          <w:rFonts w:ascii="Book Antiqua" w:eastAsia="Book Antiqua" w:hAnsi="Book Antiqua" w:cs="Book Antiqua"/>
          <w:color w:val="000000"/>
        </w:rPr>
        <w:t>Bian</w:t>
      </w:r>
      <w:proofErr w:type="spellEnd"/>
      <w:r>
        <w:rPr>
          <w:rFonts w:ascii="Book Antiqua" w:eastAsia="Book Antiqua" w:hAnsi="Book Antiqua" w:cs="Book Antiqua"/>
          <w:color w:val="000000"/>
        </w:rPr>
        <w:t>, Chao Zheng, Xiao-Lan Shi</w:t>
      </w:r>
    </w:p>
    <w:p w14:paraId="6A2228D3" w14:textId="77777777" w:rsidR="001D7A68" w:rsidRDefault="001D7A68">
      <w:pPr>
        <w:spacing w:line="360" w:lineRule="auto"/>
        <w:jc w:val="both"/>
        <w:rPr>
          <w:rFonts w:ascii="Book Antiqua" w:hAnsi="Book Antiqua"/>
        </w:rPr>
      </w:pPr>
    </w:p>
    <w:p w14:paraId="3B850F2E" w14:textId="77777777" w:rsidR="001D7A68" w:rsidRDefault="00A70108">
      <w:pPr>
        <w:spacing w:line="360" w:lineRule="auto"/>
        <w:jc w:val="both"/>
        <w:rPr>
          <w:rFonts w:ascii="Book Antiqua" w:hAnsi="Book Antiqua"/>
        </w:rPr>
      </w:pPr>
      <w:r>
        <w:rPr>
          <w:rFonts w:ascii="Book Antiqua" w:eastAsia="Book Antiqua" w:hAnsi="Book Antiqua" w:cs="Book Antiqua"/>
          <w:b/>
          <w:bCs/>
          <w:color w:val="000000"/>
        </w:rPr>
        <w:t xml:space="preserve">Li-Fang </w:t>
      </w:r>
      <w:proofErr w:type="spellStart"/>
      <w:r>
        <w:rPr>
          <w:rFonts w:ascii="Book Antiqua" w:eastAsia="Book Antiqua" w:hAnsi="Book Antiqua" w:cs="Book Antiqua"/>
          <w:b/>
          <w:bCs/>
          <w:color w:val="000000"/>
        </w:rPr>
        <w:t>Bian</w:t>
      </w:r>
      <w:proofErr w:type="spellEnd"/>
      <w:r>
        <w:rPr>
          <w:rFonts w:ascii="Book Antiqua" w:eastAsia="Book Antiqua" w:hAnsi="Book Antiqua" w:cs="Book Antiqua"/>
          <w:b/>
          <w:bCs/>
          <w:color w:val="000000"/>
        </w:rPr>
        <w:t xml:space="preserve">, Xiao-Lan Shi, </w:t>
      </w:r>
      <w:r>
        <w:rPr>
          <w:rFonts w:ascii="Book Antiqua" w:eastAsia="Book Antiqua" w:hAnsi="Book Antiqua" w:cs="Book Antiqua"/>
          <w:color w:val="000000"/>
        </w:rPr>
        <w:t>Department of Hepatobiliary and Pancreatic Surgery, The First Affiliated Hospital, Zhejiang University School of Medicine, Hangzhou 310003, Zhejiang Province, China</w:t>
      </w:r>
    </w:p>
    <w:p w14:paraId="7AA41A18" w14:textId="77777777" w:rsidR="001D7A68" w:rsidRDefault="001D7A68">
      <w:pPr>
        <w:spacing w:line="360" w:lineRule="auto"/>
        <w:jc w:val="both"/>
        <w:rPr>
          <w:rFonts w:ascii="Book Antiqua" w:hAnsi="Book Antiqua"/>
        </w:rPr>
      </w:pPr>
    </w:p>
    <w:p w14:paraId="048A0861" w14:textId="77777777" w:rsidR="001D7A68" w:rsidRDefault="00A70108">
      <w:pPr>
        <w:spacing w:line="360" w:lineRule="auto"/>
        <w:jc w:val="both"/>
        <w:rPr>
          <w:rFonts w:ascii="Book Antiqua" w:hAnsi="Book Antiqua"/>
        </w:rPr>
      </w:pPr>
      <w:r>
        <w:rPr>
          <w:rFonts w:ascii="Book Antiqua" w:eastAsia="Book Antiqua" w:hAnsi="Book Antiqua" w:cs="Book Antiqua"/>
          <w:b/>
          <w:bCs/>
          <w:color w:val="000000"/>
        </w:rPr>
        <w:t xml:space="preserve">Chao Zheng, </w:t>
      </w:r>
      <w:r>
        <w:rPr>
          <w:rFonts w:ascii="Book Antiqua" w:eastAsia="Book Antiqua" w:hAnsi="Book Antiqua" w:cs="Book Antiqua"/>
          <w:color w:val="000000"/>
        </w:rPr>
        <w:t>Department of Gastrointestinal Surgery, The First Affiliated Hospital of Zhejiang Chinese Medical University, Hangzhou 310006, Zhejiang Province, China</w:t>
      </w:r>
    </w:p>
    <w:p w14:paraId="3E7015E1" w14:textId="77777777" w:rsidR="001D7A68" w:rsidRDefault="001D7A68">
      <w:pPr>
        <w:spacing w:line="360" w:lineRule="auto"/>
        <w:jc w:val="both"/>
        <w:rPr>
          <w:rFonts w:ascii="Book Antiqua" w:hAnsi="Book Antiqua"/>
        </w:rPr>
      </w:pPr>
    </w:p>
    <w:p w14:paraId="6D042BC2" w14:textId="21E542BF" w:rsidR="001D7A68" w:rsidRDefault="00A70108">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Bian</w:t>
      </w:r>
      <w:proofErr w:type="spellEnd"/>
      <w:r>
        <w:rPr>
          <w:rFonts w:ascii="Book Antiqua" w:eastAsia="Book Antiqua" w:hAnsi="Book Antiqua" w:cs="Book Antiqua"/>
          <w:color w:val="000000"/>
        </w:rPr>
        <w:t xml:space="preserve"> LF and Zheng C contributed equally to this work; </w:t>
      </w:r>
      <w:proofErr w:type="spellStart"/>
      <w:r>
        <w:rPr>
          <w:rFonts w:ascii="Book Antiqua" w:eastAsia="Book Antiqua" w:hAnsi="Book Antiqua" w:cs="Book Antiqua"/>
          <w:color w:val="000000"/>
        </w:rPr>
        <w:t>Bian</w:t>
      </w:r>
      <w:proofErr w:type="spellEnd"/>
      <w:r>
        <w:rPr>
          <w:rFonts w:ascii="Book Antiqua" w:eastAsia="Book Antiqua" w:hAnsi="Book Antiqua" w:cs="Book Antiqua"/>
          <w:color w:val="000000"/>
        </w:rPr>
        <w:t xml:space="preserve"> LF was the patient’s nurse, reviewed the literature, and contributed to manuscript drafting; Zheng C reviewed the literature, interpreted the imaging fin</w:t>
      </w:r>
      <w:r>
        <w:rPr>
          <w:rFonts w:ascii="Book Antiqua" w:eastAsia="Book Antiqua" w:hAnsi="Book Antiqua" w:cs="Book Antiqua"/>
          <w:color w:val="000000"/>
        </w:rPr>
        <w:t>dings</w:t>
      </w:r>
      <w:r w:rsidR="001E503B">
        <w:rPr>
          <w:rFonts w:ascii="Book Antiqua" w:eastAsia="Book Antiqua" w:hAnsi="Book Antiqua" w:cs="Book Antiqua"/>
          <w:color w:val="000000"/>
        </w:rPr>
        <w:t>,</w:t>
      </w:r>
      <w:r>
        <w:rPr>
          <w:rFonts w:ascii="Book Antiqua" w:eastAsia="Book Antiqua" w:hAnsi="Book Antiqua" w:cs="Book Antiqua"/>
          <w:color w:val="000000"/>
        </w:rPr>
        <w:t xml:space="preserve"> and c</w:t>
      </w:r>
      <w:r>
        <w:rPr>
          <w:rFonts w:ascii="Book Antiqua" w:eastAsia="Book Antiqua" w:hAnsi="Book Antiqua" w:cs="Book Antiqua"/>
          <w:color w:val="000000"/>
        </w:rPr>
        <w:t>ontributed to manuscript drafting; Shi XL contributed to manuscript drafting; all authors issued final approval for the version to be submitted.</w:t>
      </w:r>
    </w:p>
    <w:p w14:paraId="540F9535" w14:textId="77777777" w:rsidR="001D7A68" w:rsidRDefault="001D7A68">
      <w:pPr>
        <w:spacing w:line="360" w:lineRule="auto"/>
        <w:jc w:val="both"/>
        <w:rPr>
          <w:rFonts w:ascii="Book Antiqua" w:hAnsi="Book Antiqua"/>
        </w:rPr>
      </w:pPr>
    </w:p>
    <w:p w14:paraId="74DBE319" w14:textId="77777777" w:rsidR="001D7A68" w:rsidRDefault="00A70108">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Medical Health Science and Technology Project of Zhejiang</w:t>
      </w:r>
      <w:r>
        <w:rPr>
          <w:rFonts w:ascii="Book Antiqua" w:eastAsiaTheme="minorEastAsia" w:hAnsi="Book Antiqua"/>
          <w:lang w:eastAsia="zh-CN"/>
        </w:rPr>
        <w:t xml:space="preserve"> </w:t>
      </w:r>
      <w:r>
        <w:rPr>
          <w:rFonts w:ascii="Book Antiqua" w:eastAsia="Book Antiqua" w:hAnsi="Book Antiqua" w:cs="Book Antiqua"/>
          <w:color w:val="000000"/>
        </w:rPr>
        <w:t>Provincial Health Commission, China, No. 2020372769.</w:t>
      </w:r>
    </w:p>
    <w:p w14:paraId="32A435E9" w14:textId="77777777" w:rsidR="001D7A68" w:rsidRDefault="001D7A68">
      <w:pPr>
        <w:spacing w:line="360" w:lineRule="auto"/>
        <w:jc w:val="both"/>
        <w:rPr>
          <w:rFonts w:ascii="Book Antiqua" w:hAnsi="Book Antiqua"/>
        </w:rPr>
      </w:pPr>
    </w:p>
    <w:p w14:paraId="60B500FC" w14:textId="77777777" w:rsidR="001D7A68" w:rsidRDefault="00A70108">
      <w:pPr>
        <w:spacing w:line="360" w:lineRule="auto"/>
        <w:jc w:val="both"/>
        <w:rPr>
          <w:rFonts w:ascii="Book Antiqua" w:hAnsi="Book Antiqua"/>
        </w:rPr>
      </w:pPr>
      <w:r>
        <w:rPr>
          <w:rFonts w:ascii="Book Antiqua" w:eastAsia="Book Antiqua" w:hAnsi="Book Antiqua" w:cs="Book Antiqua"/>
          <w:b/>
          <w:bCs/>
          <w:color w:val="000000"/>
        </w:rPr>
        <w:t xml:space="preserve">Corresponding author: Li-Fang </w:t>
      </w:r>
      <w:proofErr w:type="spellStart"/>
      <w:r>
        <w:rPr>
          <w:rFonts w:ascii="Book Antiqua" w:eastAsia="Book Antiqua" w:hAnsi="Book Antiqua" w:cs="Book Antiqua"/>
          <w:b/>
          <w:bCs/>
          <w:color w:val="000000"/>
        </w:rPr>
        <w:t>Bian</w:t>
      </w:r>
      <w:proofErr w:type="spellEnd"/>
      <w:r>
        <w:rPr>
          <w:rFonts w:ascii="Book Antiqua" w:eastAsia="Book Antiqua" w:hAnsi="Book Antiqua" w:cs="Book Antiqua"/>
          <w:b/>
          <w:bCs/>
          <w:color w:val="000000"/>
        </w:rPr>
        <w:t xml:space="preserve">, MSN, Associate Chief Nurse, </w:t>
      </w:r>
      <w:r>
        <w:rPr>
          <w:rFonts w:ascii="Book Antiqua" w:eastAsia="Book Antiqua" w:hAnsi="Book Antiqua" w:cs="Book Antiqua"/>
          <w:color w:val="000000"/>
        </w:rPr>
        <w:t xml:space="preserve">Department of Hepatobiliary and Pancreatic Surgery, The First Affiliated Hospital, Zhejiang University </w:t>
      </w:r>
      <w:r>
        <w:rPr>
          <w:rFonts w:ascii="Book Antiqua" w:eastAsia="Book Antiqua" w:hAnsi="Book Antiqua" w:cs="Book Antiqua"/>
          <w:color w:val="000000"/>
        </w:rPr>
        <w:lastRenderedPageBreak/>
        <w:t>School of Medicine, No. 79 Qing Chun Road, Hangzhou 310003, Zhejiang Province, China. doggie_cc@zju.edu.cn</w:t>
      </w:r>
    </w:p>
    <w:p w14:paraId="1AF3BF7B" w14:textId="77777777" w:rsidR="001D7A68" w:rsidRDefault="001D7A68">
      <w:pPr>
        <w:spacing w:line="360" w:lineRule="auto"/>
        <w:jc w:val="both"/>
        <w:rPr>
          <w:rFonts w:ascii="Book Antiqua" w:hAnsi="Book Antiqua"/>
        </w:rPr>
      </w:pPr>
    </w:p>
    <w:p w14:paraId="140595CC" w14:textId="77777777" w:rsidR="001D7A68" w:rsidRDefault="00A70108">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31, 2021</w:t>
      </w:r>
    </w:p>
    <w:p w14:paraId="35506ADB" w14:textId="77777777" w:rsidR="001D7A68" w:rsidRDefault="00A70108">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hAnsi="Book Antiqua"/>
        </w:rPr>
        <w:t>March 16, 2021</w:t>
      </w:r>
    </w:p>
    <w:p w14:paraId="692032CA" w14:textId="5BEC78DA" w:rsidR="001D7A68" w:rsidRDefault="00A70108">
      <w:pPr>
        <w:spacing w:line="360" w:lineRule="auto"/>
        <w:jc w:val="both"/>
        <w:rPr>
          <w:rFonts w:ascii="Book Antiqua" w:hAnsi="Book Antiqua"/>
        </w:rPr>
      </w:pPr>
      <w:r>
        <w:rPr>
          <w:rFonts w:ascii="Book Antiqua" w:eastAsia="Book Antiqua" w:hAnsi="Book Antiqua" w:cs="Book Antiqua"/>
          <w:b/>
          <w:bCs/>
          <w:color w:val="000000"/>
        </w:rPr>
        <w:t xml:space="preserve">Accepted: </w:t>
      </w:r>
      <w:r w:rsidR="00B75388" w:rsidRPr="00B75388">
        <w:rPr>
          <w:rFonts w:ascii="Book Antiqua" w:eastAsia="Book Antiqua" w:hAnsi="Book Antiqua" w:cs="Book Antiqua"/>
          <w:color w:val="000000"/>
        </w:rPr>
        <w:t>March 24, 2021</w:t>
      </w:r>
    </w:p>
    <w:p w14:paraId="13496A6B" w14:textId="77777777" w:rsidR="001D7A68" w:rsidRDefault="00A70108">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02844817" w14:textId="77777777" w:rsidR="001D7A68" w:rsidRDefault="001D7A68">
      <w:pPr>
        <w:spacing w:line="360" w:lineRule="auto"/>
        <w:jc w:val="both"/>
        <w:rPr>
          <w:rFonts w:ascii="Book Antiqua" w:hAnsi="Book Antiqua"/>
        </w:rPr>
        <w:sectPr w:rsidR="001D7A68">
          <w:footerReference w:type="default" r:id="rId7"/>
          <w:pgSz w:w="12240" w:h="15840"/>
          <w:pgMar w:top="1440" w:right="1440" w:bottom="1440" w:left="1440" w:header="720" w:footer="720" w:gutter="0"/>
          <w:cols w:space="720"/>
          <w:docGrid w:linePitch="360"/>
        </w:sectPr>
      </w:pPr>
    </w:p>
    <w:p w14:paraId="27CE5D31" w14:textId="77777777" w:rsidR="001D7A68" w:rsidRDefault="00A70108">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32D9FB8B" w14:textId="77777777" w:rsidR="001D7A68" w:rsidRDefault="00A70108">
      <w:pPr>
        <w:spacing w:line="360" w:lineRule="auto"/>
        <w:jc w:val="both"/>
        <w:rPr>
          <w:rFonts w:ascii="Book Antiqua" w:hAnsi="Book Antiqua"/>
        </w:rPr>
      </w:pPr>
      <w:r>
        <w:rPr>
          <w:rFonts w:ascii="Book Antiqua" w:eastAsia="Book Antiqua" w:hAnsi="Book Antiqua" w:cs="Book Antiqua"/>
          <w:color w:val="000000"/>
        </w:rPr>
        <w:t>BACKGROUND</w:t>
      </w:r>
    </w:p>
    <w:p w14:paraId="6F93CCB3" w14:textId="23DF56E6" w:rsidR="001D7A68" w:rsidRDefault="00A70108">
      <w:pPr>
        <w:spacing w:line="360" w:lineRule="auto"/>
        <w:jc w:val="both"/>
        <w:rPr>
          <w:rFonts w:ascii="Book Antiqua" w:hAnsi="Book Antiqua"/>
        </w:rPr>
      </w:pPr>
      <w:r>
        <w:rPr>
          <w:rFonts w:ascii="Book Antiqua" w:eastAsia="Book Antiqua" w:hAnsi="Book Antiqua" w:cs="Book Antiqua"/>
          <w:color w:val="000000"/>
        </w:rPr>
        <w:t>Atezolizumab is a programmed death ligand 1 (PD-L1) i</w:t>
      </w:r>
      <w:r>
        <w:rPr>
          <w:rFonts w:ascii="Book Antiqua" w:eastAsia="Book Antiqua" w:hAnsi="Book Antiqua" w:cs="Book Antiqua"/>
          <w:color w:val="000000"/>
        </w:rPr>
        <w:t xml:space="preserve">nhibitor, </w:t>
      </w:r>
      <w:r w:rsidR="001E503B">
        <w:rPr>
          <w:rFonts w:ascii="Book Antiqua" w:eastAsia="Book Antiqua" w:hAnsi="Book Antiqua" w:cs="Book Antiqua"/>
          <w:color w:val="000000"/>
        </w:rPr>
        <w:t xml:space="preserve">and its combination </w:t>
      </w:r>
      <w:r>
        <w:rPr>
          <w:rFonts w:ascii="Book Antiqua" w:eastAsia="Book Antiqua" w:hAnsi="Book Antiqua" w:cs="Book Antiqua"/>
          <w:color w:val="000000"/>
        </w:rPr>
        <w:t xml:space="preserve">with bevacizumab has been proven an effective immunotherapy for unresectable hepatocellular carcinoma (HCC). Treatment with immune checkpoint inhibitors (ICIs) can lead to hypersensitivity reactions; however, anaphylactic shock is rare. We present a case of life-threatening anaphylactic shock during </w:t>
      </w:r>
      <w:proofErr w:type="spellStart"/>
      <w:r>
        <w:rPr>
          <w:rFonts w:ascii="Book Antiqua" w:eastAsia="Book Antiqua" w:hAnsi="Book Antiqua" w:cs="Book Antiqua"/>
          <w:color w:val="000000"/>
        </w:rPr>
        <w:t>atezolizumab</w:t>
      </w:r>
      <w:proofErr w:type="spellEnd"/>
      <w:r>
        <w:rPr>
          <w:rFonts w:ascii="Book Antiqua" w:eastAsia="Book Antiqua" w:hAnsi="Book Antiqua" w:cs="Book Antiqua"/>
          <w:color w:val="000000"/>
        </w:rPr>
        <w:t xml:space="preserve"> infusion and </w:t>
      </w:r>
      <w:r w:rsidR="001E503B">
        <w:rPr>
          <w:rFonts w:ascii="Book Antiqua" w:eastAsia="Book Antiqua" w:hAnsi="Book Antiqua" w:cs="Book Antiqua"/>
          <w:color w:val="000000"/>
        </w:rPr>
        <w:t xml:space="preserve">performed </w:t>
      </w:r>
      <w:r>
        <w:rPr>
          <w:rFonts w:ascii="Book Antiqua" w:eastAsia="Book Antiqua" w:hAnsi="Book Antiqua" w:cs="Book Antiqua"/>
          <w:color w:val="000000"/>
        </w:rPr>
        <w:t>a relevant literature re</w:t>
      </w:r>
      <w:r>
        <w:rPr>
          <w:rFonts w:ascii="Book Antiqua" w:eastAsia="Book Antiqua" w:hAnsi="Book Antiqua" w:cs="Book Antiqua"/>
          <w:color w:val="000000"/>
        </w:rPr>
        <w:t>view.</w:t>
      </w:r>
    </w:p>
    <w:p w14:paraId="1420DAA1" w14:textId="77777777" w:rsidR="001D7A68" w:rsidRDefault="001D7A68">
      <w:pPr>
        <w:spacing w:line="360" w:lineRule="auto"/>
        <w:jc w:val="both"/>
        <w:rPr>
          <w:rFonts w:ascii="Book Antiqua" w:hAnsi="Book Antiqua"/>
        </w:rPr>
      </w:pPr>
    </w:p>
    <w:p w14:paraId="4B6FFFAB" w14:textId="77777777" w:rsidR="001D7A68" w:rsidRDefault="00A70108">
      <w:pPr>
        <w:spacing w:line="360" w:lineRule="auto"/>
        <w:jc w:val="both"/>
        <w:rPr>
          <w:rFonts w:ascii="Book Antiqua" w:hAnsi="Book Antiqua"/>
        </w:rPr>
      </w:pPr>
      <w:r>
        <w:rPr>
          <w:rFonts w:ascii="Book Antiqua" w:eastAsia="Book Antiqua" w:hAnsi="Book Antiqua" w:cs="Book Antiqua"/>
          <w:color w:val="000000"/>
        </w:rPr>
        <w:t>CASE SUMMARY</w:t>
      </w:r>
    </w:p>
    <w:p w14:paraId="22B03145" w14:textId="77777777" w:rsidR="001D7A68" w:rsidRDefault="00A70108">
      <w:pPr>
        <w:spacing w:line="360" w:lineRule="auto"/>
        <w:jc w:val="both"/>
        <w:rPr>
          <w:rFonts w:ascii="Book Antiqua" w:hAnsi="Book Antiqua"/>
        </w:rPr>
      </w:pPr>
      <w:r>
        <w:rPr>
          <w:rFonts w:ascii="Book Antiqua" w:eastAsia="Book Antiqua" w:hAnsi="Book Antiqua" w:cs="Book Antiqua"/>
          <w:color w:val="000000"/>
        </w:rPr>
        <w:t xml:space="preserve">A 75-year-old man was diagnosed with HCC recurrence after hepatectomy. He was administered immunotherapy with atezolizumab plus bevacizumab after an allergy to a programmed death-1 (PD-1) inhibitor. The patient showed a sudden onset of dizziness, numbness, and lack of consciousness with severe hypotension during atezolizumab infusion. The treatment was stopped immediately. The patient’s symptoms resolved after 5 mg dexamethasone was administered. Because of repeated hypersensitivity reactions to ICIs, treatment was changed to oral targeted regorafenib therapy. </w:t>
      </w:r>
    </w:p>
    <w:p w14:paraId="5C5ED7FE" w14:textId="77777777" w:rsidR="001D7A68" w:rsidRDefault="001D7A68">
      <w:pPr>
        <w:spacing w:line="360" w:lineRule="auto"/>
        <w:jc w:val="both"/>
        <w:rPr>
          <w:rFonts w:ascii="Book Antiqua" w:hAnsi="Book Antiqua"/>
        </w:rPr>
      </w:pPr>
    </w:p>
    <w:p w14:paraId="3D910064" w14:textId="77777777" w:rsidR="001D7A68" w:rsidRDefault="00A70108">
      <w:pPr>
        <w:spacing w:line="360" w:lineRule="auto"/>
        <w:jc w:val="both"/>
        <w:rPr>
          <w:rFonts w:ascii="Book Antiqua" w:hAnsi="Book Antiqua"/>
        </w:rPr>
      </w:pPr>
      <w:r>
        <w:rPr>
          <w:rFonts w:ascii="Book Antiqua" w:eastAsia="Book Antiqua" w:hAnsi="Book Antiqua" w:cs="Book Antiqua"/>
          <w:color w:val="000000"/>
        </w:rPr>
        <w:t>CONCLUSION</w:t>
      </w:r>
    </w:p>
    <w:p w14:paraId="7EC8E35A" w14:textId="77777777" w:rsidR="001D7A68" w:rsidRDefault="00A70108">
      <w:pPr>
        <w:spacing w:line="360" w:lineRule="auto"/>
        <w:jc w:val="both"/>
        <w:rPr>
          <w:rFonts w:ascii="Book Antiqua" w:hAnsi="Book Antiqua"/>
        </w:rPr>
      </w:pPr>
      <w:r>
        <w:rPr>
          <w:rFonts w:ascii="Book Antiqua" w:eastAsia="Book Antiqua" w:hAnsi="Book Antiqua" w:cs="Book Antiqua"/>
          <w:color w:val="000000"/>
        </w:rPr>
        <w:t xml:space="preserve">Further research is necessary for elucidating the hypersensitivity mechanisms and establishing </w:t>
      </w:r>
      <w:r>
        <w:rPr>
          <w:rFonts w:ascii="Book Antiqua" w:eastAsia="Book Antiqua" w:hAnsi="Book Antiqua" w:cs="Book Antiqua"/>
          <w:color w:val="000000"/>
          <w:shd w:val="clear" w:color="auto" w:fill="FFFFFF"/>
        </w:rPr>
        <w:t xml:space="preserve">standardized skin test and desensitization protocols </w:t>
      </w:r>
      <w:r>
        <w:rPr>
          <w:rFonts w:ascii="Book Antiqua" w:eastAsia="Book Antiqua" w:hAnsi="Book Antiqua" w:cs="Book Antiqua"/>
          <w:color w:val="000000"/>
        </w:rPr>
        <w:t>associated with PD-1 and PD-L1 to ensure effective treatment with ICIs.</w:t>
      </w:r>
    </w:p>
    <w:p w14:paraId="7BC6EA87" w14:textId="77777777" w:rsidR="001D7A68" w:rsidRDefault="001D7A68">
      <w:pPr>
        <w:spacing w:line="360" w:lineRule="auto"/>
        <w:jc w:val="both"/>
        <w:rPr>
          <w:rFonts w:ascii="Book Antiqua" w:hAnsi="Book Antiqua"/>
        </w:rPr>
      </w:pPr>
    </w:p>
    <w:p w14:paraId="1920408B" w14:textId="77777777" w:rsidR="001D7A68" w:rsidRDefault="00A70108">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Atezolizumab; Immune checkpoint inhibitors; Anaphylactic shock; Hypersensitivity reaction; Infusion reaction; Hepatocellular carcinoma; Case report</w:t>
      </w:r>
    </w:p>
    <w:p w14:paraId="0558E5F2" w14:textId="77777777" w:rsidR="001D7A68" w:rsidRDefault="001D7A68">
      <w:pPr>
        <w:spacing w:line="360" w:lineRule="auto"/>
        <w:jc w:val="both"/>
        <w:rPr>
          <w:rFonts w:ascii="Book Antiqua" w:hAnsi="Book Antiqua"/>
        </w:rPr>
      </w:pPr>
    </w:p>
    <w:p w14:paraId="3E7A3966" w14:textId="77777777" w:rsidR="001D7A68" w:rsidRDefault="00A70108">
      <w:pPr>
        <w:spacing w:line="360" w:lineRule="auto"/>
        <w:jc w:val="both"/>
        <w:rPr>
          <w:rFonts w:ascii="Book Antiqua" w:hAnsi="Book Antiqua"/>
        </w:rPr>
      </w:pPr>
      <w:proofErr w:type="spellStart"/>
      <w:r>
        <w:rPr>
          <w:rFonts w:ascii="Book Antiqua" w:eastAsia="Book Antiqua" w:hAnsi="Book Antiqua" w:cs="Book Antiqua"/>
          <w:color w:val="000000"/>
        </w:rPr>
        <w:t>Bian</w:t>
      </w:r>
      <w:proofErr w:type="spellEnd"/>
      <w:r>
        <w:rPr>
          <w:rFonts w:ascii="Book Antiqua" w:eastAsia="Book Antiqua" w:hAnsi="Book Antiqua" w:cs="Book Antiqua"/>
          <w:color w:val="000000"/>
        </w:rPr>
        <w:t xml:space="preserve"> LF, Zheng C, Shi XL. Atezolizumab-induced anaphylactic shock in a patient with hepatocellular carcinoma undergoing immunotherapy: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71F8D8A4" w14:textId="77777777" w:rsidR="001D7A68" w:rsidRDefault="001D7A68">
      <w:pPr>
        <w:spacing w:line="360" w:lineRule="auto"/>
        <w:jc w:val="both"/>
        <w:rPr>
          <w:rFonts w:ascii="Book Antiqua" w:hAnsi="Book Antiqua"/>
        </w:rPr>
      </w:pPr>
    </w:p>
    <w:p w14:paraId="729BFC91" w14:textId="39BB5852" w:rsidR="001D7A68" w:rsidRDefault="00A70108">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Treatment with immune checkpoint inhibitors (ICIs) can lead to hypersensitivity reactions; however, anaphylactic shock is rare. We present a case of life-threatening anaphylactic shock during </w:t>
      </w:r>
      <w:proofErr w:type="spellStart"/>
      <w:r>
        <w:rPr>
          <w:rFonts w:ascii="Book Antiqua" w:eastAsia="Book Antiqua" w:hAnsi="Book Antiqua" w:cs="Book Antiqua"/>
          <w:color w:val="000000"/>
        </w:rPr>
        <w:t>atezolizumab</w:t>
      </w:r>
      <w:proofErr w:type="spellEnd"/>
      <w:r>
        <w:rPr>
          <w:rFonts w:ascii="Book Antiqua" w:eastAsia="Book Antiqua" w:hAnsi="Book Antiqua" w:cs="Book Antiqua"/>
          <w:color w:val="000000"/>
        </w:rPr>
        <w:t xml:space="preserve"> infusion</w:t>
      </w:r>
      <w:r>
        <w:rPr>
          <w:rFonts w:ascii="Book Antiqua" w:eastAsia="Book Antiqua" w:hAnsi="Book Antiqua" w:cs="Book Antiqua"/>
          <w:color w:val="000000"/>
        </w:rPr>
        <w:t xml:space="preserve"> and </w:t>
      </w:r>
      <w:r w:rsidR="001E503B">
        <w:rPr>
          <w:rFonts w:ascii="Book Antiqua" w:eastAsia="Book Antiqua" w:hAnsi="Book Antiqua" w:cs="Book Antiqua"/>
          <w:color w:val="000000"/>
        </w:rPr>
        <w:t xml:space="preserve">performed </w:t>
      </w:r>
      <w:r>
        <w:rPr>
          <w:rFonts w:ascii="Book Antiqua" w:eastAsia="Book Antiqua" w:hAnsi="Book Antiqua" w:cs="Book Antiqua"/>
          <w:color w:val="000000"/>
        </w:rPr>
        <w:t>a re</w:t>
      </w:r>
      <w:r>
        <w:rPr>
          <w:rFonts w:ascii="Book Antiqua" w:eastAsia="Book Antiqua" w:hAnsi="Book Antiqua" w:cs="Book Antiqua"/>
          <w:color w:val="000000"/>
        </w:rPr>
        <w:t>levant literature review. Patients may be allergic to drugs targeting both programmed death-1 (PD-1) and programmed death ligand 1 (PD-L1). Adequate attention should be paid to the related complications in the use of immune checkpoint inhibitors.</w:t>
      </w:r>
      <w:bookmarkStart w:id="0" w:name="OLE_LINK5"/>
      <w:r>
        <w:rPr>
          <w:rFonts w:ascii="Book Antiqua" w:eastAsia="Book Antiqua" w:hAnsi="Book Antiqua" w:cs="Book Antiqua"/>
          <w:color w:val="000000"/>
        </w:rPr>
        <w:t xml:space="preserve"> </w:t>
      </w:r>
      <w:bookmarkStart w:id="1" w:name="OLE_LINK6"/>
      <w:bookmarkStart w:id="2" w:name="OLE_LINK4"/>
      <w:r>
        <w:rPr>
          <w:rFonts w:ascii="Book Antiqua" w:eastAsia="Book Antiqua" w:hAnsi="Book Antiqua" w:cs="Book Antiqua"/>
          <w:color w:val="000000"/>
        </w:rPr>
        <w:t>Nevertheless,</w:t>
      </w:r>
      <w:bookmarkEnd w:id="1"/>
      <w:r>
        <w:rPr>
          <w:rFonts w:ascii="Book Antiqua" w:eastAsia="Book Antiqua" w:hAnsi="Book Antiqua" w:cs="Book Antiqua"/>
          <w:color w:val="000000"/>
        </w:rPr>
        <w:t xml:space="preserve"> further</w:t>
      </w:r>
      <w:r>
        <w:rPr>
          <w:rFonts w:ascii="Book Antiqua" w:eastAsia="宋体" w:hAnsi="Book Antiqua" w:cs="Book Antiqua"/>
          <w:color w:val="000000"/>
          <w:lang w:eastAsia="zh-CN"/>
        </w:rPr>
        <w:t xml:space="preserve"> studies are</w:t>
      </w:r>
      <w:r>
        <w:rPr>
          <w:rFonts w:ascii="Book Antiqua" w:eastAsia="Book Antiqua" w:hAnsi="Book Antiqua" w:cs="Book Antiqua"/>
          <w:color w:val="000000"/>
        </w:rPr>
        <w:t xml:space="preserve"> needed to understand the underlying mechanisms of hypersensitivity reaction</w:t>
      </w:r>
      <w:bookmarkEnd w:id="0"/>
      <w:r>
        <w:rPr>
          <w:rFonts w:ascii="Book Antiqua" w:eastAsia="Book Antiqua" w:hAnsi="Book Antiqua" w:cs="Book Antiqua"/>
          <w:color w:val="000000"/>
        </w:rPr>
        <w:t>s and</w:t>
      </w:r>
      <w:bookmarkEnd w:id="2"/>
      <w:r>
        <w:rPr>
          <w:rFonts w:ascii="Book Antiqua" w:eastAsia="Book Antiqua" w:hAnsi="Book Antiqua" w:cs="Book Antiqua"/>
          <w:color w:val="000000"/>
        </w:rPr>
        <w:t xml:space="preserve"> establish standardized skin test and </w:t>
      </w:r>
      <w:r>
        <w:rPr>
          <w:rFonts w:ascii="Book Antiqua" w:eastAsia="Book Antiqua" w:hAnsi="Book Antiqua" w:cs="Book Antiqua"/>
          <w:color w:val="000000"/>
          <w:shd w:val="clear" w:color="auto" w:fill="FFFFFF"/>
        </w:rPr>
        <w:t xml:space="preserve">desensitization protocols </w:t>
      </w:r>
      <w:r>
        <w:rPr>
          <w:rFonts w:ascii="Book Antiqua" w:eastAsia="Book Antiqua" w:hAnsi="Book Antiqua" w:cs="Book Antiqua"/>
          <w:color w:val="000000"/>
        </w:rPr>
        <w:t>associated with PD-1 and PD-L1 to ensure effective treatment with ICIs.</w:t>
      </w:r>
    </w:p>
    <w:p w14:paraId="65354394" w14:textId="77777777" w:rsidR="001D7A68" w:rsidRDefault="001D7A68">
      <w:pPr>
        <w:spacing w:line="360" w:lineRule="auto"/>
        <w:jc w:val="both"/>
        <w:rPr>
          <w:rFonts w:ascii="Book Antiqua" w:hAnsi="Book Antiqua"/>
        </w:rPr>
      </w:pPr>
    </w:p>
    <w:p w14:paraId="476E7D2D" w14:textId="77777777" w:rsidR="001D7A68" w:rsidRDefault="00A70108">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74C4FD36" w14:textId="4A156FEC" w:rsidR="001D7A68" w:rsidRDefault="00A70108">
      <w:pPr>
        <w:spacing w:line="360" w:lineRule="auto"/>
        <w:jc w:val="both"/>
        <w:rPr>
          <w:rFonts w:ascii="Book Antiqua" w:hAnsi="Book Antiqua"/>
        </w:rPr>
      </w:pPr>
      <w:r>
        <w:rPr>
          <w:rFonts w:ascii="Book Antiqua" w:eastAsia="Book Antiqua" w:hAnsi="Book Antiqua" w:cs="Book Antiqua"/>
          <w:color w:val="000000"/>
        </w:rPr>
        <w:t xml:space="preserve">Hepatocellular carcinoma (HCC) is a common carcinoma worldwide and a leading cause of cancer-related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Although early-stage disease may be curable by resection, most patients present w</w:t>
      </w:r>
      <w:r>
        <w:rPr>
          <w:rFonts w:ascii="Book Antiqua" w:eastAsia="Book Antiqua" w:hAnsi="Book Antiqua" w:cs="Book Antiqua"/>
          <w:color w:val="000000"/>
        </w:rPr>
        <w:t xml:space="preserve">ith </w:t>
      </w:r>
      <w:r w:rsidR="001E503B">
        <w:rPr>
          <w:rFonts w:ascii="Book Antiqua" w:eastAsia="Book Antiqua" w:hAnsi="Book Antiqua" w:cs="Book Antiqua"/>
          <w:color w:val="000000"/>
        </w:rPr>
        <w:t xml:space="preserve">an </w:t>
      </w:r>
      <w:r>
        <w:rPr>
          <w:rFonts w:ascii="Book Antiqua" w:eastAsia="Book Antiqua" w:hAnsi="Book Antiqua" w:cs="Book Antiqua"/>
          <w:color w:val="000000"/>
        </w:rPr>
        <w:t xml:space="preserve">advanced and </w:t>
      </w:r>
      <w:proofErr w:type="spellStart"/>
      <w:r>
        <w:rPr>
          <w:rFonts w:ascii="Book Antiqua" w:eastAsia="Book Antiqua" w:hAnsi="Book Antiqua" w:cs="Book Antiqua"/>
          <w:color w:val="000000"/>
        </w:rPr>
        <w:t>unresectable</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multikinase</w:t>
      </w:r>
      <w:proofErr w:type="spellEnd"/>
      <w:r>
        <w:rPr>
          <w:rFonts w:ascii="Book Antiqua" w:eastAsia="Book Antiqua" w:hAnsi="Book Antiqua" w:cs="Book Antiqua"/>
          <w:color w:val="000000"/>
        </w:rPr>
        <w:t xml:space="preserve"> inhibitors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are the approved first-line systemic treatments for unresectable HCC. Both are associated with considerable side effects that impair patients’ quality of life. Programmed death-1 (PD-1) inhibitors and anti–programmed death ligand 1 (PD-L1) have shown promising clinical activity as second-line treatments for HCC. A 2020 global phase 3 trial showed that in patients with unresectable HCC, atezolizumab combined with bevacizumab resulted in better overall and progression-free survival outcomes than </w:t>
      </w:r>
      <w:proofErr w:type="spellStart"/>
      <w:proofErr w:type="gramStart"/>
      <w:r>
        <w:rPr>
          <w:rFonts w:ascii="Book Antiqua" w:eastAsia="Book Antiqua" w:hAnsi="Book Antiqua" w:cs="Book Antiqua"/>
          <w:color w:val="000000"/>
        </w:rPr>
        <w:t>sorafenib</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443306F7" w14:textId="33739DAE" w:rsidR="001D7A68" w:rsidRDefault="00A70108">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Although immune checkpoint inhibitors induce immune activation with strong antitumor effects, they can lead to hypersensitivity reactions (HSRs) and infusion reactions (IRs). These reactions range from mild cutaneous manifestations to life-threatening anaphylaxis with hypotension, oxygen desaturation, cardiovascular collapse, and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Atezolizumab is a humanized immunoglobulin (Ig</w:t>
      </w:r>
      <w:proofErr w:type="gramStart"/>
      <w:r>
        <w:rPr>
          <w:rFonts w:ascii="Book Antiqua" w:eastAsia="Book Antiqua" w:hAnsi="Book Antiqua" w:cs="Book Antiqua"/>
          <w:color w:val="000000"/>
        </w:rPr>
        <w:t>)G</w:t>
      </w:r>
      <w:proofErr w:type="gramEnd"/>
      <w:r>
        <w:rPr>
          <w:rFonts w:ascii="Book Antiqua" w:eastAsia="Book Antiqua" w:hAnsi="Book Antiqua" w:cs="Book Antiqua"/>
          <w:color w:val="000000"/>
        </w:rPr>
        <w:t>-1 class antibody that binds to PD-L1 approved by the Food and Drug Administration (FDA) for the treatment of cancer</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The FDA reported severe IRs in 1.3%-1.7% and HSRs in ≤ 1% of cases in which atezolizumab was </w:t>
      </w:r>
      <w:proofErr w:type="gramStart"/>
      <w:r>
        <w:rPr>
          <w:rFonts w:ascii="Book Antiqua" w:eastAsia="Book Antiqua" w:hAnsi="Book Antiqua" w:cs="Book Antiqua"/>
          <w:color w:val="000000"/>
        </w:rPr>
        <w:t>used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However, cases of atezolizumab-associated anaphylactic shock are rare. Herein, we pre</w:t>
      </w:r>
      <w:r>
        <w:rPr>
          <w:rFonts w:ascii="Book Antiqua" w:eastAsia="Book Antiqua" w:hAnsi="Book Antiqua" w:cs="Book Antiqua"/>
          <w:color w:val="000000"/>
        </w:rPr>
        <w:t xml:space="preserve">sent </w:t>
      </w:r>
      <w:r w:rsidR="001E503B">
        <w:rPr>
          <w:rFonts w:ascii="Book Antiqua" w:eastAsia="Book Antiqua" w:hAnsi="Book Antiqua" w:cs="Book Antiqua"/>
          <w:color w:val="000000"/>
        </w:rPr>
        <w:t xml:space="preserve">the </w:t>
      </w:r>
      <w:r>
        <w:rPr>
          <w:rFonts w:ascii="Book Antiqua" w:eastAsia="Book Antiqua" w:hAnsi="Book Antiqua" w:cs="Book Antiqua"/>
          <w:color w:val="000000"/>
        </w:rPr>
        <w:t>case of a p</w:t>
      </w:r>
      <w:r>
        <w:rPr>
          <w:rFonts w:ascii="Book Antiqua" w:eastAsia="Book Antiqua" w:hAnsi="Book Antiqua" w:cs="Book Antiqua"/>
          <w:color w:val="000000"/>
        </w:rPr>
        <w:t>atient who developed life-threatening anaphylactic shock during atezolizumab infusion.</w:t>
      </w:r>
    </w:p>
    <w:p w14:paraId="749EFF6E" w14:textId="77777777" w:rsidR="001D7A68" w:rsidRDefault="001D7A68">
      <w:pPr>
        <w:spacing w:line="360" w:lineRule="auto"/>
        <w:ind w:firstLine="480"/>
        <w:jc w:val="both"/>
        <w:rPr>
          <w:rFonts w:ascii="Book Antiqua" w:hAnsi="Book Antiqua"/>
        </w:rPr>
      </w:pPr>
    </w:p>
    <w:p w14:paraId="12BA06AA" w14:textId="77777777" w:rsidR="001D7A68" w:rsidRDefault="00A70108">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059E6A39" w14:textId="77777777" w:rsidR="001D7A68" w:rsidRDefault="00A70108">
      <w:pPr>
        <w:spacing w:line="360" w:lineRule="auto"/>
        <w:jc w:val="both"/>
        <w:rPr>
          <w:rFonts w:ascii="Book Antiqua" w:hAnsi="Book Antiqua"/>
        </w:rPr>
      </w:pPr>
      <w:r>
        <w:rPr>
          <w:rFonts w:ascii="Book Antiqua" w:eastAsia="Book Antiqua" w:hAnsi="Book Antiqua" w:cs="Book Antiqua"/>
          <w:b/>
          <w:i/>
          <w:color w:val="000000"/>
        </w:rPr>
        <w:t>Chief complaints</w:t>
      </w:r>
    </w:p>
    <w:p w14:paraId="295DC49B" w14:textId="1E70836A" w:rsidR="001D7A68" w:rsidRDefault="00A70108">
      <w:pPr>
        <w:spacing w:line="360" w:lineRule="auto"/>
        <w:jc w:val="both"/>
        <w:rPr>
          <w:rFonts w:ascii="Book Antiqua" w:hAnsi="Book Antiqua"/>
          <w:color w:val="0000FF"/>
        </w:rPr>
      </w:pPr>
      <w:r>
        <w:rPr>
          <w:rFonts w:ascii="Book Antiqua" w:eastAsia="Book Antiqua" w:hAnsi="Book Antiqua" w:cs="Book Antiqua"/>
          <w:color w:val="000000"/>
        </w:rPr>
        <w:t>Fatigue, back pain, and loss of appetite for 1</w:t>
      </w:r>
      <w:r w:rsidRPr="00012B49">
        <w:rPr>
          <w:rFonts w:ascii="Book Antiqua" w:eastAsia="Book Antiqua" w:hAnsi="Book Antiqua" w:cs="Book Antiqua"/>
          <w:i/>
          <w:iCs/>
        </w:rPr>
        <w:t xml:space="preserve"> </w:t>
      </w:r>
      <w:r w:rsidRPr="00012B49">
        <w:rPr>
          <w:rFonts w:ascii="Book Antiqua" w:eastAsia="Book Antiqua" w:hAnsi="Book Antiqua" w:cs="Book Antiqua"/>
        </w:rPr>
        <w:t>mo.</w:t>
      </w:r>
    </w:p>
    <w:p w14:paraId="0D4C351F" w14:textId="77777777" w:rsidR="001D7A68" w:rsidRDefault="001D7A68">
      <w:pPr>
        <w:spacing w:line="360" w:lineRule="auto"/>
        <w:jc w:val="both"/>
        <w:rPr>
          <w:rFonts w:ascii="Book Antiqua" w:hAnsi="Book Antiqua"/>
        </w:rPr>
      </w:pPr>
    </w:p>
    <w:p w14:paraId="3F9E8C53" w14:textId="77777777" w:rsidR="001D7A68" w:rsidRDefault="00A70108">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407A307B" w14:textId="7574FA18" w:rsidR="001D7A68" w:rsidRDefault="00A70108">
      <w:pPr>
        <w:spacing w:line="360" w:lineRule="auto"/>
        <w:jc w:val="both"/>
        <w:rPr>
          <w:rFonts w:ascii="Book Antiqua" w:hAnsi="Book Antiqua"/>
        </w:rPr>
      </w:pPr>
      <w:r>
        <w:rPr>
          <w:rFonts w:ascii="Book Antiqua" w:eastAsia="Book Antiqua" w:hAnsi="Book Antiqua" w:cs="Book Antiqua"/>
          <w:color w:val="000000"/>
        </w:rPr>
        <w:t xml:space="preserve">A 75-year-old man with liver cancer recurrence after right radical hepatectomy in April 2019 was diagnosed with HCC. After a multidisciplinary discussion, the patient received </w:t>
      </w:r>
      <w:r>
        <w:rPr>
          <w:rFonts w:ascii="Book Antiqua" w:eastAsia="Book Antiqua" w:hAnsi="Book Antiqua" w:cs="Book Antiqua"/>
          <w:color w:val="000000"/>
        </w:rPr>
        <w:lastRenderedPageBreak/>
        <w:t>a combination treatme</w:t>
      </w:r>
      <w:r>
        <w:rPr>
          <w:rFonts w:ascii="Book Antiqua" w:eastAsia="Book Antiqua" w:hAnsi="Book Antiqua" w:cs="Book Antiqua"/>
          <w:color w:val="000000"/>
        </w:rPr>
        <w:t xml:space="preserve">nt of </w:t>
      </w:r>
      <w:proofErr w:type="spellStart"/>
      <w:r w:rsidR="001E503B">
        <w:rPr>
          <w:rFonts w:ascii="Book Antiqua" w:eastAsia="Book Antiqua" w:hAnsi="Book Antiqua" w:cs="Book Antiqua"/>
          <w:color w:val="000000"/>
        </w:rPr>
        <w:t>lenvatinib</w:t>
      </w:r>
      <w:proofErr w:type="spellEnd"/>
      <w:r w:rsidR="001E503B">
        <w:rPr>
          <w:rFonts w:ascii="Book Antiqua" w:eastAsia="Book Antiqua" w:hAnsi="Book Antiqua" w:cs="Book Antiqua"/>
          <w:color w:val="000000"/>
        </w:rPr>
        <w:t xml:space="preserve"> </w:t>
      </w:r>
      <w:r>
        <w:rPr>
          <w:rFonts w:ascii="Book Antiqua" w:eastAsia="Book Antiqua" w:hAnsi="Book Antiqua" w:cs="Book Antiqua"/>
          <w:color w:val="000000"/>
        </w:rPr>
        <w:t>and a PD</w:t>
      </w:r>
      <w:r>
        <w:rPr>
          <w:rFonts w:ascii="Book Antiqua" w:eastAsia="Book Antiqua" w:hAnsi="Book Antiqua" w:cs="Book Antiqua"/>
          <w:color w:val="000000"/>
        </w:rPr>
        <w:t>-1 inhibitor (</w:t>
      </w:r>
      <w:proofErr w:type="spellStart"/>
      <w:r>
        <w:rPr>
          <w:rFonts w:ascii="Book Antiqua" w:eastAsia="Book Antiqua" w:hAnsi="Book Antiqua" w:cs="Book Antiqua"/>
          <w:color w:val="000000"/>
        </w:rPr>
        <w:t>camrelizumab</w:t>
      </w:r>
      <w:proofErr w:type="spellEnd"/>
      <w:r>
        <w:rPr>
          <w:rFonts w:ascii="Book Antiqua" w:eastAsia="Book Antiqua" w:hAnsi="Book Antiqua" w:cs="Book Antiqua"/>
          <w:color w:val="000000"/>
        </w:rPr>
        <w:t xml:space="preserve">, 200 mg/bottle; </w:t>
      </w:r>
      <w:proofErr w:type="spellStart"/>
      <w:r>
        <w:rPr>
          <w:rFonts w:ascii="Book Antiqua" w:eastAsia="Book Antiqua" w:hAnsi="Book Antiqua" w:cs="Book Antiqua"/>
          <w:color w:val="000000"/>
        </w:rPr>
        <w:t>Heng</w:t>
      </w:r>
      <w:proofErr w:type="spellEnd"/>
      <w:r>
        <w:rPr>
          <w:rFonts w:ascii="Book Antiqua" w:eastAsia="Book Antiqua" w:hAnsi="Book Antiqua" w:cs="Book Antiqua"/>
          <w:color w:val="000000"/>
        </w:rPr>
        <w:t xml:space="preserve"> Rui Pharmaceuticals Inc., China). Because the patient developed hypotension and rash on the second use of </w:t>
      </w:r>
      <w:proofErr w:type="spellStart"/>
      <w:r>
        <w:rPr>
          <w:rFonts w:ascii="Book Antiqua" w:eastAsia="Book Antiqua" w:hAnsi="Book Antiqua" w:cs="Book Antiqua"/>
          <w:color w:val="000000"/>
        </w:rPr>
        <w:t>camrelizumab</w:t>
      </w:r>
      <w:proofErr w:type="spellEnd"/>
      <w:r>
        <w:rPr>
          <w:rFonts w:ascii="Book Antiqua" w:eastAsia="Book Antiqua" w:hAnsi="Book Antiqua" w:cs="Book Antiqua"/>
          <w:color w:val="000000"/>
        </w:rPr>
        <w:t xml:space="preserve">, it was discontinued. Moreover, the patient showed significant side effects of oral administration of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including diarrhea, fatigue, and loss of appetite, the drug was discontinued. In November 2020, the patient was hospitalized for immunotherapy. The regimen was changed to a PD-L1 inhibitor (atezolizumab, 1200 mg/bottle; Genentech, Inc., United States) combined with bevacizumab therapy. The first 1200 mg infusion was administered on November 10, 2020. Ten minutes into the atezolizumab infusion, the patient reported dyspnea, sudden dizzi</w:t>
      </w:r>
      <w:r>
        <w:rPr>
          <w:rFonts w:ascii="Book Antiqua" w:eastAsia="Book Antiqua" w:hAnsi="Book Antiqua" w:cs="Book Antiqua"/>
          <w:color w:val="000000"/>
        </w:rPr>
        <w:t>ness</w:t>
      </w:r>
      <w:r w:rsidR="001E503B">
        <w:rPr>
          <w:rFonts w:ascii="Book Antiqua" w:eastAsia="Book Antiqua" w:hAnsi="Book Antiqua" w:cs="Book Antiqua"/>
          <w:color w:val="000000"/>
        </w:rPr>
        <w:t>,</w:t>
      </w:r>
      <w:r>
        <w:rPr>
          <w:rFonts w:ascii="Book Antiqua" w:eastAsia="Book Antiqua" w:hAnsi="Book Antiqua" w:cs="Book Antiqua"/>
          <w:color w:val="000000"/>
        </w:rPr>
        <w:t xml:space="preserve"> and numbness in his feet and was soon unconscious, with hypotension (56/38 mmHg), </w:t>
      </w:r>
      <w:r w:rsidR="001E503B">
        <w:rPr>
          <w:rFonts w:ascii="Book Antiqua" w:eastAsia="Book Antiqua" w:hAnsi="Book Antiqua" w:cs="Book Antiqua"/>
          <w:color w:val="000000"/>
        </w:rPr>
        <w:t xml:space="preserve">a </w:t>
      </w:r>
      <w:r>
        <w:rPr>
          <w:rFonts w:ascii="Book Antiqua" w:eastAsia="Book Antiqua" w:hAnsi="Book Antiqua" w:cs="Book Antiqua"/>
          <w:color w:val="000000"/>
        </w:rPr>
        <w:t xml:space="preserve">heart rate of 85 bpm, temporal temperature of 36.7 °C, respiration rate of 25 breaths </w:t>
      </w:r>
      <w:r w:rsidRPr="0035530D">
        <w:rPr>
          <w:rFonts w:ascii="Book Antiqua" w:eastAsia="Book Antiqua" w:hAnsi="Book Antiqua" w:cs="Book Antiqua"/>
          <w:iCs/>
          <w:color w:val="000000"/>
        </w:rPr>
        <w:t>per</w:t>
      </w:r>
      <w:r>
        <w:rPr>
          <w:rFonts w:ascii="Book Antiqua" w:eastAsia="Book Antiqua" w:hAnsi="Book Antiqua" w:cs="Book Antiqua"/>
          <w:color w:val="000000"/>
        </w:rPr>
        <w:t xml:space="preserve"> minute, and oxygen saturation of 92%. </w:t>
      </w:r>
    </w:p>
    <w:p w14:paraId="2AA2C0D7" w14:textId="77777777" w:rsidR="001D7A68" w:rsidRDefault="001D7A68">
      <w:pPr>
        <w:spacing w:line="360" w:lineRule="auto"/>
        <w:jc w:val="both"/>
        <w:rPr>
          <w:rFonts w:ascii="Book Antiqua" w:hAnsi="Book Antiqua"/>
        </w:rPr>
      </w:pPr>
    </w:p>
    <w:p w14:paraId="40CCCFFF" w14:textId="77777777" w:rsidR="001D7A68" w:rsidRDefault="00A70108">
      <w:pPr>
        <w:spacing w:line="360" w:lineRule="auto"/>
        <w:jc w:val="both"/>
        <w:rPr>
          <w:rFonts w:ascii="Book Antiqua" w:hAnsi="Book Antiqua"/>
        </w:rPr>
      </w:pPr>
      <w:r>
        <w:rPr>
          <w:rFonts w:ascii="Book Antiqua" w:eastAsia="Book Antiqua" w:hAnsi="Book Antiqua" w:cs="Book Antiqua"/>
          <w:b/>
          <w:i/>
          <w:color w:val="000000"/>
        </w:rPr>
        <w:t>History of past illness</w:t>
      </w:r>
    </w:p>
    <w:p w14:paraId="0C5445F4" w14:textId="23AB5B6A" w:rsidR="001D7A68" w:rsidRDefault="00A70108">
      <w:pPr>
        <w:spacing w:line="360" w:lineRule="auto"/>
        <w:jc w:val="both"/>
        <w:rPr>
          <w:rFonts w:ascii="Book Antiqua" w:hAnsi="Book Antiqua"/>
        </w:rPr>
      </w:pPr>
      <w:r>
        <w:rPr>
          <w:rFonts w:ascii="Book Antiqua" w:eastAsia="Book Antiqua" w:hAnsi="Book Antiqua" w:cs="Book Antiqua"/>
          <w:color w:val="000000"/>
        </w:rPr>
        <w:t xml:space="preserve">The patient has a medical history of hypertension, diabetes, and coronary heart disease for many years, cerebral infarction for more than 4 years without obvious sequelae, </w:t>
      </w:r>
      <w:r w:rsidR="001E503B">
        <w:rPr>
          <w:rFonts w:ascii="Book Antiqua" w:eastAsia="Book Antiqua" w:hAnsi="Book Antiqua" w:cs="Book Antiqua"/>
          <w:color w:val="000000"/>
        </w:rPr>
        <w:t xml:space="preserve">and </w:t>
      </w:r>
      <w:r>
        <w:rPr>
          <w:rFonts w:ascii="Book Antiqua" w:eastAsia="Book Antiqua" w:hAnsi="Book Antiqua" w:cs="Book Antiqua"/>
          <w:color w:val="000000"/>
        </w:rPr>
        <w:t xml:space="preserve">hepatitis B for more than 50 years, </w:t>
      </w:r>
      <w:r w:rsidR="001E503B">
        <w:rPr>
          <w:rFonts w:ascii="Book Antiqua" w:eastAsia="Book Antiqua" w:hAnsi="Book Antiqua" w:cs="Book Antiqua"/>
          <w:color w:val="000000"/>
        </w:rPr>
        <w:t xml:space="preserve">for which he was </w:t>
      </w:r>
      <w:r>
        <w:rPr>
          <w:rFonts w:ascii="Book Antiqua" w:eastAsia="Book Antiqua" w:hAnsi="Book Antiqua" w:cs="Book Antiqua"/>
          <w:color w:val="000000"/>
        </w:rPr>
        <w:t>taking "</w:t>
      </w:r>
      <w:proofErr w:type="spellStart"/>
      <w:r>
        <w:rPr>
          <w:rFonts w:ascii="Book Antiqua" w:eastAsia="Book Antiqua" w:hAnsi="Book Antiqua" w:cs="Book Antiqua"/>
          <w:color w:val="000000"/>
        </w:rPr>
        <w:t>entecavir</w:t>
      </w:r>
      <w:proofErr w:type="spellEnd"/>
      <w:r>
        <w:rPr>
          <w:rFonts w:ascii="Book Antiqua" w:eastAsia="Book Antiqua" w:hAnsi="Book Antiqua" w:cs="Book Antiqua"/>
          <w:color w:val="000000"/>
        </w:rPr>
        <w:t>". He had an allergy history of PD-1.</w:t>
      </w:r>
    </w:p>
    <w:p w14:paraId="180C4CBA" w14:textId="77777777" w:rsidR="001D7A68" w:rsidRDefault="001D7A68">
      <w:pPr>
        <w:spacing w:line="360" w:lineRule="auto"/>
        <w:jc w:val="both"/>
        <w:rPr>
          <w:rFonts w:ascii="Book Antiqua" w:hAnsi="Book Antiqua"/>
        </w:rPr>
      </w:pPr>
    </w:p>
    <w:p w14:paraId="2AE8400E" w14:textId="77777777" w:rsidR="001D7A68" w:rsidRDefault="00A70108">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2AEE33AD" w14:textId="77777777" w:rsidR="001D7A68" w:rsidRDefault="00A70108">
      <w:pPr>
        <w:spacing w:line="360" w:lineRule="auto"/>
        <w:jc w:val="both"/>
        <w:rPr>
          <w:rFonts w:ascii="Book Antiqua" w:hAnsi="Book Antiqua"/>
        </w:rPr>
      </w:pPr>
      <w:r>
        <w:rPr>
          <w:rFonts w:ascii="Book Antiqua" w:eastAsia="Book Antiqua" w:hAnsi="Book Antiqua" w:cs="Book Antiqua"/>
          <w:color w:val="000000"/>
        </w:rPr>
        <w:t>There was no family history of malignant tumors.</w:t>
      </w:r>
    </w:p>
    <w:p w14:paraId="0F413E7B" w14:textId="77777777" w:rsidR="001D7A68" w:rsidRDefault="001D7A68">
      <w:pPr>
        <w:spacing w:line="360" w:lineRule="auto"/>
        <w:jc w:val="both"/>
        <w:rPr>
          <w:rFonts w:ascii="Book Antiqua" w:hAnsi="Book Antiqua"/>
        </w:rPr>
      </w:pPr>
    </w:p>
    <w:p w14:paraId="5506A4DD" w14:textId="77777777" w:rsidR="001D7A68" w:rsidRDefault="00A70108">
      <w:pPr>
        <w:spacing w:line="360" w:lineRule="auto"/>
        <w:jc w:val="both"/>
        <w:rPr>
          <w:rFonts w:ascii="Book Antiqua" w:hAnsi="Book Antiqua"/>
        </w:rPr>
      </w:pPr>
      <w:r>
        <w:rPr>
          <w:rFonts w:ascii="Book Antiqua" w:eastAsia="Book Antiqua" w:hAnsi="Book Antiqua" w:cs="Book Antiqua"/>
          <w:b/>
          <w:i/>
          <w:color w:val="000000"/>
        </w:rPr>
        <w:t>Physical examination</w:t>
      </w:r>
    </w:p>
    <w:p w14:paraId="7AEF8441" w14:textId="77777777" w:rsidR="001D7A68" w:rsidRDefault="00A70108">
      <w:pPr>
        <w:spacing w:line="360" w:lineRule="auto"/>
        <w:jc w:val="both"/>
        <w:rPr>
          <w:rFonts w:ascii="Book Antiqua" w:hAnsi="Book Antiqua"/>
        </w:rPr>
      </w:pPr>
      <w:r>
        <w:rPr>
          <w:rFonts w:ascii="Book Antiqua" w:eastAsia="Book Antiqua" w:hAnsi="Book Antiqua" w:cs="Book Antiqua"/>
          <w:color w:val="000000"/>
        </w:rPr>
        <w:t>Abdominal distension, back pain, concave edema of lower limbs, and no jaundice or palpable masses were observed.</w:t>
      </w:r>
    </w:p>
    <w:p w14:paraId="51B1A6E0" w14:textId="77777777" w:rsidR="001D7A68" w:rsidRDefault="001D7A68">
      <w:pPr>
        <w:spacing w:line="360" w:lineRule="auto"/>
        <w:jc w:val="both"/>
        <w:rPr>
          <w:rFonts w:ascii="Book Antiqua" w:hAnsi="Book Antiqua"/>
        </w:rPr>
      </w:pPr>
    </w:p>
    <w:p w14:paraId="275BC38E" w14:textId="77777777" w:rsidR="001D7A68" w:rsidRDefault="00A70108">
      <w:pPr>
        <w:spacing w:line="360" w:lineRule="auto"/>
        <w:jc w:val="both"/>
        <w:rPr>
          <w:rFonts w:ascii="Book Antiqua" w:hAnsi="Book Antiqua"/>
        </w:rPr>
      </w:pPr>
      <w:r>
        <w:rPr>
          <w:rFonts w:ascii="Book Antiqua" w:eastAsia="Book Antiqua" w:hAnsi="Book Antiqua" w:cs="Book Antiqua"/>
          <w:b/>
          <w:i/>
          <w:color w:val="000000"/>
        </w:rPr>
        <w:t>Laboratory examinations</w:t>
      </w:r>
    </w:p>
    <w:p w14:paraId="0669F2CF" w14:textId="1C801CCE" w:rsidR="001D7A68" w:rsidRDefault="00A70108">
      <w:pPr>
        <w:spacing w:line="360" w:lineRule="auto"/>
        <w:jc w:val="both"/>
        <w:rPr>
          <w:rFonts w:ascii="Book Antiqua" w:hAnsi="Book Antiqua"/>
        </w:rPr>
      </w:pPr>
      <w:r>
        <w:rPr>
          <w:rFonts w:ascii="Book Antiqua" w:eastAsia="Book Antiqua" w:hAnsi="Book Antiqua" w:cs="Book Antiqua"/>
          <w:color w:val="000000"/>
        </w:rPr>
        <w:t>Blood analysis rev</w:t>
      </w:r>
      <w:r>
        <w:rPr>
          <w:rFonts w:ascii="Book Antiqua" w:eastAsia="Book Antiqua" w:hAnsi="Book Antiqua" w:cs="Book Antiqua"/>
          <w:color w:val="000000"/>
        </w:rPr>
        <w:t xml:space="preserve">ealed </w:t>
      </w:r>
      <w:r w:rsidR="00A7350A">
        <w:rPr>
          <w:rFonts w:ascii="Book Antiqua" w:eastAsia="Book Antiqua" w:hAnsi="Book Antiqua" w:cs="Book Antiqua"/>
          <w:color w:val="000000"/>
        </w:rPr>
        <w:t xml:space="preserve">high levels of </w:t>
      </w:r>
      <w:r w:rsidR="001E503B">
        <w:rPr>
          <w:rFonts w:ascii="Book Antiqua" w:eastAsia="Book Antiqua" w:hAnsi="Book Antiqua" w:cs="Book Antiqua"/>
          <w:color w:val="000000"/>
        </w:rPr>
        <w:t>alpha</w:t>
      </w:r>
      <w:r>
        <w:rPr>
          <w:rFonts w:ascii="Book Antiqua" w:eastAsia="Book Antiqua" w:hAnsi="Book Antiqua" w:cs="Book Antiqua"/>
          <w:color w:val="000000"/>
        </w:rPr>
        <w:t xml:space="preserve">-fetoprotein (66 ng/mL; normal, &lt; 25 ng/mL), carcinoembryonic antigen (4.8 ng/mL; normal, &lt; 5 ng/mL), </w:t>
      </w:r>
      <w:r w:rsidR="00A7350A">
        <w:rPr>
          <w:rFonts w:ascii="Book Antiqua" w:eastAsia="Book Antiqua" w:hAnsi="Book Antiqua" w:cs="Book Antiqua"/>
          <w:color w:val="000000"/>
        </w:rPr>
        <w:t xml:space="preserve">and </w:t>
      </w:r>
      <w:r>
        <w:rPr>
          <w:rFonts w:ascii="Book Antiqua" w:eastAsia="Book Antiqua" w:hAnsi="Book Antiqua" w:cs="Book Antiqua"/>
          <w:color w:val="000000"/>
        </w:rPr>
        <w:t>ferritin</w:t>
      </w:r>
      <w:r>
        <w:rPr>
          <w:rFonts w:ascii="Book Antiqua" w:eastAsia="Book Antiqua" w:hAnsi="Book Antiqua" w:cs="Book Antiqua"/>
          <w:color w:val="000000"/>
        </w:rPr>
        <w:t xml:space="preserve"> (355.7 ng/mL; </w:t>
      </w:r>
      <w:r>
        <w:rPr>
          <w:rFonts w:ascii="Book Antiqua" w:eastAsia="Book Antiqua" w:hAnsi="Book Antiqua" w:cs="Book Antiqua"/>
          <w:color w:val="000000"/>
        </w:rPr>
        <w:lastRenderedPageBreak/>
        <w:t>normal, female &lt; 150 U/mL, male &lt; 200 U/mL). Routine blood test sh</w:t>
      </w:r>
      <w:r w:rsidR="00295952">
        <w:rPr>
          <w:rFonts w:ascii="Book Antiqua" w:eastAsia="Book Antiqua" w:hAnsi="Book Antiqua" w:cs="Book Antiqua"/>
          <w:color w:val="000000"/>
        </w:rPr>
        <w:t>owed</w:t>
      </w:r>
      <w:r>
        <w:rPr>
          <w:rFonts w:ascii="Book Antiqua" w:eastAsia="Book Antiqua" w:hAnsi="Book Antiqua" w:cs="Book Antiqua"/>
          <w:color w:val="000000"/>
        </w:rPr>
        <w:t xml:space="preserve"> leukopenia (1.9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normal, 4-10 × 10</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/L) with predominant neutrophils (62.9%) with normal </w:t>
      </w:r>
      <w:r>
        <w:rPr>
          <w:rFonts w:ascii="Book Antiqua" w:eastAsia="Book Antiqua" w:hAnsi="Book Antiqua" w:cs="Book Antiqua"/>
          <w:color w:val="000000"/>
        </w:rPr>
        <w:t>hematocrit and platelet count. Prothrombin and partial thromboplastin times were normal.</w:t>
      </w:r>
    </w:p>
    <w:p w14:paraId="2994A8F8" w14:textId="77777777" w:rsidR="001D7A68" w:rsidRDefault="001D7A68">
      <w:pPr>
        <w:spacing w:line="360" w:lineRule="auto"/>
        <w:jc w:val="both"/>
        <w:rPr>
          <w:rFonts w:ascii="Book Antiqua" w:hAnsi="Book Antiqua"/>
        </w:rPr>
      </w:pPr>
    </w:p>
    <w:p w14:paraId="47230DA8" w14:textId="77777777" w:rsidR="001D7A68" w:rsidRDefault="00A70108">
      <w:pPr>
        <w:spacing w:line="360" w:lineRule="auto"/>
        <w:jc w:val="both"/>
        <w:rPr>
          <w:rFonts w:ascii="Book Antiqua" w:hAnsi="Book Antiqua"/>
        </w:rPr>
      </w:pPr>
      <w:r>
        <w:rPr>
          <w:rFonts w:ascii="Book Antiqua" w:eastAsia="Book Antiqua" w:hAnsi="Book Antiqua" w:cs="Book Antiqua"/>
          <w:b/>
          <w:i/>
          <w:color w:val="000000"/>
        </w:rPr>
        <w:t>Imaging examinations</w:t>
      </w:r>
    </w:p>
    <w:p w14:paraId="26CFBE86" w14:textId="2FD7FBCA" w:rsidR="001D7A68" w:rsidRDefault="00A70108">
      <w:pPr>
        <w:spacing w:line="360" w:lineRule="auto"/>
        <w:jc w:val="both"/>
        <w:rPr>
          <w:rFonts w:ascii="Book Antiqua" w:hAnsi="Book Antiqua"/>
        </w:rPr>
      </w:pPr>
      <w:r>
        <w:rPr>
          <w:rFonts w:ascii="Book Antiqua" w:eastAsia="Book Antiqua" w:hAnsi="Book Antiqua" w:cs="Book Antiqua"/>
          <w:color w:val="000000"/>
        </w:rPr>
        <w:t>Contrast-enhanced computed tomography and magnetic resonance imaging of the chest</w:t>
      </w:r>
      <w:r w:rsidR="00A7350A">
        <w:rPr>
          <w:rFonts w:ascii="Book Antiqua" w:eastAsia="Book Antiqua" w:hAnsi="Book Antiqua" w:cs="Book Antiqua"/>
          <w:color w:val="000000"/>
        </w:rPr>
        <w:t xml:space="preserve"> and </w:t>
      </w:r>
      <w:r>
        <w:rPr>
          <w:rFonts w:ascii="Book Antiqua" w:eastAsia="Book Antiqua" w:hAnsi="Book Antiqua" w:cs="Book Antiqua"/>
          <w:color w:val="000000"/>
        </w:rPr>
        <w:t>abdomen performed in September 2020 showed multiple intrahepatic tumors</w:t>
      </w:r>
      <w:r w:rsidR="00A7350A">
        <w:rPr>
          <w:rFonts w:ascii="Book Antiqua" w:eastAsia="Book Antiqua" w:hAnsi="Book Antiqua" w:cs="Book Antiqua"/>
          <w:color w:val="000000"/>
        </w:rPr>
        <w:t xml:space="preserve"> </w:t>
      </w:r>
      <w:r>
        <w:rPr>
          <w:rFonts w:ascii="Book Antiqua" w:eastAsia="Book Antiqua" w:hAnsi="Book Antiqua" w:cs="Book Antiqua"/>
          <w:color w:val="000000"/>
        </w:rPr>
        <w:t>inva</w:t>
      </w:r>
      <w:r w:rsidR="00A7350A">
        <w:rPr>
          <w:rFonts w:ascii="Book Antiqua" w:eastAsia="Book Antiqua" w:hAnsi="Book Antiqua" w:cs="Book Antiqua"/>
          <w:color w:val="000000"/>
        </w:rPr>
        <w:t>ding</w:t>
      </w:r>
      <w:r>
        <w:rPr>
          <w:rFonts w:ascii="Book Antiqua" w:eastAsia="Book Antiqua" w:hAnsi="Book Antiqua" w:cs="Book Antiqua"/>
          <w:color w:val="000000"/>
        </w:rPr>
        <w:t xml:space="preserve"> the inferior vena cava and right branch of the portal vein and tumor thrombus formation in the inferior vena cava and left atrium (Figure 1).</w:t>
      </w:r>
    </w:p>
    <w:p w14:paraId="0ACCE204" w14:textId="77777777" w:rsidR="001D7A68" w:rsidRDefault="001D7A68">
      <w:pPr>
        <w:spacing w:line="360" w:lineRule="auto"/>
        <w:jc w:val="both"/>
        <w:rPr>
          <w:rFonts w:ascii="Book Antiqua" w:hAnsi="Book Antiqua"/>
        </w:rPr>
      </w:pPr>
    </w:p>
    <w:p w14:paraId="710763EE" w14:textId="77777777" w:rsidR="001D7A68" w:rsidRDefault="00A70108">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43918F4E" w14:textId="0BE33978" w:rsidR="001D7A68" w:rsidRDefault="00A70108">
      <w:pPr>
        <w:spacing w:line="360" w:lineRule="auto"/>
        <w:jc w:val="both"/>
        <w:rPr>
          <w:rFonts w:ascii="Book Antiqua" w:hAnsi="Book Antiqua"/>
        </w:rPr>
      </w:pPr>
      <w:r>
        <w:rPr>
          <w:rFonts w:ascii="Book Antiqua" w:eastAsia="Book Antiqua" w:hAnsi="Book Antiqua" w:cs="Book Antiqua"/>
          <w:color w:val="000000"/>
        </w:rPr>
        <w:t>Hepatocellular carcinoma recurrence</w:t>
      </w:r>
      <w:r w:rsidR="00A7350A">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atezolizumab</w:t>
      </w:r>
      <w:proofErr w:type="spellEnd"/>
      <w:r>
        <w:rPr>
          <w:rFonts w:ascii="Book Antiqua" w:eastAsia="Book Antiqua" w:hAnsi="Book Antiqua" w:cs="Book Antiqua"/>
          <w:color w:val="000000"/>
        </w:rPr>
        <w:t>-induced anaphylactic shock.</w:t>
      </w:r>
    </w:p>
    <w:p w14:paraId="42338844" w14:textId="77777777" w:rsidR="001D7A68" w:rsidRDefault="001D7A68">
      <w:pPr>
        <w:spacing w:line="360" w:lineRule="auto"/>
        <w:jc w:val="both"/>
        <w:rPr>
          <w:rFonts w:ascii="Book Antiqua" w:hAnsi="Book Antiqua"/>
        </w:rPr>
      </w:pPr>
    </w:p>
    <w:p w14:paraId="4DFF65E1" w14:textId="77777777" w:rsidR="001D7A68" w:rsidRDefault="00A70108">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59F44606" w14:textId="77777777" w:rsidR="001D7A68" w:rsidRDefault="00A70108">
      <w:pPr>
        <w:spacing w:line="360" w:lineRule="auto"/>
        <w:jc w:val="both"/>
        <w:rPr>
          <w:rFonts w:ascii="Book Antiqua" w:hAnsi="Book Antiqua"/>
        </w:rPr>
      </w:pPr>
      <w:r>
        <w:rPr>
          <w:rFonts w:ascii="Book Antiqua" w:eastAsia="Book Antiqua" w:hAnsi="Book Antiqua" w:cs="Book Antiqua"/>
          <w:color w:val="000000"/>
        </w:rPr>
        <w:t>A nurse immediately stopped atezolizumab infusion, made the patient lie in the supine position, and reported to the physician. The patient was administered 5 mg dexamethasone intravenously, 500 mL of Ringers solution intravenous drip quickly, and oxygen at a flow rate of 3 L/min.</w:t>
      </w:r>
    </w:p>
    <w:p w14:paraId="0B2F337E" w14:textId="77777777" w:rsidR="001D7A68" w:rsidRDefault="001D7A68">
      <w:pPr>
        <w:spacing w:line="360" w:lineRule="auto"/>
        <w:jc w:val="both"/>
        <w:rPr>
          <w:rFonts w:ascii="Book Antiqua" w:hAnsi="Book Antiqua"/>
        </w:rPr>
      </w:pPr>
    </w:p>
    <w:p w14:paraId="2CD71E0D" w14:textId="77777777" w:rsidR="001D7A68" w:rsidRDefault="00A70108">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53A891D1" w14:textId="77777777" w:rsidR="001D7A68" w:rsidRDefault="00A70108">
      <w:pPr>
        <w:spacing w:line="360" w:lineRule="auto"/>
        <w:jc w:val="both"/>
        <w:rPr>
          <w:rFonts w:ascii="Book Antiqua" w:hAnsi="Book Antiqua"/>
        </w:rPr>
      </w:pPr>
      <w:r>
        <w:rPr>
          <w:rFonts w:ascii="Book Antiqua" w:eastAsia="Book Antiqua" w:hAnsi="Book Antiqua" w:cs="Book Antiqua"/>
          <w:color w:val="000000"/>
        </w:rPr>
        <w:t xml:space="preserve">Ten minutes later, the patient regained consciousness. Thirty minutes later, the symptoms resolved: Blood pressure rose to 112/66 mmHg and heart rate to 75 bpm, the respiration rate was 20 breaths </w:t>
      </w:r>
      <w:r w:rsidRPr="0035530D">
        <w:rPr>
          <w:rFonts w:ascii="Book Antiqua" w:eastAsia="Book Antiqua" w:hAnsi="Book Antiqua" w:cs="Book Antiqua"/>
          <w:iCs/>
          <w:color w:val="000000"/>
        </w:rPr>
        <w:t>per</w:t>
      </w:r>
      <w:r>
        <w:rPr>
          <w:rFonts w:ascii="Book Antiqua" w:eastAsia="Book Antiqua" w:hAnsi="Book Antiqua" w:cs="Book Antiqua"/>
          <w:color w:val="000000"/>
        </w:rPr>
        <w:t xml:space="preserve"> minute, and oxygen saturation was 95%. Because of repeated hypersensitivity reactions, the medical team decided that the patient would not be rechallenged with immunotherapy and administered oral targeted regorafenib therapy instead. After 1 d, the patient’s condition stabilized and he was discharged. The patient was in a stable condition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discharge.</w:t>
      </w:r>
    </w:p>
    <w:p w14:paraId="04EEE881" w14:textId="77777777" w:rsidR="001D7A68" w:rsidRDefault="001D7A68">
      <w:pPr>
        <w:spacing w:line="360" w:lineRule="auto"/>
        <w:jc w:val="both"/>
        <w:rPr>
          <w:rFonts w:ascii="Book Antiqua" w:hAnsi="Book Antiqua"/>
        </w:rPr>
      </w:pPr>
    </w:p>
    <w:p w14:paraId="5C5A4DB7" w14:textId="77777777" w:rsidR="001D7A68" w:rsidRDefault="00A70108">
      <w:pPr>
        <w:spacing w:line="360" w:lineRule="auto"/>
        <w:jc w:val="both"/>
        <w:rPr>
          <w:rFonts w:ascii="Book Antiqua" w:hAnsi="Book Antiqua"/>
        </w:rPr>
      </w:pPr>
      <w:r>
        <w:rPr>
          <w:rFonts w:ascii="Book Antiqua" w:eastAsia="Book Antiqua" w:hAnsi="Book Antiqua" w:cs="Book Antiqua"/>
          <w:b/>
          <w:caps/>
          <w:color w:val="000000"/>
          <w:u w:val="single"/>
        </w:rPr>
        <w:lastRenderedPageBreak/>
        <w:t>DISCUSSION</w:t>
      </w:r>
    </w:p>
    <w:p w14:paraId="0F644FCF" w14:textId="236378EB" w:rsidR="001D7A68" w:rsidRDefault="00A70108">
      <w:pPr>
        <w:spacing w:line="360" w:lineRule="auto"/>
        <w:jc w:val="both"/>
        <w:rPr>
          <w:rFonts w:ascii="Book Antiqua" w:hAnsi="Book Antiqua"/>
        </w:rPr>
      </w:pPr>
      <w:r>
        <w:rPr>
          <w:rFonts w:ascii="Book Antiqua" w:eastAsia="Book Antiqua" w:hAnsi="Book Antiqua" w:cs="Book Antiqua"/>
          <w:color w:val="000000"/>
        </w:rPr>
        <w:t xml:space="preserve">In recent years, immune checkpoint inhibitors have been widely used for patients with malignancies. Several cancer immunotherapies that target the PD-L1–PD-1 pathway </w:t>
      </w:r>
      <w:r w:rsidR="00295952">
        <w:rPr>
          <w:rFonts w:ascii="Book Antiqua" w:eastAsia="Book Antiqua" w:hAnsi="Book Antiqua" w:cs="Book Antiqua"/>
          <w:color w:val="000000"/>
        </w:rPr>
        <w:t>is</w:t>
      </w:r>
      <w:r>
        <w:rPr>
          <w:rFonts w:ascii="Book Antiqua" w:eastAsia="Book Antiqua" w:hAnsi="Book Antiqua" w:cs="Book Antiqua"/>
          <w:color w:val="000000"/>
        </w:rPr>
        <w:t xml:space="preserve"> currently being evaluated in patients with HCC. The PD-1 drugs </w:t>
      </w:r>
      <w:proofErr w:type="spellStart"/>
      <w:r>
        <w:rPr>
          <w:rFonts w:ascii="Book Antiqua" w:eastAsia="Book Antiqua" w:hAnsi="Book Antiqua" w:cs="Book Antiqua"/>
          <w:color w:val="000000"/>
        </w:rPr>
        <w:t>nivolumab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pembrolizumab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camrelizumab</w:t>
      </w:r>
      <w:proofErr w:type="spellEnd"/>
      <w:r>
        <w:rPr>
          <w:rFonts w:ascii="Book Antiqua" w:eastAsia="Book Antiqua" w:hAnsi="Book Antiqua" w:cs="Book Antiqua"/>
          <w:color w:val="000000"/>
        </w:rPr>
        <w:t xml:space="preserve"> are second-line drugs that have been approved by the FDA for the treatment of HCC. Atezolizumab selectively targets PD-L1 to prevent interaction with the receptors PD-1 and B7-1, thus reversing T-cell </w:t>
      </w:r>
      <w:proofErr w:type="gramStart"/>
      <w:r>
        <w:rPr>
          <w:rFonts w:ascii="Book Antiqua" w:eastAsia="Book Antiqua" w:hAnsi="Book Antiqua" w:cs="Book Antiqua"/>
          <w:color w:val="000000"/>
        </w:rPr>
        <w:t>suppression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Bevacizumab is a monoclonal antibody that targets vascular endothelial growth factor, inhibits angiogenesis and tumor growth, and showed response in patients with advanced liver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This patient, who had a recurrent tumor after liver cancer surgery, was advised to try immunotherapy with atezolizumab plu</w:t>
      </w:r>
      <w:r>
        <w:rPr>
          <w:rFonts w:ascii="Book Antiqua" w:eastAsia="Book Antiqua" w:hAnsi="Book Antiqua" w:cs="Book Antiqua"/>
          <w:color w:val="000000"/>
        </w:rPr>
        <w:t xml:space="preserve">s bevacizumab after an allergy to </w:t>
      </w:r>
      <w:proofErr w:type="spellStart"/>
      <w:r>
        <w:rPr>
          <w:rFonts w:ascii="Book Antiqua" w:eastAsia="Book Antiqua" w:hAnsi="Book Antiqua" w:cs="Book Antiqua"/>
          <w:color w:val="000000"/>
        </w:rPr>
        <w:t>camrelizumab</w:t>
      </w:r>
      <w:proofErr w:type="spellEnd"/>
      <w:r>
        <w:rPr>
          <w:rFonts w:ascii="Book Antiqua" w:eastAsia="Book Antiqua" w:hAnsi="Book Antiqua" w:cs="Book Antiqua"/>
          <w:color w:val="000000"/>
        </w:rPr>
        <w:t xml:space="preserve">. Unfortunately, the patient had a severe allergic reaction at the first use of atezolizumab and immunotherapy was stopped after discussion between the medical group and the patient’s family. The patient then received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targeted treatment instead.</w:t>
      </w:r>
    </w:p>
    <w:p w14:paraId="16566203" w14:textId="3A22828C" w:rsidR="001D7A68" w:rsidRDefault="00A70108">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According to the FDA 2016 </w:t>
      </w:r>
      <w:r w:rsidR="00A7350A">
        <w:rPr>
          <w:rFonts w:ascii="Book Antiqua" w:eastAsia="Book Antiqua" w:hAnsi="Book Antiqua" w:cs="Book Antiqua"/>
          <w:color w:val="000000"/>
        </w:rPr>
        <w:t>label</w:t>
      </w:r>
      <w:r>
        <w:rPr>
          <w:rFonts w:ascii="Book Antiqua" w:eastAsia="Book Antiqua" w:hAnsi="Book Antiqua" w:cs="Book Antiqua"/>
          <w:color w:val="000000"/>
        </w:rPr>
        <w:t>, severe IRs of atezol</w:t>
      </w:r>
      <w:r>
        <w:rPr>
          <w:rFonts w:ascii="Book Antiqua" w:eastAsia="Book Antiqua" w:hAnsi="Book Antiqua" w:cs="Book Antiqua"/>
          <w:color w:val="000000"/>
        </w:rPr>
        <w:t>izumab were observed in 1.3%</w:t>
      </w:r>
      <w:r w:rsidR="00295952">
        <w:rPr>
          <w:rFonts w:ascii="Book Antiqua" w:eastAsia="Book Antiqua" w:hAnsi="Book Antiqua" w:cs="Book Antiqua"/>
          <w:color w:val="000000"/>
        </w:rPr>
        <w:t>-</w:t>
      </w:r>
      <w:r>
        <w:rPr>
          <w:rFonts w:ascii="Book Antiqua" w:eastAsia="Book Antiqua" w:hAnsi="Book Antiqua" w:cs="Book Antiqua"/>
          <w:color w:val="000000"/>
        </w:rPr>
        <w:t xml:space="preserve">1.7% of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These reactions include the following symptoms: Back or neck pain, dizziness, chills, feeling like passing out, dyspnea or wheezing, fever, flushing, itching or rash, and swelling of face or lips. Moreover, immune-related adverse reactions (such as pneumonitis, colitis, </w:t>
      </w:r>
      <w:proofErr w:type="spellStart"/>
      <w:r>
        <w:rPr>
          <w:rFonts w:ascii="Book Antiqua" w:eastAsia="Book Antiqua" w:hAnsi="Book Antiqua" w:cs="Book Antiqua"/>
          <w:color w:val="000000"/>
        </w:rPr>
        <w:t>hypophysitis</w:t>
      </w:r>
      <w:proofErr w:type="spellEnd"/>
      <w:r>
        <w:rPr>
          <w:rFonts w:ascii="Book Antiqua" w:eastAsia="Book Antiqua" w:hAnsi="Book Antiqua" w:cs="Book Antiqua"/>
          <w:color w:val="000000"/>
        </w:rPr>
        <w:t xml:space="preserve">, encephalitis, hepatitis, and pancreatitis) have been reported to affect various organs. In the European Medicines Agency 2019 assessment report, HSRs of atezolizumab were reported in in up to 10% of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In addition, pruritis and rash were reported in more than 10% of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According to the recent BC Cancer Agency Drug Manual, HSRs including anaphylaxis can be severe in &lt; 1% of the patients, and immune-mediated rash may appear in 8%</w:t>
      </w:r>
      <w:r w:rsidR="00295952">
        <w:rPr>
          <w:rFonts w:ascii="Book Antiqua" w:eastAsia="Book Antiqua" w:hAnsi="Book Antiqua" w:cs="Book Antiqua"/>
          <w:color w:val="000000"/>
        </w:rPr>
        <w:t>-</w:t>
      </w:r>
      <w:r>
        <w:rPr>
          <w:rFonts w:ascii="Book Antiqua" w:eastAsia="Book Antiqua" w:hAnsi="Book Antiqua" w:cs="Book Antiqua"/>
          <w:color w:val="000000"/>
        </w:rPr>
        <w:t>18% (severe, 1%) of patients</w:t>
      </w:r>
      <w:r>
        <w:rPr>
          <w:rFonts w:ascii="Book Antiqua" w:eastAsia="Book Antiqua" w:hAnsi="Book Antiqua" w:cs="Book Antiqua"/>
          <w:color w:val="000000"/>
          <w:vertAlign w:val="superscript"/>
        </w:rPr>
        <w:t>[10]</w:t>
      </w:r>
      <w:r>
        <w:rPr>
          <w:rFonts w:ascii="Book Antiqua" w:eastAsia="Book Antiqua" w:hAnsi="Book Antiqua" w:cs="Book Antiqua"/>
          <w:color w:val="000000"/>
        </w:rPr>
        <w:t>. Prompt recognition and attention to immunotherapy infusion-related reactions could potentially prevent the fatal complications of anaphylaxis with immune checkpoint inhibitors.</w:t>
      </w:r>
    </w:p>
    <w:p w14:paraId="0AFACE35" w14:textId="58F71105" w:rsidR="001D7A68" w:rsidRDefault="00A70108">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HSRs are classified according to the time of onset as immediate (&lt; 1 h of drug administration) or delayed (1 h to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drug administration).</w:t>
      </w:r>
      <w:r>
        <w:rPr>
          <w:rFonts w:ascii="Book Antiqua" w:eastAsia="Book Antiqua" w:hAnsi="Book Antiqua" w:cs="Book Antiqua"/>
          <w:color w:val="0000FF"/>
        </w:rPr>
        <w:t xml:space="preserve"> </w:t>
      </w:r>
      <w:r>
        <w:rPr>
          <w:rFonts w:ascii="Book Antiqua" w:eastAsia="Book Antiqua" w:hAnsi="Book Antiqua" w:cs="Book Antiqua"/>
          <w:color w:val="000000"/>
        </w:rPr>
        <w:t xml:space="preserve">Immediate-onset HSRs include </w:t>
      </w:r>
      <w:proofErr w:type="spellStart"/>
      <w:r>
        <w:rPr>
          <w:rFonts w:ascii="Book Antiqua" w:eastAsia="Book Antiqua" w:hAnsi="Book Antiqua" w:cs="Book Antiqua"/>
          <w:color w:val="000000"/>
        </w:rPr>
        <w:t>IgE</w:t>
      </w:r>
      <w:proofErr w:type="spellEnd"/>
      <w:r>
        <w:rPr>
          <w:rFonts w:ascii="Book Antiqua" w:eastAsia="Book Antiqua" w:hAnsi="Book Antiqua" w:cs="Book Antiqua"/>
          <w:color w:val="000000"/>
        </w:rPr>
        <w:t xml:space="preserve">-mediated hypersensitivity reactions, acute infusion–related reactions, and cytokine release syndrome. However, these reactions may be clinically indistinguishable from each other, and patients may show mixed-type </w:t>
      </w:r>
      <w:proofErr w:type="gramStart"/>
      <w:r>
        <w:rPr>
          <w:rFonts w:ascii="Book Antiqua" w:eastAsia="Book Antiqua" w:hAnsi="Book Antiqua" w:cs="Book Antiqua"/>
          <w:color w:val="000000"/>
        </w:rPr>
        <w:t>reactions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12,13]</w:t>
      </w:r>
      <w:r>
        <w:rPr>
          <w:rFonts w:ascii="Book Antiqua" w:eastAsia="Book Antiqua" w:hAnsi="Book Antiqua" w:cs="Book Antiqua"/>
          <w:color w:val="000000"/>
        </w:rPr>
        <w:t xml:space="preserve">. An increase of serum tryptase indicates mast cell/basophil degranulation and suggests the possibility of an </w:t>
      </w:r>
      <w:proofErr w:type="spellStart"/>
      <w:r>
        <w:rPr>
          <w:rFonts w:ascii="Book Antiqua" w:eastAsia="Book Antiqua" w:hAnsi="Book Antiqua" w:cs="Book Antiqua"/>
          <w:color w:val="000000"/>
        </w:rPr>
        <w:t>IgE</w:t>
      </w:r>
      <w:proofErr w:type="spellEnd"/>
      <w:r>
        <w:rPr>
          <w:rFonts w:ascii="Book Antiqua" w:eastAsia="Book Antiqua" w:hAnsi="Book Antiqua" w:cs="Book Antiqua"/>
          <w:color w:val="000000"/>
        </w:rPr>
        <w:t xml:space="preserve">-mediated reaction. There are two characteristics of anaphylactic shock: One set of characteristics appears before the shock or at the same time, and manifests as some allergy-related symptoms; the other set of characteristics include the appearance of shock, such as pale face, rapid and weak pulse, wet and cold limbs, unclear consciousness, or complete loss of consciousness. In such cases, shock should be identified, and the patients should be assessed for low blood pressure, which is characterized by systolic blood pressure &lt; 90 mmHg or &gt; 30% lower from baseline in adults. The patient may feel faint, dizzy, light-headed, floating, woozy, giddy, confused, helpless, or fuzzy, and may even </w:t>
      </w:r>
      <w:proofErr w:type="gramStart"/>
      <w:r>
        <w:rPr>
          <w:rFonts w:ascii="Book Antiqua" w:eastAsia="Book Antiqua" w:hAnsi="Book Antiqua" w:cs="Book Antiqua"/>
          <w:color w:val="000000"/>
        </w:rPr>
        <w:t>collapse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Emergency management of anaphylactic reactions to immune checkpoint inhibitors is the same as that for anaphylaxis from other causes. After the assessment of respira</w:t>
      </w:r>
      <w:r>
        <w:rPr>
          <w:rFonts w:ascii="Book Antiqua" w:eastAsia="Book Antiqua" w:hAnsi="Book Antiqua" w:cs="Book Antiqua"/>
          <w:color w:val="000000"/>
        </w:rPr>
        <w:t>tion</w:t>
      </w:r>
      <w:r w:rsidR="00A7350A">
        <w:rPr>
          <w:rFonts w:ascii="Book Antiqua" w:eastAsia="Book Antiqua" w:hAnsi="Book Antiqua" w:cs="Book Antiqua"/>
          <w:color w:val="000000"/>
        </w:rPr>
        <w:t xml:space="preserve"> and </w:t>
      </w:r>
      <w:r>
        <w:rPr>
          <w:rFonts w:ascii="Book Antiqua" w:eastAsia="Book Antiqua" w:hAnsi="Book Antiqua" w:cs="Book Antiqua"/>
          <w:color w:val="000000"/>
        </w:rPr>
        <w:t>circula</w:t>
      </w:r>
      <w:r>
        <w:rPr>
          <w:rFonts w:ascii="Book Antiqua" w:eastAsia="Book Antiqua" w:hAnsi="Book Antiqua" w:cs="Book Antiqua"/>
          <w:color w:val="000000"/>
        </w:rPr>
        <w:t>tion and removal of allergens, the infusion is stopped immediately, and the first-line treatment is intramuscular injection of epinephrine. If the patient shows no response to adrenaline within 5</w:t>
      </w:r>
      <w:r w:rsidR="00295952">
        <w:rPr>
          <w:rFonts w:ascii="Book Antiqua" w:eastAsia="Book Antiqua" w:hAnsi="Book Antiqua" w:cs="Book Antiqua"/>
          <w:color w:val="000000"/>
        </w:rPr>
        <w:t>-</w:t>
      </w:r>
      <w:r>
        <w:rPr>
          <w:rFonts w:ascii="Book Antiqua" w:eastAsia="Book Antiqua" w:hAnsi="Book Antiqua" w:cs="Book Antiqua"/>
          <w:color w:val="000000"/>
        </w:rPr>
        <w:t xml:space="preserve">10 min, epinephrine administration should be repeated. Second-line and third-line treatments include adequate positioning, oxygen, nebulized adrenaline, nebulized beta-2-agonist, intravenous normal saline, corticosteroid, and antihistamine administration depending on the clinical presentations of the </w:t>
      </w:r>
      <w:proofErr w:type="gramStart"/>
      <w:r>
        <w:rPr>
          <w:rFonts w:ascii="Book Antiqua" w:eastAsia="Book Antiqua" w:hAnsi="Book Antiqua" w:cs="Book Antiqua"/>
          <w:color w:val="000000"/>
        </w:rPr>
        <w:t>patient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13,15]</w:t>
      </w:r>
      <w:r>
        <w:rPr>
          <w:rFonts w:ascii="Book Antiqua" w:eastAsia="Book Antiqua" w:hAnsi="Book Antiqua" w:cs="Book Antiqua"/>
          <w:color w:val="000000"/>
        </w:rPr>
        <w:t>. The target oxygen saturation is &gt; 94% to 96%. The latest evidence suggests that liberal use of supplemental oxygen (target SpO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&gt; 96%) in acutely ill adults is associate</w:t>
      </w:r>
      <w:r>
        <w:rPr>
          <w:rFonts w:ascii="Book Antiqua" w:eastAsia="Book Antiqua" w:hAnsi="Book Antiqua" w:cs="Book Antiqua"/>
          <w:color w:val="000000"/>
        </w:rPr>
        <w:t xml:space="preserve">d with </w:t>
      </w:r>
      <w:r w:rsidR="00A7350A">
        <w:rPr>
          <w:rFonts w:ascii="Book Antiqua" w:eastAsia="Book Antiqua" w:hAnsi="Book Antiqua" w:cs="Book Antiqua"/>
          <w:color w:val="000000"/>
        </w:rPr>
        <w:t xml:space="preserve">a </w:t>
      </w:r>
      <w:r>
        <w:rPr>
          <w:rFonts w:ascii="Book Antiqua" w:eastAsia="Book Antiqua" w:hAnsi="Book Antiqua" w:cs="Book Antiqua"/>
          <w:color w:val="000000"/>
        </w:rPr>
        <w:t>higher mo</w:t>
      </w:r>
      <w:r>
        <w:rPr>
          <w:rFonts w:ascii="Book Antiqua" w:eastAsia="Book Antiqua" w:hAnsi="Book Antiqua" w:cs="Book Antiqua"/>
          <w:color w:val="000000"/>
        </w:rPr>
        <w:t xml:space="preserve">rtality than more conservative oxygen therapy. Therefore, a reasonable approach in practice is to maintain a target oxygen saturation of 94% to 96% in acutely ill patients who are not at risk of </w:t>
      </w:r>
      <w:proofErr w:type="gramStart"/>
      <w:r>
        <w:rPr>
          <w:rFonts w:ascii="Book Antiqua" w:eastAsia="Book Antiqua" w:hAnsi="Book Antiqua" w:cs="Book Antiqua"/>
          <w:color w:val="000000"/>
        </w:rPr>
        <w:t>hypercapnia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16,17]</w:t>
      </w:r>
      <w:r>
        <w:rPr>
          <w:rFonts w:ascii="Book Antiqua" w:eastAsia="Book Antiqua" w:hAnsi="Book Antiqua" w:cs="Book Antiqua"/>
          <w:color w:val="000000"/>
        </w:rPr>
        <w:t xml:space="preserve">. The patient in the present case improved, so no adrenaline was administered. If the patient has life-threatening airway, breathing, or circulatory </w:t>
      </w:r>
      <w:r>
        <w:rPr>
          <w:rFonts w:ascii="Book Antiqua" w:eastAsia="Book Antiqua" w:hAnsi="Book Antiqua" w:cs="Book Antiqua"/>
          <w:color w:val="000000"/>
        </w:rPr>
        <w:lastRenderedPageBreak/>
        <w:t xml:space="preserve">problems, adrenaline should be administered. Establishment of the airway should follow basic </w:t>
      </w:r>
      <w:r>
        <w:rPr>
          <w:rFonts w:ascii="Book Antiqua" w:eastAsia="Book Antiqua" w:hAnsi="Book Antiqua" w:cs="Book Antiqua"/>
          <w:color w:val="000000"/>
          <w:shd w:val="clear" w:color="auto" w:fill="FFFFFF"/>
        </w:rPr>
        <w:t>or advanced life support principles.</w:t>
      </w:r>
    </w:p>
    <w:p w14:paraId="52C574CF" w14:textId="66BD1106" w:rsidR="001D7A68" w:rsidRDefault="00A70108" w:rsidP="0035530D">
      <w:pPr>
        <w:pStyle w:val="a6"/>
        <w:tabs>
          <w:tab w:val="left" w:pos="5670"/>
        </w:tabs>
        <w:spacing w:beforeAutospacing="0" w:afterAutospacing="0"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If the patient experiences suspected anaphylaxis to immune checkpoint inhibitors, a skin t</w:t>
      </w:r>
      <w:r>
        <w:rPr>
          <w:rFonts w:ascii="Book Antiqua" w:eastAsia="Book Antiqua" w:hAnsi="Book Antiqua" w:cs="Book Antiqua"/>
          <w:color w:val="000000"/>
          <w:shd w:val="clear" w:color="auto" w:fill="FFFFFF"/>
        </w:rPr>
        <w:t>est with a nonirritating concentration of the culprit agent should be performed 4</w:t>
      </w:r>
      <w:r w:rsidR="00295952">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6 </w:t>
      </w:r>
      <w:proofErr w:type="spellStart"/>
      <w:r>
        <w:rPr>
          <w:rFonts w:ascii="Book Antiqua" w:eastAsia="Book Antiqua" w:hAnsi="Book Antiqua" w:cs="Book Antiqua"/>
          <w:color w:val="000000"/>
          <w:shd w:val="clear" w:color="auto" w:fill="FFFFFF"/>
        </w:rPr>
        <w:t>wk</w:t>
      </w:r>
      <w:proofErr w:type="spellEnd"/>
      <w:r>
        <w:rPr>
          <w:rFonts w:ascii="Book Antiqua" w:eastAsia="Book Antiqua" w:hAnsi="Book Antiqua" w:cs="Book Antiqua"/>
          <w:color w:val="000000"/>
          <w:shd w:val="clear" w:color="auto" w:fill="FFFFFF"/>
        </w:rPr>
        <w:t xml:space="preserve"> after the reaction. A positive skin test strongly suggests an </w:t>
      </w:r>
      <w:proofErr w:type="spellStart"/>
      <w:r>
        <w:rPr>
          <w:rFonts w:ascii="Book Antiqua" w:eastAsia="Book Antiqua" w:hAnsi="Book Antiqua" w:cs="Book Antiqua"/>
          <w:color w:val="000000"/>
          <w:shd w:val="clear" w:color="auto" w:fill="FFFFFF"/>
        </w:rPr>
        <w:t>IgE</w:t>
      </w:r>
      <w:proofErr w:type="spellEnd"/>
      <w:r>
        <w:rPr>
          <w:rFonts w:ascii="Book Antiqua" w:eastAsia="Book Antiqua" w:hAnsi="Book Antiqua" w:cs="Book Antiqua"/>
          <w:color w:val="000000"/>
          <w:shd w:val="clear" w:color="auto" w:fill="FFFFFF"/>
        </w:rPr>
        <w:t>-mediated mechanism.</w:t>
      </w:r>
      <w:bookmarkStart w:id="3" w:name="OLE_LINK3"/>
      <w:r>
        <w:rPr>
          <w:rFonts w:ascii="Book Antiqua" w:eastAsia="Book Antiqua" w:hAnsi="Book Antiqua" w:cs="Book Antiqua"/>
          <w:color w:val="000000"/>
          <w:shd w:val="clear" w:color="auto" w:fill="FFFFFF"/>
        </w:rPr>
        <w:t xml:space="preserve"> Timing is critical because mast cells are temporarily unresponsive to the allergen in skin tests for 4 wk. Although skin tests are the most specific and sensitive, there are no standardized protocols available for the definition of biological agents except omalizumab, adalimumab, infliximab</w:t>
      </w:r>
      <w:r w:rsidR="00A7350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w:t>
      </w:r>
      <w:proofErr w:type="gramStart"/>
      <w:r>
        <w:rPr>
          <w:rFonts w:ascii="Book Antiqua" w:eastAsia="Book Antiqua" w:hAnsi="Book Antiqua" w:cs="Book Antiqua"/>
          <w:color w:val="000000"/>
          <w:shd w:val="clear" w:color="auto" w:fill="FFFFFF"/>
        </w:rPr>
        <w:t>etanercept</w:t>
      </w:r>
      <w:bookmarkEnd w:id="3"/>
      <w:r>
        <w:rPr>
          <w:rFonts w:ascii="Book Antiqua" w:eastAsia="Book Antiqua" w:hAnsi="Book Antiqua" w:cs="Book Antiqua"/>
          <w:color w:val="000000" w:themeColor="text1"/>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18]</w:t>
      </w:r>
      <w:r>
        <w:rPr>
          <w:rFonts w:ascii="Book Antiqua" w:eastAsia="Book Antiqua" w:hAnsi="Book Antiqua" w:cs="Book Antiqua"/>
          <w:color w:val="000000"/>
          <w:shd w:val="clear" w:color="auto" w:fill="FFFFFF"/>
        </w:rPr>
        <w:t>. Gonzalez</w:t>
      </w:r>
      <w:r w:rsidR="00A7350A">
        <w:rPr>
          <w:rFonts w:ascii="Book Antiqua" w:eastAsia="Book Antiqua" w:hAnsi="Book Antiqua" w:cs="Book Antiqua"/>
          <w:color w:val="000000"/>
          <w:shd w:val="clear" w:color="auto" w:fill="FFFFFF"/>
        </w:rPr>
        <w:t xml:space="preserve">-Diaz </w:t>
      </w:r>
      <w:r w:rsidR="00A7350A" w:rsidRPr="0035530D">
        <w:rPr>
          <w:rFonts w:ascii="Book Antiqua" w:eastAsia="Book Antiqua" w:hAnsi="Book Antiqua" w:cs="Book Antiqua"/>
          <w:i/>
          <w:color w:val="000000"/>
          <w:shd w:val="clear" w:color="auto" w:fill="FFFFFF"/>
        </w:rPr>
        <w:t>et al</w:t>
      </w:r>
      <w:r>
        <w:rPr>
          <w:rFonts w:ascii="Book Antiqua" w:eastAsia="Book Antiqua" w:hAnsi="Book Antiqua" w:cs="Book Antiqua"/>
          <w:color w:val="000000"/>
          <w:shd w:val="clear" w:color="auto" w:fill="FFFFFF"/>
        </w:rPr>
        <w:t xml:space="preserve"> reported that they used concentrations of 60 mg/mL for atezolizumab and 25 mg/mL for bevacizumab in the skin prick test, and concentrations of 0.6 mg/mL and 0.25 mg/mL, respectively, in the intradermal skin </w:t>
      </w:r>
      <w:proofErr w:type="gramStart"/>
      <w:r>
        <w:rPr>
          <w:rFonts w:ascii="Book Antiqua" w:eastAsia="Book Antiqua" w:hAnsi="Book Antiqua" w:cs="Book Antiqua"/>
          <w:color w:val="000000"/>
          <w:shd w:val="clear" w:color="auto" w:fill="FFFFFF"/>
        </w:rPr>
        <w:t>tests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19]</w:t>
      </w:r>
      <w:r>
        <w:rPr>
          <w:rFonts w:ascii="Book Antiqua" w:eastAsia="Book Antiqua" w:hAnsi="Book Antiqua" w:cs="Book Antiqua"/>
          <w:color w:val="000000"/>
          <w:shd w:val="clear" w:color="auto" w:fill="FFFFFF"/>
        </w:rPr>
        <w:t>. Our patient did not undergo a skin test because of the severe allergic reaction.</w:t>
      </w:r>
    </w:p>
    <w:p w14:paraId="7C1F13D2" w14:textId="6A4B1587" w:rsidR="001D7A68" w:rsidRDefault="00A70108" w:rsidP="0035530D">
      <w:pPr>
        <w:pStyle w:val="a6"/>
        <w:tabs>
          <w:tab w:val="left" w:pos="5670"/>
        </w:tabs>
        <w:spacing w:beforeAutospacing="0" w:afterAutospacing="0" w:line="360" w:lineRule="auto"/>
        <w:ind w:firstLineChars="200" w:firstLine="480"/>
        <w:jc w:val="both"/>
        <w:rPr>
          <w:rFonts w:ascii="Book Antiqua" w:hAnsi="Book Antiqua"/>
        </w:rPr>
      </w:pPr>
      <w:bookmarkStart w:id="4" w:name="OLE_LINK2"/>
      <w:r>
        <w:rPr>
          <w:rFonts w:ascii="Book Antiqua" w:eastAsia="Book Antiqua" w:hAnsi="Book Antiqua" w:cs="Book Antiqua"/>
          <w:color w:val="000000"/>
          <w:lang w:eastAsia="en-US"/>
        </w:rPr>
        <w:t>If atezolizumab is the first-line</w:t>
      </w:r>
      <w:bookmarkEnd w:id="4"/>
      <w:r>
        <w:rPr>
          <w:rFonts w:ascii="Book Antiqua" w:eastAsia="Book Antiqua" w:hAnsi="Book Antiqua" w:cs="Book Antiqua"/>
          <w:color w:val="000000"/>
          <w:shd w:val="clear" w:color="auto" w:fill="FFFFFF"/>
        </w:rPr>
        <w:t xml:space="preserve"> treatment option or more effective than other drugs and the allergic reaction is not serious, desensitization can be performed under the supervision of an experienced allergist. </w:t>
      </w:r>
      <w:bookmarkStart w:id="5" w:name="OLE_LINK1"/>
      <w:r>
        <w:rPr>
          <w:rFonts w:ascii="Book Antiqua" w:eastAsia="Book Antiqua" w:hAnsi="Book Antiqua" w:cs="Book Antiqua"/>
          <w:color w:val="000000"/>
          <w:shd w:val="clear" w:color="auto" w:fill="FFFFFF"/>
        </w:rPr>
        <w:t xml:space="preserve">A commonly used desensitization regimen for </w:t>
      </w:r>
      <w:r w:rsidR="00824D1C">
        <w:rPr>
          <w:rFonts w:ascii="Book Antiqua" w:eastAsia="Book Antiqua" w:hAnsi="Book Antiqua" w:cs="Book Antiqua"/>
          <w:color w:val="000000"/>
          <w:shd w:val="clear" w:color="auto" w:fill="FFFFFF"/>
        </w:rPr>
        <w:t>monoclonal antibodies (</w:t>
      </w:r>
      <w:proofErr w:type="spellStart"/>
      <w:r w:rsidR="00824D1C">
        <w:rPr>
          <w:rFonts w:ascii="Book Antiqua" w:eastAsia="Book Antiqua" w:hAnsi="Book Antiqua" w:cs="Book Antiqua"/>
          <w:color w:val="000000"/>
          <w:shd w:val="clear" w:color="auto" w:fill="FFFFFF"/>
        </w:rPr>
        <w:t>mAbs</w:t>
      </w:r>
      <w:proofErr w:type="spellEnd"/>
      <w:r w:rsidR="00824D1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is a 12-step/3 bag protocol previously for beta-lactam </w:t>
      </w:r>
      <w:proofErr w:type="gramStart"/>
      <w:r>
        <w:rPr>
          <w:rFonts w:ascii="Book Antiqua" w:eastAsia="Book Antiqua" w:hAnsi="Book Antiqua" w:cs="Book Antiqua"/>
          <w:color w:val="000000"/>
          <w:shd w:val="clear" w:color="auto" w:fill="FFFFFF"/>
        </w:rPr>
        <w:t>antibiotic</w:t>
      </w:r>
      <w:bookmarkEnd w:id="5"/>
      <w:r>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20]</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Gonzalez-Diaz</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19]</w:t>
      </w:r>
      <w:r>
        <w:rPr>
          <w:rFonts w:ascii="Book Antiqua" w:eastAsia="Book Antiqua" w:hAnsi="Book Antiqua" w:cs="Book Antiqua"/>
          <w:color w:val="000000"/>
          <w:shd w:val="clear" w:color="auto" w:fill="FFFFFF"/>
        </w:rPr>
        <w:t xml:space="preserve"> reported that their 4-bag/16-step desensitization protocol for atezolizumab and bevacizumab was useful after severe anaphylaxis in the treatment of lung adenocarcinoma. The patient was premedicated with intravenous chlorpheniramine and methylprednisolone 1 h prior to the infusion of the </w:t>
      </w:r>
      <w:proofErr w:type="spellStart"/>
      <w:r>
        <w:rPr>
          <w:rFonts w:ascii="Book Antiqua" w:eastAsia="Book Antiqua" w:hAnsi="Book Antiqua" w:cs="Book Antiqua"/>
          <w:color w:val="000000"/>
          <w:shd w:val="clear" w:color="auto" w:fill="FFFFFF"/>
        </w:rPr>
        <w:t>mAbs</w:t>
      </w:r>
      <w:proofErr w:type="spellEnd"/>
      <w:r>
        <w:rPr>
          <w:rFonts w:ascii="Book Antiqua" w:eastAsia="Book Antiqua" w:hAnsi="Book Antiqua" w:cs="Book Antiqua"/>
          <w:color w:val="000000"/>
          <w:shd w:val="clear" w:color="auto" w:fill="FFFFFF"/>
        </w:rPr>
        <w:t>. A total of 1200 mg of atezolizumab and 600 mg of bevacizumab were given on separate days with the 4-bag/16-step protocol (initial concentration, 1:1000 of the total dose), with an increasing rate and concentration every 15 min without manifestation of hypersensitivity reactions</w:t>
      </w:r>
      <w:r>
        <w:rPr>
          <w:rFonts w:ascii="Book Antiqua" w:eastAsia="Book Antiqua" w:hAnsi="Book Antiqua" w:cs="Book Antiqua"/>
          <w:color w:val="000000"/>
          <w:shd w:val="clear" w:color="auto" w:fill="FFFFFF"/>
          <w:vertAlign w:val="superscript"/>
        </w:rPr>
        <w:t>[19]</w:t>
      </w:r>
      <w:r>
        <w:rPr>
          <w:rFonts w:ascii="Book Antiqua" w:eastAsia="Book Antiqua" w:hAnsi="Book Antiqua" w:cs="Book Antiqua"/>
          <w:color w:val="000000"/>
          <w:shd w:val="clear" w:color="auto" w:fill="FFFFFF"/>
        </w:rPr>
        <w:t>.</w:t>
      </w:r>
    </w:p>
    <w:p w14:paraId="4F484B56" w14:textId="77777777" w:rsidR="001D7A68" w:rsidRDefault="001D7A68">
      <w:pPr>
        <w:spacing w:line="360" w:lineRule="auto"/>
        <w:ind w:firstLine="720"/>
        <w:jc w:val="both"/>
        <w:rPr>
          <w:rFonts w:ascii="Book Antiqua" w:hAnsi="Book Antiqua"/>
        </w:rPr>
      </w:pPr>
    </w:p>
    <w:p w14:paraId="237EF963" w14:textId="77777777" w:rsidR="001D7A68" w:rsidRDefault="00A70108">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593207F5" w14:textId="5D85BC8D" w:rsidR="001D7A68" w:rsidRDefault="00A70108">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A case of anaphylactic shock associated with </w:t>
      </w:r>
      <w:proofErr w:type="spellStart"/>
      <w:r>
        <w:rPr>
          <w:rFonts w:ascii="Book Antiqua" w:eastAsia="Book Antiqua" w:hAnsi="Book Antiqua" w:cs="Book Antiqua"/>
          <w:color w:val="000000"/>
          <w:shd w:val="clear" w:color="auto" w:fill="FFFFFF"/>
        </w:rPr>
        <w:t>atezoliz</w:t>
      </w:r>
      <w:r>
        <w:rPr>
          <w:rFonts w:ascii="Book Antiqua" w:eastAsia="Book Antiqua" w:hAnsi="Book Antiqua" w:cs="Book Antiqua"/>
          <w:color w:val="000000"/>
          <w:shd w:val="clear" w:color="auto" w:fill="FFFFFF"/>
        </w:rPr>
        <w:t>umab</w:t>
      </w:r>
      <w:proofErr w:type="spellEnd"/>
      <w:r>
        <w:rPr>
          <w:rFonts w:ascii="Book Antiqua" w:eastAsia="Book Antiqua" w:hAnsi="Book Antiqua" w:cs="Book Antiqua"/>
          <w:color w:val="000000"/>
          <w:shd w:val="clear" w:color="auto" w:fill="FFFFFF"/>
        </w:rPr>
        <w:t xml:space="preserve"> </w:t>
      </w:r>
      <w:r w:rsidR="00824D1C">
        <w:rPr>
          <w:rFonts w:ascii="Book Antiqua" w:eastAsia="Book Antiqua" w:hAnsi="Book Antiqua" w:cs="Book Antiqua"/>
          <w:color w:val="000000"/>
          <w:shd w:val="clear" w:color="auto" w:fill="FFFFFF"/>
        </w:rPr>
        <w:t xml:space="preserve">has been </w:t>
      </w:r>
      <w:r>
        <w:rPr>
          <w:rFonts w:ascii="Book Antiqua" w:eastAsia="Book Antiqua" w:hAnsi="Book Antiqua" w:cs="Book Antiqua"/>
          <w:color w:val="000000"/>
          <w:shd w:val="clear" w:color="auto" w:fill="FFFFFF"/>
        </w:rPr>
        <w:t>pr</w:t>
      </w:r>
      <w:r>
        <w:rPr>
          <w:rFonts w:ascii="Book Antiqua" w:eastAsia="Book Antiqua" w:hAnsi="Book Antiqua" w:cs="Book Antiqua"/>
          <w:color w:val="000000"/>
          <w:shd w:val="clear" w:color="auto" w:fill="FFFFFF"/>
        </w:rPr>
        <w:t>esented. With the evolution of cancer therapies, the likeli</w:t>
      </w:r>
      <w:r>
        <w:rPr>
          <w:rFonts w:ascii="Book Antiqua" w:eastAsia="Book Antiqua" w:hAnsi="Book Antiqua" w:cs="Book Antiqua"/>
          <w:color w:val="000000"/>
        </w:rPr>
        <w:t xml:space="preserve">hood of serious adverse events may increase. </w:t>
      </w:r>
      <w:r>
        <w:rPr>
          <w:rFonts w:ascii="Book Antiqua" w:eastAsia="Book Antiqua" w:hAnsi="Book Antiqua" w:cs="Book Antiqua"/>
          <w:color w:val="000000"/>
        </w:rPr>
        <w:lastRenderedPageBreak/>
        <w:t xml:space="preserve">Patients may be allergic to drugs targeting both PD-1 and PD-L1. Adequate attention should be paid to the related complications in the use of immune checkpoint inhibitors. Nevertheless, further </w:t>
      </w:r>
      <w:r>
        <w:rPr>
          <w:rFonts w:ascii="Book Antiqua" w:eastAsia="宋体" w:hAnsi="Book Antiqua" w:cs="Book Antiqua"/>
          <w:color w:val="000000"/>
          <w:lang w:eastAsia="zh-CN"/>
        </w:rPr>
        <w:t>studies are</w:t>
      </w:r>
      <w:r>
        <w:rPr>
          <w:rFonts w:ascii="Book Antiqua" w:eastAsia="Book Antiqua" w:hAnsi="Book Antiqua" w:cs="Book Antiqua"/>
          <w:color w:val="000000"/>
        </w:rPr>
        <w:t xml:space="preserve"> needed to understand the underlying mechanisms of hypersensitivity reactions and establish </w:t>
      </w:r>
      <w:r>
        <w:rPr>
          <w:rFonts w:ascii="Book Antiqua" w:eastAsia="Book Antiqua" w:hAnsi="Book Antiqua" w:cs="Book Antiqua"/>
          <w:color w:val="000000"/>
          <w:shd w:val="clear" w:color="auto" w:fill="FFFFFF"/>
        </w:rPr>
        <w:t xml:space="preserve">standardized skin test and desensitization protocols </w:t>
      </w:r>
      <w:r>
        <w:rPr>
          <w:rFonts w:ascii="Book Antiqua" w:eastAsia="Book Antiqua" w:hAnsi="Book Antiqua" w:cs="Book Antiqua"/>
          <w:color w:val="000000"/>
        </w:rPr>
        <w:t>to increase the safety and efficacy of immune checkpoint inhibitors.</w:t>
      </w:r>
    </w:p>
    <w:p w14:paraId="6F68164C" w14:textId="77777777" w:rsidR="001D7A68" w:rsidRDefault="001D7A68">
      <w:pPr>
        <w:spacing w:line="360" w:lineRule="auto"/>
        <w:jc w:val="both"/>
        <w:rPr>
          <w:rFonts w:ascii="Book Antiqua" w:hAnsi="Book Antiqua"/>
        </w:rPr>
      </w:pPr>
    </w:p>
    <w:p w14:paraId="072C48B7" w14:textId="77777777" w:rsidR="001D7A68" w:rsidRDefault="00A70108">
      <w:pPr>
        <w:spacing w:line="360" w:lineRule="auto"/>
        <w:jc w:val="both"/>
        <w:rPr>
          <w:rFonts w:ascii="Book Antiqua" w:hAnsi="Book Antiqua"/>
        </w:rPr>
      </w:pPr>
      <w:r>
        <w:rPr>
          <w:rFonts w:ascii="Book Antiqua" w:eastAsia="Book Antiqua" w:hAnsi="Book Antiqua" w:cs="Book Antiqua"/>
          <w:b/>
          <w:color w:val="000000"/>
        </w:rPr>
        <w:t>REFERENCES</w:t>
      </w:r>
    </w:p>
    <w:p w14:paraId="48EE458F" w14:textId="77777777" w:rsidR="001D7A68" w:rsidRDefault="00A70108">
      <w:pPr>
        <w:spacing w:line="360" w:lineRule="auto"/>
        <w:jc w:val="both"/>
        <w:rPr>
          <w:rFonts w:ascii="Book Antiqua" w:hAnsi="Book Antiqua"/>
        </w:rPr>
      </w:pPr>
      <w:bookmarkStart w:id="6" w:name="OLE_LINK2702"/>
      <w:bookmarkStart w:id="7" w:name="OLE_LINK2703"/>
      <w:r>
        <w:rPr>
          <w:rFonts w:ascii="Book Antiqua" w:eastAsia="Book Antiqua" w:hAnsi="Book Antiqua" w:cs="Book Antiqua"/>
          <w:color w:val="000000"/>
        </w:rPr>
        <w:t xml:space="preserve">1 </w:t>
      </w:r>
      <w:r>
        <w:rPr>
          <w:rFonts w:ascii="Book Antiqua" w:eastAsia="Book Antiqua" w:hAnsi="Book Antiqua" w:cs="Book Antiqua"/>
          <w:b/>
          <w:bCs/>
          <w:color w:val="000000"/>
        </w:rPr>
        <w:t>Bray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10.3322/caac.21492]</w:t>
      </w:r>
    </w:p>
    <w:p w14:paraId="77EF57D0" w14:textId="77777777" w:rsidR="001D7A68" w:rsidRDefault="00A70108">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Lau WY</w:t>
      </w:r>
      <w:r>
        <w:rPr>
          <w:rFonts w:ascii="Book Antiqua" w:eastAsia="Book Antiqua" w:hAnsi="Book Antiqua" w:cs="Book Antiqua"/>
          <w:color w:val="000000"/>
        </w:rPr>
        <w:t xml:space="preserve">, Leung TW, Lai BS, Liew CT, Ho SK, Yu SC, Tang AM. Preoperative systemic chemoimmunotherapy and sequential resection for unresectable hepatocellular carcinoma.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2001; </w:t>
      </w:r>
      <w:r>
        <w:rPr>
          <w:rFonts w:ascii="Book Antiqua" w:eastAsia="Book Antiqua" w:hAnsi="Book Antiqua" w:cs="Book Antiqua"/>
          <w:b/>
          <w:bCs/>
          <w:color w:val="000000"/>
        </w:rPr>
        <w:t>233</w:t>
      </w:r>
      <w:r>
        <w:rPr>
          <w:rFonts w:ascii="Book Antiqua" w:eastAsia="Book Antiqua" w:hAnsi="Book Antiqua" w:cs="Book Antiqua"/>
          <w:color w:val="000000"/>
        </w:rPr>
        <w:t>: 236-241 [PMID: 11176130 DOI: 10.1097/00000658-200102000-00013]</w:t>
      </w:r>
    </w:p>
    <w:p w14:paraId="3408B0BD" w14:textId="77777777" w:rsidR="001D7A68" w:rsidRDefault="00A70108">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Finn RS</w:t>
      </w:r>
      <w:r>
        <w:rPr>
          <w:rFonts w:ascii="Book Antiqua" w:eastAsia="Book Antiqua" w:hAnsi="Book Antiqua" w:cs="Book Antiqua"/>
          <w:color w:val="000000"/>
        </w:rPr>
        <w:t xml:space="preserve">, Qin S, Ikeda M, Galle PR, </w:t>
      </w:r>
      <w:proofErr w:type="spellStart"/>
      <w:r>
        <w:rPr>
          <w:rFonts w:ascii="Book Antiqua" w:eastAsia="Book Antiqua" w:hAnsi="Book Antiqua" w:cs="Book Antiqua"/>
          <w:color w:val="000000"/>
        </w:rPr>
        <w:t>Ducreux</w:t>
      </w:r>
      <w:proofErr w:type="spellEnd"/>
      <w:r>
        <w:rPr>
          <w:rFonts w:ascii="Book Antiqua" w:eastAsia="Book Antiqua" w:hAnsi="Book Antiqua" w:cs="Book Antiqua"/>
          <w:color w:val="000000"/>
        </w:rPr>
        <w:t xml:space="preserve"> M, Kim TY, Kudo M, </w:t>
      </w:r>
      <w:proofErr w:type="spellStart"/>
      <w:r>
        <w:rPr>
          <w:rFonts w:ascii="Book Antiqua" w:eastAsia="Book Antiqua" w:hAnsi="Book Antiqua" w:cs="Book Antiqua"/>
          <w:color w:val="000000"/>
        </w:rPr>
        <w:t>Breder</w:t>
      </w:r>
      <w:proofErr w:type="spellEnd"/>
      <w:r>
        <w:rPr>
          <w:rFonts w:ascii="Book Antiqua" w:eastAsia="Book Antiqua" w:hAnsi="Book Antiqua" w:cs="Book Antiqua"/>
          <w:color w:val="000000"/>
        </w:rPr>
        <w:t xml:space="preserve"> V, Merle P, </w:t>
      </w:r>
      <w:proofErr w:type="spellStart"/>
      <w:r>
        <w:rPr>
          <w:rFonts w:ascii="Book Antiqua" w:eastAsia="Book Antiqua" w:hAnsi="Book Antiqua" w:cs="Book Antiqua"/>
          <w:color w:val="000000"/>
        </w:rPr>
        <w:t>Kaseb</w:t>
      </w:r>
      <w:proofErr w:type="spellEnd"/>
      <w:r>
        <w:rPr>
          <w:rFonts w:ascii="Book Antiqua" w:eastAsia="Book Antiqua" w:hAnsi="Book Antiqua" w:cs="Book Antiqua"/>
          <w:color w:val="000000"/>
        </w:rPr>
        <w:t xml:space="preserve"> AO, Li D, Verret W, Xu DZ, Hernandez S, Liu J, Huang C, Mulla S, Wang Y, Lim HY, Zhu AX, Cheng AL; IMbrave150 Investigators. Atezolizumab plus Bevacizumab in Unresectable Hepatocellular Carcinoma.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1894-1905 [PMID: 32402160 DOI: 10.1056/NEJMoa1915745]</w:t>
      </w:r>
    </w:p>
    <w:p w14:paraId="4C7104F9" w14:textId="77777777" w:rsidR="001D7A68" w:rsidRDefault="00A70108">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Castells M</w:t>
      </w:r>
      <w:r>
        <w:rPr>
          <w:rFonts w:ascii="Book Antiqua" w:eastAsia="Book Antiqua" w:hAnsi="Book Antiqua" w:cs="Book Antiqua"/>
          <w:color w:val="000000"/>
        </w:rPr>
        <w:t xml:space="preserve">. Drug Hypersensitivity and Anaphylaxis in Cancer and Chronic Inflammatory Diseases: The Role of </w:t>
      </w:r>
      <w:proofErr w:type="spellStart"/>
      <w:r>
        <w:rPr>
          <w:rFonts w:ascii="Book Antiqua" w:eastAsia="Book Antiqua" w:hAnsi="Book Antiqua" w:cs="Book Antiqua"/>
          <w:color w:val="000000"/>
        </w:rPr>
        <w:t>Desensitizations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1472 [PMID: 29163536 DOI: 10.3389/fimmu.2017.01472]</w:t>
      </w:r>
    </w:p>
    <w:p w14:paraId="26D894C8" w14:textId="77777777" w:rsidR="001D7A68" w:rsidRDefault="00A70108">
      <w:pPr>
        <w:spacing w:line="360" w:lineRule="auto"/>
        <w:jc w:val="both"/>
        <w:rPr>
          <w:rFonts w:ascii="Book Antiqua" w:hAnsi="Book Antiqua"/>
        </w:rPr>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Postow</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Sidlow</w:t>
      </w:r>
      <w:proofErr w:type="spellEnd"/>
      <w:r>
        <w:rPr>
          <w:rFonts w:ascii="Book Antiqua" w:eastAsia="Book Antiqua" w:hAnsi="Book Antiqua" w:cs="Book Antiqua"/>
          <w:color w:val="000000"/>
        </w:rPr>
        <w:t xml:space="preserve"> R, Hellmann MD. Immune-Related Adverse Events Associated with Immune Checkpoint Blockade.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378</w:t>
      </w:r>
      <w:r>
        <w:rPr>
          <w:rFonts w:ascii="Book Antiqua" w:eastAsia="Book Antiqua" w:hAnsi="Book Antiqua" w:cs="Book Antiqua"/>
          <w:color w:val="000000"/>
        </w:rPr>
        <w:t>: 158-168 [PMID: 29320654 DOI: 10.1056/NEJMra1703481]</w:t>
      </w:r>
    </w:p>
    <w:p w14:paraId="5DD08BB4" w14:textId="77777777" w:rsidR="001D7A68" w:rsidRDefault="00A70108">
      <w:pPr>
        <w:spacing w:line="360" w:lineRule="auto"/>
        <w:jc w:val="both"/>
        <w:rPr>
          <w:rFonts w:ascii="Book Antiqua" w:hAnsi="Book Antiqua"/>
        </w:rPr>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Gülsen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Wedi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Jappe</w:t>
      </w:r>
      <w:proofErr w:type="spellEnd"/>
      <w:r>
        <w:rPr>
          <w:rFonts w:ascii="Book Antiqua" w:eastAsia="Book Antiqua" w:hAnsi="Book Antiqua" w:cs="Book Antiqua"/>
          <w:color w:val="000000"/>
        </w:rPr>
        <w:t xml:space="preserve"> U. Hypersensitivity reactions to biologics (part I): allergy as an important differential diagnosis in complex immune-derived adverse events. </w:t>
      </w:r>
      <w:proofErr w:type="spellStart"/>
      <w:r>
        <w:rPr>
          <w:rFonts w:ascii="Book Antiqua" w:eastAsia="Book Antiqua" w:hAnsi="Book Antiqua" w:cs="Book Antiqua"/>
          <w:i/>
          <w:iCs/>
          <w:color w:val="000000"/>
        </w:rPr>
        <w:t>Allergo</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2020: 1-29 [PMID: 32421085 DOI: 10.1007/s40629-020-00126-6]</w:t>
      </w:r>
    </w:p>
    <w:p w14:paraId="248C6A6F" w14:textId="77777777" w:rsidR="001D7A68" w:rsidRDefault="00A70108">
      <w:pPr>
        <w:spacing w:line="360" w:lineRule="auto"/>
        <w:jc w:val="both"/>
        <w:rPr>
          <w:rFonts w:ascii="Book Antiqua" w:hAnsi="Book Antiqua"/>
        </w:rPr>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Herbst RS</w:t>
      </w:r>
      <w:r>
        <w:rPr>
          <w:rFonts w:ascii="Book Antiqua" w:eastAsia="Book Antiqua" w:hAnsi="Book Antiqua" w:cs="Book Antiqua"/>
          <w:color w:val="000000"/>
        </w:rPr>
        <w:t xml:space="preserve">, Soria JC, </w:t>
      </w:r>
      <w:proofErr w:type="spellStart"/>
      <w:r>
        <w:rPr>
          <w:rFonts w:ascii="Book Antiqua" w:eastAsia="Book Antiqua" w:hAnsi="Book Antiqua" w:cs="Book Antiqua"/>
          <w:color w:val="000000"/>
        </w:rPr>
        <w:t>Kowanetz</w:t>
      </w:r>
      <w:proofErr w:type="spellEnd"/>
      <w:r>
        <w:rPr>
          <w:rFonts w:ascii="Book Antiqua" w:eastAsia="Book Antiqua" w:hAnsi="Book Antiqua" w:cs="Book Antiqua"/>
          <w:color w:val="000000"/>
        </w:rPr>
        <w:t xml:space="preserve"> M, Fine GD, Hamid O, Gordon MS, </w:t>
      </w:r>
      <w:proofErr w:type="spellStart"/>
      <w:r>
        <w:rPr>
          <w:rFonts w:ascii="Book Antiqua" w:eastAsia="Book Antiqua" w:hAnsi="Book Antiqua" w:cs="Book Antiqua"/>
          <w:color w:val="000000"/>
        </w:rPr>
        <w:t>Sosman</w:t>
      </w:r>
      <w:proofErr w:type="spellEnd"/>
      <w:r>
        <w:rPr>
          <w:rFonts w:ascii="Book Antiqua" w:eastAsia="Book Antiqua" w:hAnsi="Book Antiqua" w:cs="Book Antiqua"/>
          <w:color w:val="000000"/>
        </w:rPr>
        <w:t xml:space="preserve"> JA, McDermott DF, Powderly JD, </w:t>
      </w:r>
      <w:proofErr w:type="spellStart"/>
      <w:r>
        <w:rPr>
          <w:rFonts w:ascii="Book Antiqua" w:eastAsia="Book Antiqua" w:hAnsi="Book Antiqua" w:cs="Book Antiqua"/>
          <w:color w:val="000000"/>
        </w:rPr>
        <w:t>Gettinger</w:t>
      </w:r>
      <w:proofErr w:type="spellEnd"/>
      <w:r>
        <w:rPr>
          <w:rFonts w:ascii="Book Antiqua" w:eastAsia="Book Antiqua" w:hAnsi="Book Antiqua" w:cs="Book Antiqua"/>
          <w:color w:val="000000"/>
        </w:rPr>
        <w:t xml:space="preserve"> SN, </w:t>
      </w:r>
      <w:proofErr w:type="spellStart"/>
      <w:r>
        <w:rPr>
          <w:rFonts w:ascii="Book Antiqua" w:eastAsia="Book Antiqua" w:hAnsi="Book Antiqua" w:cs="Book Antiqua"/>
          <w:color w:val="000000"/>
        </w:rPr>
        <w:t>Kohrt</w:t>
      </w:r>
      <w:proofErr w:type="spellEnd"/>
      <w:r>
        <w:rPr>
          <w:rFonts w:ascii="Book Antiqua" w:eastAsia="Book Antiqua" w:hAnsi="Book Antiqua" w:cs="Book Antiqua"/>
          <w:color w:val="000000"/>
        </w:rPr>
        <w:t xml:space="preserve"> HE, Horn L, Lawrence DP, </w:t>
      </w:r>
      <w:proofErr w:type="spellStart"/>
      <w:r>
        <w:rPr>
          <w:rFonts w:ascii="Book Antiqua" w:eastAsia="Book Antiqua" w:hAnsi="Book Antiqua" w:cs="Book Antiqua"/>
          <w:color w:val="000000"/>
        </w:rPr>
        <w:t>Rost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Leabman</w:t>
      </w:r>
      <w:proofErr w:type="spellEnd"/>
      <w:r>
        <w:rPr>
          <w:rFonts w:ascii="Book Antiqua" w:eastAsia="Book Antiqua" w:hAnsi="Book Antiqua" w:cs="Book Antiqua"/>
          <w:color w:val="000000"/>
        </w:rPr>
        <w:t xml:space="preserve"> M, Xiao Y, </w:t>
      </w:r>
      <w:proofErr w:type="spellStart"/>
      <w:r>
        <w:rPr>
          <w:rFonts w:ascii="Book Antiqua" w:eastAsia="Book Antiqua" w:hAnsi="Book Antiqua" w:cs="Book Antiqua"/>
          <w:color w:val="000000"/>
        </w:rPr>
        <w:t>Mokatrin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Koeppen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Hegde</w:t>
      </w:r>
      <w:proofErr w:type="spellEnd"/>
      <w:r>
        <w:rPr>
          <w:rFonts w:ascii="Book Antiqua" w:eastAsia="Book Antiqua" w:hAnsi="Book Antiqua" w:cs="Book Antiqua"/>
          <w:color w:val="000000"/>
        </w:rPr>
        <w:t xml:space="preserve"> PS, </w:t>
      </w:r>
      <w:proofErr w:type="spellStart"/>
      <w:r>
        <w:rPr>
          <w:rFonts w:ascii="Book Antiqua" w:eastAsia="Book Antiqua" w:hAnsi="Book Antiqua" w:cs="Book Antiqua"/>
          <w:color w:val="000000"/>
        </w:rPr>
        <w:t>Mellman</w:t>
      </w:r>
      <w:proofErr w:type="spellEnd"/>
      <w:r>
        <w:rPr>
          <w:rFonts w:ascii="Book Antiqua" w:eastAsia="Book Antiqua" w:hAnsi="Book Antiqua" w:cs="Book Antiqua"/>
          <w:color w:val="000000"/>
        </w:rPr>
        <w:t xml:space="preserve"> I, Chen DS, Hodi FS. Predictive correlates of response to the anti-PD-L1 antibody MPDL3280A in cancer patients.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2014; </w:t>
      </w:r>
      <w:r>
        <w:rPr>
          <w:rFonts w:ascii="Book Antiqua" w:eastAsia="Book Antiqua" w:hAnsi="Book Antiqua" w:cs="Book Antiqua"/>
          <w:b/>
          <w:bCs/>
          <w:color w:val="000000"/>
        </w:rPr>
        <w:t>515</w:t>
      </w:r>
      <w:r>
        <w:rPr>
          <w:rFonts w:ascii="Book Antiqua" w:eastAsia="Book Antiqua" w:hAnsi="Book Antiqua" w:cs="Book Antiqua"/>
          <w:color w:val="000000"/>
        </w:rPr>
        <w:t>: 563-567 [PMID: 25428504 DOI: 10.1038/nature14011]</w:t>
      </w:r>
    </w:p>
    <w:p w14:paraId="39DBE955" w14:textId="77777777" w:rsidR="001D7A68" w:rsidRDefault="00A70108">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Chen DS</w:t>
      </w:r>
      <w:r>
        <w:rPr>
          <w:rFonts w:ascii="Book Antiqua" w:eastAsia="Book Antiqua" w:hAnsi="Book Antiqua" w:cs="Book Antiqua"/>
          <w:color w:val="000000"/>
        </w:rPr>
        <w:t xml:space="preserve">, Hurwitz H. Combinations of Bevacizumab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Cancer Immunotherapy. </w:t>
      </w:r>
      <w:r>
        <w:rPr>
          <w:rFonts w:ascii="Book Antiqua" w:eastAsia="Book Antiqua" w:hAnsi="Book Antiqua" w:cs="Book Antiqua"/>
          <w:i/>
          <w:iCs/>
          <w:color w:val="000000"/>
        </w:rPr>
        <w:t>Cancer J</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193-204 [PMID: 30119083 DOI: 10.1097/PPO.0000000000000327]</w:t>
      </w:r>
    </w:p>
    <w:p w14:paraId="449346E2" w14:textId="77777777" w:rsidR="001D7A68" w:rsidRDefault="00A70108">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Finn RS</w:t>
      </w:r>
      <w:r>
        <w:rPr>
          <w:rFonts w:ascii="Book Antiqua" w:eastAsia="Book Antiqua" w:hAnsi="Book Antiqua" w:cs="Book Antiqua"/>
          <w:color w:val="000000"/>
        </w:rPr>
        <w:t xml:space="preserve">, Zhu AX. Targeting angiogenesis in hepatocellular carcinoma: focus on VEGF and bevacizumab. </w:t>
      </w:r>
      <w:r>
        <w:rPr>
          <w:rFonts w:ascii="Book Antiqua" w:eastAsia="Book Antiqua" w:hAnsi="Book Antiqua" w:cs="Book Antiqua"/>
          <w:i/>
          <w:iCs/>
          <w:color w:val="000000"/>
        </w:rPr>
        <w:t xml:space="preserve">Expert Rev Anticancer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9</w:t>
      </w:r>
      <w:r>
        <w:rPr>
          <w:rFonts w:ascii="Book Antiqua" w:eastAsia="Book Antiqua" w:hAnsi="Book Antiqua" w:cs="Book Antiqua"/>
          <w:color w:val="000000"/>
        </w:rPr>
        <w:t>: 503-509 [PMID: 19374603 DOI: 10.1586/era.09.6]</w:t>
      </w:r>
    </w:p>
    <w:p w14:paraId="6113203F" w14:textId="0578B604" w:rsidR="001D7A68" w:rsidRDefault="00A70108">
      <w:pPr>
        <w:spacing w:line="360" w:lineRule="auto"/>
        <w:jc w:val="both"/>
        <w:rPr>
          <w:rFonts w:ascii="Book Antiqua" w:hAnsi="Book Antiqua"/>
        </w:rPr>
      </w:pPr>
      <w:r w:rsidRPr="00295952">
        <w:rPr>
          <w:rFonts w:ascii="Book Antiqua" w:eastAsia="Book Antiqua" w:hAnsi="Book Antiqua" w:cs="Book Antiqua"/>
          <w:color w:val="000000"/>
          <w:highlight w:val="yellow"/>
        </w:rPr>
        <w:t xml:space="preserve">10 </w:t>
      </w:r>
      <w:r w:rsidRPr="00295952">
        <w:rPr>
          <w:rFonts w:ascii="Book Antiqua" w:eastAsia="Book Antiqua" w:hAnsi="Book Antiqua" w:cs="Book Antiqua"/>
          <w:b/>
          <w:bCs/>
          <w:color w:val="000000"/>
          <w:highlight w:val="yellow"/>
        </w:rPr>
        <w:t xml:space="preserve">BC Cancer Agency. </w:t>
      </w:r>
      <w:r w:rsidRPr="00295952">
        <w:rPr>
          <w:rFonts w:ascii="Book Antiqua" w:eastAsia="Book Antiqua" w:hAnsi="Book Antiqua" w:cs="Book Antiqua"/>
          <w:color w:val="000000"/>
          <w:highlight w:val="yellow"/>
        </w:rPr>
        <w:t>Cancer drug manual, drug name: atezolizumab. 2019. [</w:t>
      </w:r>
      <w:r w:rsidR="00295952">
        <w:rPr>
          <w:rFonts w:ascii="Book Antiqua" w:eastAsia="Book Antiqua" w:hAnsi="Book Antiqua" w:cs="Book Antiqua"/>
          <w:color w:val="000000"/>
          <w:highlight w:val="yellow"/>
        </w:rPr>
        <w:t>c</w:t>
      </w:r>
      <w:r w:rsidRPr="00295952">
        <w:rPr>
          <w:rFonts w:ascii="Book Antiqua" w:eastAsia="Book Antiqua" w:hAnsi="Book Antiqua" w:cs="Book Antiqua"/>
          <w:color w:val="000000"/>
          <w:highlight w:val="yellow"/>
        </w:rPr>
        <w:t xml:space="preserve">ited </w:t>
      </w:r>
      <w:r w:rsidR="00295952">
        <w:rPr>
          <w:rFonts w:ascii="Book Antiqua" w:eastAsia="Book Antiqua" w:hAnsi="Book Antiqua" w:cs="Book Antiqua"/>
          <w:color w:val="000000"/>
          <w:highlight w:val="yellow"/>
        </w:rPr>
        <w:t xml:space="preserve">10 </w:t>
      </w:r>
      <w:r w:rsidRPr="00295952">
        <w:rPr>
          <w:rFonts w:ascii="Book Antiqua" w:eastAsia="Book Antiqua" w:hAnsi="Book Antiqua" w:cs="Book Antiqua"/>
          <w:color w:val="000000"/>
          <w:highlight w:val="yellow"/>
        </w:rPr>
        <w:t xml:space="preserve">January 2021]. </w:t>
      </w:r>
      <w:r w:rsidRPr="00295952">
        <w:rPr>
          <w:rFonts w:ascii="Book Antiqua" w:eastAsia="宋体" w:hAnsi="Book Antiqua" w:cs="Arial"/>
          <w:bCs/>
          <w:highlight w:val="yellow"/>
        </w:rPr>
        <w:t xml:space="preserve">Available from: </w:t>
      </w:r>
      <w:r w:rsidRPr="00295952">
        <w:rPr>
          <w:rFonts w:ascii="Book Antiqua" w:eastAsia="Book Antiqua" w:hAnsi="Book Antiqua" w:cs="Book Antiqua"/>
          <w:color w:val="000000"/>
          <w:highlight w:val="yellow"/>
        </w:rPr>
        <w:t>http://www.bccancer.bc.ca/drug database-site/Drug%20Index/</w:t>
      </w:r>
      <w:proofErr w:type="spellStart"/>
      <w:r w:rsidRPr="00295952">
        <w:rPr>
          <w:rFonts w:ascii="Book Antiqua" w:eastAsia="Book Antiqua" w:hAnsi="Book Antiqua" w:cs="Book Antiqua"/>
          <w:color w:val="000000"/>
          <w:highlight w:val="yellow"/>
        </w:rPr>
        <w:t>Atezolizumab_Monograph</w:t>
      </w:r>
      <w:proofErr w:type="spellEnd"/>
      <w:r w:rsidRPr="00295952">
        <w:rPr>
          <w:rFonts w:ascii="Book Antiqua" w:eastAsia="Book Antiqua" w:hAnsi="Book Antiqua" w:cs="Book Antiqua"/>
          <w:color w:val="000000"/>
          <w:highlight w:val="yellow"/>
        </w:rPr>
        <w:t>. pdf</w:t>
      </w:r>
    </w:p>
    <w:p w14:paraId="35C8EA0D" w14:textId="571A4833" w:rsidR="001D7A68" w:rsidRDefault="00A70108">
      <w:pPr>
        <w:spacing w:line="360" w:lineRule="auto"/>
        <w:jc w:val="both"/>
        <w:rPr>
          <w:rFonts w:ascii="Book Antiqua" w:hAnsi="Book Antiqua"/>
        </w:rPr>
      </w:pPr>
      <w:r w:rsidRPr="00295952">
        <w:rPr>
          <w:rFonts w:ascii="Book Antiqua" w:eastAsia="Book Antiqua" w:hAnsi="Book Antiqua" w:cs="Book Antiqua"/>
          <w:color w:val="000000"/>
          <w:highlight w:val="yellow"/>
        </w:rPr>
        <w:t xml:space="preserve">11 </w:t>
      </w:r>
      <w:r w:rsidRPr="00295952">
        <w:rPr>
          <w:rFonts w:ascii="Book Antiqua" w:eastAsia="Book Antiqua" w:hAnsi="Book Antiqua" w:cs="Book Antiqua"/>
          <w:b/>
          <w:bCs/>
          <w:color w:val="000000"/>
          <w:highlight w:val="yellow"/>
        </w:rPr>
        <w:t>European Medicines Agency.</w:t>
      </w:r>
      <w:r w:rsidRPr="00295952">
        <w:rPr>
          <w:rFonts w:ascii="Book Antiqua" w:eastAsia="Book Antiqua" w:hAnsi="Book Antiqua" w:cs="Book Antiqua"/>
          <w:color w:val="000000"/>
          <w:highlight w:val="yellow"/>
        </w:rPr>
        <w:t xml:space="preserve"> Assessment report of atezolizumab (TECENTRIQ®). 2019. [</w:t>
      </w:r>
      <w:r w:rsidR="00295952">
        <w:rPr>
          <w:rFonts w:ascii="Book Antiqua" w:eastAsia="Book Antiqua" w:hAnsi="Book Antiqua" w:cs="Book Antiqua"/>
          <w:color w:val="000000"/>
          <w:highlight w:val="yellow"/>
        </w:rPr>
        <w:t>c</w:t>
      </w:r>
      <w:r w:rsidRPr="00295952">
        <w:rPr>
          <w:rFonts w:ascii="Book Antiqua" w:eastAsia="Book Antiqua" w:hAnsi="Book Antiqua" w:cs="Book Antiqua"/>
          <w:color w:val="000000"/>
          <w:highlight w:val="yellow"/>
        </w:rPr>
        <w:t xml:space="preserve">ited </w:t>
      </w:r>
      <w:r w:rsidR="00295952">
        <w:rPr>
          <w:rFonts w:ascii="Book Antiqua" w:eastAsia="Book Antiqua" w:hAnsi="Book Antiqua" w:cs="Book Antiqua"/>
          <w:color w:val="000000"/>
          <w:highlight w:val="yellow"/>
        </w:rPr>
        <w:t xml:space="preserve">10 </w:t>
      </w:r>
      <w:r w:rsidRPr="00295952">
        <w:rPr>
          <w:rFonts w:ascii="Book Antiqua" w:eastAsia="Book Antiqua" w:hAnsi="Book Antiqua" w:cs="Book Antiqua"/>
          <w:color w:val="000000"/>
          <w:highlight w:val="yellow"/>
        </w:rPr>
        <w:t xml:space="preserve">January 2021]. </w:t>
      </w:r>
      <w:r w:rsidRPr="00295952">
        <w:rPr>
          <w:rFonts w:ascii="Book Antiqua" w:eastAsia="宋体" w:hAnsi="Book Antiqua" w:cs="Arial"/>
          <w:bCs/>
          <w:highlight w:val="yellow"/>
        </w:rPr>
        <w:t xml:space="preserve">Available from: </w:t>
      </w:r>
      <w:r w:rsidRPr="00295952">
        <w:rPr>
          <w:rFonts w:ascii="Book Antiqua" w:eastAsia="Book Antiqua" w:hAnsi="Book Antiqua" w:cs="Book Antiqua"/>
          <w:color w:val="000000"/>
          <w:highlight w:val="yellow"/>
        </w:rPr>
        <w:t xml:space="preserve">https://www.ema.europa.eu/en/documents/product-information/ </w:t>
      </w:r>
      <w:proofErr w:type="spellStart"/>
      <w:r w:rsidRPr="00295952">
        <w:rPr>
          <w:rFonts w:ascii="Book Antiqua" w:eastAsia="Book Antiqua" w:hAnsi="Book Antiqua" w:cs="Book Antiqua"/>
          <w:color w:val="000000"/>
          <w:highlight w:val="yellow"/>
        </w:rPr>
        <w:t>tecentriq</w:t>
      </w:r>
      <w:proofErr w:type="spellEnd"/>
      <w:r w:rsidRPr="00295952">
        <w:rPr>
          <w:rFonts w:ascii="Book Antiqua" w:eastAsia="Book Antiqua" w:hAnsi="Book Antiqua" w:cs="Book Antiqua"/>
          <w:color w:val="000000"/>
          <w:highlight w:val="yellow"/>
        </w:rPr>
        <w:t>-</w:t>
      </w:r>
      <w:proofErr w:type="spellStart"/>
      <w:r w:rsidRPr="00295952">
        <w:rPr>
          <w:rFonts w:ascii="Book Antiqua" w:eastAsia="Book Antiqua" w:hAnsi="Book Antiqua" w:cs="Book Antiqua"/>
          <w:color w:val="000000"/>
          <w:highlight w:val="yellow"/>
        </w:rPr>
        <w:t>epar</w:t>
      </w:r>
      <w:proofErr w:type="spellEnd"/>
      <w:r w:rsidRPr="00295952">
        <w:rPr>
          <w:rFonts w:ascii="Book Antiqua" w:eastAsia="Book Antiqua" w:hAnsi="Book Antiqua" w:cs="Book Antiqua"/>
          <w:color w:val="000000"/>
          <w:highlight w:val="yellow"/>
        </w:rPr>
        <w:t>-product information_en.pdf</w:t>
      </w:r>
    </w:p>
    <w:p w14:paraId="77C7D467" w14:textId="77777777" w:rsidR="001D7A68" w:rsidRDefault="00A70108">
      <w:pPr>
        <w:spacing w:line="360" w:lineRule="auto"/>
        <w:jc w:val="both"/>
        <w:rPr>
          <w:rFonts w:ascii="Book Antiqua" w:hAnsi="Book Antiqua"/>
        </w:rPr>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Bonamichi</w:t>
      </w:r>
      <w:proofErr w:type="spellEnd"/>
      <w:r>
        <w:rPr>
          <w:rFonts w:ascii="Book Antiqua" w:eastAsia="Book Antiqua" w:hAnsi="Book Antiqua" w:cs="Book Antiqua"/>
          <w:b/>
          <w:bCs/>
          <w:color w:val="000000"/>
        </w:rPr>
        <w:t>-Santos R</w:t>
      </w:r>
      <w:r>
        <w:rPr>
          <w:rFonts w:ascii="Book Antiqua" w:eastAsia="Book Antiqua" w:hAnsi="Book Antiqua" w:cs="Book Antiqua"/>
          <w:color w:val="000000"/>
        </w:rPr>
        <w:t xml:space="preserve">, Castells M. Diagnoses and Management of Drug Hypersensitivity and Anaphylaxis in Cancer and Chronic Inflammatory Diseases: Reactions to </w:t>
      </w:r>
      <w:proofErr w:type="spellStart"/>
      <w:r>
        <w:rPr>
          <w:rFonts w:ascii="Book Antiqua" w:eastAsia="Book Antiqua" w:hAnsi="Book Antiqua" w:cs="Book Antiqua"/>
          <w:color w:val="000000"/>
        </w:rPr>
        <w:t>Taxanes</w:t>
      </w:r>
      <w:proofErr w:type="spellEnd"/>
      <w:r>
        <w:rPr>
          <w:rFonts w:ascii="Book Antiqua" w:eastAsia="Book Antiqua" w:hAnsi="Book Antiqua" w:cs="Book Antiqua"/>
          <w:color w:val="000000"/>
        </w:rPr>
        <w:t xml:space="preserve"> and Monoclonal Antibodies. </w:t>
      </w:r>
      <w:r>
        <w:rPr>
          <w:rFonts w:ascii="Book Antiqua" w:eastAsia="Book Antiqua" w:hAnsi="Book Antiqua" w:cs="Book Antiqua"/>
          <w:i/>
          <w:iCs/>
          <w:color w:val="000000"/>
        </w:rPr>
        <w:t>Clin Rev Allergy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54</w:t>
      </w:r>
      <w:r>
        <w:rPr>
          <w:rFonts w:ascii="Book Antiqua" w:eastAsia="Book Antiqua" w:hAnsi="Book Antiqua" w:cs="Book Antiqua"/>
          <w:color w:val="000000"/>
        </w:rPr>
        <w:t>: 375-385 [PMID: 27277133 DOI: 10.1007/s12016-016-8556-5]</w:t>
      </w:r>
    </w:p>
    <w:p w14:paraId="482C71E6" w14:textId="77777777" w:rsidR="001D7A68" w:rsidRDefault="00A70108">
      <w:pPr>
        <w:spacing w:line="360" w:lineRule="auto"/>
        <w:jc w:val="both"/>
        <w:rPr>
          <w:rFonts w:ascii="Book Antiqua" w:hAnsi="Book Antiqua"/>
        </w:rPr>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Akarsu</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Soyer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Sekerel</w:t>
      </w:r>
      <w:proofErr w:type="spellEnd"/>
      <w:r>
        <w:rPr>
          <w:rFonts w:ascii="Book Antiqua" w:eastAsia="Book Antiqua" w:hAnsi="Book Antiqua" w:cs="Book Antiqua"/>
          <w:color w:val="000000"/>
        </w:rPr>
        <w:t xml:space="preserve"> BE. Hypersensitivity Reactions to Biologicals: from Bench to Bedside.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Treat Options Allergy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71-83 [PMID: 32435575 DOI: 10.1007/s40521-020-00242-2]</w:t>
      </w:r>
    </w:p>
    <w:p w14:paraId="6C1A4F68" w14:textId="77777777" w:rsidR="001D7A68" w:rsidRDefault="00A70108">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Soar J</w:t>
      </w:r>
      <w:r>
        <w:rPr>
          <w:rFonts w:ascii="Book Antiqua" w:eastAsia="Book Antiqua" w:hAnsi="Book Antiqua" w:cs="Book Antiqua"/>
          <w:color w:val="000000"/>
        </w:rPr>
        <w:t xml:space="preserve">, Pumphrey R, Cant A, Clarke S, Corbett A, Dawson P, Ewan P, </w:t>
      </w:r>
      <w:proofErr w:type="spellStart"/>
      <w:r>
        <w:rPr>
          <w:rFonts w:ascii="Book Antiqua" w:eastAsia="Book Antiqua" w:hAnsi="Book Antiqua" w:cs="Book Antiqua"/>
          <w:color w:val="000000"/>
        </w:rPr>
        <w:t>Foëx</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Gabbott</w:t>
      </w:r>
      <w:proofErr w:type="spellEnd"/>
      <w:r>
        <w:rPr>
          <w:rFonts w:ascii="Book Antiqua" w:eastAsia="Book Antiqua" w:hAnsi="Book Antiqua" w:cs="Book Antiqua"/>
          <w:color w:val="000000"/>
        </w:rPr>
        <w:t xml:space="preserve"> D, Griffiths M, Hall J, Harper N, </w:t>
      </w:r>
      <w:proofErr w:type="spellStart"/>
      <w:r>
        <w:rPr>
          <w:rFonts w:ascii="Book Antiqua" w:eastAsia="Book Antiqua" w:hAnsi="Book Antiqua" w:cs="Book Antiqua"/>
          <w:color w:val="000000"/>
        </w:rPr>
        <w:t>Jewkes</w:t>
      </w:r>
      <w:proofErr w:type="spellEnd"/>
      <w:r>
        <w:rPr>
          <w:rFonts w:ascii="Book Antiqua" w:eastAsia="Book Antiqua" w:hAnsi="Book Antiqua" w:cs="Book Antiqua"/>
          <w:color w:val="000000"/>
        </w:rPr>
        <w:t xml:space="preserve"> F, Maconochie I, Mitchell S, Nasser S, Nolan J, Rylance G, Sheikh A, </w:t>
      </w:r>
      <w:proofErr w:type="spellStart"/>
      <w:r>
        <w:rPr>
          <w:rFonts w:ascii="Book Antiqua" w:eastAsia="Book Antiqua" w:hAnsi="Book Antiqua" w:cs="Book Antiqua"/>
          <w:color w:val="000000"/>
        </w:rPr>
        <w:t>Unsworth</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Warrell</w:t>
      </w:r>
      <w:proofErr w:type="spellEnd"/>
      <w:r>
        <w:rPr>
          <w:rFonts w:ascii="Book Antiqua" w:eastAsia="Book Antiqua" w:hAnsi="Book Antiqua" w:cs="Book Antiqua"/>
          <w:color w:val="000000"/>
        </w:rPr>
        <w:t xml:space="preserve"> D; Working Group of the Resuscitation Council (UK). Emergency treatment of anaphylactic reactions--guidelines for healthcare </w:t>
      </w:r>
      <w:r>
        <w:rPr>
          <w:rFonts w:ascii="Book Antiqua" w:eastAsia="Book Antiqua" w:hAnsi="Book Antiqua" w:cs="Book Antiqua"/>
          <w:color w:val="000000"/>
        </w:rPr>
        <w:lastRenderedPageBreak/>
        <w:t xml:space="preserve">providers. </w:t>
      </w:r>
      <w:r>
        <w:rPr>
          <w:rFonts w:ascii="Book Antiqua" w:eastAsia="Book Antiqua" w:hAnsi="Book Antiqua" w:cs="Book Antiqua"/>
          <w:i/>
          <w:iCs/>
          <w:color w:val="000000"/>
        </w:rPr>
        <w:t>Resuscitation</w:t>
      </w:r>
      <w:r>
        <w:rPr>
          <w:rFonts w:ascii="Book Antiqua" w:eastAsia="Book Antiqua" w:hAnsi="Book Antiqua" w:cs="Book Antiqua"/>
          <w:color w:val="000000"/>
        </w:rPr>
        <w:t xml:space="preserve"> 2008; </w:t>
      </w:r>
      <w:r>
        <w:rPr>
          <w:rFonts w:ascii="Book Antiqua" w:eastAsia="Book Antiqua" w:hAnsi="Book Antiqua" w:cs="Book Antiqua"/>
          <w:b/>
          <w:bCs/>
          <w:color w:val="000000"/>
        </w:rPr>
        <w:t>77</w:t>
      </w:r>
      <w:r>
        <w:rPr>
          <w:rFonts w:ascii="Book Antiqua" w:eastAsia="Book Antiqua" w:hAnsi="Book Antiqua" w:cs="Book Antiqua"/>
          <w:color w:val="000000"/>
        </w:rPr>
        <w:t>: 157-169 [PMID: 18358585 DOI: 10.1016/j.resuscitation.2008.02.001]</w:t>
      </w:r>
    </w:p>
    <w:p w14:paraId="4865343A" w14:textId="77777777" w:rsidR="001D7A68" w:rsidRDefault="00A70108">
      <w:pPr>
        <w:spacing w:line="360" w:lineRule="auto"/>
        <w:jc w:val="both"/>
        <w:rPr>
          <w:rFonts w:ascii="Book Antiqua" w:hAnsi="Book Antiqua"/>
        </w:rPr>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Karmacharya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Poudel</w:t>
      </w:r>
      <w:proofErr w:type="spellEnd"/>
      <w:r>
        <w:rPr>
          <w:rFonts w:ascii="Book Antiqua" w:eastAsia="Book Antiqua" w:hAnsi="Book Antiqua" w:cs="Book Antiqua"/>
          <w:color w:val="000000"/>
        </w:rPr>
        <w:t xml:space="preserve"> DR, Pathak R, Donato AA, </w:t>
      </w:r>
      <w:proofErr w:type="spellStart"/>
      <w:r>
        <w:rPr>
          <w:rFonts w:ascii="Book Antiqua" w:eastAsia="Book Antiqua" w:hAnsi="Book Antiqua" w:cs="Book Antiqua"/>
          <w:color w:val="000000"/>
        </w:rPr>
        <w:t>Ghimire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Giri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Aryal</w:t>
      </w:r>
      <w:proofErr w:type="spellEnd"/>
      <w:r>
        <w:rPr>
          <w:rFonts w:ascii="Book Antiqua" w:eastAsia="Book Antiqua" w:hAnsi="Book Antiqua" w:cs="Book Antiqua"/>
          <w:color w:val="000000"/>
        </w:rPr>
        <w:t xml:space="preserve"> MR, Bingham CO 3rd. Rituximab-induced serum sickness: A systematic review. </w:t>
      </w:r>
      <w:r>
        <w:rPr>
          <w:rFonts w:ascii="Book Antiqua" w:eastAsia="Book Antiqua" w:hAnsi="Book Antiqua" w:cs="Book Antiqua"/>
          <w:i/>
          <w:iCs/>
          <w:color w:val="000000"/>
        </w:rPr>
        <w:t>Semin Arthritis Rheum</w:t>
      </w:r>
      <w:r>
        <w:rPr>
          <w:rFonts w:ascii="Book Antiqua" w:eastAsia="Book Antiqua" w:hAnsi="Book Antiqua" w:cs="Book Antiqua"/>
          <w:color w:val="000000"/>
        </w:rPr>
        <w:t xml:space="preserve"> 2015; </w:t>
      </w:r>
      <w:r>
        <w:rPr>
          <w:rFonts w:ascii="Book Antiqua" w:eastAsia="Book Antiqua" w:hAnsi="Book Antiqua" w:cs="Book Antiqua"/>
          <w:b/>
          <w:bCs/>
          <w:color w:val="000000"/>
        </w:rPr>
        <w:t>45</w:t>
      </w:r>
      <w:r>
        <w:rPr>
          <w:rFonts w:ascii="Book Antiqua" w:eastAsia="Book Antiqua" w:hAnsi="Book Antiqua" w:cs="Book Antiqua"/>
          <w:color w:val="000000"/>
        </w:rPr>
        <w:t>: 334-340 [PMID: 26199061 DOI: 10.1016/j.semarthrit.2015.06.014]</w:t>
      </w:r>
    </w:p>
    <w:p w14:paraId="6D918130" w14:textId="77777777" w:rsidR="001D7A68" w:rsidRDefault="00A70108">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O'Driscoll BR</w:t>
      </w:r>
      <w:r>
        <w:rPr>
          <w:rFonts w:ascii="Book Antiqua" w:eastAsia="Book Antiqua" w:hAnsi="Book Antiqua" w:cs="Book Antiqua"/>
          <w:color w:val="000000"/>
        </w:rPr>
        <w:t xml:space="preserve">, Howard LS, </w:t>
      </w:r>
      <w:proofErr w:type="spellStart"/>
      <w:r>
        <w:rPr>
          <w:rFonts w:ascii="Book Antiqua" w:eastAsia="Book Antiqua" w:hAnsi="Book Antiqua" w:cs="Book Antiqua"/>
          <w:color w:val="000000"/>
        </w:rPr>
        <w:t>Earis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Mak</w:t>
      </w:r>
      <w:proofErr w:type="spellEnd"/>
      <w:r>
        <w:rPr>
          <w:rFonts w:ascii="Book Antiqua" w:eastAsia="Book Antiqua" w:hAnsi="Book Antiqua" w:cs="Book Antiqua"/>
          <w:color w:val="000000"/>
        </w:rPr>
        <w:t xml:space="preserve"> V; British Thoracic Society Emergency Oxygen Guideline Group; BTS Emergency Oxygen Guideline Development Group. BTS guideline for oxygen use in adults in healthcare and emergency settings. </w:t>
      </w:r>
      <w:r>
        <w:rPr>
          <w:rFonts w:ascii="Book Antiqua" w:eastAsia="Book Antiqua" w:hAnsi="Book Antiqua" w:cs="Book Antiqua"/>
          <w:i/>
          <w:iCs/>
          <w:color w:val="000000"/>
        </w:rPr>
        <w:t>Thorax</w:t>
      </w:r>
      <w:r>
        <w:rPr>
          <w:rFonts w:ascii="Book Antiqua" w:eastAsia="Book Antiqua" w:hAnsi="Book Antiqua" w:cs="Book Antiqua"/>
          <w:color w:val="000000"/>
        </w:rPr>
        <w:t xml:space="preserve"> 2017; </w:t>
      </w:r>
      <w:r>
        <w:rPr>
          <w:rFonts w:ascii="Book Antiqua" w:eastAsia="Book Antiqua" w:hAnsi="Book Antiqua" w:cs="Book Antiqua"/>
          <w:b/>
          <w:bCs/>
          <w:color w:val="000000"/>
        </w:rPr>
        <w:t>72</w:t>
      </w:r>
      <w:r>
        <w:rPr>
          <w:rFonts w:ascii="Book Antiqua" w:eastAsia="Book Antiqua" w:hAnsi="Book Antiqua" w:cs="Book Antiqua"/>
          <w:color w:val="000000"/>
        </w:rPr>
        <w:t>: ii1-ii90 [PMID: 28507176 DOI: 10.1136/thoraxjnl-2016-209729]</w:t>
      </w:r>
    </w:p>
    <w:p w14:paraId="021612C4" w14:textId="77777777" w:rsidR="001D7A68" w:rsidRDefault="00A70108">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Chu DK</w:t>
      </w:r>
      <w:r>
        <w:rPr>
          <w:rFonts w:ascii="Book Antiqua" w:eastAsia="Book Antiqua" w:hAnsi="Book Antiqua" w:cs="Book Antiqua"/>
          <w:color w:val="000000"/>
        </w:rPr>
        <w:t xml:space="preserve">, Kim LH, Young PJ, </w:t>
      </w:r>
      <w:proofErr w:type="spellStart"/>
      <w:r>
        <w:rPr>
          <w:rFonts w:ascii="Book Antiqua" w:eastAsia="Book Antiqua" w:hAnsi="Book Antiqua" w:cs="Book Antiqua"/>
          <w:color w:val="000000"/>
        </w:rPr>
        <w:t>Zamiri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Almenawer</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Jaeschke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Szczeklik</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Schünemann</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Neary</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Alhazzani</w:t>
      </w:r>
      <w:proofErr w:type="spellEnd"/>
      <w:r>
        <w:rPr>
          <w:rFonts w:ascii="Book Antiqua" w:eastAsia="Book Antiqua" w:hAnsi="Book Antiqua" w:cs="Book Antiqua"/>
          <w:color w:val="000000"/>
        </w:rPr>
        <w:t xml:space="preserve"> W. Mortality and morbidity in acutely ill adults treated with liberal </w:t>
      </w:r>
      <w:r>
        <w:rPr>
          <w:rFonts w:ascii="Book Antiqua" w:eastAsia="Book Antiqua" w:hAnsi="Book Antiqua" w:cs="Book Antiqua"/>
          <w:i/>
          <w:iCs/>
          <w:color w:val="000000"/>
        </w:rPr>
        <w:t>vs</w:t>
      </w:r>
      <w:r>
        <w:rPr>
          <w:rFonts w:ascii="Book Antiqua" w:eastAsia="Book Antiqua" w:hAnsi="Book Antiqua" w:cs="Book Antiqua"/>
          <w:color w:val="000000"/>
        </w:rPr>
        <w:t xml:space="preserve"> conservative oxygen therapy (IOTA): a systematic review and meta-analysis.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391</w:t>
      </w:r>
      <w:r>
        <w:rPr>
          <w:rFonts w:ascii="Book Antiqua" w:eastAsia="Book Antiqua" w:hAnsi="Book Antiqua" w:cs="Book Antiqua"/>
          <w:color w:val="000000"/>
        </w:rPr>
        <w:t>: 1693-1705 [PMID: 29726345 DOI: 10.1016/S0140-6736(18)30479-3]</w:t>
      </w:r>
    </w:p>
    <w:p w14:paraId="23DA944A" w14:textId="77777777" w:rsidR="001D7A68" w:rsidRDefault="00A70108">
      <w:pPr>
        <w:spacing w:line="360" w:lineRule="auto"/>
        <w:jc w:val="both"/>
        <w:rPr>
          <w:rFonts w:ascii="Book Antiqua" w:hAnsi="Book Antiqua"/>
        </w:rPr>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Brockow</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Garvey LH, </w:t>
      </w:r>
      <w:proofErr w:type="spellStart"/>
      <w:r>
        <w:rPr>
          <w:rFonts w:ascii="Book Antiqua" w:eastAsia="Book Antiqua" w:hAnsi="Book Antiqua" w:cs="Book Antiqua"/>
          <w:color w:val="000000"/>
        </w:rPr>
        <w:t>Aberer</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Atanaskovic-Markovic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Barbaud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Bilo</w:t>
      </w:r>
      <w:proofErr w:type="spellEnd"/>
      <w:r>
        <w:rPr>
          <w:rFonts w:ascii="Book Antiqua" w:eastAsia="Book Antiqua" w:hAnsi="Book Antiqua" w:cs="Book Antiqua"/>
          <w:color w:val="000000"/>
        </w:rPr>
        <w:t xml:space="preserve"> MB, Bircher A, Blanca M, </w:t>
      </w:r>
      <w:proofErr w:type="spellStart"/>
      <w:r>
        <w:rPr>
          <w:rFonts w:ascii="Book Antiqua" w:eastAsia="Book Antiqua" w:hAnsi="Book Antiqua" w:cs="Book Antiqua"/>
          <w:color w:val="000000"/>
        </w:rPr>
        <w:t>Bonadonna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Campi</w:t>
      </w:r>
      <w:proofErr w:type="spellEnd"/>
      <w:r>
        <w:rPr>
          <w:rFonts w:ascii="Book Antiqua" w:eastAsia="Book Antiqua" w:hAnsi="Book Antiqua" w:cs="Book Antiqua"/>
          <w:color w:val="000000"/>
        </w:rPr>
        <w:t xml:space="preserve"> P, Castro E, </w:t>
      </w:r>
      <w:proofErr w:type="spellStart"/>
      <w:r>
        <w:rPr>
          <w:rFonts w:ascii="Book Antiqua" w:eastAsia="Book Antiqua" w:hAnsi="Book Antiqua" w:cs="Book Antiqua"/>
          <w:color w:val="000000"/>
        </w:rPr>
        <w:t>Cernadas</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Chiriac</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Demoly</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Grosber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Gooi</w:t>
      </w:r>
      <w:proofErr w:type="spellEnd"/>
      <w:r>
        <w:rPr>
          <w:rFonts w:ascii="Book Antiqua" w:eastAsia="Book Antiqua" w:hAnsi="Book Antiqua" w:cs="Book Antiqua"/>
          <w:color w:val="000000"/>
        </w:rPr>
        <w:t xml:space="preserve"> J, Lombardo C, </w:t>
      </w:r>
      <w:proofErr w:type="spellStart"/>
      <w:r>
        <w:rPr>
          <w:rFonts w:ascii="Book Antiqua" w:eastAsia="Book Antiqua" w:hAnsi="Book Antiqua" w:cs="Book Antiqua"/>
          <w:color w:val="000000"/>
        </w:rPr>
        <w:t>Mertes</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Mosbech</w:t>
      </w:r>
      <w:proofErr w:type="spellEnd"/>
      <w:r>
        <w:rPr>
          <w:rFonts w:ascii="Book Antiqua" w:eastAsia="Book Antiqua" w:hAnsi="Book Antiqua" w:cs="Book Antiqua"/>
          <w:color w:val="000000"/>
        </w:rPr>
        <w:t xml:space="preserve"> H, Nasser S, Pagani M, Ring J, Romano A, Scherer K, </w:t>
      </w:r>
      <w:proofErr w:type="spellStart"/>
      <w:r>
        <w:rPr>
          <w:rFonts w:ascii="Book Antiqua" w:eastAsia="Book Antiqua" w:hAnsi="Book Antiqua" w:cs="Book Antiqua"/>
          <w:color w:val="000000"/>
        </w:rPr>
        <w:t>Schnyder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Testi</w:t>
      </w:r>
      <w:proofErr w:type="spellEnd"/>
      <w:r>
        <w:rPr>
          <w:rFonts w:ascii="Book Antiqua" w:eastAsia="Book Antiqua" w:hAnsi="Book Antiqua" w:cs="Book Antiqua"/>
          <w:color w:val="000000"/>
        </w:rPr>
        <w:t xml:space="preserve"> S, Torres M, </w:t>
      </w:r>
      <w:proofErr w:type="spellStart"/>
      <w:r>
        <w:rPr>
          <w:rFonts w:ascii="Book Antiqua" w:eastAsia="Book Antiqua" w:hAnsi="Book Antiqua" w:cs="Book Antiqua"/>
          <w:color w:val="000000"/>
        </w:rPr>
        <w:t>Trautmann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Terreehorst</w:t>
      </w:r>
      <w:proofErr w:type="spellEnd"/>
      <w:r>
        <w:rPr>
          <w:rFonts w:ascii="Book Antiqua" w:eastAsia="Book Antiqua" w:hAnsi="Book Antiqua" w:cs="Book Antiqua"/>
          <w:color w:val="000000"/>
        </w:rPr>
        <w:t xml:space="preserve"> I; ENDA/EAACI Drug Allergy Interest Group. Skin test concentrations for systemically administered drugs -- an ENDA/EAACI Drug Allergy Interest Group position paper. </w:t>
      </w:r>
      <w:r>
        <w:rPr>
          <w:rFonts w:ascii="Book Antiqua" w:eastAsia="Book Antiqua" w:hAnsi="Book Antiqua" w:cs="Book Antiqua"/>
          <w:i/>
          <w:iCs/>
          <w:color w:val="000000"/>
        </w:rPr>
        <w:t>Allergy</w:t>
      </w:r>
      <w:r>
        <w:rPr>
          <w:rFonts w:ascii="Book Antiqua" w:eastAsia="Book Antiqua" w:hAnsi="Book Antiqua" w:cs="Book Antiqua"/>
          <w:color w:val="000000"/>
        </w:rPr>
        <w:t xml:space="preserve"> 2013; </w:t>
      </w:r>
      <w:r>
        <w:rPr>
          <w:rFonts w:ascii="Book Antiqua" w:eastAsia="Book Antiqua" w:hAnsi="Book Antiqua" w:cs="Book Antiqua"/>
          <w:b/>
          <w:bCs/>
          <w:color w:val="000000"/>
        </w:rPr>
        <w:t>68</w:t>
      </w:r>
      <w:r>
        <w:rPr>
          <w:rFonts w:ascii="Book Antiqua" w:eastAsia="Book Antiqua" w:hAnsi="Book Antiqua" w:cs="Book Antiqua"/>
          <w:color w:val="000000"/>
        </w:rPr>
        <w:t>: 702-712 [PMID: 23617635 DOI: 10.1111/all.12142]</w:t>
      </w:r>
    </w:p>
    <w:p w14:paraId="13779F5F" w14:textId="77777777" w:rsidR="001D7A68" w:rsidRDefault="00A70108">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Gonzalez-Diaz SN</w:t>
      </w:r>
      <w:r>
        <w:rPr>
          <w:rFonts w:ascii="Book Antiqua" w:eastAsia="Book Antiqua" w:hAnsi="Book Antiqua" w:cs="Book Antiqua"/>
          <w:color w:val="000000"/>
        </w:rPr>
        <w:t xml:space="preserve">, Villarreal-Gonzalez RV, De Lira-Quezada CE, Rocha-Silva GK, </w:t>
      </w:r>
      <w:proofErr w:type="spellStart"/>
      <w:r>
        <w:rPr>
          <w:rFonts w:ascii="Book Antiqua" w:eastAsia="Book Antiqua" w:hAnsi="Book Antiqua" w:cs="Book Antiqua"/>
          <w:color w:val="000000"/>
        </w:rPr>
        <w:t>Oyervides</w:t>
      </w:r>
      <w:proofErr w:type="spellEnd"/>
      <w:r>
        <w:rPr>
          <w:rFonts w:ascii="Book Antiqua" w:eastAsia="Book Antiqua" w:hAnsi="Book Antiqua" w:cs="Book Antiqua"/>
          <w:color w:val="000000"/>
        </w:rPr>
        <w:t xml:space="preserve">-Juarez VM, Vidal-Gutierrez O. Desensitization Protocol to Atezolizumab and Bevacizumab after Severe Anaphylaxis in the Treatment of Lung Adenocarcinoma.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Investig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Allergol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2020: 0 [PMID: 32856592 DOI: 10.18176/jiaci.0637]</w:t>
      </w:r>
    </w:p>
    <w:p w14:paraId="6F29CABD" w14:textId="77777777" w:rsidR="001D7A68" w:rsidRDefault="00A70108">
      <w:pPr>
        <w:spacing w:line="360" w:lineRule="auto"/>
        <w:jc w:val="both"/>
        <w:rPr>
          <w:rFonts w:ascii="Book Antiqua" w:hAnsi="Book Antiqua"/>
        </w:rPr>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Mirakian</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Leech SC, Krishna MT, Richter AG, Huber PA, </w:t>
      </w:r>
      <w:proofErr w:type="spellStart"/>
      <w:r>
        <w:rPr>
          <w:rFonts w:ascii="Book Antiqua" w:eastAsia="Book Antiqua" w:hAnsi="Book Antiqua" w:cs="Book Antiqua"/>
          <w:color w:val="000000"/>
        </w:rPr>
        <w:t>Farooque</w:t>
      </w:r>
      <w:proofErr w:type="spellEnd"/>
      <w:r>
        <w:rPr>
          <w:rFonts w:ascii="Book Antiqua" w:eastAsia="Book Antiqua" w:hAnsi="Book Antiqua" w:cs="Book Antiqua"/>
          <w:color w:val="000000"/>
        </w:rPr>
        <w:t xml:space="preserve"> S, Khan N, </w:t>
      </w:r>
      <w:proofErr w:type="spellStart"/>
      <w:r>
        <w:rPr>
          <w:rFonts w:ascii="Book Antiqua" w:eastAsia="Book Antiqua" w:hAnsi="Book Antiqua" w:cs="Book Antiqua"/>
          <w:color w:val="000000"/>
        </w:rPr>
        <w:t>Pirmohamed</w:t>
      </w:r>
      <w:proofErr w:type="spellEnd"/>
      <w:r>
        <w:rPr>
          <w:rFonts w:ascii="Book Antiqua" w:eastAsia="Book Antiqua" w:hAnsi="Book Antiqua" w:cs="Book Antiqua"/>
          <w:color w:val="000000"/>
        </w:rPr>
        <w:t xml:space="preserve"> M, Clark AT, Nasser SM; Standards of Care Committee of the British Society for Allergy and Clinical Immunology. Management of allergy to </w:t>
      </w:r>
      <w:proofErr w:type="spellStart"/>
      <w:r>
        <w:rPr>
          <w:rFonts w:ascii="Book Antiqua" w:eastAsia="Book Antiqua" w:hAnsi="Book Antiqua" w:cs="Book Antiqua"/>
          <w:color w:val="000000"/>
        </w:rPr>
        <w:t>penicillins</w:t>
      </w:r>
      <w:proofErr w:type="spellEnd"/>
      <w:r>
        <w:rPr>
          <w:rFonts w:ascii="Book Antiqua" w:eastAsia="Book Antiqua" w:hAnsi="Book Antiqua" w:cs="Book Antiqua"/>
          <w:color w:val="000000"/>
        </w:rPr>
        <w:t xml:space="preserve"> and other beta-lactams. </w:t>
      </w:r>
      <w:r>
        <w:rPr>
          <w:rFonts w:ascii="Book Antiqua" w:eastAsia="Book Antiqua" w:hAnsi="Book Antiqua" w:cs="Book Antiqua"/>
          <w:i/>
          <w:iCs/>
          <w:color w:val="000000"/>
        </w:rPr>
        <w:t>Clin Exp Allergy</w:t>
      </w:r>
      <w:r>
        <w:rPr>
          <w:rFonts w:ascii="Book Antiqua" w:eastAsia="Book Antiqua" w:hAnsi="Book Antiqua" w:cs="Book Antiqua"/>
          <w:color w:val="000000"/>
        </w:rPr>
        <w:t xml:space="preserve"> 2015; </w:t>
      </w:r>
      <w:r>
        <w:rPr>
          <w:rFonts w:ascii="Book Antiqua" w:eastAsia="Book Antiqua" w:hAnsi="Book Antiqua" w:cs="Book Antiqua"/>
          <w:b/>
          <w:bCs/>
          <w:color w:val="000000"/>
        </w:rPr>
        <w:t>45</w:t>
      </w:r>
      <w:r>
        <w:rPr>
          <w:rFonts w:ascii="Book Antiqua" w:eastAsia="Book Antiqua" w:hAnsi="Book Antiqua" w:cs="Book Antiqua"/>
          <w:color w:val="000000"/>
        </w:rPr>
        <w:t>: 300-327 [PMID: 25623506 DOI: 10.1111/cea.12468]</w:t>
      </w:r>
    </w:p>
    <w:bookmarkEnd w:id="6"/>
    <w:bookmarkEnd w:id="7"/>
    <w:p w14:paraId="31539C96" w14:textId="77777777" w:rsidR="001D7A68" w:rsidRDefault="001D7A68">
      <w:pPr>
        <w:spacing w:line="360" w:lineRule="auto"/>
        <w:jc w:val="both"/>
        <w:rPr>
          <w:rFonts w:ascii="Book Antiqua" w:hAnsi="Book Antiqua"/>
        </w:rPr>
        <w:sectPr w:rsidR="001D7A68">
          <w:pgSz w:w="12240" w:h="15840"/>
          <w:pgMar w:top="1440" w:right="1440" w:bottom="1440" w:left="1440" w:header="720" w:footer="720" w:gutter="0"/>
          <w:cols w:space="720"/>
          <w:docGrid w:linePitch="360"/>
        </w:sectPr>
      </w:pPr>
    </w:p>
    <w:p w14:paraId="6FAAFDEE" w14:textId="77777777" w:rsidR="001D7A68" w:rsidRDefault="00A70108">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0DDC92B1" w14:textId="6F310596" w:rsidR="001D7A68" w:rsidRDefault="00A70108">
      <w:pPr>
        <w:spacing w:line="360" w:lineRule="auto"/>
        <w:jc w:val="both"/>
        <w:rPr>
          <w:rFonts w:ascii="Book Antiqua" w:hAnsi="Book Antiqua"/>
        </w:rPr>
      </w:pPr>
      <w:r>
        <w:rPr>
          <w:rFonts w:ascii="Book Antiqua" w:eastAsia="Book Antiqua" w:hAnsi="Book Antiqua" w:cs="Book Antiqua"/>
          <w:b/>
          <w:bCs/>
          <w:color w:val="000000"/>
        </w:rPr>
        <w:t>Informed consent statement:</w:t>
      </w:r>
      <w:r>
        <w:rPr>
          <w:rFonts w:ascii="Book Antiqua" w:eastAsia="Book Antiqua" w:hAnsi="Book Antiqua" w:cs="Book Antiqua"/>
          <w:b/>
          <w:bCs/>
          <w:color w:val="000000"/>
        </w:rPr>
        <w:t xml:space="preserve"> </w:t>
      </w:r>
      <w:r w:rsidR="00C64FD4">
        <w:rPr>
          <w:rFonts w:ascii="Book Antiqua" w:eastAsia="Book Antiqua" w:hAnsi="Book Antiqua" w:cs="Book Antiqua"/>
          <w:color w:val="000000"/>
        </w:rPr>
        <w:t>Written informed consent was obtained from the patient for the publication of this case report and accompanying images and clinical data</w:t>
      </w:r>
      <w:r>
        <w:rPr>
          <w:rFonts w:ascii="Book Antiqua" w:eastAsia="Book Antiqua" w:hAnsi="Book Antiqua" w:cs="Book Antiqua"/>
          <w:color w:val="000000"/>
          <w:shd w:val="clear" w:color="auto" w:fill="FFFFFF"/>
        </w:rPr>
        <w:t>.</w:t>
      </w:r>
    </w:p>
    <w:p w14:paraId="61F45442" w14:textId="77777777" w:rsidR="001D7A68" w:rsidRDefault="001D7A68">
      <w:pPr>
        <w:spacing w:line="360" w:lineRule="auto"/>
        <w:jc w:val="both"/>
        <w:rPr>
          <w:rFonts w:ascii="Book Antiqua" w:hAnsi="Book Antiqua"/>
        </w:rPr>
      </w:pPr>
    </w:p>
    <w:p w14:paraId="75515E83" w14:textId="71DC59DC" w:rsidR="001D7A68" w:rsidRDefault="00A70108">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hd w:val="clear" w:color="auto" w:fill="FFFFFF"/>
        </w:rPr>
        <w:t>There is no conflict</w:t>
      </w:r>
      <w:r w:rsidR="00C64FD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C64FD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interest</w:t>
      </w:r>
      <w:r w:rsidR="00C64FD4">
        <w:rPr>
          <w:rFonts w:ascii="Book Antiqua" w:eastAsia="Book Antiqua" w:hAnsi="Book Antiqua" w:cs="Book Antiqua"/>
          <w:color w:val="000000"/>
          <w:shd w:val="clear" w:color="auto" w:fill="FFFFFF"/>
        </w:rPr>
        <w:t xml:space="preserve"> to report</w:t>
      </w:r>
      <w:r>
        <w:rPr>
          <w:rFonts w:ascii="Book Antiqua" w:eastAsia="Book Antiqua" w:hAnsi="Book Antiqua" w:cs="Book Antiqua"/>
          <w:color w:val="000000"/>
          <w:shd w:val="clear" w:color="auto" w:fill="FFFFFF"/>
        </w:rPr>
        <w:t>.</w:t>
      </w:r>
    </w:p>
    <w:p w14:paraId="4DA3AF11" w14:textId="77777777" w:rsidR="001D7A68" w:rsidRDefault="001D7A68">
      <w:pPr>
        <w:spacing w:line="360" w:lineRule="auto"/>
        <w:jc w:val="both"/>
        <w:rPr>
          <w:rFonts w:ascii="Book Antiqua" w:hAnsi="Book Antiqua"/>
        </w:rPr>
      </w:pPr>
    </w:p>
    <w:p w14:paraId="1B7FF32C" w14:textId="77777777" w:rsidR="001D7A68" w:rsidRDefault="00A70108">
      <w:pPr>
        <w:autoSpaceDE w:val="0"/>
        <w:autoSpaceDN w:val="0"/>
        <w:adjustRightInd w:val="0"/>
        <w:snapToGrid w:val="0"/>
        <w:spacing w:line="360" w:lineRule="auto"/>
        <w:jc w:val="both"/>
        <w:rPr>
          <w:rFonts w:ascii="Book Antiqua" w:hAnsi="Book Antiqua" w:cs="Garamond-Bold"/>
          <w:bCs/>
          <w:color w:val="000000" w:themeColor="text1"/>
        </w:rPr>
      </w:pPr>
      <w:r>
        <w:rPr>
          <w:rFonts w:ascii="Book Antiqua" w:eastAsia="Book Antiqua" w:hAnsi="Book Antiqua" w:cs="Book Antiqua"/>
          <w:b/>
          <w:bCs/>
          <w:color w:val="000000"/>
        </w:rPr>
        <w:t xml:space="preserve">CARE Checklist (2016) statement: </w:t>
      </w:r>
      <w:r>
        <w:rPr>
          <w:rFonts w:ascii="Book Antiqua" w:hAnsi="Book Antiqua" w:cs="Garamond"/>
          <w:color w:val="000000"/>
        </w:rPr>
        <w:t>The authors have read the CARE Checklist (2016), and the manuscript was prepared and revised according to the CARE Checklist (2016).</w:t>
      </w:r>
    </w:p>
    <w:p w14:paraId="16A0AA37" w14:textId="77777777" w:rsidR="001D7A68" w:rsidRDefault="001D7A68">
      <w:pPr>
        <w:spacing w:line="360" w:lineRule="auto"/>
        <w:jc w:val="both"/>
        <w:rPr>
          <w:rFonts w:ascii="Book Antiqua" w:hAnsi="Book Antiqua"/>
        </w:rPr>
      </w:pPr>
    </w:p>
    <w:p w14:paraId="2CAEC18B" w14:textId="77777777" w:rsidR="001D7A68" w:rsidRDefault="00A70108">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743C8DD" w14:textId="77777777" w:rsidR="001D7A68" w:rsidRDefault="001D7A68">
      <w:pPr>
        <w:spacing w:line="360" w:lineRule="auto"/>
        <w:jc w:val="both"/>
        <w:rPr>
          <w:rFonts w:ascii="Book Antiqua" w:hAnsi="Book Antiqua"/>
        </w:rPr>
      </w:pPr>
    </w:p>
    <w:p w14:paraId="0E7D982F" w14:textId="77777777" w:rsidR="001D7A68" w:rsidRDefault="00A70108">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03440B02" w14:textId="77777777" w:rsidR="001D7A68" w:rsidRDefault="001D7A68">
      <w:pPr>
        <w:spacing w:line="360" w:lineRule="auto"/>
        <w:jc w:val="both"/>
        <w:rPr>
          <w:rFonts w:ascii="Book Antiqua" w:hAnsi="Book Antiqua"/>
        </w:rPr>
      </w:pPr>
    </w:p>
    <w:p w14:paraId="64670D96" w14:textId="77777777" w:rsidR="001D7A68" w:rsidRDefault="00A70108">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31, 2021</w:t>
      </w:r>
    </w:p>
    <w:p w14:paraId="608126BC" w14:textId="77777777" w:rsidR="001D7A68" w:rsidRDefault="00A70108">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15, 2021</w:t>
      </w:r>
    </w:p>
    <w:p w14:paraId="55B7D2B6" w14:textId="77777777" w:rsidR="001D7A68" w:rsidRDefault="00A70108">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081B76D9" w14:textId="77777777" w:rsidR="001D7A68" w:rsidRDefault="001D7A68">
      <w:pPr>
        <w:spacing w:line="360" w:lineRule="auto"/>
        <w:jc w:val="both"/>
        <w:rPr>
          <w:rFonts w:ascii="Book Antiqua" w:hAnsi="Book Antiqua"/>
        </w:rPr>
      </w:pPr>
    </w:p>
    <w:p w14:paraId="20AB176F" w14:textId="77777777" w:rsidR="001D7A68" w:rsidRDefault="00A70108">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8" w:name="OLE_LINK1952"/>
      <w:bookmarkStart w:id="9" w:name="OLE_LINK1953"/>
      <w:bookmarkStart w:id="10" w:name="OLE_LINK2066"/>
      <w:r>
        <w:rPr>
          <w:rFonts w:ascii="Book Antiqua" w:eastAsia="微软雅黑" w:hAnsi="Book Antiqua" w:cs="宋体"/>
        </w:rPr>
        <w:t>Medicine, research and experimental</w:t>
      </w:r>
      <w:bookmarkEnd w:id="8"/>
      <w:bookmarkEnd w:id="9"/>
      <w:bookmarkEnd w:id="10"/>
    </w:p>
    <w:p w14:paraId="5EAEC46E" w14:textId="77777777" w:rsidR="001D7A68" w:rsidRDefault="00A70108">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1B29842" w14:textId="77777777" w:rsidR="001D7A68" w:rsidRDefault="00A70108">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6B88162F" w14:textId="77777777" w:rsidR="001D7A68" w:rsidRDefault="00A70108">
      <w:pPr>
        <w:spacing w:line="360" w:lineRule="auto"/>
        <w:jc w:val="both"/>
        <w:rPr>
          <w:rFonts w:ascii="Book Antiqua" w:hAnsi="Book Antiqua"/>
        </w:rPr>
      </w:pPr>
      <w:r>
        <w:rPr>
          <w:rFonts w:ascii="Book Antiqua" w:eastAsia="Book Antiqua" w:hAnsi="Book Antiqua" w:cs="Book Antiqua"/>
          <w:color w:val="000000"/>
        </w:rPr>
        <w:t>Grade A (Excellent): 0</w:t>
      </w:r>
    </w:p>
    <w:p w14:paraId="5EC7ECCD" w14:textId="77777777" w:rsidR="001D7A68" w:rsidRDefault="00A70108">
      <w:pPr>
        <w:spacing w:line="360" w:lineRule="auto"/>
        <w:jc w:val="both"/>
        <w:rPr>
          <w:rFonts w:ascii="Book Antiqua" w:hAnsi="Book Antiqua"/>
        </w:rPr>
      </w:pPr>
      <w:r>
        <w:rPr>
          <w:rFonts w:ascii="Book Antiqua" w:eastAsia="Book Antiqua" w:hAnsi="Book Antiqua" w:cs="Book Antiqua"/>
          <w:color w:val="000000"/>
        </w:rPr>
        <w:t>Grade B (Very good): 0</w:t>
      </w:r>
    </w:p>
    <w:p w14:paraId="36D46BAF" w14:textId="77777777" w:rsidR="001D7A68" w:rsidRDefault="00A70108">
      <w:pPr>
        <w:spacing w:line="360" w:lineRule="auto"/>
        <w:jc w:val="both"/>
        <w:rPr>
          <w:rFonts w:ascii="Book Antiqua" w:hAnsi="Book Antiqua"/>
        </w:rPr>
      </w:pPr>
      <w:r>
        <w:rPr>
          <w:rFonts w:ascii="Book Antiqua" w:eastAsia="Book Antiqua" w:hAnsi="Book Antiqua" w:cs="Book Antiqua"/>
          <w:color w:val="000000"/>
        </w:rPr>
        <w:t>Grade C (Good): C, C</w:t>
      </w:r>
    </w:p>
    <w:p w14:paraId="0E33F20B" w14:textId="77777777" w:rsidR="001D7A68" w:rsidRDefault="00A70108">
      <w:pPr>
        <w:spacing w:line="360" w:lineRule="auto"/>
        <w:jc w:val="both"/>
        <w:rPr>
          <w:rFonts w:ascii="Book Antiqua" w:hAnsi="Book Antiqua"/>
        </w:rPr>
      </w:pPr>
      <w:r>
        <w:rPr>
          <w:rFonts w:ascii="Book Antiqua" w:eastAsia="Book Antiqua" w:hAnsi="Book Antiqua" w:cs="Book Antiqua"/>
          <w:color w:val="000000"/>
        </w:rPr>
        <w:t>Grade D (Fair): 0</w:t>
      </w:r>
    </w:p>
    <w:p w14:paraId="79D93ED3" w14:textId="77777777" w:rsidR="001D7A68" w:rsidRDefault="00A70108">
      <w:pPr>
        <w:spacing w:line="360" w:lineRule="auto"/>
        <w:jc w:val="both"/>
        <w:rPr>
          <w:rFonts w:ascii="Book Antiqua" w:hAnsi="Book Antiqua"/>
        </w:rPr>
      </w:pPr>
      <w:r>
        <w:rPr>
          <w:rFonts w:ascii="Book Antiqua" w:eastAsia="Book Antiqua" w:hAnsi="Book Antiqua" w:cs="Book Antiqua"/>
          <w:color w:val="000000"/>
        </w:rPr>
        <w:lastRenderedPageBreak/>
        <w:t>Grade E (Poor): 0</w:t>
      </w:r>
    </w:p>
    <w:p w14:paraId="1E4C12A6" w14:textId="77777777" w:rsidR="001D7A68" w:rsidRDefault="001D7A68">
      <w:pPr>
        <w:spacing w:line="360" w:lineRule="auto"/>
        <w:jc w:val="both"/>
        <w:rPr>
          <w:rFonts w:ascii="Book Antiqua" w:hAnsi="Book Antiqua"/>
        </w:rPr>
      </w:pPr>
    </w:p>
    <w:p w14:paraId="677436A8" w14:textId="18CB4F80" w:rsidR="001D7A68" w:rsidRDefault="00A70108">
      <w:pPr>
        <w:spacing w:line="360" w:lineRule="auto"/>
        <w:jc w:val="both"/>
        <w:rPr>
          <w:rFonts w:ascii="Book Antiqua" w:hAnsi="Book Antiqua"/>
        </w:rPr>
        <w:sectPr w:rsidR="001D7A68">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Giorgio A, Lee JJX</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w:t>
      </w:r>
      <w:r>
        <w:rPr>
          <w:rFonts w:ascii="Book Antiqua" w:eastAsia="Book Antiqua" w:hAnsi="Book Antiqua" w:cs="Book Antiqua"/>
          <w:b/>
          <w:color w:val="000000"/>
        </w:rPr>
        <w:t xml:space="preserve">itor: </w:t>
      </w:r>
      <w:r w:rsidR="003F05F1" w:rsidRPr="0035530D">
        <w:rPr>
          <w:rFonts w:ascii="Book Antiqua" w:eastAsia="Book Antiqua" w:hAnsi="Book Antiqua" w:cs="Book Antiqua"/>
          <w:color w:val="000000"/>
        </w:rPr>
        <w:t>Wang TQ</w:t>
      </w:r>
      <w:r>
        <w:rPr>
          <w:rFonts w:ascii="Book Antiqua" w:eastAsia="Book Antiqua" w:hAnsi="Book Antiqua" w:cs="Book Antiqua"/>
          <w:b/>
          <w:color w:val="000000"/>
        </w:rPr>
        <w:t xml:space="preserve"> P-Edit</w:t>
      </w:r>
      <w:r>
        <w:rPr>
          <w:rFonts w:ascii="Book Antiqua" w:eastAsia="Book Antiqua" w:hAnsi="Book Antiqua" w:cs="Book Antiqua"/>
          <w:b/>
          <w:color w:val="000000"/>
        </w:rPr>
        <w:t xml:space="preserve">or: </w:t>
      </w:r>
    </w:p>
    <w:p w14:paraId="7061A864" w14:textId="77777777" w:rsidR="001D7A68" w:rsidRDefault="00A70108">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6D85EA9A" w14:textId="77777777" w:rsidR="001D7A68" w:rsidRDefault="00A70108">
      <w:pPr>
        <w:spacing w:line="360" w:lineRule="auto"/>
        <w:jc w:val="both"/>
        <w:rPr>
          <w:rFonts w:ascii="Book Antiqua" w:hAnsi="Book Antiqua"/>
        </w:rPr>
      </w:pPr>
      <w:r>
        <w:rPr>
          <w:rFonts w:ascii="Book Antiqua" w:hAnsi="Book Antiqua"/>
          <w:noProof/>
          <w:lang w:eastAsia="zh-CN"/>
        </w:rPr>
        <w:drawing>
          <wp:inline distT="0" distB="0" distL="0" distR="0" wp14:anchorId="43B6456E" wp14:editId="429275DC">
            <wp:extent cx="5943600" cy="22567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943600" cy="2256790"/>
                    </a:xfrm>
                    <a:prstGeom prst="rect">
                      <a:avLst/>
                    </a:prstGeom>
                  </pic:spPr>
                </pic:pic>
              </a:graphicData>
            </a:graphic>
          </wp:inline>
        </w:drawing>
      </w:r>
    </w:p>
    <w:p w14:paraId="458613E6" w14:textId="2DB4B0C9" w:rsidR="001D7A68" w:rsidRPr="009C58AF" w:rsidRDefault="00A70108">
      <w:pPr>
        <w:spacing w:line="360" w:lineRule="auto"/>
        <w:jc w:val="both"/>
        <w:rPr>
          <w:rFonts w:ascii="Book Antiqua" w:hAnsi="Book Antiqua"/>
        </w:rPr>
      </w:pPr>
      <w:r>
        <w:rPr>
          <w:rFonts w:ascii="Book Antiqua" w:eastAsia="Book Antiqua" w:hAnsi="Book Antiqua" w:cs="Book Antiqua"/>
          <w:b/>
          <w:bCs/>
          <w:color w:val="000000"/>
          <w:shd w:val="clear" w:color="auto" w:fill="FFFFFF"/>
        </w:rPr>
        <w:t xml:space="preserve">Figure 1 Abdominal contrast-enhanced computed tomography at 1.5 years after right radical hepatectomy. </w:t>
      </w:r>
      <w:r w:rsidR="009C58AF" w:rsidRPr="009C58AF">
        <w:rPr>
          <w:rFonts w:ascii="Book Antiqua" w:eastAsia="Book Antiqua" w:hAnsi="Book Antiqua" w:cs="Book Antiqua"/>
          <w:shd w:val="clear" w:color="auto" w:fill="FFFFFF"/>
        </w:rPr>
        <w:t>A:</w:t>
      </w:r>
      <w:r w:rsidR="009C58AF" w:rsidRPr="009C58AF">
        <w:rPr>
          <w:rFonts w:ascii="Book Antiqua" w:eastAsia="Book Antiqua" w:hAnsi="Book Antiqua" w:cs="Book Antiqua"/>
          <w:b/>
          <w:bCs/>
          <w:shd w:val="clear" w:color="auto" w:fill="FFFFFF"/>
        </w:rPr>
        <w:t xml:space="preserve"> </w:t>
      </w:r>
      <w:r w:rsidRPr="009C58AF">
        <w:rPr>
          <w:rFonts w:ascii="Book Antiqua" w:eastAsia="Book Antiqua" w:hAnsi="Book Antiqua" w:cs="Book Antiqua"/>
          <w:shd w:val="clear" w:color="auto" w:fill="FFFFFF"/>
        </w:rPr>
        <w:t>Computed tomography showed multipl</w:t>
      </w:r>
      <w:bookmarkStart w:id="11" w:name="_GoBack"/>
      <w:r w:rsidRPr="009C58AF">
        <w:rPr>
          <w:rFonts w:ascii="Book Antiqua" w:eastAsia="Book Antiqua" w:hAnsi="Book Antiqua" w:cs="Book Antiqua"/>
          <w:shd w:val="clear" w:color="auto" w:fill="FFFFFF"/>
        </w:rPr>
        <w:t>e recurrence</w:t>
      </w:r>
      <w:r w:rsidR="003F05F1">
        <w:rPr>
          <w:rFonts w:ascii="Book Antiqua" w:eastAsia="Book Antiqua" w:hAnsi="Book Antiqua" w:cs="Book Antiqua"/>
          <w:shd w:val="clear" w:color="auto" w:fill="FFFFFF"/>
        </w:rPr>
        <w:t>s</w:t>
      </w:r>
      <w:r w:rsidRPr="009C58AF">
        <w:rPr>
          <w:rFonts w:ascii="Book Antiqua" w:eastAsia="Book Antiqua" w:hAnsi="Book Antiqua" w:cs="Book Antiqua"/>
          <w:shd w:val="clear" w:color="auto" w:fill="FFFFFF"/>
        </w:rPr>
        <w:t xml:space="preserve"> of intrahepatic tumors</w:t>
      </w:r>
      <w:r w:rsidR="009C58AF" w:rsidRPr="009C58AF">
        <w:rPr>
          <w:rFonts w:ascii="Book Antiqua" w:eastAsia="Book Antiqua" w:hAnsi="Book Antiqua" w:cs="Book Antiqua"/>
          <w:shd w:val="clear" w:color="auto" w:fill="FFFFFF"/>
        </w:rPr>
        <w:t>;</w:t>
      </w:r>
      <w:r w:rsidRPr="009C58AF">
        <w:rPr>
          <w:rFonts w:ascii="Book Antiqua" w:eastAsia="宋体" w:hAnsi="Book Antiqua" w:cs="Book Antiqua" w:hint="eastAsia"/>
          <w:shd w:val="clear" w:color="auto" w:fill="FFFFFF"/>
          <w:lang w:eastAsia="zh-CN"/>
        </w:rPr>
        <w:t xml:space="preserve"> </w:t>
      </w:r>
      <w:r w:rsidR="009C58AF" w:rsidRPr="009C58AF">
        <w:rPr>
          <w:rFonts w:ascii="Book Antiqua" w:eastAsia="宋体" w:hAnsi="Book Antiqua" w:cs="Book Antiqua"/>
          <w:shd w:val="clear" w:color="auto" w:fill="FFFFFF"/>
          <w:lang w:eastAsia="zh-CN"/>
        </w:rPr>
        <w:t>B:</w:t>
      </w:r>
      <w:r w:rsidRPr="009C58AF">
        <w:rPr>
          <w:rFonts w:ascii="Book Antiqua" w:eastAsia="Book Antiqua" w:hAnsi="Book Antiqua" w:cs="Book Antiqua"/>
          <w:shd w:val="clear" w:color="auto" w:fill="FFFFFF"/>
        </w:rPr>
        <w:t xml:space="preserve"> </w:t>
      </w:r>
      <w:r w:rsidR="009C58AF" w:rsidRPr="009C58AF">
        <w:rPr>
          <w:rFonts w:ascii="Book Antiqua" w:eastAsia="Book Antiqua" w:hAnsi="Book Antiqua" w:cs="Book Antiqua"/>
          <w:shd w:val="clear" w:color="auto" w:fill="FFFFFF"/>
        </w:rPr>
        <w:t xml:space="preserve">Computed tomography showed </w:t>
      </w:r>
      <w:r w:rsidRPr="009C58AF">
        <w:rPr>
          <w:rFonts w:ascii="Book Antiqua" w:eastAsia="Book Antiqua" w:hAnsi="Book Antiqua" w:cs="Book Antiqua"/>
          <w:shd w:val="clear" w:color="auto" w:fill="FFFFFF"/>
        </w:rPr>
        <w:t>invasion of the inferior vena cava and</w:t>
      </w:r>
      <w:r w:rsidR="003F05F1">
        <w:rPr>
          <w:rFonts w:ascii="Book Antiqua" w:eastAsia="Book Antiqua" w:hAnsi="Book Antiqua" w:cs="Book Antiqua"/>
          <w:shd w:val="clear" w:color="auto" w:fill="FFFFFF"/>
        </w:rPr>
        <w:t xml:space="preserve"> the</w:t>
      </w:r>
      <w:r w:rsidRPr="009C58AF">
        <w:rPr>
          <w:rFonts w:ascii="Book Antiqua" w:eastAsia="Book Antiqua" w:hAnsi="Book Antiqua" w:cs="Book Antiqua"/>
          <w:shd w:val="clear" w:color="auto" w:fill="FFFFFF"/>
        </w:rPr>
        <w:t xml:space="preserve"> right branch of </w:t>
      </w:r>
      <w:r w:rsidR="003F05F1">
        <w:rPr>
          <w:rFonts w:ascii="Book Antiqua" w:eastAsia="Book Antiqua" w:hAnsi="Book Antiqua" w:cs="Book Antiqua"/>
          <w:shd w:val="clear" w:color="auto" w:fill="FFFFFF"/>
        </w:rPr>
        <w:t xml:space="preserve">the </w:t>
      </w:r>
      <w:r w:rsidRPr="009C58AF">
        <w:rPr>
          <w:rFonts w:ascii="Book Antiqua" w:eastAsia="Book Antiqua" w:hAnsi="Book Antiqua" w:cs="Book Antiqua"/>
          <w:shd w:val="clear" w:color="auto" w:fill="FFFFFF"/>
        </w:rPr>
        <w:t>portal vein</w:t>
      </w:r>
      <w:r w:rsidR="009C58AF">
        <w:rPr>
          <w:rFonts w:ascii="Book Antiqua" w:eastAsia="Book Antiqua" w:hAnsi="Book Antiqua" w:cs="Book Antiqua"/>
          <w:shd w:val="clear" w:color="auto" w:fill="FFFFFF"/>
        </w:rPr>
        <w:t>;</w:t>
      </w:r>
      <w:r w:rsidRPr="009C58AF">
        <w:rPr>
          <w:rFonts w:ascii="Book Antiqua" w:eastAsia="Book Antiqua" w:hAnsi="Book Antiqua" w:cs="Book Antiqua"/>
          <w:shd w:val="clear" w:color="auto" w:fill="FFFFFF"/>
        </w:rPr>
        <w:t xml:space="preserve"> </w:t>
      </w:r>
      <w:r w:rsidR="009C58AF" w:rsidRPr="009C58AF">
        <w:rPr>
          <w:rFonts w:ascii="Book Antiqua" w:eastAsia="Book Antiqua" w:hAnsi="Book Antiqua" w:cs="Book Antiqua"/>
          <w:shd w:val="clear" w:color="auto" w:fill="FFFFFF"/>
        </w:rPr>
        <w:t>C: Computed tomography sh</w:t>
      </w:r>
      <w:bookmarkEnd w:id="11"/>
      <w:r w:rsidR="009C58AF" w:rsidRPr="009C58AF">
        <w:rPr>
          <w:rFonts w:ascii="Book Antiqua" w:eastAsia="Book Antiqua" w:hAnsi="Book Antiqua" w:cs="Book Antiqua"/>
          <w:shd w:val="clear" w:color="auto" w:fill="FFFFFF"/>
        </w:rPr>
        <w:t xml:space="preserve">owed </w:t>
      </w:r>
      <w:r w:rsidRPr="009C58AF">
        <w:rPr>
          <w:rFonts w:ascii="Book Antiqua" w:eastAsia="Book Antiqua" w:hAnsi="Book Antiqua" w:cs="Book Antiqua"/>
          <w:shd w:val="clear" w:color="auto" w:fill="FFFFFF"/>
        </w:rPr>
        <w:t xml:space="preserve">tumor thrombus formation in the inferior vena cava and left atrium. </w:t>
      </w:r>
    </w:p>
    <w:sectPr w:rsidR="001D7A68" w:rsidRPr="009C58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1FE74" w14:textId="77777777" w:rsidR="006C6B1F" w:rsidRDefault="006C6B1F">
      <w:r>
        <w:separator/>
      </w:r>
    </w:p>
  </w:endnote>
  <w:endnote w:type="continuationSeparator" w:id="0">
    <w:p w14:paraId="40C6DD1D" w14:textId="77777777" w:rsidR="006C6B1F" w:rsidRDefault="006C6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0C47A" w14:textId="77777777" w:rsidR="001D7A68" w:rsidRDefault="00A70108">
    <w:pPr>
      <w:pStyle w:val="a4"/>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35530D" w:rsidRPr="0035530D">
      <w:rPr>
        <w:rFonts w:ascii="Book Antiqua" w:hAnsi="Book Antiqua"/>
        <w:noProof/>
        <w:color w:val="000000" w:themeColor="text1"/>
        <w:sz w:val="24"/>
        <w:szCs w:val="24"/>
        <w:lang w:val="zh-CN" w:eastAsia="zh-CN"/>
      </w:rPr>
      <w:t>16</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35530D" w:rsidRPr="0035530D">
      <w:rPr>
        <w:rFonts w:ascii="Book Antiqua" w:hAnsi="Book Antiqua"/>
        <w:noProof/>
        <w:color w:val="000000" w:themeColor="text1"/>
        <w:sz w:val="24"/>
        <w:szCs w:val="24"/>
        <w:lang w:val="zh-CN" w:eastAsia="zh-CN"/>
      </w:rPr>
      <w:t>16</w:t>
    </w:r>
    <w:r>
      <w:rPr>
        <w:rFonts w:ascii="Book Antiqua" w:hAnsi="Book Antiqua"/>
        <w:color w:val="000000" w:themeColor="text1"/>
        <w:sz w:val="24"/>
        <w:szCs w:val="24"/>
      </w:rPr>
      <w:fldChar w:fldCharType="end"/>
    </w:r>
  </w:p>
  <w:p w14:paraId="300E5B1B" w14:textId="77777777" w:rsidR="001D7A68" w:rsidRDefault="001D7A6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2C02F" w14:textId="77777777" w:rsidR="006C6B1F" w:rsidRDefault="006C6B1F">
      <w:r>
        <w:separator/>
      </w:r>
    </w:p>
  </w:footnote>
  <w:footnote w:type="continuationSeparator" w:id="0">
    <w:p w14:paraId="69F3CEBB" w14:textId="77777777" w:rsidR="006C6B1F" w:rsidRDefault="006C6B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F1D"/>
    <w:rsid w:val="00012B49"/>
    <w:rsid w:val="000150FA"/>
    <w:rsid w:val="00015DA8"/>
    <w:rsid w:val="000924C3"/>
    <w:rsid w:val="0010349E"/>
    <w:rsid w:val="001C7450"/>
    <w:rsid w:val="001D70FB"/>
    <w:rsid w:val="001D7A68"/>
    <w:rsid w:val="001E503B"/>
    <w:rsid w:val="002458FE"/>
    <w:rsid w:val="00295952"/>
    <w:rsid w:val="0035530D"/>
    <w:rsid w:val="003E59BA"/>
    <w:rsid w:val="003F05F1"/>
    <w:rsid w:val="00524727"/>
    <w:rsid w:val="00564524"/>
    <w:rsid w:val="006A5BB0"/>
    <w:rsid w:val="006C6B1F"/>
    <w:rsid w:val="006D274C"/>
    <w:rsid w:val="00702D77"/>
    <w:rsid w:val="007234E5"/>
    <w:rsid w:val="007D0F48"/>
    <w:rsid w:val="007D53CD"/>
    <w:rsid w:val="007E4D4B"/>
    <w:rsid w:val="00824D1C"/>
    <w:rsid w:val="008303BB"/>
    <w:rsid w:val="00834F57"/>
    <w:rsid w:val="008D6D17"/>
    <w:rsid w:val="009C58AF"/>
    <w:rsid w:val="009E3E29"/>
    <w:rsid w:val="00A70108"/>
    <w:rsid w:val="00A7350A"/>
    <w:rsid w:val="00A77B3E"/>
    <w:rsid w:val="00AA0EC9"/>
    <w:rsid w:val="00B75388"/>
    <w:rsid w:val="00C041C4"/>
    <w:rsid w:val="00C64FD4"/>
    <w:rsid w:val="00CA2A55"/>
    <w:rsid w:val="00D051C0"/>
    <w:rsid w:val="00D30E99"/>
    <w:rsid w:val="00DC1B04"/>
    <w:rsid w:val="00E65E61"/>
    <w:rsid w:val="00EE5DF5"/>
    <w:rsid w:val="00F22585"/>
    <w:rsid w:val="00FF277B"/>
    <w:rsid w:val="17632A53"/>
    <w:rsid w:val="44115E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CAAB87"/>
  <w15:docId w15:val="{CB8B96C3-6BB8-4528-AEE3-46404F8A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footer"/>
    <w:basedOn w:val="a"/>
    <w:link w:val="Char0"/>
    <w:uiPriority w:val="99"/>
    <w:qFormat/>
    <w:pPr>
      <w:tabs>
        <w:tab w:val="center" w:pos="4153"/>
        <w:tab w:val="right" w:pos="8306"/>
      </w:tabs>
      <w:snapToGrid w:val="0"/>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pPr>
      <w:spacing w:beforeAutospacing="1" w:afterAutospacing="1"/>
    </w:pPr>
    <w:rPr>
      <w:lang w:eastAsia="zh-CN"/>
    </w:rPr>
  </w:style>
  <w:style w:type="paragraph" w:styleId="a7">
    <w:name w:val="annotation subject"/>
    <w:basedOn w:val="a3"/>
    <w:next w:val="a3"/>
    <w:link w:val="Char2"/>
    <w:qFormat/>
    <w:rPr>
      <w:b/>
      <w:bCs/>
    </w:rPr>
  </w:style>
  <w:style w:type="character" w:styleId="a8">
    <w:name w:val="annotation reference"/>
    <w:basedOn w:val="a0"/>
    <w:rPr>
      <w:sz w:val="21"/>
      <w:szCs w:val="21"/>
    </w:rPr>
  </w:style>
  <w:style w:type="character" w:customStyle="1" w:styleId="Char1">
    <w:name w:val="页眉 Char"/>
    <w:basedOn w:val="a0"/>
    <w:link w:val="a5"/>
    <w:qFormat/>
    <w:rPr>
      <w:rFonts w:eastAsia="Times New Roman"/>
      <w:sz w:val="18"/>
      <w:szCs w:val="18"/>
      <w:lang w:eastAsia="en-US"/>
    </w:rPr>
  </w:style>
  <w:style w:type="character" w:customStyle="1" w:styleId="Char0">
    <w:name w:val="页脚 Char"/>
    <w:basedOn w:val="a0"/>
    <w:link w:val="a4"/>
    <w:uiPriority w:val="99"/>
    <w:rPr>
      <w:rFonts w:eastAsia="Times New Roman"/>
      <w:sz w:val="18"/>
      <w:szCs w:val="18"/>
      <w:lang w:eastAsia="en-US"/>
    </w:rPr>
  </w:style>
  <w:style w:type="character" w:customStyle="1" w:styleId="jlqj4b">
    <w:name w:val="jlqj4b"/>
    <w:basedOn w:val="a0"/>
  </w:style>
  <w:style w:type="character" w:customStyle="1" w:styleId="Char">
    <w:name w:val="批注文字 Char"/>
    <w:basedOn w:val="a0"/>
    <w:link w:val="a3"/>
    <w:qFormat/>
    <w:rPr>
      <w:rFonts w:eastAsia="Times New Roman"/>
      <w:sz w:val="24"/>
      <w:szCs w:val="24"/>
      <w:lang w:eastAsia="en-US"/>
    </w:rPr>
  </w:style>
  <w:style w:type="character" w:customStyle="1" w:styleId="Char2">
    <w:name w:val="批注主题 Char"/>
    <w:basedOn w:val="Char"/>
    <w:link w:val="a7"/>
    <w:qFormat/>
    <w:rPr>
      <w:rFonts w:eastAsia="Times New Roman"/>
      <w:b/>
      <w:bCs/>
      <w:sz w:val="24"/>
      <w:szCs w:val="24"/>
      <w:lang w:eastAsia="en-US"/>
    </w:rPr>
  </w:style>
  <w:style w:type="paragraph" w:styleId="a9">
    <w:name w:val="Balloon Text"/>
    <w:basedOn w:val="a"/>
    <w:link w:val="Char3"/>
    <w:rsid w:val="000150FA"/>
    <w:rPr>
      <w:sz w:val="18"/>
      <w:szCs w:val="18"/>
    </w:rPr>
  </w:style>
  <w:style w:type="character" w:customStyle="1" w:styleId="Char3">
    <w:name w:val="批注框文本 Char"/>
    <w:basedOn w:val="a0"/>
    <w:link w:val="a9"/>
    <w:rsid w:val="000150FA"/>
    <w:rPr>
      <w:rFonts w:eastAsia="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3562</Words>
  <Characters>20309</Characters>
  <Application>Microsoft Office Word</Application>
  <DocSecurity>0</DocSecurity>
  <Lines>169</Lines>
  <Paragraphs>47</Paragraphs>
  <ScaleCrop>false</ScaleCrop>
  <Company/>
  <LinksUpToDate>false</LinksUpToDate>
  <CharactersWithSpaces>23824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ibm</cp:lastModifiedBy>
  <cp:revision>3</cp:revision>
  <dcterms:created xsi:type="dcterms:W3CDTF">2021-04-04T10:34:00Z</dcterms:created>
  <dcterms:modified xsi:type="dcterms:W3CDTF">2021-04-04T10:36:00Z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CDDF183010FA44F49A912C6DFEAE80E1</vt:lpwstr>
  </property>
</Properties>
</file>