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8DFD2" w14:textId="77777777" w:rsidR="005D0CCA" w:rsidRDefault="006041CB">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44F5C40" w14:textId="77777777" w:rsidR="005D0CCA" w:rsidRDefault="006041C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63818</w:t>
      </w:r>
    </w:p>
    <w:p w14:paraId="4392B860" w14:textId="77777777" w:rsidR="005D0CCA" w:rsidRDefault="006041C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EB80C65" w14:textId="77777777" w:rsidR="005D0CCA" w:rsidRDefault="005D0CCA">
      <w:pPr>
        <w:spacing w:line="360" w:lineRule="auto"/>
        <w:jc w:val="both"/>
      </w:pPr>
    </w:p>
    <w:p w14:paraId="25C07082" w14:textId="77777777" w:rsidR="005D0CCA" w:rsidRDefault="006041CB">
      <w:pPr>
        <w:spacing w:line="360" w:lineRule="auto"/>
        <w:jc w:val="both"/>
      </w:pPr>
      <w:r>
        <w:rPr>
          <w:rFonts w:ascii="Book Antiqua" w:eastAsia="Book Antiqua" w:hAnsi="Book Antiqua" w:cs="Book Antiqua"/>
          <w:b/>
          <w:bCs/>
          <w:color w:val="000000"/>
          <w:szCs w:val="32"/>
        </w:rPr>
        <w:t>Central pontine myelinolysis mimicking glioma in diabetes: A case report</w:t>
      </w:r>
    </w:p>
    <w:p w14:paraId="62A901C4" w14:textId="77777777" w:rsidR="005D0CCA" w:rsidRDefault="005D0CCA">
      <w:pPr>
        <w:spacing w:line="360" w:lineRule="auto"/>
        <w:jc w:val="both"/>
      </w:pPr>
    </w:p>
    <w:p w14:paraId="08B5B48B" w14:textId="77777777" w:rsidR="005D0CCA" w:rsidRDefault="006041CB">
      <w:pPr>
        <w:spacing w:line="360" w:lineRule="auto"/>
        <w:jc w:val="both"/>
      </w:pPr>
      <w:r>
        <w:rPr>
          <w:rFonts w:ascii="Book Antiqua" w:eastAsia="Book Antiqua" w:hAnsi="Book Antiqua" w:cs="Book Antiqua"/>
          <w:color w:val="000000"/>
        </w:rPr>
        <w:t xml:space="preserve">Shi XY </w:t>
      </w:r>
      <w:r>
        <w:rPr>
          <w:rFonts w:ascii="Book Antiqua" w:eastAsia="Book Antiqua" w:hAnsi="Book Antiqua" w:cs="Book Antiqua"/>
          <w:i/>
          <w:iCs/>
          <w:color w:val="000000"/>
        </w:rPr>
        <w:t>et al</w:t>
      </w:r>
      <w:r>
        <w:rPr>
          <w:rFonts w:ascii="Book Antiqua" w:eastAsia="Book Antiqua" w:hAnsi="Book Antiqua" w:cs="Book Antiqua"/>
          <w:color w:val="000000"/>
        </w:rPr>
        <w:t>. Tumor-like imaging in diabetes</w:t>
      </w:r>
    </w:p>
    <w:p w14:paraId="3DDBE108" w14:textId="77777777" w:rsidR="005D0CCA" w:rsidRDefault="005D0CCA">
      <w:pPr>
        <w:spacing w:line="360" w:lineRule="auto"/>
        <w:jc w:val="both"/>
      </w:pPr>
    </w:p>
    <w:p w14:paraId="3754D403" w14:textId="77777777" w:rsidR="005D0CCA" w:rsidRDefault="006041CB">
      <w:pPr>
        <w:spacing w:line="360" w:lineRule="auto"/>
        <w:jc w:val="both"/>
      </w:pPr>
      <w:r>
        <w:rPr>
          <w:rFonts w:ascii="Book Antiqua" w:eastAsia="Book Antiqua" w:hAnsi="Book Antiqua" w:cs="Book Antiqua"/>
          <w:color w:val="000000"/>
        </w:rPr>
        <w:t xml:space="preserve">Xiao-Yong Shi,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-Ting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Shen,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-Xia Zhang</w:t>
      </w:r>
    </w:p>
    <w:p w14:paraId="4C564457" w14:textId="77777777" w:rsidR="005D0CCA" w:rsidRDefault="005D0CCA">
      <w:pPr>
        <w:spacing w:line="360" w:lineRule="auto"/>
        <w:jc w:val="both"/>
      </w:pPr>
    </w:p>
    <w:p w14:paraId="2488A1DD" w14:textId="77777777" w:rsidR="005D0CCA" w:rsidRDefault="006041CB">
      <w:pPr>
        <w:spacing w:line="360" w:lineRule="auto"/>
        <w:jc w:val="both"/>
      </w:pPr>
      <w:r>
        <w:rPr>
          <w:rFonts w:ascii="Book Antiqua" w:eastAsia="Book Antiqua" w:hAnsi="Book Antiqua" w:cs="Book Antiqua"/>
          <w:b/>
          <w:bCs/>
          <w:color w:val="000000"/>
        </w:rPr>
        <w:t xml:space="preserve">Xiao-Yong Shi, </w:t>
      </w:r>
      <w:r>
        <w:rPr>
          <w:rFonts w:ascii="Book Antiqua" w:eastAsia="Book Antiqua" w:hAnsi="Book Antiqua" w:cs="Book Antiqua"/>
          <w:color w:val="000000"/>
        </w:rPr>
        <w:t>Department of Brain Center, Affiliated Zhejiang Hospital, Zhejiang University School of Medicine, Hangzhou 310000, Zhejiang Province, China</w:t>
      </w:r>
    </w:p>
    <w:p w14:paraId="28B6501D" w14:textId="77777777" w:rsidR="005D0CCA" w:rsidRDefault="005D0CCA">
      <w:pPr>
        <w:spacing w:line="360" w:lineRule="auto"/>
        <w:jc w:val="both"/>
      </w:pPr>
    </w:p>
    <w:p w14:paraId="752C1E2E" w14:textId="77777777" w:rsidR="005D0CCA" w:rsidRDefault="006041CB">
      <w:pPr>
        <w:spacing w:line="360" w:lineRule="auto"/>
        <w:jc w:val="both"/>
      </w:pPr>
      <w:r>
        <w:rPr>
          <w:rFonts w:ascii="Book Antiqua" w:eastAsia="Book Antiqua" w:hAnsi="Book Antiqua" w:cs="Book Antiqua"/>
          <w:b/>
          <w:bCs/>
          <w:color w:val="000000"/>
        </w:rPr>
        <w:t xml:space="preserve">Meng-Ting Cai, </w:t>
      </w:r>
      <w:r>
        <w:rPr>
          <w:rFonts w:ascii="Book Antiqua" w:eastAsia="Book Antiqua" w:hAnsi="Book Antiqua" w:cs="Book Antiqua"/>
          <w:color w:val="000000"/>
        </w:rPr>
        <w:t>Department of Neurology, The Second Affiliated Hospital, School of Medicine, Zhejiang University, Hangzhou 310000, Zhejiang Province, China</w:t>
      </w:r>
    </w:p>
    <w:p w14:paraId="388ECD03" w14:textId="77777777" w:rsidR="005D0CCA" w:rsidRDefault="005D0CCA">
      <w:pPr>
        <w:spacing w:line="360" w:lineRule="auto"/>
        <w:jc w:val="both"/>
      </w:pPr>
    </w:p>
    <w:p w14:paraId="595BC122" w14:textId="77777777" w:rsidR="005D0CCA" w:rsidRDefault="006041CB">
      <w:pPr>
        <w:spacing w:line="360" w:lineRule="auto"/>
        <w:jc w:val="both"/>
      </w:pPr>
      <w:r>
        <w:rPr>
          <w:rFonts w:ascii="Book Antiqua" w:eastAsia="Book Antiqua" w:hAnsi="Book Antiqua" w:cs="Book Antiqua"/>
          <w:b/>
          <w:bCs/>
          <w:color w:val="000000"/>
        </w:rPr>
        <w:t xml:space="preserve">Hao Shen, </w:t>
      </w:r>
      <w:r>
        <w:rPr>
          <w:rFonts w:ascii="Book Antiqua" w:eastAsia="Book Antiqua" w:hAnsi="Book Antiqua" w:cs="Book Antiqua"/>
          <w:color w:val="000000"/>
        </w:rPr>
        <w:t>Department of Neurology, Hangzhou Hospital of Traditional Chinese Medicine, Hangzhou 310000, Zhejiang Province, China</w:t>
      </w:r>
    </w:p>
    <w:p w14:paraId="300D1569" w14:textId="77777777" w:rsidR="005D0CCA" w:rsidRDefault="005D0CCA">
      <w:pPr>
        <w:spacing w:line="360" w:lineRule="auto"/>
        <w:jc w:val="both"/>
      </w:pPr>
    </w:p>
    <w:p w14:paraId="00FB31BE" w14:textId="77777777" w:rsidR="005D0CCA" w:rsidRDefault="006041CB">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-Xia Zhang, </w:t>
      </w:r>
      <w:r>
        <w:rPr>
          <w:rFonts w:ascii="Book Antiqua" w:eastAsia="Book Antiqua" w:hAnsi="Book Antiqua" w:cs="Book Antiqua"/>
          <w:color w:val="000000"/>
        </w:rPr>
        <w:t>Department of Clinical Psychology (Sleep Medical Center), Hangzhou TCM Hospital Affiliated to Zhejiang Chinese Medical University, Hangzhou 310000, Zhejiang Province, China</w:t>
      </w:r>
    </w:p>
    <w:p w14:paraId="3FAFFC46" w14:textId="77777777" w:rsidR="005D0CCA" w:rsidRDefault="005D0CCA">
      <w:pPr>
        <w:spacing w:line="360" w:lineRule="auto"/>
        <w:jc w:val="both"/>
      </w:pPr>
    </w:p>
    <w:p w14:paraId="5D6DD063" w14:textId="42A5CD9D" w:rsidR="005D0CCA" w:rsidRDefault="006041CB">
      <w:pPr>
        <w:spacing w:line="360" w:lineRule="auto"/>
        <w:jc w:val="both"/>
      </w:pPr>
      <w:r>
        <w:rPr>
          <w:rFonts w:ascii="Book Antiqua" w:eastAsia="Book Antiqua" w:hAnsi="Book Antiqua" w:cs="Book Antiqua"/>
          <w:b/>
          <w:bCs/>
          <w:color w:val="000000"/>
        </w:rPr>
        <w:t xml:space="preserve">Author </w:t>
      </w:r>
      <w:bookmarkStart w:id="1" w:name="_Hlk67656134"/>
      <w:r>
        <w:rPr>
          <w:rFonts w:ascii="Book Antiqua" w:eastAsia="Book Antiqua" w:hAnsi="Book Antiqua" w:cs="Book Antiqua"/>
          <w:b/>
          <w:bCs/>
          <w:color w:val="000000"/>
        </w:rPr>
        <w:t>contribut</w:t>
      </w:r>
      <w:bookmarkEnd w:id="1"/>
      <w:r>
        <w:rPr>
          <w:rFonts w:ascii="Book Antiqua" w:eastAsia="Book Antiqua" w:hAnsi="Book Antiqua" w:cs="Book Antiqua"/>
          <w:b/>
          <w:bCs/>
          <w:color w:val="000000"/>
        </w:rPr>
        <w:t xml:space="preserve">ions: </w:t>
      </w:r>
      <w:r>
        <w:rPr>
          <w:rFonts w:ascii="Book Antiqua" w:eastAsia="Book Antiqua" w:hAnsi="Book Antiqua" w:cs="Book Antiqua"/>
          <w:color w:val="000000"/>
        </w:rPr>
        <w:t>Shi XY contributed literature review, initial draft manuscript preparation; Cai MT contributed literature review, initial draft manuscript preparation, provid</w:t>
      </w:r>
      <w:r w:rsidR="000A6650">
        <w:rPr>
          <w:rFonts w:ascii="Book Antiqua" w:eastAsia="Book Antiqua" w:hAnsi="Book Antiqua" w:cs="Book Antiqua"/>
          <w:color w:val="000000"/>
        </w:rPr>
        <w:t>ed</w:t>
      </w:r>
      <w:r>
        <w:rPr>
          <w:rFonts w:ascii="Book Antiqua" w:eastAsia="Book Antiqua" w:hAnsi="Book Antiqua" w:cs="Book Antiqua"/>
          <w:color w:val="000000"/>
        </w:rPr>
        <w:t xml:space="preserve"> radiology images; Shen H contributed patient management, provid</w:t>
      </w:r>
      <w:r w:rsidR="000A6650">
        <w:rPr>
          <w:rFonts w:ascii="Book Antiqua" w:eastAsia="Book Antiqua" w:hAnsi="Book Antiqua" w:cs="Book Antiqua"/>
          <w:color w:val="000000"/>
        </w:rPr>
        <w:t>ed</w:t>
      </w:r>
      <w:r>
        <w:rPr>
          <w:rFonts w:ascii="Book Antiqua" w:eastAsia="Book Antiqua" w:hAnsi="Book Antiqua" w:cs="Book Antiqua"/>
          <w:color w:val="000000"/>
        </w:rPr>
        <w:t xml:space="preserve"> clinical dat</w:t>
      </w:r>
      <w:r w:rsidR="000A6650">
        <w:rPr>
          <w:rFonts w:ascii="Book Antiqua" w:eastAsia="Book Antiqua" w:hAnsi="Book Antiqua" w:cs="Book Antiqua"/>
          <w:color w:val="000000"/>
        </w:rPr>
        <w:t>a</w:t>
      </w:r>
      <w:r>
        <w:rPr>
          <w:rFonts w:ascii="Book Antiqua" w:eastAsia="Book Antiqua" w:hAnsi="Book Antiqua" w:cs="Book Antiqua"/>
          <w:color w:val="000000"/>
        </w:rPr>
        <w:t>; Zhang JX contributed concept and design of the study, final approval of the version to be published; all authors read and approved the final manuscript.</w:t>
      </w:r>
    </w:p>
    <w:p w14:paraId="58E04BCB" w14:textId="77777777" w:rsidR="005D0CCA" w:rsidRDefault="005D0CCA">
      <w:pPr>
        <w:spacing w:line="360" w:lineRule="auto"/>
        <w:jc w:val="both"/>
      </w:pPr>
    </w:p>
    <w:p w14:paraId="2FC87ED1" w14:textId="77777777" w:rsidR="005D0CCA" w:rsidRDefault="006041CB">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-Xia Zhang, MD, Doctor, </w:t>
      </w:r>
      <w:r>
        <w:rPr>
          <w:rFonts w:ascii="Book Antiqua" w:eastAsia="Book Antiqua" w:hAnsi="Book Antiqua" w:cs="Book Antiqua"/>
          <w:color w:val="000000"/>
        </w:rPr>
        <w:t xml:space="preserve">Department of Clinical Psychology (Sleep Medical Center), Hangzhou TCM Hospital Affiliated to Zhejiang Chinese Medical University, No. 1630 </w:t>
      </w:r>
      <w:proofErr w:type="spellStart"/>
      <w:r>
        <w:rPr>
          <w:rFonts w:ascii="Book Antiqua" w:eastAsia="Book Antiqua" w:hAnsi="Book Antiqua" w:cs="Book Antiqua"/>
          <w:color w:val="000000"/>
        </w:rPr>
        <w:t>Huanding</w:t>
      </w:r>
      <w:proofErr w:type="spellEnd"/>
      <w:r>
        <w:rPr>
          <w:rFonts w:ascii="Book Antiqua" w:eastAsia="Book Antiqua" w:hAnsi="Book Antiqua" w:cs="Book Antiqua"/>
          <w:color w:val="000000"/>
        </w:rPr>
        <w:t xml:space="preserve"> Road, Hangzhou 310000, Zhejiang Province, China. zhangjinxia20000@163.com</w:t>
      </w:r>
    </w:p>
    <w:p w14:paraId="39B5EA1F" w14:textId="77777777" w:rsidR="005D0CCA" w:rsidRDefault="005D0CCA">
      <w:pPr>
        <w:spacing w:line="360" w:lineRule="auto"/>
        <w:jc w:val="both"/>
      </w:pPr>
    </w:p>
    <w:p w14:paraId="12E38B12" w14:textId="77777777" w:rsidR="005D0CCA" w:rsidRDefault="006041C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5, 2021</w:t>
      </w:r>
    </w:p>
    <w:p w14:paraId="3E5AE2EB" w14:textId="77777777" w:rsidR="005D0CCA" w:rsidRDefault="006041C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9, 2021</w:t>
      </w:r>
    </w:p>
    <w:p w14:paraId="3FC01FBF" w14:textId="3BD70FEA" w:rsidR="005D0CCA" w:rsidRDefault="006041CB">
      <w:pPr>
        <w:spacing w:line="360" w:lineRule="auto"/>
        <w:jc w:val="both"/>
      </w:pPr>
      <w:r>
        <w:rPr>
          <w:rFonts w:ascii="Book Antiqua" w:eastAsia="Book Antiqua" w:hAnsi="Book Antiqua" w:cs="Book Antiqua"/>
          <w:b/>
          <w:bCs/>
          <w:color w:val="000000"/>
        </w:rPr>
        <w:t xml:space="preserve">Accepted: </w:t>
      </w:r>
      <w:r w:rsidR="00D25339" w:rsidRPr="00D25339">
        <w:rPr>
          <w:rFonts w:ascii="Book Antiqua" w:eastAsia="Book Antiqua" w:hAnsi="Book Antiqua" w:cs="Book Antiqua"/>
          <w:color w:val="000000"/>
        </w:rPr>
        <w:t>March 31, 2021</w:t>
      </w:r>
    </w:p>
    <w:p w14:paraId="488EBC13" w14:textId="77777777" w:rsidR="005D0CCA" w:rsidRDefault="006041CB">
      <w:pPr>
        <w:spacing w:line="360" w:lineRule="auto"/>
        <w:jc w:val="both"/>
      </w:pPr>
      <w:r>
        <w:rPr>
          <w:rFonts w:ascii="Book Antiqua" w:eastAsia="Book Antiqua" w:hAnsi="Book Antiqua" w:cs="Book Antiqua"/>
          <w:b/>
          <w:bCs/>
          <w:color w:val="000000"/>
        </w:rPr>
        <w:t xml:space="preserve">Published online: </w:t>
      </w:r>
    </w:p>
    <w:p w14:paraId="26D20F01" w14:textId="77777777" w:rsidR="005D0CCA" w:rsidRDefault="005D0CCA">
      <w:pPr>
        <w:spacing w:line="360" w:lineRule="auto"/>
        <w:jc w:val="both"/>
        <w:sectPr w:rsidR="005D0CCA">
          <w:footerReference w:type="default" r:id="rId8"/>
          <w:pgSz w:w="12240" w:h="15840"/>
          <w:pgMar w:top="1440" w:right="1440" w:bottom="1440" w:left="1440" w:header="720" w:footer="720" w:gutter="0"/>
          <w:cols w:space="720"/>
          <w:docGrid w:linePitch="360"/>
        </w:sectPr>
      </w:pPr>
    </w:p>
    <w:p w14:paraId="639654A1" w14:textId="77777777" w:rsidR="005D0CCA" w:rsidRDefault="006041CB">
      <w:pPr>
        <w:spacing w:line="360" w:lineRule="auto"/>
        <w:jc w:val="both"/>
      </w:pPr>
      <w:r>
        <w:rPr>
          <w:rFonts w:ascii="Book Antiqua" w:eastAsia="Book Antiqua" w:hAnsi="Book Antiqua" w:cs="Book Antiqua"/>
          <w:b/>
          <w:color w:val="000000"/>
        </w:rPr>
        <w:lastRenderedPageBreak/>
        <w:t>Abstract</w:t>
      </w:r>
    </w:p>
    <w:p w14:paraId="19399855" w14:textId="77777777" w:rsidR="005D0CCA" w:rsidRDefault="006041CB">
      <w:pPr>
        <w:spacing w:line="360" w:lineRule="auto"/>
        <w:jc w:val="both"/>
      </w:pPr>
      <w:r>
        <w:rPr>
          <w:rFonts w:ascii="Book Antiqua" w:eastAsia="Book Antiqua" w:hAnsi="Book Antiqua" w:cs="Book Antiqua"/>
          <w:color w:val="000000"/>
        </w:rPr>
        <w:t>BACKGROUND</w:t>
      </w:r>
    </w:p>
    <w:p w14:paraId="5195A150" w14:textId="77777777" w:rsidR="005D0CCA" w:rsidRDefault="006041CB">
      <w:pPr>
        <w:spacing w:line="360" w:lineRule="auto"/>
        <w:jc w:val="both"/>
      </w:pPr>
      <w:r>
        <w:rPr>
          <w:rFonts w:ascii="Book Antiqua" w:eastAsia="Book Antiqua" w:hAnsi="Book Antiqua" w:cs="Book Antiqua"/>
          <w:color w:val="000000"/>
        </w:rPr>
        <w:t xml:space="preserve">Central pontine myelinolysis (CPM) usually occurs during rapid correction of serum osmolality, typically with brainstem lesions presenting uniform signals following enhancement on </w:t>
      </w:r>
      <w:bookmarkStart w:id="2" w:name="_Hlk67657024"/>
      <w:r>
        <w:rPr>
          <w:rFonts w:ascii="Book Antiqua" w:eastAsia="Book Antiqua" w:hAnsi="Book Antiqua" w:cs="Book Antiqua"/>
          <w:color w:val="000000"/>
        </w:rPr>
        <w:t>magnetic resonance imaging</w:t>
      </w:r>
      <w:bookmarkEnd w:id="2"/>
      <w:r>
        <w:rPr>
          <w:rFonts w:ascii="Book Antiqua" w:eastAsia="Book Antiqua" w:hAnsi="Book Antiqua" w:cs="Book Antiqua"/>
          <w:color w:val="000000"/>
        </w:rPr>
        <w:t xml:space="preserve"> (MRI). We report a case of CPM caused by diabetes, which was characterized by glioma-like imaging features and the patient responded well to corticosteroids.</w:t>
      </w:r>
    </w:p>
    <w:p w14:paraId="745A48E2" w14:textId="77777777" w:rsidR="005D0CCA" w:rsidRDefault="005D0CCA">
      <w:pPr>
        <w:spacing w:line="360" w:lineRule="auto"/>
        <w:jc w:val="both"/>
      </w:pPr>
    </w:p>
    <w:p w14:paraId="46AB099A" w14:textId="77777777" w:rsidR="005D0CCA" w:rsidRDefault="006041CB">
      <w:pPr>
        <w:spacing w:line="360" w:lineRule="auto"/>
        <w:jc w:val="both"/>
      </w:pPr>
      <w:r>
        <w:rPr>
          <w:rFonts w:ascii="Book Antiqua" w:eastAsia="Book Antiqua" w:hAnsi="Book Antiqua" w:cs="Book Antiqua"/>
          <w:color w:val="000000"/>
        </w:rPr>
        <w:t>CASE SUMMARY</w:t>
      </w:r>
    </w:p>
    <w:p w14:paraId="2A9C2A65" w14:textId="77777777" w:rsidR="005D0CCA" w:rsidRDefault="006041CB">
      <w:pPr>
        <w:spacing w:line="360" w:lineRule="auto"/>
        <w:jc w:val="both"/>
      </w:pPr>
      <w:r>
        <w:rPr>
          <w:rFonts w:ascii="Book Antiqua" w:eastAsia="Book Antiqua" w:hAnsi="Book Antiqua" w:cs="Book Antiqua"/>
          <w:color w:val="000000"/>
        </w:rPr>
        <w:t xml:space="preserve">A 49-year-old man with type 2 diabetes was admitted due to numbness and weakness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progressive aggravation for 2 wk. His complete blood count, serum electrolytes, renal and liver function parameters were within the normal range. MRI showed mass lesions in the brainstem, with unusually inhomogeneous signal intensity after contrast-enhanced scans. His symptoms worsened after hypoglycemic therapy. Due to his clinical history and examination results, CPM was considered the most likely diagnosis. Treatment with corticosteroids was administered with a methylprednisolone pulse in the acute phase followed by dose tapering. During the 8-mo follow-up period, his clinical symptoms and imaging features significantly improved.</w:t>
      </w:r>
    </w:p>
    <w:p w14:paraId="4413292D" w14:textId="77777777" w:rsidR="005D0CCA" w:rsidRDefault="005D0CCA">
      <w:pPr>
        <w:spacing w:line="360" w:lineRule="auto"/>
        <w:jc w:val="both"/>
      </w:pPr>
    </w:p>
    <w:p w14:paraId="2E1F7DF0" w14:textId="77777777" w:rsidR="005D0CCA" w:rsidRDefault="006041CB">
      <w:pPr>
        <w:spacing w:line="360" w:lineRule="auto"/>
        <w:jc w:val="both"/>
      </w:pPr>
      <w:r>
        <w:rPr>
          <w:rFonts w:ascii="Book Antiqua" w:eastAsia="Book Antiqua" w:hAnsi="Book Antiqua" w:cs="Book Antiqua"/>
          <w:color w:val="000000"/>
        </w:rPr>
        <w:t>CONCLUSION</w:t>
      </w:r>
    </w:p>
    <w:p w14:paraId="092F2AD2" w14:textId="77777777" w:rsidR="005D0CCA" w:rsidRDefault="006041CB">
      <w:pPr>
        <w:spacing w:line="360" w:lineRule="auto"/>
        <w:jc w:val="both"/>
      </w:pPr>
      <w:r>
        <w:rPr>
          <w:rFonts w:ascii="Book Antiqua" w:eastAsia="Book Antiqua" w:hAnsi="Book Antiqua" w:cs="Book Antiqua"/>
          <w:color w:val="000000"/>
        </w:rPr>
        <w:t>Diabetes can rarely be accompanied by CPM, and patients who experience this neurological complication could benefit from corticosteroid treatment. Clinicians should recognize the special relationship between diabetes and CPM, and improve awareness of early identification and appropriate treatment.</w:t>
      </w:r>
    </w:p>
    <w:p w14:paraId="718A6A77" w14:textId="77777777" w:rsidR="005D0CCA" w:rsidRDefault="005D0CCA">
      <w:pPr>
        <w:spacing w:line="360" w:lineRule="auto"/>
        <w:jc w:val="both"/>
      </w:pPr>
    </w:p>
    <w:p w14:paraId="66234F90" w14:textId="77777777" w:rsidR="005D0CCA" w:rsidRDefault="006041C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Central pontine myelinolysis; Diabetes; Imaging; Glioma; Corticosteroids; Case report</w:t>
      </w:r>
    </w:p>
    <w:p w14:paraId="73B03CB9" w14:textId="77777777" w:rsidR="005D0CCA" w:rsidRDefault="005D0CCA">
      <w:pPr>
        <w:spacing w:line="360" w:lineRule="auto"/>
        <w:jc w:val="both"/>
      </w:pPr>
    </w:p>
    <w:p w14:paraId="4B16773F" w14:textId="77777777" w:rsidR="005D0CCA" w:rsidRDefault="006041CB">
      <w:pPr>
        <w:spacing w:line="360" w:lineRule="auto"/>
        <w:jc w:val="both"/>
      </w:pPr>
      <w:r>
        <w:rPr>
          <w:rFonts w:ascii="Book Antiqua" w:eastAsia="Book Antiqua" w:hAnsi="Book Antiqua" w:cs="Book Antiqua"/>
          <w:color w:val="000000"/>
        </w:rPr>
        <w:lastRenderedPageBreak/>
        <w:t xml:space="preserve">Shi XY, Cai MT, Shen H, Zhang JX. Central pontine myelinolysis mimicking glioma in diabetes: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7E99769" w14:textId="77777777" w:rsidR="005D0CCA" w:rsidRDefault="005D0CCA">
      <w:pPr>
        <w:spacing w:line="360" w:lineRule="auto"/>
        <w:jc w:val="both"/>
      </w:pPr>
    </w:p>
    <w:p w14:paraId="176263B9" w14:textId="1F58A197" w:rsidR="005D0CCA" w:rsidRDefault="006041C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Central pontine </w:t>
      </w:r>
      <w:proofErr w:type="spellStart"/>
      <w:r>
        <w:rPr>
          <w:rFonts w:ascii="Book Antiqua" w:eastAsia="Book Antiqua" w:hAnsi="Book Antiqua" w:cs="Book Antiqua"/>
          <w:color w:val="000000"/>
        </w:rPr>
        <w:t>myelinolysis</w:t>
      </w:r>
      <w:proofErr w:type="spellEnd"/>
      <w:r>
        <w:rPr>
          <w:rFonts w:ascii="Book Antiqua" w:eastAsia="Book Antiqua" w:hAnsi="Book Antiqua" w:cs="Book Antiqua"/>
          <w:color w:val="000000"/>
        </w:rPr>
        <w:t xml:space="preserve"> (CPM) usually occur</w:t>
      </w:r>
      <w:r w:rsidR="000A6650">
        <w:rPr>
          <w:rFonts w:ascii="Book Antiqua" w:eastAsia="Book Antiqua" w:hAnsi="Book Antiqua" w:cs="Book Antiqua"/>
          <w:color w:val="000000"/>
        </w:rPr>
        <w:t>s</w:t>
      </w:r>
      <w:r>
        <w:rPr>
          <w:rFonts w:ascii="Book Antiqua" w:eastAsia="Book Antiqua" w:hAnsi="Book Antiqua" w:cs="Book Antiqua"/>
          <w:color w:val="000000"/>
        </w:rPr>
        <w:t xml:space="preserve"> </w:t>
      </w:r>
      <w:r w:rsidR="000A6650">
        <w:rPr>
          <w:rFonts w:ascii="Book Antiqua" w:eastAsia="Book Antiqua" w:hAnsi="Book Antiqua" w:cs="Book Antiqua"/>
          <w:color w:val="000000"/>
        </w:rPr>
        <w:t>during</w:t>
      </w:r>
      <w:r>
        <w:rPr>
          <w:rFonts w:ascii="Book Antiqua" w:eastAsia="Book Antiqua" w:hAnsi="Book Antiqua" w:cs="Book Antiqua"/>
          <w:color w:val="000000"/>
        </w:rPr>
        <w:t xml:space="preserve"> rapid correction of serum osmolality. We describe a 49-year-old man with type 2 diabetes who developed CPM without a history of hyponatremia or other common causes. </w:t>
      </w:r>
      <w:r w:rsidR="000A6650">
        <w:rPr>
          <w:rFonts w:ascii="Book Antiqua" w:eastAsia="Book Antiqua" w:hAnsi="Book Antiqua" w:cs="Book Antiqua"/>
          <w:color w:val="000000"/>
        </w:rPr>
        <w:t>L</w:t>
      </w:r>
      <w:r>
        <w:rPr>
          <w:rFonts w:ascii="Book Antiqua" w:eastAsia="Book Antiqua" w:hAnsi="Book Antiqua" w:cs="Book Antiqua"/>
          <w:color w:val="000000"/>
        </w:rPr>
        <w:t>esions in his brainstem showed</w:t>
      </w:r>
      <w:r w:rsidRPr="005F6B2B">
        <w:rPr>
          <w:rFonts w:ascii="Book Antiqua" w:eastAsia="Book Antiqua" w:hAnsi="Book Antiqua" w:cs="Book Antiqua"/>
        </w:rPr>
        <w:t xml:space="preserve"> </w:t>
      </w:r>
      <w:r w:rsidRPr="005F6B2B">
        <w:rPr>
          <w:rFonts w:ascii="Book Antiqua" w:eastAsia="Book Antiqua" w:hAnsi="Book Antiqua" w:cs="Book Antiqua"/>
          <w:lang w:eastAsia="zh-Hans"/>
        </w:rPr>
        <w:t xml:space="preserve">atypical </w:t>
      </w:r>
      <w:r w:rsidRPr="005F6B2B">
        <w:rPr>
          <w:rFonts w:ascii="Book Antiqua" w:eastAsia="Book Antiqua" w:hAnsi="Book Antiqua" w:cs="Book Antiqua"/>
        </w:rPr>
        <w:t>glioma-like inhomogeneous signal intensity on contrast-enhanced magnetic resonance imaging. He</w:t>
      </w:r>
      <w:r>
        <w:rPr>
          <w:rFonts w:ascii="Book Antiqua" w:eastAsia="Book Antiqua" w:hAnsi="Book Antiqua" w:cs="Book Antiqua"/>
          <w:color w:val="000000"/>
        </w:rPr>
        <w:t xml:space="preserve"> recovered after methylprednisolone pulse </w:t>
      </w:r>
      <w:r w:rsidR="000A6650">
        <w:rPr>
          <w:rFonts w:ascii="Book Antiqua" w:eastAsia="Book Antiqua" w:hAnsi="Book Antiqua" w:cs="Book Antiqua"/>
          <w:color w:val="000000"/>
        </w:rPr>
        <w:t xml:space="preserve">therapy </w:t>
      </w:r>
      <w:r>
        <w:rPr>
          <w:rFonts w:ascii="Book Antiqua" w:eastAsia="Book Antiqua" w:hAnsi="Book Antiqua" w:cs="Book Antiqua"/>
          <w:color w:val="000000"/>
        </w:rPr>
        <w:t xml:space="preserve">in the acute phase and </w:t>
      </w:r>
      <w:r w:rsidR="000A6650">
        <w:rPr>
          <w:rFonts w:ascii="Book Antiqua" w:eastAsia="Book Antiqua" w:hAnsi="Book Antiqua" w:cs="Book Antiqua"/>
          <w:color w:val="000000"/>
        </w:rPr>
        <w:t xml:space="preserve">subsequent </w:t>
      </w:r>
      <w:r>
        <w:rPr>
          <w:rFonts w:ascii="Book Antiqua" w:eastAsia="Book Antiqua" w:hAnsi="Book Antiqua" w:cs="Book Antiqua"/>
          <w:color w:val="000000"/>
        </w:rPr>
        <w:t xml:space="preserve">dose tapering. Our patient revealed an unusual cause and imaging presentation of CPM, implying the benefits </w:t>
      </w:r>
      <w:r w:rsidR="000A6650">
        <w:rPr>
          <w:rFonts w:ascii="Book Antiqua" w:eastAsia="Book Antiqua" w:hAnsi="Book Antiqua" w:cs="Book Antiqua"/>
          <w:color w:val="000000"/>
        </w:rPr>
        <w:t xml:space="preserve">of </w:t>
      </w:r>
      <w:r>
        <w:rPr>
          <w:rFonts w:ascii="Book Antiqua" w:eastAsia="Book Antiqua" w:hAnsi="Book Antiqua" w:cs="Book Antiqua"/>
          <w:color w:val="000000"/>
        </w:rPr>
        <w:t>corticosteroid therapy to outcomes. Thus, further guiding the therapeutic decision for clinicians.</w:t>
      </w:r>
    </w:p>
    <w:p w14:paraId="34987C1C" w14:textId="77777777" w:rsidR="005D0CCA" w:rsidRDefault="006041CB">
      <w:pPr>
        <w:spacing w:line="360" w:lineRule="auto"/>
        <w:jc w:val="both"/>
      </w:pPr>
      <w:r>
        <w:br w:type="page"/>
      </w:r>
      <w:r>
        <w:rPr>
          <w:rFonts w:ascii="Book Antiqua" w:eastAsia="Book Antiqua" w:hAnsi="Book Antiqua" w:cs="Book Antiqua"/>
          <w:b/>
          <w:caps/>
          <w:color w:val="000000"/>
          <w:u w:val="single"/>
        </w:rPr>
        <w:lastRenderedPageBreak/>
        <w:t>INTRODUCTION</w:t>
      </w:r>
    </w:p>
    <w:p w14:paraId="58DE1816" w14:textId="77777777" w:rsidR="005D0CCA" w:rsidRDefault="006041CB">
      <w:pPr>
        <w:spacing w:line="360" w:lineRule="auto"/>
        <w:jc w:val="both"/>
      </w:pPr>
      <w:r>
        <w:rPr>
          <w:rFonts w:ascii="Book Antiqua" w:eastAsia="Book Antiqua" w:hAnsi="Book Antiqua" w:cs="Book Antiqua"/>
          <w:color w:val="000000"/>
        </w:rPr>
        <w:t xml:space="preserve">Central pontine myelinolysis (CPM) is a neurological disorder that frequently occurs after rapid correction of hyponatremia. It was first described as a disorder associated with alcoholics and malnutrition in 1959 by Adams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and was later known as osmotic demyelination syndrome</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The pathophysiology of CPM is not completely understood. Currently, CPM is considered a concentrated, frequently symmetric, non-inflammatory demyelination within the central basis </w:t>
      </w:r>
      <w:proofErr w:type="spellStart"/>
      <w:r>
        <w:rPr>
          <w:rFonts w:ascii="Book Antiqua" w:eastAsia="Book Antiqua" w:hAnsi="Book Antiqua" w:cs="Book Antiqua"/>
          <w:color w:val="000000"/>
        </w:rPr>
        <w:t>pontis</w:t>
      </w:r>
      <w:proofErr w:type="spellEnd"/>
      <w:r>
        <w:rPr>
          <w:rFonts w:ascii="Book Antiqua" w:eastAsia="Book Antiqua" w:hAnsi="Book Antiqua" w:cs="Book Antiqua"/>
          <w:color w:val="000000"/>
        </w:rPr>
        <w:t xml:space="preserve">. Other regions including the cerebral hemispheres, thalamus, basal nuclei, and cerebellum can also be affected, which is called ‘extrapontine </w:t>
      </w:r>
      <w:proofErr w:type="gramStart"/>
      <w:r>
        <w:rPr>
          <w:rFonts w:ascii="Book Antiqua" w:eastAsia="Book Antiqua" w:hAnsi="Book Antiqua" w:cs="Book Antiqua"/>
          <w:color w:val="000000"/>
        </w:rPr>
        <w:t>myelinolysis’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Following too rapid correction of hyponatremia with intravenous fluids, the extracellular tonicity increases dramatically, while the intracellular osmoles fail to change in time, and water is then driven out of the brain cells. As a result, cellular edema develops with dysfunction of water regulation. The fiber tracts in these susceptible regions contain abundant compact white and gray matter which are compressed and further induce </w:t>
      </w:r>
      <w:proofErr w:type="gramStart"/>
      <w:r>
        <w:rPr>
          <w:rFonts w:ascii="Book Antiqua" w:eastAsia="Book Antiqua" w:hAnsi="Book Antiqua" w:cs="Book Antiqua"/>
          <w:color w:val="000000"/>
        </w:rPr>
        <w:t>demyelination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The lesions are frequently demonstrated as hypointense on T1-weighted imaging (T1WI), hyperintense on T2WI/ FLAIR (fluid-attenuated inversion recovery), hyperintense on DWI (diffusion weighted imaging), and isointense or hypointense on ADC (apparent diffusion coefficient), without gadolinium enhancement. The regions appear as a classic-trident-shaped area. Prophylactic and supportive treatments predominate, without evidence of efficacy of adjunctive corticosteroid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Herein we describe a case of CPM caused by type 2 diabetes, showing glioma-like inhomogeneous signal intensity on contrast-enhanced magnetic resonance imaging (MRI). Methylprednisolone pulse therapy in the acute phase was followed by dose tapering, which improved the patient’s clinical outcome.</w:t>
      </w:r>
    </w:p>
    <w:p w14:paraId="5B4EDCA2" w14:textId="77777777" w:rsidR="005D0CCA" w:rsidRDefault="005D0CCA">
      <w:pPr>
        <w:spacing w:line="360" w:lineRule="auto"/>
        <w:jc w:val="both"/>
      </w:pPr>
    </w:p>
    <w:p w14:paraId="7B73081E" w14:textId="77777777" w:rsidR="005D0CCA" w:rsidRDefault="006041CB">
      <w:pPr>
        <w:spacing w:line="360" w:lineRule="auto"/>
        <w:jc w:val="both"/>
      </w:pPr>
      <w:r>
        <w:rPr>
          <w:rFonts w:ascii="Book Antiqua" w:eastAsia="Book Antiqua" w:hAnsi="Book Antiqua" w:cs="Book Antiqua"/>
          <w:b/>
          <w:caps/>
          <w:color w:val="000000"/>
          <w:u w:val="single"/>
        </w:rPr>
        <w:t>CASE PRESENTATION</w:t>
      </w:r>
    </w:p>
    <w:p w14:paraId="070B5BDE" w14:textId="77777777" w:rsidR="005D0CCA" w:rsidRDefault="006041CB">
      <w:pPr>
        <w:spacing w:line="360" w:lineRule="auto"/>
        <w:jc w:val="both"/>
      </w:pPr>
      <w:r>
        <w:rPr>
          <w:rFonts w:ascii="Book Antiqua" w:eastAsia="Book Antiqua" w:hAnsi="Book Antiqua" w:cs="Book Antiqua"/>
          <w:b/>
          <w:i/>
          <w:color w:val="000000"/>
        </w:rPr>
        <w:t>Chief complaints</w:t>
      </w:r>
    </w:p>
    <w:p w14:paraId="59CFF597" w14:textId="77777777" w:rsidR="005D0CCA" w:rsidRDefault="006041CB">
      <w:pPr>
        <w:spacing w:line="360" w:lineRule="auto"/>
        <w:jc w:val="both"/>
      </w:pPr>
      <w:r>
        <w:rPr>
          <w:rFonts w:ascii="Book Antiqua" w:eastAsia="Book Antiqua" w:hAnsi="Book Antiqua" w:cs="Book Antiqua"/>
          <w:color w:val="000000"/>
        </w:rPr>
        <w:lastRenderedPageBreak/>
        <w:t xml:space="preserve">A 49-year-old Chinese man was referred to our hospital due to chronic onset of numbness and weakness of the lower limbs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progressively worsening with abasia, blurred vision, and speech disorder for more than 2 wk. </w:t>
      </w:r>
    </w:p>
    <w:p w14:paraId="1A0D8690" w14:textId="77777777" w:rsidR="005D0CCA" w:rsidRDefault="005D0CCA">
      <w:pPr>
        <w:spacing w:line="360" w:lineRule="auto"/>
        <w:jc w:val="both"/>
      </w:pPr>
    </w:p>
    <w:p w14:paraId="13EFFA96" w14:textId="77777777" w:rsidR="005D0CCA" w:rsidRDefault="006041CB">
      <w:pPr>
        <w:spacing w:line="360" w:lineRule="auto"/>
        <w:jc w:val="both"/>
      </w:pPr>
      <w:r>
        <w:rPr>
          <w:rFonts w:ascii="Book Antiqua" w:eastAsia="Book Antiqua" w:hAnsi="Book Antiqua" w:cs="Book Antiqua"/>
          <w:b/>
          <w:i/>
          <w:color w:val="000000"/>
        </w:rPr>
        <w:t>History of present illness</w:t>
      </w:r>
    </w:p>
    <w:p w14:paraId="786D0FC6" w14:textId="263BEB8F" w:rsidR="005D0CCA" w:rsidRDefault="006041CB">
      <w:pPr>
        <w:spacing w:line="360" w:lineRule="auto"/>
        <w:jc w:val="both"/>
      </w:pPr>
      <w:r>
        <w:rPr>
          <w:rFonts w:ascii="Book Antiqua" w:eastAsia="Book Antiqua" w:hAnsi="Book Antiqua" w:cs="Book Antiqua"/>
          <w:color w:val="000000"/>
        </w:rPr>
        <w:t xml:space="preserve">The patient developed blurred vision and slight dysarthria after </w:t>
      </w:r>
      <w:r w:rsidR="002A7497">
        <w:rPr>
          <w:rFonts w:ascii="Book Antiqua" w:eastAsia="Book Antiqua" w:hAnsi="Book Antiqua" w:cs="Book Antiqua"/>
          <w:color w:val="000000"/>
        </w:rPr>
        <w:t xml:space="preserve">a </w:t>
      </w:r>
      <w:r>
        <w:rPr>
          <w:rFonts w:ascii="Book Antiqua" w:eastAsia="Book Antiqua" w:hAnsi="Book Antiqua" w:cs="Book Antiqua"/>
          <w:color w:val="000000"/>
        </w:rPr>
        <w:t xml:space="preserve">2-wk </w:t>
      </w:r>
      <w:r w:rsidR="002A7497">
        <w:rPr>
          <w:rFonts w:ascii="Book Antiqua" w:eastAsia="Book Antiqua" w:hAnsi="Book Antiqua" w:cs="Book Antiqua"/>
          <w:color w:val="000000"/>
        </w:rPr>
        <w:t xml:space="preserve">period of </w:t>
      </w:r>
      <w:r>
        <w:rPr>
          <w:rFonts w:ascii="Book Antiqua" w:eastAsia="Book Antiqua" w:hAnsi="Book Antiqua" w:cs="Book Antiqua"/>
          <w:color w:val="000000"/>
        </w:rPr>
        <w:t xml:space="preserve">treatment </w:t>
      </w:r>
      <w:r w:rsidR="002A7497">
        <w:rPr>
          <w:rFonts w:ascii="Book Antiqua" w:eastAsia="Book Antiqua" w:hAnsi="Book Antiqua" w:cs="Book Antiqua"/>
          <w:color w:val="000000"/>
        </w:rPr>
        <w:t>for</w:t>
      </w:r>
      <w:r>
        <w:rPr>
          <w:rFonts w:ascii="Book Antiqua" w:eastAsia="Book Antiqua" w:hAnsi="Book Antiqua" w:cs="Book Antiqua"/>
          <w:color w:val="000000"/>
        </w:rPr>
        <w:t xml:space="preserve"> diabetes, corresponding to lesions in the brainstem were subsequently demonstrated on MRI. For further diagnosis and treatment, he was transferred to the emergency intensive care unit in Hangzhou Hospital of Traditional Chinese Medicine on June 8, 2020. At that time, he developed urinary retention and indwelling catheterization was performed. </w:t>
      </w:r>
    </w:p>
    <w:p w14:paraId="0B03237B" w14:textId="77777777" w:rsidR="005D0CCA" w:rsidRDefault="005D0CCA">
      <w:pPr>
        <w:spacing w:line="360" w:lineRule="auto"/>
        <w:jc w:val="both"/>
      </w:pPr>
    </w:p>
    <w:p w14:paraId="1274E59A" w14:textId="77777777" w:rsidR="005D0CCA" w:rsidRDefault="006041CB">
      <w:pPr>
        <w:spacing w:line="360" w:lineRule="auto"/>
        <w:jc w:val="both"/>
      </w:pPr>
      <w:r>
        <w:rPr>
          <w:rFonts w:ascii="Book Antiqua" w:eastAsia="Book Antiqua" w:hAnsi="Book Antiqua" w:cs="Book Antiqua"/>
          <w:b/>
          <w:i/>
          <w:color w:val="000000"/>
        </w:rPr>
        <w:t>History of past illness</w:t>
      </w:r>
    </w:p>
    <w:p w14:paraId="2998F61A" w14:textId="63C88E49" w:rsidR="005D0CCA" w:rsidRDefault="006041CB">
      <w:pPr>
        <w:spacing w:line="360" w:lineRule="auto"/>
        <w:jc w:val="both"/>
      </w:pPr>
      <w:r>
        <w:rPr>
          <w:rFonts w:ascii="Book Antiqua" w:eastAsia="Book Antiqua" w:hAnsi="Book Antiqua" w:cs="Book Antiqua"/>
          <w:color w:val="000000"/>
        </w:rPr>
        <w:t xml:space="preserve">Two weeks earlier, he was admitted to the local hospital </w:t>
      </w:r>
      <w:r w:rsidR="002A7497">
        <w:rPr>
          <w:rFonts w:ascii="Book Antiqua" w:eastAsia="Book Antiqua" w:hAnsi="Book Antiqua" w:cs="Book Antiqua"/>
          <w:color w:val="000000"/>
        </w:rPr>
        <w:t>due to</w:t>
      </w:r>
      <w:r>
        <w:rPr>
          <w:rFonts w:ascii="Book Antiqua" w:eastAsia="Book Antiqua" w:hAnsi="Book Antiqua" w:cs="Book Antiqua"/>
          <w:color w:val="000000"/>
        </w:rPr>
        <w:t xml:space="preserve"> big toe gangrene of his right foot associated with apparent thirst and </w:t>
      </w:r>
      <w:proofErr w:type="spellStart"/>
      <w:r>
        <w:rPr>
          <w:rFonts w:ascii="Book Antiqua" w:eastAsia="Book Antiqua" w:hAnsi="Book Antiqua" w:cs="Book Antiqua"/>
          <w:color w:val="000000"/>
        </w:rPr>
        <w:t>urorrhagia</w:t>
      </w:r>
      <w:proofErr w:type="spellEnd"/>
      <w:r>
        <w:rPr>
          <w:rFonts w:ascii="Book Antiqua" w:eastAsia="Book Antiqua" w:hAnsi="Book Antiqua" w:cs="Book Antiqua"/>
          <w:color w:val="000000"/>
        </w:rPr>
        <w:t xml:space="preserve">. Initial laboratory examinations found an extremely high serum glucose (GLU) level of 450 mg/dL with a normal range of electrolytes, hematological parameters and biochemical markers of hepatic and renal function. Considering further possible examinations, as well as his unremarkable medical history, negative personal and family history, he was then diagnosed with type 2 diabetes. Treatment included hypoglycemic therapy [intravenous regular insulin (0.1 U/kg) and subcutaneous biphasic insulin </w:t>
      </w:r>
      <w:proofErr w:type="spellStart"/>
      <w:r>
        <w:rPr>
          <w:rFonts w:ascii="Book Antiqua" w:eastAsia="Book Antiqua" w:hAnsi="Book Antiqua" w:cs="Book Antiqua"/>
          <w:color w:val="000000"/>
        </w:rPr>
        <w:t>aspart</w:t>
      </w:r>
      <w:proofErr w:type="spellEnd"/>
      <w:r>
        <w:rPr>
          <w:rFonts w:ascii="Book Antiqua" w:eastAsia="Book Antiqua" w:hAnsi="Book Antiqua" w:cs="Book Antiqua"/>
          <w:color w:val="000000"/>
        </w:rPr>
        <w:t xml:space="preserve"> after which GLU was controlled in the normal range], toe amputation, and other symptomatic supportive treatment.</w:t>
      </w:r>
    </w:p>
    <w:p w14:paraId="6C25FCEA" w14:textId="77777777" w:rsidR="005D0CCA" w:rsidRDefault="005D0CCA">
      <w:pPr>
        <w:spacing w:line="360" w:lineRule="auto"/>
        <w:jc w:val="both"/>
      </w:pPr>
    </w:p>
    <w:p w14:paraId="08648310" w14:textId="77777777" w:rsidR="005D0CCA" w:rsidRDefault="006041CB">
      <w:pPr>
        <w:spacing w:line="360" w:lineRule="auto"/>
        <w:jc w:val="both"/>
      </w:pPr>
      <w:r>
        <w:rPr>
          <w:rFonts w:ascii="Book Antiqua" w:eastAsia="Book Antiqua" w:hAnsi="Book Antiqua" w:cs="Book Antiqua"/>
          <w:b/>
          <w:i/>
          <w:color w:val="000000"/>
        </w:rPr>
        <w:t>Personal and family history</w:t>
      </w:r>
    </w:p>
    <w:p w14:paraId="1304BF94" w14:textId="77777777" w:rsidR="005D0CCA" w:rsidRDefault="006041CB">
      <w:pPr>
        <w:spacing w:line="360" w:lineRule="auto"/>
        <w:jc w:val="both"/>
      </w:pPr>
      <w:r>
        <w:rPr>
          <w:rFonts w:ascii="Book Antiqua" w:eastAsia="Book Antiqua" w:hAnsi="Book Antiqua" w:cs="Book Antiqua"/>
          <w:color w:val="000000"/>
        </w:rPr>
        <w:t>The patient had no previous medical history.</w:t>
      </w:r>
    </w:p>
    <w:p w14:paraId="38363E2C" w14:textId="77777777" w:rsidR="005D0CCA" w:rsidRDefault="005D0CCA">
      <w:pPr>
        <w:spacing w:line="360" w:lineRule="auto"/>
        <w:jc w:val="both"/>
      </w:pPr>
    </w:p>
    <w:p w14:paraId="13FBFAAC" w14:textId="77777777" w:rsidR="005D0CCA" w:rsidRDefault="006041CB">
      <w:pPr>
        <w:spacing w:line="360" w:lineRule="auto"/>
        <w:jc w:val="both"/>
      </w:pPr>
      <w:r>
        <w:rPr>
          <w:rFonts w:ascii="Book Antiqua" w:eastAsia="Book Antiqua" w:hAnsi="Book Antiqua" w:cs="Book Antiqua"/>
          <w:b/>
          <w:i/>
          <w:color w:val="000000"/>
        </w:rPr>
        <w:t>Physical examination</w:t>
      </w:r>
    </w:p>
    <w:p w14:paraId="44CC6669" w14:textId="77777777" w:rsidR="005D0CCA" w:rsidRDefault="006041CB">
      <w:pPr>
        <w:spacing w:line="360" w:lineRule="auto"/>
        <w:jc w:val="both"/>
      </w:pPr>
      <w:r>
        <w:rPr>
          <w:rFonts w:ascii="Book Antiqua" w:eastAsia="Book Antiqua" w:hAnsi="Book Antiqua" w:cs="Book Antiqua"/>
          <w:color w:val="000000"/>
        </w:rPr>
        <w:lastRenderedPageBreak/>
        <w:t>Neurological examination on admission showed normal vital signs, consciousness, depression, roughly impaired visual acuity of both eyes, dysarthria, decreased muscle strength (4/5, Medical Research Council scale), hypoesthesia, and the disappearance of tendon reflexes in all extremities. However, there were no pathological reflexes.</w:t>
      </w:r>
    </w:p>
    <w:p w14:paraId="7081A062" w14:textId="77777777" w:rsidR="005D0CCA" w:rsidRDefault="005D0CCA">
      <w:pPr>
        <w:spacing w:line="360" w:lineRule="auto"/>
        <w:jc w:val="both"/>
      </w:pPr>
    </w:p>
    <w:p w14:paraId="37F2D26D" w14:textId="77777777" w:rsidR="005D0CCA" w:rsidRDefault="006041CB">
      <w:pPr>
        <w:spacing w:line="360" w:lineRule="auto"/>
        <w:jc w:val="both"/>
      </w:pPr>
      <w:r>
        <w:rPr>
          <w:rFonts w:ascii="Book Antiqua" w:eastAsia="Book Antiqua" w:hAnsi="Book Antiqua" w:cs="Book Antiqua"/>
          <w:b/>
          <w:i/>
          <w:color w:val="000000"/>
        </w:rPr>
        <w:t>Laboratory examinations</w:t>
      </w:r>
    </w:p>
    <w:p w14:paraId="797F7F21" w14:textId="77777777" w:rsidR="005D0CCA" w:rsidRDefault="006041CB">
      <w:pPr>
        <w:spacing w:line="360" w:lineRule="auto"/>
        <w:jc w:val="both"/>
      </w:pPr>
      <w:r>
        <w:rPr>
          <w:rFonts w:ascii="Book Antiqua" w:eastAsia="Book Antiqua" w:hAnsi="Book Antiqua" w:cs="Book Antiqua"/>
          <w:color w:val="000000"/>
        </w:rPr>
        <w:t>Blood and biochemical evaluation showed a white blood cell count of 10/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C-reactive protein of 44 mg/L, GLU of 270 mg/dL, hemoglobin (Hb) of 92 g/L, erythrocyte sedimentation rate of 94, Hb1Ac 8.9%, and osmolality of 327.66 </w:t>
      </w:r>
      <w:proofErr w:type="spellStart"/>
      <w:r>
        <w:rPr>
          <w:rFonts w:ascii="Book Antiqua" w:eastAsia="Book Antiqua" w:hAnsi="Book Antiqua" w:cs="Book Antiqua"/>
          <w:color w:val="000000"/>
        </w:rPr>
        <w:t>mOsm</w:t>
      </w:r>
      <w:proofErr w:type="spellEnd"/>
      <w:r>
        <w:rPr>
          <w:rFonts w:ascii="Book Antiqua" w:eastAsia="Book Antiqua" w:hAnsi="Book Antiqua" w:cs="Book Antiqua"/>
          <w:color w:val="000000"/>
        </w:rPr>
        <w:t xml:space="preserve">/kg. Serum levels of sodium, potassium, calcium and magnesium were 140.8 mmol/dL, 3.81 mmol/L, 8 mg/dL and 1.9 mg/dL, respectively. Urine analysis showed the presence of GLU and protein without ketone bodies, and a later urine culture revealed </w:t>
      </w:r>
      <w:r>
        <w:rPr>
          <w:rFonts w:ascii="Book Antiqua" w:eastAsia="Book Antiqua" w:hAnsi="Book Antiqua" w:cs="Book Antiqua"/>
          <w:i/>
          <w:iCs/>
          <w:color w:val="000000"/>
        </w:rPr>
        <w:t>Proteus mirabilis</w:t>
      </w:r>
      <w:r>
        <w:rPr>
          <w:rFonts w:ascii="Book Antiqua" w:eastAsia="Book Antiqua" w:hAnsi="Book Antiqua" w:cs="Book Antiqua"/>
          <w:color w:val="000000"/>
        </w:rPr>
        <w:t xml:space="preserve"> infection. Other tests including arterial blood gas analysis and hepatorenal function were within the normal range. Chest computed tomography revealed inflammatory areas in both lungs and bilateral pleural effusion. A lumbar puncture was performed and disclosed elevated levels of cerebrospinal fluid (CSF) protein (1040 mg/L) and GLU (5.9 mmol/L), with normal pressure (150 </w:t>
      </w:r>
      <w:r w:rsidR="00025217">
        <w:rPr>
          <w:rFonts w:ascii="Book Antiqua" w:eastAsia="Book Antiqua" w:hAnsi="Book Antiqua" w:cs="Book Antiqua"/>
          <w:color w:val="000000"/>
        </w:rPr>
        <w:t>mm</w:t>
      </w:r>
      <w:r w:rsidRPr="005F6B2B">
        <w:rPr>
          <w:rFonts w:ascii="Book Antiqua" w:eastAsia="Book Antiqua" w:hAnsi="Book Antiqua" w:cs="Book Antiqua"/>
          <w:color w:val="000000"/>
        </w:rPr>
        <w:t>H</w:t>
      </w:r>
      <w:r w:rsidRPr="005F6B2B">
        <w:rPr>
          <w:rFonts w:ascii="Book Antiqua" w:eastAsia="Book Antiqua" w:hAnsi="Book Antiqua" w:cs="Book Antiqua"/>
          <w:color w:val="000000"/>
          <w:vertAlign w:val="subscript"/>
        </w:rPr>
        <w:t>2</w:t>
      </w:r>
      <w:r w:rsidRPr="005F6B2B">
        <w:rPr>
          <w:rFonts w:ascii="Book Antiqua" w:eastAsia="Book Antiqua" w:hAnsi="Book Antiqua" w:cs="Book Antiqua"/>
          <w:color w:val="000000"/>
        </w:rPr>
        <w:t>O</w:t>
      </w:r>
      <w:r>
        <w:rPr>
          <w:rFonts w:ascii="Book Antiqua" w:eastAsia="Book Antiqua" w:hAnsi="Book Antiqua" w:cs="Book Antiqua"/>
          <w:color w:val="000000"/>
        </w:rPr>
        <w:t>) and cellular (1/</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The oligoclonal band, serum antibodies to aquaporin 4, myelin oligodendrocyte glycoprotein and glial fibrillary acidic protein, as well as common antibodies to autoimmune encephalitis in CSF were all negative.</w:t>
      </w:r>
    </w:p>
    <w:p w14:paraId="2B3D0588" w14:textId="77777777" w:rsidR="005D0CCA" w:rsidRDefault="005D0CCA">
      <w:pPr>
        <w:spacing w:line="360" w:lineRule="auto"/>
        <w:jc w:val="both"/>
      </w:pPr>
    </w:p>
    <w:p w14:paraId="5F0A05A6" w14:textId="77777777" w:rsidR="005D0CCA" w:rsidRDefault="006041CB">
      <w:pPr>
        <w:spacing w:line="360" w:lineRule="auto"/>
        <w:jc w:val="both"/>
      </w:pPr>
      <w:r>
        <w:rPr>
          <w:rFonts w:ascii="Book Antiqua" w:eastAsia="Book Antiqua" w:hAnsi="Book Antiqua" w:cs="Book Antiqua"/>
          <w:b/>
          <w:i/>
          <w:color w:val="000000"/>
        </w:rPr>
        <w:t>Imaging examinations</w:t>
      </w:r>
    </w:p>
    <w:p w14:paraId="1E87A9F1" w14:textId="6C63D552" w:rsidR="005D0CCA" w:rsidRDefault="006041CB">
      <w:pPr>
        <w:spacing w:line="360" w:lineRule="auto"/>
        <w:jc w:val="both"/>
      </w:pPr>
      <w:r>
        <w:rPr>
          <w:rFonts w:ascii="Book Antiqua" w:eastAsia="Book Antiqua" w:hAnsi="Book Antiqua" w:cs="Book Antiqua"/>
          <w:color w:val="000000"/>
        </w:rPr>
        <w:t xml:space="preserve">Brain contrast-enhanced MRI found diffuse lesions in the brainstem with inhomogeneous signal enhancement, which appeared like glioma and </w:t>
      </w:r>
      <w:proofErr w:type="spellStart"/>
      <w:r>
        <w:rPr>
          <w:rFonts w:ascii="Book Antiqua" w:eastAsia="Book Antiqua" w:hAnsi="Book Antiqua" w:cs="Book Antiqua"/>
          <w:color w:val="000000"/>
        </w:rPr>
        <w:t>tumefactive</w:t>
      </w:r>
      <w:proofErr w:type="spellEnd"/>
      <w:r>
        <w:rPr>
          <w:rFonts w:ascii="Book Antiqua" w:eastAsia="Book Antiqua" w:hAnsi="Book Antiqua" w:cs="Book Antiqua"/>
          <w:color w:val="000000"/>
        </w:rPr>
        <w:t xml:space="preserve"> demyelinating disease (TDL) </w:t>
      </w:r>
      <w:r w:rsidRPr="005F6B2B">
        <w:rPr>
          <w:rFonts w:ascii="Book Antiqua" w:eastAsia="Book Antiqua" w:hAnsi="Book Antiqua" w:cs="Book Antiqua"/>
          <w:color w:val="000000"/>
          <w:lang w:eastAsia="zh-Hans"/>
        </w:rPr>
        <w:t>after admission</w:t>
      </w:r>
      <w:r>
        <w:rPr>
          <w:rFonts w:ascii="Book Antiqua" w:eastAsia="Book Antiqua" w:hAnsi="Book Antiqua" w:cs="Book Antiqua"/>
          <w:color w:val="000000"/>
          <w:lang w:eastAsia="zh-Hans"/>
        </w:rPr>
        <w:t xml:space="preserve"> </w:t>
      </w:r>
      <w:r>
        <w:rPr>
          <w:rFonts w:ascii="Book Antiqua" w:eastAsia="Book Antiqua" w:hAnsi="Book Antiqua" w:cs="Book Antiqua"/>
          <w:color w:val="000000"/>
        </w:rPr>
        <w:t>(Figure 1). MR spectroscopy revealed an elevated choline peak and lactate/lipid peak, and hypertonic demyelinating encephalopathy was considered. No lesions were observed on spinal MRI.</w:t>
      </w:r>
    </w:p>
    <w:p w14:paraId="558F46F6" w14:textId="77777777" w:rsidR="005D0CCA" w:rsidRDefault="005D0CCA">
      <w:pPr>
        <w:spacing w:line="360" w:lineRule="auto"/>
        <w:jc w:val="both"/>
      </w:pPr>
    </w:p>
    <w:p w14:paraId="74A21EFC" w14:textId="77777777" w:rsidR="005D0CCA" w:rsidRDefault="006041CB">
      <w:pPr>
        <w:spacing w:line="360" w:lineRule="auto"/>
        <w:jc w:val="both"/>
      </w:pPr>
      <w:r>
        <w:rPr>
          <w:rFonts w:ascii="Book Antiqua" w:eastAsia="Book Antiqua" w:hAnsi="Book Antiqua" w:cs="Book Antiqua"/>
          <w:b/>
          <w:caps/>
          <w:color w:val="000000"/>
          <w:u w:val="single"/>
        </w:rPr>
        <w:t>FINAL DIAGNOSIS</w:t>
      </w:r>
    </w:p>
    <w:p w14:paraId="0A8B9EAA" w14:textId="77777777" w:rsidR="005D0CCA" w:rsidRDefault="006041CB">
      <w:pPr>
        <w:spacing w:line="360" w:lineRule="auto"/>
        <w:jc w:val="both"/>
      </w:pPr>
      <w:r>
        <w:rPr>
          <w:rFonts w:ascii="Book Antiqua" w:eastAsia="Book Antiqua" w:hAnsi="Book Antiqua" w:cs="Book Antiqua"/>
          <w:color w:val="000000"/>
        </w:rPr>
        <w:lastRenderedPageBreak/>
        <w:t>According to his clinical manifestations and auxiliary examination results, CPM secondary to hyperosmolar hyperglycemia was established as the definitive diagnosis.</w:t>
      </w:r>
    </w:p>
    <w:p w14:paraId="29528FA4" w14:textId="77777777" w:rsidR="005D0CCA" w:rsidRDefault="005D0CCA">
      <w:pPr>
        <w:spacing w:line="360" w:lineRule="auto"/>
        <w:jc w:val="both"/>
      </w:pPr>
    </w:p>
    <w:p w14:paraId="5F5D3CAD" w14:textId="77777777" w:rsidR="005D0CCA" w:rsidRDefault="006041CB">
      <w:pPr>
        <w:spacing w:line="360" w:lineRule="auto"/>
        <w:jc w:val="both"/>
      </w:pPr>
      <w:r>
        <w:rPr>
          <w:rFonts w:ascii="Book Antiqua" w:eastAsia="Book Antiqua" w:hAnsi="Book Antiqua" w:cs="Book Antiqua"/>
          <w:b/>
          <w:caps/>
          <w:color w:val="000000"/>
          <w:u w:val="single"/>
        </w:rPr>
        <w:t>TREATMENT</w:t>
      </w:r>
    </w:p>
    <w:p w14:paraId="16ED983C" w14:textId="77777777" w:rsidR="005D0CCA" w:rsidRDefault="006041CB">
      <w:pPr>
        <w:spacing w:line="360" w:lineRule="auto"/>
        <w:jc w:val="both"/>
      </w:pPr>
      <w:r>
        <w:rPr>
          <w:rFonts w:ascii="Book Antiqua" w:eastAsia="Book Antiqua" w:hAnsi="Book Antiqua" w:cs="Book Antiqua"/>
          <w:color w:val="000000"/>
        </w:rPr>
        <w:t>He was administered anti-inflammatory therapy. In consideration of his progressively worsening symptoms, without the exclusion of definite TDL, corticosteroids were given as anti-inflammatory therapy</w:t>
      </w:r>
      <w:r w:rsidRPr="005F6B2B">
        <w:rPr>
          <w:rFonts w:ascii="Book Antiqua" w:eastAsia="Book Antiqua" w:hAnsi="Book Antiqua" w:cs="Book Antiqua"/>
        </w:rPr>
        <w:t xml:space="preserve"> </w:t>
      </w:r>
      <w:r w:rsidRPr="005F6B2B">
        <w:rPr>
          <w:rFonts w:ascii="Book Antiqua" w:eastAsia="Book Antiqua" w:hAnsi="Book Antiqua" w:cs="Book Antiqua"/>
          <w:lang w:eastAsia="zh-Hans"/>
        </w:rPr>
        <w:t>on</w:t>
      </w:r>
      <w:r w:rsidRPr="005F6B2B">
        <w:rPr>
          <w:rFonts w:ascii="Book Antiqua" w:eastAsia="Book Antiqua" w:hAnsi="Book Antiqua" w:cs="Book Antiqua"/>
        </w:rPr>
        <w:t xml:space="preserve"> June 16</w:t>
      </w:r>
      <w:r>
        <w:rPr>
          <w:rFonts w:ascii="Book Antiqua" w:eastAsia="Book Antiqua" w:hAnsi="Book Antiqua" w:cs="Book Antiqua"/>
          <w:color w:val="000000"/>
        </w:rPr>
        <w:t xml:space="preserve">. Following intravenous methylprednisolone pulse therapy (methylprednisolone 500 mg for 3 d, 250 mg for 3 d, 80 mg for 3 d), with fluctuating GLU (200 mg/dL to 280 mg/dL), his symptoms gradually resolved. Oral prednisolone was administered as sequential treatment (60 mg/d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followed by gradual dose tapering (10 mg/</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
    <w:p w14:paraId="33F5F20A" w14:textId="77777777" w:rsidR="005D0CCA" w:rsidRDefault="005D0CCA">
      <w:pPr>
        <w:spacing w:line="360" w:lineRule="auto"/>
        <w:jc w:val="both"/>
      </w:pPr>
    </w:p>
    <w:p w14:paraId="7D5344F8" w14:textId="77777777" w:rsidR="005D0CCA" w:rsidRDefault="006041CB">
      <w:pPr>
        <w:spacing w:line="360" w:lineRule="auto"/>
        <w:jc w:val="both"/>
      </w:pPr>
      <w:r>
        <w:rPr>
          <w:rFonts w:ascii="Book Antiqua" w:eastAsia="Book Antiqua" w:hAnsi="Book Antiqua" w:cs="Book Antiqua"/>
          <w:b/>
          <w:caps/>
          <w:color w:val="000000"/>
          <w:u w:val="single"/>
        </w:rPr>
        <w:t>OUTCOME AND FOLLOW-UP</w:t>
      </w:r>
    </w:p>
    <w:p w14:paraId="7E89C80A" w14:textId="77777777" w:rsidR="005D0CCA" w:rsidRDefault="006041CB">
      <w:pPr>
        <w:spacing w:line="360" w:lineRule="auto"/>
        <w:jc w:val="both"/>
      </w:pPr>
      <w:r>
        <w:rPr>
          <w:rFonts w:ascii="Book Antiqua" w:eastAsia="Book Antiqua" w:hAnsi="Book Antiqua" w:cs="Book Antiqua"/>
          <w:color w:val="000000"/>
        </w:rPr>
        <w:t xml:space="preserve">Articulation function, numbness and weakness of the limbs had almost disappeared on discharge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In the 2-wk follow-up period, all symptoms were resolved except for mild persistent gait disturbance, with similar imaging findings to the previously obtained images. After 3-mo of follow-up, rehabilitation had improved, and a normal range of electrolytes, arterial blood gas analysis, and hepatorenal function were observed. MRI manifestations on reexamination indicated reduced lesion volume and the lesions had almost disappeared in bilateral cerebral peduncles, along with disappearance of enhanced lesions (Figure 2). In addition, his pulmonary and urinary tract infections had resolved. He could walk unassisted and was treated with oral hypoglycemic drugs merely to control his GLU levels. In the latest follow-up, his functional state was restored and he carried out simple daily life activities independently.</w:t>
      </w:r>
    </w:p>
    <w:p w14:paraId="06CC21D8" w14:textId="77777777" w:rsidR="005D0CCA" w:rsidRDefault="005D0CCA">
      <w:pPr>
        <w:spacing w:line="360" w:lineRule="auto"/>
        <w:jc w:val="both"/>
      </w:pPr>
    </w:p>
    <w:p w14:paraId="603B18D5" w14:textId="77777777" w:rsidR="005D0CCA" w:rsidRDefault="006041CB">
      <w:pPr>
        <w:spacing w:line="360" w:lineRule="auto"/>
        <w:jc w:val="both"/>
      </w:pPr>
      <w:r>
        <w:rPr>
          <w:rFonts w:ascii="Book Antiqua" w:eastAsia="Book Antiqua" w:hAnsi="Book Antiqua" w:cs="Book Antiqua"/>
          <w:b/>
          <w:caps/>
          <w:color w:val="000000"/>
          <w:u w:val="single"/>
        </w:rPr>
        <w:t>DISCUSSION</w:t>
      </w:r>
    </w:p>
    <w:p w14:paraId="56349A84" w14:textId="77777777" w:rsidR="005D0CCA" w:rsidRDefault="006041CB">
      <w:pPr>
        <w:spacing w:line="360" w:lineRule="auto"/>
        <w:jc w:val="both"/>
      </w:pPr>
      <w:r>
        <w:rPr>
          <w:rFonts w:ascii="Book Antiqua" w:eastAsia="Book Antiqua" w:hAnsi="Book Antiqua" w:cs="Book Antiqua"/>
          <w:color w:val="000000"/>
        </w:rPr>
        <w:t xml:space="preserve">Currently, CPM is considered a rare complication of uncontrolled diabetes, which is supported by several reports in patients diagnosed with CPM secondary to </w:t>
      </w:r>
      <w:r>
        <w:rPr>
          <w:rFonts w:ascii="Book Antiqua" w:eastAsia="Book Antiqua" w:hAnsi="Book Antiqua" w:cs="Book Antiqua"/>
          <w:color w:val="000000"/>
        </w:rPr>
        <w:lastRenderedPageBreak/>
        <w:t xml:space="preserve">hyperosmolar </w:t>
      </w:r>
      <w:proofErr w:type="gramStart"/>
      <w:r>
        <w:rPr>
          <w:rFonts w:ascii="Book Antiqua" w:eastAsia="Book Antiqua" w:hAnsi="Book Antiqua" w:cs="Book Antiqua"/>
          <w:color w:val="000000"/>
        </w:rPr>
        <w:t>hyperglycemia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xml:space="preserve">. In one such case </w:t>
      </w:r>
      <w:proofErr w:type="gramStart"/>
      <w:r>
        <w:rPr>
          <w:rFonts w:ascii="Book Antiqua" w:eastAsia="Book Antiqua" w:hAnsi="Book Antiqua" w:cs="Book Antiqua"/>
          <w:color w:val="000000"/>
        </w:rPr>
        <w:t>report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 28-year-old female with type 1 diabetes presented with an asymptomatic pontine lesion (named “asymptomatic pontine lesion”) and diabetic amyotrophy following rapid treatment of poor glycemic control. Other reports also indicated that patients with diabetes presented with brainstem dysfunction and revealed a CPM-like lesion on </w:t>
      </w:r>
      <w:proofErr w:type="gramStart"/>
      <w:r>
        <w:rPr>
          <w:rFonts w:ascii="Book Antiqua" w:eastAsia="Book Antiqua" w:hAnsi="Book Antiqua" w:cs="Book Antiqua"/>
          <w:color w:val="000000"/>
        </w:rPr>
        <w:t>MRI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For instance, a 20-year-old female with type 1 diabetes was reported to have an acute onset of spastic quadriparesis with dysarthria and mild </w:t>
      </w:r>
      <w:proofErr w:type="gramStart"/>
      <w:r>
        <w:rPr>
          <w:rFonts w:ascii="Book Antiqua" w:eastAsia="Book Antiqua" w:hAnsi="Book Antiqua" w:cs="Book Antiqua"/>
          <w:color w:val="000000"/>
        </w:rPr>
        <w:t>ataxia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addition, a 45-year-old woman presented to the emergency department with an unsteady gait, dizziness and right-sided </w:t>
      </w:r>
      <w:proofErr w:type="gramStart"/>
      <w:r>
        <w:rPr>
          <w:rFonts w:ascii="Book Antiqua" w:eastAsia="Book Antiqua" w:hAnsi="Book Antiqua" w:cs="Book Antiqua"/>
          <w:color w:val="000000"/>
        </w:rPr>
        <w:t>weakness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Similarly, a 45-year-old male with a past medical history of type 2 diabetes, hypertension, stage V chronic kidney disease and hypothyroidism presented with a 2-wk history of intermittent episodes of gait imbalance, slurred speech and inappropriate laughter</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All these patients showed no obvious severe electrolyte abnormalities, were treated conservatively and gradually improved. However, a 29-year-old male with diabetic ketoacidosis and a history of surgical repair of a ventricular septal defect was found to have leukocytosis, severe metabolic acidosis, hypokalemia, and hyperglycemia, and was treated with a large amount of sodium bicarbonate and potassium chloride, which resulted in the development of </w:t>
      </w:r>
      <w:proofErr w:type="gramStart"/>
      <w:r>
        <w:rPr>
          <w:rFonts w:ascii="Book Antiqua" w:eastAsia="Book Antiqua" w:hAnsi="Book Antiqua" w:cs="Book Antiqua"/>
          <w:color w:val="000000"/>
        </w:rPr>
        <w:t>CPM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3B188C73" w14:textId="77777777" w:rsidR="005D0CCA" w:rsidRDefault="006041CB">
      <w:pPr>
        <w:spacing w:line="360" w:lineRule="auto"/>
        <w:ind w:firstLineChars="100" w:firstLine="240"/>
        <w:jc w:val="both"/>
      </w:pPr>
      <w:r>
        <w:rPr>
          <w:rFonts w:ascii="Book Antiqua" w:eastAsia="Book Antiqua" w:hAnsi="Book Antiqua" w:cs="Book Antiqua"/>
          <w:color w:val="000000"/>
        </w:rPr>
        <w:t>The following theories on the pathogenesis of CPM have been proposed</w:t>
      </w:r>
      <w:r>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 (1) subacute cellular dysfunction induced by prolonged hyperglycemia; (2) osmotic demyelination caused by the rapid correction of osmolality, in relation to fluctuating GLU levels; and (3) demyelination secondary to hypertonic insult related to hyperglycemia. Our patient developed symptoms mainly of chronic hyperglycemia and fluctuating levels of GLU, indicating their probable correlation. Thus, the correction of hyperglycemia should be performed with caution.</w:t>
      </w:r>
    </w:p>
    <w:p w14:paraId="37D0F118" w14:textId="77777777" w:rsidR="005D0CCA" w:rsidRDefault="006041CB">
      <w:pPr>
        <w:spacing w:line="360" w:lineRule="auto"/>
        <w:ind w:firstLineChars="100" w:firstLine="240"/>
        <w:jc w:val="both"/>
      </w:pPr>
      <w:r>
        <w:rPr>
          <w:rFonts w:ascii="Book Antiqua" w:eastAsia="Book Antiqua" w:hAnsi="Book Antiqua" w:cs="Book Antiqua"/>
          <w:color w:val="000000"/>
        </w:rPr>
        <w:t xml:space="preserve">The lesions in our patient were unusual, and appeared glioma-like. Due to damage of the blood-brain barrier (BBB) and subsequent penetration of the contrast medium, the lesions of glioma usually present with variable signals, typically with inhomogeneous enhancement following contrast </w:t>
      </w:r>
      <w:proofErr w:type="gramStart"/>
      <w:r>
        <w:rPr>
          <w:rFonts w:ascii="Book Antiqua" w:eastAsia="Book Antiqua" w:hAnsi="Book Antiqua" w:cs="Book Antiqua"/>
          <w:color w:val="000000"/>
        </w:rPr>
        <w:t>administration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xml:space="preserve">. The signals in our case can be explained by partial damage to the BBB, as a result of chronic hyperglycemia and </w:t>
      </w:r>
      <w:r>
        <w:rPr>
          <w:rFonts w:ascii="Book Antiqua" w:eastAsia="Book Antiqua" w:hAnsi="Book Antiqua" w:cs="Book Antiqua"/>
          <w:color w:val="000000"/>
        </w:rPr>
        <w:lastRenderedPageBreak/>
        <w:t xml:space="preserve">repeated changes in GLU concentrations between the blood and </w:t>
      </w:r>
      <w:proofErr w:type="gramStart"/>
      <w:r>
        <w:rPr>
          <w:rFonts w:ascii="Book Antiqua" w:eastAsia="Book Antiqua" w:hAnsi="Book Antiqua" w:cs="Book Antiqua"/>
          <w:color w:val="000000"/>
        </w:rPr>
        <w:t>CSF</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However, without biopsy results, a positive therapeutic response and the imaging features were suggestive of glioma. Further follow-up could be helpful for a definite diagnosis. In general, given its therapeutic safety and acceptability, conservative therapy should be considered prior to invasive examination or surgery. Thus, it is critical to recognize and distinguish metabolic diseases from tumor or other intracranial mass lesions.</w:t>
      </w:r>
    </w:p>
    <w:p w14:paraId="65BDECF9" w14:textId="20076F59" w:rsidR="005D0CCA" w:rsidRDefault="006041CB">
      <w:pPr>
        <w:spacing w:line="360" w:lineRule="auto"/>
        <w:ind w:firstLineChars="100" w:firstLine="240"/>
        <w:jc w:val="both"/>
      </w:pPr>
      <w:r>
        <w:rPr>
          <w:rFonts w:ascii="Book Antiqua" w:eastAsia="Book Antiqua" w:hAnsi="Book Antiqua" w:cs="Book Antiqua"/>
          <w:color w:val="000000"/>
        </w:rPr>
        <w:t xml:space="preserve">The therapeutic effect of corticosteroids is uncertain in </w:t>
      </w:r>
      <w:proofErr w:type="gramStart"/>
      <w:r>
        <w:rPr>
          <w:rFonts w:ascii="Book Antiqua" w:eastAsia="Book Antiqua" w:hAnsi="Book Antiqua" w:cs="Book Antiqua"/>
          <w:color w:val="000000"/>
        </w:rPr>
        <w:t>CPM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Corticosteroids demonstrate a ‘double-edged sword’. They can improve the vascular inflammatory reaction and lessen permeability and edema. In contrast, their side-effects such as altering blood GLU concentrations might further aggravate tissue damage due to </w:t>
      </w:r>
      <w:proofErr w:type="gramStart"/>
      <w:r>
        <w:rPr>
          <w:rFonts w:ascii="Book Antiqua" w:eastAsia="Book Antiqua" w:hAnsi="Book Antiqua" w:cs="Book Antiqua"/>
          <w:color w:val="000000"/>
        </w:rPr>
        <w:t>hyperglycemia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With rapid disease progression and suspected TDL, we treated our patient with </w:t>
      </w:r>
      <w:proofErr w:type="gramStart"/>
      <w:r>
        <w:rPr>
          <w:rFonts w:ascii="Book Antiqua" w:eastAsia="Book Antiqua" w:hAnsi="Book Antiqua" w:cs="Book Antiqua"/>
          <w:color w:val="000000"/>
        </w:rPr>
        <w:t>corticosteroids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w:t>
      </w:r>
      <w:r w:rsidR="00D56A83">
        <w:rPr>
          <w:rFonts w:ascii="Book Antiqua" w:eastAsia="Book Antiqua" w:hAnsi="Book Antiqua" w:cs="Book Antiqua"/>
          <w:color w:val="000000"/>
        </w:rPr>
        <w:t>However</w:t>
      </w:r>
      <w:r>
        <w:rPr>
          <w:rFonts w:ascii="Book Antiqua" w:eastAsia="Book Antiqua" w:hAnsi="Book Antiqua" w:cs="Book Antiqua"/>
          <w:color w:val="000000"/>
        </w:rPr>
        <w:t>, we tapered the dose of corticosteroids relatively quickly for better control of GLU. As a result, the patient achieved a positive prognosis during follow-up. However, the efficacy of hypoglycemic treatment alone or in combination with corticosteroids remains unknown. Further studies are needed to compare their curative value.</w:t>
      </w:r>
    </w:p>
    <w:p w14:paraId="423902B2" w14:textId="77777777" w:rsidR="005D0CCA" w:rsidRDefault="005D0CCA">
      <w:pPr>
        <w:spacing w:line="360" w:lineRule="auto"/>
        <w:jc w:val="both"/>
      </w:pPr>
    </w:p>
    <w:p w14:paraId="20293245" w14:textId="77777777" w:rsidR="005D0CCA" w:rsidRDefault="006041CB">
      <w:pPr>
        <w:spacing w:line="360" w:lineRule="auto"/>
        <w:jc w:val="both"/>
      </w:pPr>
      <w:r>
        <w:rPr>
          <w:rFonts w:ascii="Book Antiqua" w:eastAsia="Book Antiqua" w:hAnsi="Book Antiqua" w:cs="Book Antiqua"/>
          <w:b/>
          <w:caps/>
          <w:color w:val="000000"/>
          <w:u w:val="single"/>
        </w:rPr>
        <w:t>CONCLUSION</w:t>
      </w:r>
    </w:p>
    <w:p w14:paraId="677A3F1B" w14:textId="77777777" w:rsidR="005D0CCA" w:rsidRDefault="006041CB">
      <w:pPr>
        <w:spacing w:line="360" w:lineRule="auto"/>
        <w:jc w:val="both"/>
      </w:pPr>
      <w:r>
        <w:rPr>
          <w:rFonts w:ascii="Book Antiqua" w:eastAsia="Book Antiqua" w:hAnsi="Book Antiqua" w:cs="Book Antiqua"/>
          <w:color w:val="000000"/>
        </w:rPr>
        <w:t>CPM may be caused by diabetes, and could be associated with poorly controlled frequent hyponatremia. The imaging features can mimic glioma, with atypical inhomogeneous signal intensity on contrast-enhanced MRI. As a frequent disease in various hospital departments, early identification should be performed when patients with diabetes develop neurological symptoms especially with glioma-like imaging features. Tentative treatment with corticosteroids might be effective and improve the prognosis.</w:t>
      </w:r>
    </w:p>
    <w:p w14:paraId="57D3D7EF" w14:textId="77777777" w:rsidR="005D0CCA" w:rsidRDefault="005D0CCA">
      <w:pPr>
        <w:spacing w:line="360" w:lineRule="auto"/>
        <w:jc w:val="both"/>
      </w:pPr>
    </w:p>
    <w:p w14:paraId="750FBF97" w14:textId="77777777" w:rsidR="005D0CCA" w:rsidRDefault="006041CB">
      <w:pPr>
        <w:spacing w:line="360" w:lineRule="auto"/>
        <w:jc w:val="both"/>
      </w:pPr>
      <w:r>
        <w:rPr>
          <w:rFonts w:ascii="Book Antiqua" w:eastAsia="Book Antiqua" w:hAnsi="Book Antiqua" w:cs="Book Antiqua"/>
          <w:b/>
          <w:color w:val="000000"/>
        </w:rPr>
        <w:t>REFERENCES</w:t>
      </w:r>
    </w:p>
    <w:p w14:paraId="783606E7" w14:textId="77777777" w:rsidR="005D0CCA" w:rsidRDefault="006041CB">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Adams RD</w:t>
      </w:r>
      <w:r>
        <w:rPr>
          <w:rFonts w:ascii="Book Antiqua" w:eastAsia="Book Antiqua" w:hAnsi="Book Antiqua" w:cs="Book Antiqua"/>
          <w:color w:val="000000"/>
        </w:rPr>
        <w:t xml:space="preserve">, Victor M, </w:t>
      </w:r>
      <w:proofErr w:type="spellStart"/>
      <w:r>
        <w:rPr>
          <w:rFonts w:ascii="Book Antiqua" w:eastAsia="Book Antiqua" w:hAnsi="Book Antiqua" w:cs="Book Antiqua"/>
          <w:color w:val="000000"/>
        </w:rPr>
        <w:t>Mancall</w:t>
      </w:r>
      <w:proofErr w:type="spellEnd"/>
      <w:r>
        <w:rPr>
          <w:rFonts w:ascii="Book Antiqua" w:eastAsia="Book Antiqua" w:hAnsi="Book Antiqua" w:cs="Book Antiqua"/>
          <w:color w:val="000000"/>
        </w:rPr>
        <w:t xml:space="preserve"> EL. Central pontine myelinolysis: a hitherto undescribed disease occurring in alcoholic and malnourished patients. </w:t>
      </w:r>
      <w:r>
        <w:rPr>
          <w:rFonts w:ascii="Book Antiqua" w:eastAsia="Book Antiqua" w:hAnsi="Book Antiqua" w:cs="Book Antiqua"/>
          <w:i/>
          <w:iCs/>
          <w:color w:val="000000"/>
        </w:rPr>
        <w:t>AMA Arch Neurol Psychiatry</w:t>
      </w:r>
      <w:r>
        <w:rPr>
          <w:rFonts w:ascii="Book Antiqua" w:eastAsia="Book Antiqua" w:hAnsi="Book Antiqua" w:cs="Book Antiqua"/>
          <w:color w:val="000000"/>
        </w:rPr>
        <w:t xml:space="preserve"> 1959; </w:t>
      </w:r>
      <w:r>
        <w:rPr>
          <w:rFonts w:ascii="Book Antiqua" w:eastAsia="Book Antiqua" w:hAnsi="Book Antiqua" w:cs="Book Antiqua"/>
          <w:b/>
          <w:bCs/>
          <w:color w:val="000000"/>
        </w:rPr>
        <w:t>81</w:t>
      </w:r>
      <w:r>
        <w:rPr>
          <w:rFonts w:ascii="Book Antiqua" w:eastAsia="Book Antiqua" w:hAnsi="Book Antiqua" w:cs="Book Antiqua"/>
          <w:color w:val="000000"/>
        </w:rPr>
        <w:t>: 154-172 [PMID: 13616772]</w:t>
      </w:r>
    </w:p>
    <w:p w14:paraId="4BB3C048" w14:textId="77777777" w:rsidR="005D0CCA" w:rsidRDefault="006041C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Alleman AM</w:t>
      </w:r>
      <w:r>
        <w:rPr>
          <w:rFonts w:ascii="Book Antiqua" w:eastAsia="Book Antiqua" w:hAnsi="Book Antiqua" w:cs="Book Antiqua"/>
          <w:color w:val="000000"/>
        </w:rPr>
        <w:t xml:space="preserve">. Osmotic demyelination syndrome: central pontine myelinolysis and extrapontine myelinolysis.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153-159 [PMID: 24745890 DOI: 10.1053/j.sult.2013.09.009]</w:t>
      </w:r>
    </w:p>
    <w:p w14:paraId="49E46771" w14:textId="77777777" w:rsidR="005D0CCA" w:rsidRDefault="006041C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Wang YF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Parpura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Astroglial</w:t>
      </w:r>
      <w:proofErr w:type="spellEnd"/>
      <w:r>
        <w:rPr>
          <w:rFonts w:ascii="Book Antiqua" w:eastAsia="Book Antiqua" w:hAnsi="Book Antiqua" w:cs="Book Antiqua"/>
          <w:color w:val="000000"/>
        </w:rPr>
        <w:t xml:space="preserve"> Modulation of </w:t>
      </w:r>
      <w:proofErr w:type="spellStart"/>
      <w:r>
        <w:rPr>
          <w:rFonts w:ascii="Book Antiqua" w:eastAsia="Book Antiqua" w:hAnsi="Book Antiqua" w:cs="Book Antiqua"/>
          <w:color w:val="000000"/>
        </w:rPr>
        <w:t>Hydromineral</w:t>
      </w:r>
      <w:proofErr w:type="spellEnd"/>
      <w:r>
        <w:rPr>
          <w:rFonts w:ascii="Book Antiqua" w:eastAsia="Book Antiqua" w:hAnsi="Book Antiqua" w:cs="Book Antiqua"/>
          <w:color w:val="000000"/>
        </w:rPr>
        <w:t xml:space="preserve"> Balance and Cerebral Edema.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204 [PMID: 29946238 DOI: 10.3389/fnmol.2018.00204]</w:t>
      </w:r>
    </w:p>
    <w:p w14:paraId="5A61395C" w14:textId="77777777" w:rsidR="005D0CCA" w:rsidRDefault="006041C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Shah MK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Mandayam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Adrogué</w:t>
      </w:r>
      <w:proofErr w:type="spellEnd"/>
      <w:r>
        <w:rPr>
          <w:rFonts w:ascii="Book Antiqua" w:eastAsia="Book Antiqua" w:hAnsi="Book Antiqua" w:cs="Book Antiqua"/>
          <w:color w:val="000000"/>
        </w:rPr>
        <w:t xml:space="preserve"> HJ. Osmotic Demyelination Unrelated to Hyponatremia.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436-440 [PMID: 29277507 DOI: 10.1053/j.ajkd.2017.10.010]</w:t>
      </w:r>
    </w:p>
    <w:p w14:paraId="5EE25A0F" w14:textId="77777777" w:rsidR="005D0CCA" w:rsidRDefault="006041C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Shimizu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Kozawa</w:t>
      </w:r>
      <w:proofErr w:type="spellEnd"/>
      <w:r>
        <w:rPr>
          <w:rFonts w:ascii="Book Antiqua" w:eastAsia="Book Antiqua" w:hAnsi="Book Antiqua" w:cs="Book Antiqua"/>
          <w:color w:val="000000"/>
        </w:rPr>
        <w:t xml:space="preserve"> J, Hayakawa T, Sakai Y, Kimura T, Kitamura T, </w:t>
      </w:r>
      <w:proofErr w:type="spellStart"/>
      <w:r>
        <w:rPr>
          <w:rFonts w:ascii="Book Antiqua" w:eastAsia="Book Antiqua" w:hAnsi="Book Antiqua" w:cs="Book Antiqua"/>
          <w:color w:val="000000"/>
        </w:rPr>
        <w:t>Murase</w:t>
      </w:r>
      <w:proofErr w:type="spellEnd"/>
      <w:r>
        <w:rPr>
          <w:rFonts w:ascii="Book Antiqua" w:eastAsia="Book Antiqua" w:hAnsi="Book Antiqua" w:cs="Book Antiqua"/>
          <w:color w:val="000000"/>
        </w:rPr>
        <w:t xml:space="preserve"> S, Tanaka H, Maeda N, </w:t>
      </w:r>
      <w:proofErr w:type="spellStart"/>
      <w:r>
        <w:rPr>
          <w:rFonts w:ascii="Book Antiqua" w:eastAsia="Book Antiqua" w:hAnsi="Book Antiqua" w:cs="Book Antiqua"/>
          <w:color w:val="000000"/>
        </w:rPr>
        <w:t>Otsuki</w:t>
      </w:r>
      <w:proofErr w:type="spellEnd"/>
      <w:r>
        <w:rPr>
          <w:rFonts w:ascii="Book Antiqua" w:eastAsia="Book Antiqua" w:hAnsi="Book Antiqua" w:cs="Book Antiqua"/>
          <w:color w:val="000000"/>
        </w:rPr>
        <w:t xml:space="preserve"> M, Matsuoka T, Mochizuki H, </w:t>
      </w:r>
      <w:proofErr w:type="spellStart"/>
      <w:r>
        <w:rPr>
          <w:rFonts w:ascii="Book Antiqua" w:eastAsia="Book Antiqua" w:hAnsi="Book Antiqua" w:cs="Book Antiqua"/>
          <w:color w:val="000000"/>
        </w:rPr>
        <w:t>Iwahashi</w:t>
      </w:r>
      <w:proofErr w:type="spellEnd"/>
      <w:r>
        <w:rPr>
          <w:rFonts w:ascii="Book Antiqua" w:eastAsia="Book Antiqua" w:hAnsi="Book Antiqua" w:cs="Book Antiqua"/>
          <w:color w:val="000000"/>
        </w:rPr>
        <w:t xml:space="preserve"> H, Shimomura I. Asymptomatic Pontine Lesion and Diabetic Amyotrophy after Rapid Improvement of Poor Glycemic Control in a Patient with Type 1 Diabetes.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3433-3439 [PMID: 31391398 DOI: 10.2169/internalmedicine.2835-19]</w:t>
      </w:r>
    </w:p>
    <w:p w14:paraId="2CA5D0E9" w14:textId="77777777" w:rsidR="005D0CCA" w:rsidRDefault="006041C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Sharma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Kumawat</w:t>
      </w:r>
      <w:proofErr w:type="spellEnd"/>
      <w:r>
        <w:rPr>
          <w:rFonts w:ascii="Book Antiqua" w:eastAsia="Book Antiqua" w:hAnsi="Book Antiqua" w:cs="Book Antiqua"/>
          <w:color w:val="000000"/>
        </w:rPr>
        <w:t xml:space="preserve"> BL, Panchal M, Shah M. Osmotic demyelination syndrome in type 1 diabetes in the absence of </w:t>
      </w:r>
      <w:proofErr w:type="spellStart"/>
      <w:r>
        <w:rPr>
          <w:rFonts w:ascii="Book Antiqua" w:eastAsia="Book Antiqua" w:hAnsi="Book Antiqua" w:cs="Book Antiqua"/>
          <w:color w:val="000000"/>
        </w:rPr>
        <w:t>dyselectrolytaemia</w:t>
      </w:r>
      <w:proofErr w:type="spellEnd"/>
      <w:r>
        <w:rPr>
          <w:rFonts w:ascii="Book Antiqua" w:eastAsia="Book Antiqua" w:hAnsi="Book Antiqua" w:cs="Book Antiqua"/>
          <w:color w:val="000000"/>
        </w:rPr>
        <w:t xml:space="preserve">: an overlooked complication?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xml:space="preserve"> [PMID: 28500261 DOI: 10.1136/bcr-2016-219148]</w:t>
      </w:r>
    </w:p>
    <w:p w14:paraId="704C3DDA" w14:textId="77777777" w:rsidR="005D0CCA" w:rsidRDefault="006041C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Saini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Mamauag</w:t>
      </w:r>
      <w:proofErr w:type="spellEnd"/>
      <w:r>
        <w:rPr>
          <w:rFonts w:ascii="Book Antiqua" w:eastAsia="Book Antiqua" w:hAnsi="Book Antiqua" w:cs="Book Antiqua"/>
          <w:color w:val="000000"/>
        </w:rPr>
        <w:t xml:space="preserve"> MJ, Singh R. Central pontine myelinolysis: a rare presentation secondary to </w:t>
      </w:r>
      <w:proofErr w:type="spellStart"/>
      <w:r>
        <w:rPr>
          <w:rFonts w:ascii="Book Antiqua" w:eastAsia="Book Antiqua" w:hAnsi="Book Antiqua" w:cs="Book Antiqua"/>
          <w:color w:val="000000"/>
        </w:rPr>
        <w:t>hyperglycaemia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56</w:t>
      </w:r>
      <w:r>
        <w:rPr>
          <w:rFonts w:ascii="Book Antiqua" w:eastAsia="Book Antiqua" w:hAnsi="Book Antiqua" w:cs="Book Antiqua"/>
          <w:color w:val="000000"/>
        </w:rPr>
        <w:t>: e71-e73 [PMID: 25917480 DOI: 10.11622/smedj.2015065]</w:t>
      </w:r>
    </w:p>
    <w:p w14:paraId="37EDD1C7" w14:textId="77777777" w:rsidR="005D0CCA" w:rsidRDefault="006041CB">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Talluri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Charumathi</w:t>
      </w:r>
      <w:proofErr w:type="spellEnd"/>
      <w:r>
        <w:rPr>
          <w:rFonts w:ascii="Book Antiqua" w:eastAsia="Book Antiqua" w:hAnsi="Book Antiqua" w:cs="Book Antiqua"/>
          <w:color w:val="000000"/>
        </w:rPr>
        <w:t xml:space="preserve"> R, Khan M, </w:t>
      </w:r>
      <w:proofErr w:type="spellStart"/>
      <w:r>
        <w:rPr>
          <w:rFonts w:ascii="Book Antiqua" w:eastAsia="Book Antiqua" w:hAnsi="Book Antiqua" w:cs="Book Antiqua"/>
          <w:color w:val="000000"/>
        </w:rPr>
        <w:t>Kissell</w:t>
      </w:r>
      <w:proofErr w:type="spellEnd"/>
      <w:r>
        <w:rPr>
          <w:rFonts w:ascii="Book Antiqua" w:eastAsia="Book Antiqua" w:hAnsi="Book Antiqua" w:cs="Book Antiqua"/>
          <w:color w:val="000000"/>
        </w:rPr>
        <w:t xml:space="preserve"> K. Atypical presentation of central pontine myelinolysis in hyperglycemia.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Diabetes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xml:space="preserve"> [PMID: 28924482 DOI: 10.1530/EDM-17-0064]</w:t>
      </w:r>
    </w:p>
    <w:p w14:paraId="39958341" w14:textId="77777777" w:rsidR="005D0CCA" w:rsidRDefault="006041C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Hsieh HC</w:t>
      </w:r>
      <w:r>
        <w:rPr>
          <w:rFonts w:ascii="Book Antiqua" w:eastAsia="Book Antiqua" w:hAnsi="Book Antiqua" w:cs="Book Antiqua"/>
          <w:color w:val="000000"/>
        </w:rPr>
        <w:t xml:space="preserve">, Wu SH, Chiu CC, Ko KC. Excessive Sodium Bicarbonate Infusion May Result in Osmotic Demyelination Syndrome During Treatment of Diabetic Ketoacidosis: </w:t>
      </w:r>
      <w:r>
        <w:rPr>
          <w:rFonts w:ascii="Book Antiqua" w:eastAsia="Book Antiqua" w:hAnsi="Book Antiqua" w:cs="Book Antiqua"/>
          <w:color w:val="000000"/>
        </w:rPr>
        <w:lastRenderedPageBreak/>
        <w:t xml:space="preserve">A Case Report.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765-771 [PMID: 30843157 DOI: 10.1007/s13300-019-0592-8]</w:t>
      </w:r>
    </w:p>
    <w:p w14:paraId="37D924CA" w14:textId="77777777" w:rsidR="005D0CCA" w:rsidRDefault="006041C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Reijnders</w:t>
      </w:r>
      <w:proofErr w:type="spellEnd"/>
      <w:r>
        <w:rPr>
          <w:rFonts w:ascii="Book Antiqua" w:eastAsia="Book Antiqua" w:hAnsi="Book Antiqua" w:cs="Book Antiqua"/>
          <w:b/>
          <w:bCs/>
          <w:color w:val="000000"/>
        </w:rPr>
        <w:t xml:space="preserve"> TDY</w:t>
      </w:r>
      <w:r>
        <w:rPr>
          <w:rFonts w:ascii="Book Antiqua" w:eastAsia="Book Antiqua" w:hAnsi="Book Antiqua" w:cs="Book Antiqua"/>
          <w:color w:val="000000"/>
        </w:rPr>
        <w:t xml:space="preserve">, Janssen WMT, </w:t>
      </w:r>
      <w:proofErr w:type="spellStart"/>
      <w:r>
        <w:rPr>
          <w:rFonts w:ascii="Book Antiqua" w:eastAsia="Book Antiqua" w:hAnsi="Book Antiqua" w:cs="Book Antiqua"/>
          <w:color w:val="000000"/>
        </w:rPr>
        <w:t>Niamut</w:t>
      </w:r>
      <w:proofErr w:type="spellEnd"/>
      <w:r>
        <w:rPr>
          <w:rFonts w:ascii="Book Antiqua" w:eastAsia="Book Antiqua" w:hAnsi="Book Antiqua" w:cs="Book Antiqua"/>
          <w:color w:val="000000"/>
        </w:rPr>
        <w:t xml:space="preserve"> SML, Kramer AB. Role of Risk Factors in Developing Osmotic Demyelination Syndrome During Correction of Hyponatremia: A Case Study.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e6547 [PMID: 32042522 DOI: 10.7759/cureus.6547]</w:t>
      </w:r>
    </w:p>
    <w:p w14:paraId="20651A7F" w14:textId="77777777" w:rsidR="005D0CCA" w:rsidRDefault="006041C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Andereggen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Remonda</w:t>
      </w:r>
      <w:proofErr w:type="spellEnd"/>
      <w:r>
        <w:rPr>
          <w:rFonts w:ascii="Book Antiqua" w:eastAsia="Book Antiqua" w:hAnsi="Book Antiqua" w:cs="Book Antiqua"/>
          <w:color w:val="000000"/>
        </w:rPr>
        <w:t xml:space="preserve"> L. Pontine Neoplasm or Myelinolysis Despite Normal Sodium Levels.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140</w:t>
      </w:r>
      <w:r>
        <w:rPr>
          <w:rFonts w:ascii="Book Antiqua" w:eastAsia="Book Antiqua" w:hAnsi="Book Antiqua" w:cs="Book Antiqua"/>
          <w:color w:val="000000"/>
        </w:rPr>
        <w:t>: 63-64 [PMID: 32416240 DOI: 10.1016/j.wneu.2020.05.061]</w:t>
      </w:r>
    </w:p>
    <w:p w14:paraId="61B64E0E" w14:textId="77777777" w:rsidR="005D0CCA" w:rsidRDefault="006041C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Hardy 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Pseudotumoral</w:t>
      </w:r>
      <w:proofErr w:type="spellEnd"/>
      <w:r>
        <w:rPr>
          <w:rFonts w:ascii="Book Antiqua" w:eastAsia="Book Antiqua" w:hAnsi="Book Antiqua" w:cs="Book Antiqua"/>
          <w:color w:val="000000"/>
        </w:rPr>
        <w:t xml:space="preserve"> demyelinating lesions: diagnostic approach and long-term outcome.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467-474 [PMID: 30844860 DOI: 10.1097/WCO.0000000000000683]</w:t>
      </w:r>
    </w:p>
    <w:p w14:paraId="29DD59B6" w14:textId="77777777" w:rsidR="005D0CCA" w:rsidRDefault="006041C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Wei J</w:t>
      </w:r>
      <w:r>
        <w:rPr>
          <w:rFonts w:ascii="Book Antiqua" w:eastAsia="Book Antiqua" w:hAnsi="Book Antiqua" w:cs="Book Antiqua"/>
          <w:color w:val="000000"/>
        </w:rPr>
        <w:t xml:space="preserve">, Li XY, Zhang Y. Central nervous system </w:t>
      </w:r>
      <w:proofErr w:type="spellStart"/>
      <w:r>
        <w:rPr>
          <w:rFonts w:ascii="Book Antiqua" w:eastAsia="Book Antiqua" w:hAnsi="Book Antiqua" w:cs="Book Antiqua"/>
          <w:color w:val="000000"/>
        </w:rPr>
        <w:t>Cryptococcoma</w:t>
      </w:r>
      <w:proofErr w:type="spellEnd"/>
      <w:r>
        <w:rPr>
          <w:rFonts w:ascii="Book Antiqua" w:eastAsia="Book Antiqua" w:hAnsi="Book Antiqua" w:cs="Book Antiqua"/>
          <w:color w:val="000000"/>
        </w:rPr>
        <w:t xml:space="preserve"> mimicking demyelinating disease: a case report. </w:t>
      </w:r>
      <w:r>
        <w:rPr>
          <w:rFonts w:ascii="Book Antiqua" w:eastAsia="Book Antiqua" w:hAnsi="Book Antiqua" w:cs="Book Antiqua"/>
          <w:i/>
          <w:iCs/>
          <w:color w:val="000000"/>
        </w:rPr>
        <w:t>BMC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297 [PMID: 32787794 DOI: 10.1186/s12883-020-01880-4]</w:t>
      </w:r>
    </w:p>
    <w:p w14:paraId="2BC760CD" w14:textId="77777777" w:rsidR="005D0CCA" w:rsidRDefault="006041CB">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Vandewalle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Luypaert</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Bosscher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Libert</w:t>
      </w:r>
      <w:proofErr w:type="spellEnd"/>
      <w:r>
        <w:rPr>
          <w:rFonts w:ascii="Book Antiqua" w:eastAsia="Book Antiqua" w:hAnsi="Book Antiqua" w:cs="Book Antiqua"/>
          <w:color w:val="000000"/>
        </w:rPr>
        <w:t xml:space="preserve"> C. Therapeutic Mechanisms of Glucocorticoids.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42-54 [PMID: 29162310 DOI: 10.1016/j.tem.2017.10.010]</w:t>
      </w:r>
    </w:p>
    <w:p w14:paraId="1AD96F78" w14:textId="77777777" w:rsidR="005D0CCA" w:rsidRDefault="006041CB">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Siffrin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Müller-</w:t>
      </w:r>
      <w:proofErr w:type="spellStart"/>
      <w:r>
        <w:rPr>
          <w:rFonts w:ascii="Book Antiqua" w:eastAsia="Book Antiqua" w:hAnsi="Book Antiqua" w:cs="Book Antiqua"/>
          <w:color w:val="000000"/>
        </w:rPr>
        <w:t>Forell</w:t>
      </w:r>
      <w:proofErr w:type="spellEnd"/>
      <w:r>
        <w:rPr>
          <w:rFonts w:ascii="Book Antiqua" w:eastAsia="Book Antiqua" w:hAnsi="Book Antiqua" w:cs="Book Antiqua"/>
          <w:color w:val="000000"/>
        </w:rPr>
        <w:t xml:space="preserve"> W, von Pein H, Zipp F. How to treat </w:t>
      </w:r>
      <w:proofErr w:type="spellStart"/>
      <w:r>
        <w:rPr>
          <w:rFonts w:ascii="Book Antiqua" w:eastAsia="Book Antiqua" w:hAnsi="Book Antiqua" w:cs="Book Antiqua"/>
          <w:color w:val="000000"/>
        </w:rPr>
        <w:t>tumefactive</w:t>
      </w:r>
      <w:proofErr w:type="spellEnd"/>
      <w:r>
        <w:rPr>
          <w:rFonts w:ascii="Book Antiqua" w:eastAsia="Book Antiqua" w:hAnsi="Book Antiqua" w:cs="Book Antiqua"/>
          <w:color w:val="000000"/>
        </w:rPr>
        <w:t xml:space="preserve"> demyelinating disease? </w:t>
      </w:r>
      <w:proofErr w:type="spellStart"/>
      <w:r>
        <w:rPr>
          <w:rFonts w:ascii="Book Antiqua" w:eastAsia="Book Antiqua" w:hAnsi="Book Antiqua" w:cs="Book Antiqua"/>
          <w:i/>
          <w:iCs/>
          <w:color w:val="000000"/>
        </w:rPr>
        <w:t>Mult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Scler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631-633 [PMID: 24347182 DOI: 10.1177/1352458513516891]</w:t>
      </w:r>
    </w:p>
    <w:p w14:paraId="2295FDA7" w14:textId="77777777" w:rsidR="005D0CCA" w:rsidRDefault="005D0CCA">
      <w:pPr>
        <w:spacing w:line="360" w:lineRule="auto"/>
        <w:jc w:val="both"/>
        <w:sectPr w:rsidR="005D0CCA">
          <w:pgSz w:w="12240" w:h="15840"/>
          <w:pgMar w:top="1440" w:right="1440" w:bottom="1440" w:left="1440" w:header="720" w:footer="720" w:gutter="0"/>
          <w:cols w:space="720"/>
          <w:docGrid w:linePitch="360"/>
        </w:sectPr>
      </w:pPr>
    </w:p>
    <w:p w14:paraId="6F30A5D7" w14:textId="77777777" w:rsidR="005D0CCA" w:rsidRDefault="006041CB">
      <w:pPr>
        <w:spacing w:line="360" w:lineRule="auto"/>
        <w:jc w:val="both"/>
      </w:pPr>
      <w:r>
        <w:rPr>
          <w:rFonts w:ascii="Book Antiqua" w:eastAsia="Book Antiqua" w:hAnsi="Book Antiqua" w:cs="Book Antiqua"/>
          <w:b/>
          <w:color w:val="000000"/>
        </w:rPr>
        <w:lastRenderedPageBreak/>
        <w:t>Footnotes</w:t>
      </w:r>
    </w:p>
    <w:p w14:paraId="38570F75" w14:textId="5847613A" w:rsidR="005D0CCA" w:rsidRDefault="006041CB">
      <w:pPr>
        <w:spacing w:line="360" w:lineRule="auto"/>
        <w:jc w:val="both"/>
      </w:pPr>
      <w:r>
        <w:rPr>
          <w:rFonts w:ascii="Book Antiqua" w:eastAsia="Book Antiqua" w:hAnsi="Book Antiqua" w:cs="Book Antiqua"/>
          <w:b/>
          <w:bCs/>
          <w:color w:val="000000"/>
        </w:rPr>
        <w:t xml:space="preserve">Informed consent statement: </w:t>
      </w:r>
      <w:r w:rsidR="00D56A83" w:rsidRPr="004201E8">
        <w:rPr>
          <w:rFonts w:ascii="Book Antiqua" w:eastAsia="Book Antiqua" w:hAnsi="Book Antiqua" w:cs="Book Antiqua"/>
          <w:bCs/>
          <w:color w:val="000000"/>
        </w:rPr>
        <w:t>The patient</w:t>
      </w:r>
      <w:r>
        <w:rPr>
          <w:rFonts w:ascii="Book Antiqua" w:eastAsia="Book Antiqua" w:hAnsi="Book Antiqua" w:cs="Book Antiqua"/>
          <w:color w:val="000000"/>
        </w:rPr>
        <w:t xml:space="preserve"> provided informed written consent prior to study enrollment.</w:t>
      </w:r>
    </w:p>
    <w:p w14:paraId="7EF8DA23" w14:textId="77777777" w:rsidR="005D0CCA" w:rsidRDefault="005D0CCA">
      <w:pPr>
        <w:spacing w:line="360" w:lineRule="auto"/>
        <w:jc w:val="both"/>
      </w:pPr>
    </w:p>
    <w:p w14:paraId="2BD55A5E" w14:textId="77777777" w:rsidR="005D0CCA" w:rsidRDefault="006041C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32F8801F" w14:textId="77777777" w:rsidR="005D0CCA" w:rsidRDefault="005D0CCA">
      <w:pPr>
        <w:spacing w:line="360" w:lineRule="auto"/>
        <w:jc w:val="both"/>
      </w:pPr>
    </w:p>
    <w:p w14:paraId="0257F30B" w14:textId="77777777" w:rsidR="005D0CCA" w:rsidRDefault="006041C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3138EF1" w14:textId="77777777" w:rsidR="005D0CCA" w:rsidRDefault="005D0CCA">
      <w:pPr>
        <w:spacing w:line="360" w:lineRule="auto"/>
        <w:jc w:val="both"/>
      </w:pPr>
    </w:p>
    <w:p w14:paraId="205F71E5" w14:textId="77777777" w:rsidR="005D0CCA" w:rsidRDefault="006041C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A12D77" w14:textId="77777777" w:rsidR="005D0CCA" w:rsidRDefault="005D0CCA">
      <w:pPr>
        <w:spacing w:line="360" w:lineRule="auto"/>
        <w:jc w:val="both"/>
      </w:pPr>
    </w:p>
    <w:p w14:paraId="2A59E0CF" w14:textId="77777777" w:rsidR="005D0CCA" w:rsidRDefault="006041C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5122FFA" w14:textId="77777777" w:rsidR="005D0CCA" w:rsidRDefault="005D0CCA">
      <w:pPr>
        <w:spacing w:line="360" w:lineRule="auto"/>
        <w:jc w:val="both"/>
      </w:pPr>
    </w:p>
    <w:p w14:paraId="35C76E4D" w14:textId="77777777" w:rsidR="005D0CCA" w:rsidRDefault="006041C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5, 2021</w:t>
      </w:r>
    </w:p>
    <w:p w14:paraId="3EDF49B4" w14:textId="77777777" w:rsidR="005D0CCA" w:rsidRDefault="006041C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7, 2021</w:t>
      </w:r>
    </w:p>
    <w:p w14:paraId="171B4E0B" w14:textId="77777777" w:rsidR="005D0CCA" w:rsidRDefault="006041CB">
      <w:pPr>
        <w:spacing w:line="360" w:lineRule="auto"/>
        <w:jc w:val="both"/>
      </w:pPr>
      <w:r>
        <w:rPr>
          <w:rFonts w:ascii="Book Antiqua" w:eastAsia="Book Antiqua" w:hAnsi="Book Antiqua" w:cs="Book Antiqua"/>
          <w:b/>
          <w:color w:val="000000"/>
        </w:rPr>
        <w:t xml:space="preserve">Article in press: </w:t>
      </w:r>
    </w:p>
    <w:p w14:paraId="0D8DB2B2" w14:textId="77777777" w:rsidR="005D0CCA" w:rsidRDefault="005D0CCA">
      <w:pPr>
        <w:spacing w:line="360" w:lineRule="auto"/>
        <w:jc w:val="both"/>
      </w:pPr>
    </w:p>
    <w:p w14:paraId="100D2112" w14:textId="77777777" w:rsidR="005D0CCA" w:rsidRDefault="006041CB">
      <w:pPr>
        <w:spacing w:line="360" w:lineRule="auto"/>
        <w:jc w:val="both"/>
      </w:pPr>
      <w:r>
        <w:rPr>
          <w:rFonts w:ascii="Book Antiqua" w:eastAsia="Book Antiqua" w:hAnsi="Book Antiqua" w:cs="Book Antiqua"/>
          <w:b/>
          <w:color w:val="000000"/>
        </w:rPr>
        <w:t xml:space="preserve">Specialty type: </w:t>
      </w:r>
      <w:r>
        <w:rPr>
          <w:rFonts w:ascii="Book Antiqua" w:eastAsia="Microsoft YaHei" w:hAnsi="Book Antiqua" w:cs="SimSun"/>
        </w:rPr>
        <w:t>Medicine, research and experimental</w:t>
      </w:r>
    </w:p>
    <w:p w14:paraId="62BA712D" w14:textId="77777777" w:rsidR="005D0CCA" w:rsidRDefault="006041C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594A9AF" w14:textId="77777777" w:rsidR="005D0CCA" w:rsidRDefault="006041CB">
      <w:pPr>
        <w:spacing w:line="360" w:lineRule="auto"/>
        <w:jc w:val="both"/>
      </w:pPr>
      <w:r>
        <w:rPr>
          <w:rFonts w:ascii="Book Antiqua" w:eastAsia="Book Antiqua" w:hAnsi="Book Antiqua" w:cs="Book Antiqua"/>
          <w:b/>
          <w:color w:val="000000"/>
        </w:rPr>
        <w:t>Peer-review report’s scientific quality classification</w:t>
      </w:r>
    </w:p>
    <w:p w14:paraId="533E6C59" w14:textId="77777777" w:rsidR="005D0CCA" w:rsidRDefault="006041CB">
      <w:pPr>
        <w:spacing w:line="360" w:lineRule="auto"/>
        <w:jc w:val="both"/>
      </w:pPr>
      <w:r>
        <w:rPr>
          <w:rFonts w:ascii="Book Antiqua" w:eastAsia="Book Antiqua" w:hAnsi="Book Antiqua" w:cs="Book Antiqua"/>
          <w:color w:val="000000"/>
        </w:rPr>
        <w:t>Grade A (Excellent): 0</w:t>
      </w:r>
    </w:p>
    <w:p w14:paraId="1CCF8101" w14:textId="77777777" w:rsidR="005D0CCA" w:rsidRDefault="006041CB">
      <w:pPr>
        <w:spacing w:line="360" w:lineRule="auto"/>
        <w:jc w:val="both"/>
      </w:pPr>
      <w:r>
        <w:rPr>
          <w:rFonts w:ascii="Book Antiqua" w:eastAsia="Book Antiqua" w:hAnsi="Book Antiqua" w:cs="Book Antiqua"/>
          <w:color w:val="000000"/>
        </w:rPr>
        <w:t>Grade B (Very good): B, B, B</w:t>
      </w:r>
    </w:p>
    <w:p w14:paraId="5F94C1B4" w14:textId="77777777" w:rsidR="005D0CCA" w:rsidRDefault="006041CB">
      <w:pPr>
        <w:spacing w:line="360" w:lineRule="auto"/>
        <w:jc w:val="both"/>
      </w:pPr>
      <w:r>
        <w:rPr>
          <w:rFonts w:ascii="Book Antiqua" w:eastAsia="Book Antiqua" w:hAnsi="Book Antiqua" w:cs="Book Antiqua"/>
          <w:color w:val="000000"/>
        </w:rPr>
        <w:lastRenderedPageBreak/>
        <w:t>Grade C (Good): C</w:t>
      </w:r>
    </w:p>
    <w:p w14:paraId="68D7F506" w14:textId="77777777" w:rsidR="005D0CCA" w:rsidRDefault="006041CB">
      <w:pPr>
        <w:spacing w:line="360" w:lineRule="auto"/>
        <w:jc w:val="both"/>
      </w:pPr>
      <w:r>
        <w:rPr>
          <w:rFonts w:ascii="Book Antiqua" w:eastAsia="Book Antiqua" w:hAnsi="Book Antiqua" w:cs="Book Antiqua"/>
          <w:color w:val="000000"/>
        </w:rPr>
        <w:t>Grade D (Fair): 0</w:t>
      </w:r>
    </w:p>
    <w:p w14:paraId="3FDFD0D4" w14:textId="77777777" w:rsidR="005D0CCA" w:rsidRDefault="006041CB">
      <w:pPr>
        <w:spacing w:line="360" w:lineRule="auto"/>
        <w:jc w:val="both"/>
      </w:pPr>
      <w:r>
        <w:rPr>
          <w:rFonts w:ascii="Book Antiqua" w:eastAsia="Book Antiqua" w:hAnsi="Book Antiqua" w:cs="Book Antiqua"/>
          <w:color w:val="000000"/>
        </w:rPr>
        <w:t>Grade E (Poor): 0</w:t>
      </w:r>
    </w:p>
    <w:p w14:paraId="085B3334" w14:textId="77777777" w:rsidR="005D0CCA" w:rsidRDefault="005D0CCA">
      <w:pPr>
        <w:spacing w:line="360" w:lineRule="auto"/>
        <w:jc w:val="both"/>
      </w:pPr>
    </w:p>
    <w:p w14:paraId="2DC811BB" w14:textId="1626A88C" w:rsidR="005D0CCA" w:rsidRDefault="006041CB">
      <w:pPr>
        <w:spacing w:line="360" w:lineRule="auto"/>
        <w:jc w:val="both"/>
        <w:sectPr w:rsidR="005D0CC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Momčilović</w:t>
      </w:r>
      <w:proofErr w:type="spellEnd"/>
      <w:r>
        <w:rPr>
          <w:rFonts w:ascii="Book Antiqua" w:eastAsia="Book Antiqua" w:hAnsi="Book Antiqua" w:cs="Book Antiqua"/>
          <w:color w:val="000000"/>
        </w:rPr>
        <w:t xml:space="preserve"> S, Moreira TMM</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D56A83">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6F5D037B" w14:textId="77777777" w:rsidR="005D0CCA" w:rsidRDefault="006041C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E5B69A3" w14:textId="77777777" w:rsidR="005D0CCA" w:rsidRDefault="006041CB">
      <w:pPr>
        <w:spacing w:line="360" w:lineRule="auto"/>
        <w:jc w:val="both"/>
      </w:pPr>
      <w:r>
        <w:rPr>
          <w:noProof/>
          <w:lang w:val="en-GB" w:eastAsia="zh-CN"/>
        </w:rPr>
        <w:drawing>
          <wp:inline distT="0" distB="0" distL="0" distR="0" wp14:anchorId="358C2822" wp14:editId="5CEC76D1">
            <wp:extent cx="5943600" cy="3978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3978275"/>
                    </a:xfrm>
                    <a:prstGeom prst="rect">
                      <a:avLst/>
                    </a:prstGeom>
                  </pic:spPr>
                </pic:pic>
              </a:graphicData>
            </a:graphic>
          </wp:inline>
        </w:drawing>
      </w:r>
    </w:p>
    <w:p w14:paraId="73F0780A" w14:textId="77777777" w:rsidR="005D0CCA" w:rsidRDefault="006041C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bookmarkStart w:id="3" w:name="_Hlk67657040"/>
      <w:r>
        <w:rPr>
          <w:rFonts w:ascii="Book Antiqua" w:eastAsia="Book Antiqua" w:hAnsi="Book Antiqua" w:cs="Book Antiqua"/>
          <w:b/>
          <w:bCs/>
          <w:color w:val="000000"/>
        </w:rPr>
        <w:t>Magnetic resonance imaging</w:t>
      </w:r>
      <w:bookmarkEnd w:id="3"/>
      <w:r>
        <w:rPr>
          <w:rFonts w:ascii="Book Antiqua" w:eastAsia="Book Antiqua" w:hAnsi="Book Antiqua" w:cs="Book Antiqua"/>
          <w:b/>
          <w:bCs/>
          <w:color w:val="000000"/>
        </w:rPr>
        <w:t xml:space="preserve"> manifestations on admission. </w:t>
      </w:r>
      <w:r>
        <w:rPr>
          <w:rFonts w:ascii="Book Antiqua" w:eastAsia="Book Antiqua" w:hAnsi="Book Antiqua" w:cs="Book Antiqua"/>
          <w:color w:val="000000"/>
        </w:rPr>
        <w:t xml:space="preserve">Each column shows the imaging features in a different cross-section of the corresponding sequence. The lesions on admission were distributed diffusely in the brainstem, especially in the lower pons. Magnetic resonance imaging on admission showed hyperintensity on fluid-attenuated inversion recovery, relative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T1-weighted image, slight hyperintensity on diffusion weighted imaging, heterogeneous intensity on apparent diffusion coefficient, with apparent corresponding hyperintensity on contrast-enhanced T1-weighted image. Magnetic resonance spectroscopy showed the elevated choline peak and lactate/lipid peak. ADC: Apparent diffusion coefficient; DWI: Diffusion weighted imaging; FLAIR: Fluid-attenuated inversion recovery; MRS: Magnetic resonance spectroscopy; T1WI: T1-weighted image; T1+C: Contrast-enhanced T1-weighted image.</w:t>
      </w:r>
    </w:p>
    <w:p w14:paraId="6B3A1210" w14:textId="77777777" w:rsidR="005D0CCA" w:rsidRDefault="006041CB">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7697214A" wp14:editId="1EE50D45">
            <wp:extent cx="6439691" cy="51285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463206" cy="5147318"/>
                    </a:xfrm>
                    <a:prstGeom prst="rect">
                      <a:avLst/>
                    </a:prstGeom>
                    <a:noFill/>
                  </pic:spPr>
                </pic:pic>
              </a:graphicData>
            </a:graphic>
          </wp:inline>
        </w:drawing>
      </w:r>
    </w:p>
    <w:p w14:paraId="2DD3E886" w14:textId="77777777" w:rsidR="005D0CCA" w:rsidRDefault="006041CB">
      <w:pPr>
        <w:spacing w:line="360" w:lineRule="auto"/>
        <w:jc w:val="both"/>
      </w:pPr>
      <w:r>
        <w:rPr>
          <w:rFonts w:ascii="Book Antiqua" w:eastAsia="Book Antiqua" w:hAnsi="Book Antiqua" w:cs="Book Antiqua"/>
          <w:b/>
          <w:bCs/>
          <w:color w:val="000000"/>
        </w:rPr>
        <w:t>Figure 2 Imaging changes during follow-up.</w:t>
      </w:r>
      <w:r>
        <w:rPr>
          <w:rFonts w:ascii="Book Antiqua" w:eastAsia="Book Antiqua" w:hAnsi="Book Antiqua" w:cs="Book Antiqua"/>
          <w:color w:val="000000"/>
        </w:rPr>
        <w:t xml:space="preserve"> Each row shows the imaging features in the same cross-section from different sequences at different times. The first row demonstrated the initial appearance of lesion</w:t>
      </w:r>
      <w:r w:rsidRPr="005F6B2B">
        <w:rPr>
          <w:rFonts w:ascii="Book Antiqua" w:eastAsia="Book Antiqua" w:hAnsi="Book Antiqua" w:cs="Book Antiqua"/>
        </w:rPr>
        <w:t xml:space="preserve">s </w:t>
      </w:r>
      <w:r w:rsidRPr="005F6B2B">
        <w:rPr>
          <w:rFonts w:ascii="Book Antiqua" w:eastAsia="Book Antiqua" w:hAnsi="Book Antiqua" w:cs="Book Antiqua" w:hint="eastAsia"/>
          <w:lang w:eastAsia="zh-Hans"/>
        </w:rPr>
        <w:t>after</w:t>
      </w:r>
      <w:r w:rsidRPr="005F6B2B">
        <w:rPr>
          <w:rFonts w:ascii="Book Antiqua" w:eastAsia="Book Antiqua" w:hAnsi="Book Antiqua" w:cs="Book Antiqua"/>
        </w:rPr>
        <w:t xml:space="preserve"> admission (6-10). After 8-d of treatment with corticosteroids (6-24), his lesions ha</w:t>
      </w:r>
      <w:r w:rsidR="005F6B2B">
        <w:rPr>
          <w:rFonts w:ascii="Book Antiqua" w:eastAsia="Book Antiqua" w:hAnsi="Book Antiqua" w:cs="Book Antiqua"/>
        </w:rPr>
        <w:t>ve</w:t>
      </w:r>
      <w:r w:rsidRPr="005F6B2B">
        <w:rPr>
          <w:rFonts w:ascii="Book Antiqua" w:eastAsia="Book Antiqua" w:hAnsi="Book Antiqua" w:cs="Book Antiqua"/>
        </w:rPr>
        <w:t xml:space="preserve"> shrunk with decreasing signal intensity. During follow-up (7-20 and 9-16), imaging showed furth</w:t>
      </w:r>
      <w:r>
        <w:rPr>
          <w:rFonts w:ascii="Book Antiqua" w:eastAsia="Book Antiqua" w:hAnsi="Book Antiqua" w:cs="Book Antiqua"/>
          <w:color w:val="000000"/>
        </w:rPr>
        <w:t>er improvement, without apparent enhanced signals. ADC: Apparent diffusion coefficient; DWI: Diffusion weighted imaging; FLAIR: Fluid-attenuated inversion recovery; T1WI: T1-weighted image; T1+C: Contrast-enhanced T1-weighted image.</w:t>
      </w:r>
    </w:p>
    <w:sectPr w:rsidR="005D0C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3F75B" w14:textId="77777777" w:rsidR="005B6E40" w:rsidRDefault="005B6E40">
      <w:r>
        <w:separator/>
      </w:r>
    </w:p>
  </w:endnote>
  <w:endnote w:type="continuationSeparator" w:id="0">
    <w:p w14:paraId="27209B6B" w14:textId="77777777" w:rsidR="005B6E40" w:rsidRDefault="005B6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571992"/>
    </w:sdtPr>
    <w:sdtEndPr>
      <w:rPr>
        <w:rFonts w:ascii="Book Antiqua" w:hAnsi="Book Antiqua"/>
        <w:sz w:val="24"/>
        <w:szCs w:val="24"/>
      </w:rPr>
    </w:sdtEndPr>
    <w:sdtContent>
      <w:sdt>
        <w:sdtPr>
          <w:id w:val="568311295"/>
        </w:sdtPr>
        <w:sdtEndPr>
          <w:rPr>
            <w:rFonts w:ascii="Book Antiqua" w:hAnsi="Book Antiqua"/>
            <w:sz w:val="24"/>
            <w:szCs w:val="24"/>
          </w:rPr>
        </w:sdtEndPr>
        <w:sdtContent>
          <w:p w14:paraId="24A286E1" w14:textId="77777777" w:rsidR="005D0CCA" w:rsidRDefault="006041CB">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4201E8">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4201E8">
              <w:rPr>
                <w:rFonts w:ascii="Book Antiqua" w:hAnsi="Book Antiqua"/>
                <w:noProof/>
                <w:sz w:val="24"/>
                <w:szCs w:val="24"/>
              </w:rPr>
              <w:t>16</w:t>
            </w:r>
            <w:r>
              <w:rPr>
                <w:rFonts w:ascii="Book Antiqua" w:hAnsi="Book Antiqua"/>
                <w:sz w:val="24"/>
                <w:szCs w:val="24"/>
              </w:rPr>
              <w:fldChar w:fldCharType="end"/>
            </w:r>
          </w:p>
        </w:sdtContent>
      </w:sdt>
    </w:sdtContent>
  </w:sdt>
  <w:p w14:paraId="0A1D3A1C" w14:textId="77777777" w:rsidR="005D0CCA" w:rsidRDefault="005D0CCA">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127E3" w14:textId="77777777" w:rsidR="005B6E40" w:rsidRDefault="005B6E40">
      <w:r>
        <w:separator/>
      </w:r>
    </w:p>
  </w:footnote>
  <w:footnote w:type="continuationSeparator" w:id="0">
    <w:p w14:paraId="733D88D1" w14:textId="77777777" w:rsidR="005B6E40" w:rsidRDefault="005B6E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FDE642B5"/>
    <w:rsid w:val="00025217"/>
    <w:rsid w:val="000817C2"/>
    <w:rsid w:val="00083B0A"/>
    <w:rsid w:val="000A6650"/>
    <w:rsid w:val="00132C73"/>
    <w:rsid w:val="00201F84"/>
    <w:rsid w:val="002A7497"/>
    <w:rsid w:val="002C2F56"/>
    <w:rsid w:val="003E03B7"/>
    <w:rsid w:val="003F627D"/>
    <w:rsid w:val="004201E8"/>
    <w:rsid w:val="004261AA"/>
    <w:rsid w:val="005B6E40"/>
    <w:rsid w:val="005D0CCA"/>
    <w:rsid w:val="005F6B2B"/>
    <w:rsid w:val="006041CB"/>
    <w:rsid w:val="006944F1"/>
    <w:rsid w:val="006A775B"/>
    <w:rsid w:val="007337EF"/>
    <w:rsid w:val="00876B53"/>
    <w:rsid w:val="009824D9"/>
    <w:rsid w:val="00A77B3E"/>
    <w:rsid w:val="00B64B85"/>
    <w:rsid w:val="00C414F7"/>
    <w:rsid w:val="00CA2A55"/>
    <w:rsid w:val="00D0778F"/>
    <w:rsid w:val="00D25339"/>
    <w:rsid w:val="00D56A83"/>
    <w:rsid w:val="00DB1DA5"/>
    <w:rsid w:val="00E91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6C5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qFormat/>
    <w:rPr>
      <w:b/>
      <w:bCs/>
    </w:rPr>
  </w:style>
  <w:style w:type="paragraph" w:styleId="CommentText">
    <w:name w:val="annotation text"/>
    <w:basedOn w:val="Normal"/>
    <w:link w:val="CommentTextChar"/>
    <w:unhideWhenUsed/>
    <w:qFormat/>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character" w:styleId="CommentReference">
    <w:name w:val="annotation reference"/>
    <w:basedOn w:val="DefaultParagraphFont"/>
    <w:unhideWhenUsed/>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styleId="BalloonText">
    <w:name w:val="Balloon Text"/>
    <w:basedOn w:val="Normal"/>
    <w:link w:val="BalloonTextChar"/>
    <w:semiHidden/>
    <w:unhideWhenUsed/>
    <w:rsid w:val="00B64B85"/>
    <w:rPr>
      <w:rFonts w:ascii="Tahoma" w:hAnsi="Tahoma" w:cs="Tahoma"/>
      <w:sz w:val="16"/>
      <w:szCs w:val="16"/>
    </w:rPr>
  </w:style>
  <w:style w:type="character" w:customStyle="1" w:styleId="BalloonTextChar">
    <w:name w:val="Balloon Text Char"/>
    <w:basedOn w:val="DefaultParagraphFont"/>
    <w:link w:val="BalloonText"/>
    <w:semiHidden/>
    <w:rsid w:val="00B64B8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qFormat/>
    <w:rPr>
      <w:b/>
      <w:bCs/>
    </w:rPr>
  </w:style>
  <w:style w:type="paragraph" w:styleId="CommentText">
    <w:name w:val="annotation text"/>
    <w:basedOn w:val="Normal"/>
    <w:link w:val="CommentTextChar"/>
    <w:unhideWhenUsed/>
    <w:qFormat/>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character" w:styleId="CommentReference">
    <w:name w:val="annotation reference"/>
    <w:basedOn w:val="DefaultParagraphFont"/>
    <w:unhideWhenUsed/>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styleId="BalloonText">
    <w:name w:val="Balloon Text"/>
    <w:basedOn w:val="Normal"/>
    <w:link w:val="BalloonTextChar"/>
    <w:semiHidden/>
    <w:unhideWhenUsed/>
    <w:rsid w:val="00B64B85"/>
    <w:rPr>
      <w:rFonts w:ascii="Tahoma" w:hAnsi="Tahoma" w:cs="Tahoma"/>
      <w:sz w:val="16"/>
      <w:szCs w:val="16"/>
    </w:rPr>
  </w:style>
  <w:style w:type="character" w:customStyle="1" w:styleId="BalloonTextChar">
    <w:name w:val="Balloon Text Char"/>
    <w:basedOn w:val="DefaultParagraphFont"/>
    <w:link w:val="BalloonText"/>
    <w:semiHidden/>
    <w:rsid w:val="00B64B8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3209</Words>
  <Characters>18293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2021-05-03T09:22:00Z</dcterms:created>
  <dcterms:modified xsi:type="dcterms:W3CDTF">2021-05-03T09:22:00Z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2052-3.0.1.4848</vt:lpwstr>
  </property>
</Properties>
</file>