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AFB40" w14:textId="0D775479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Name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Journal: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color w:val="000000"/>
        </w:rPr>
        <w:t>World</w:t>
      </w:r>
      <w:r w:rsidR="00ED1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color w:val="000000"/>
        </w:rPr>
        <w:t>Journal</w:t>
      </w:r>
      <w:r w:rsidR="00ED1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color w:val="000000"/>
        </w:rPr>
        <w:t>of</w:t>
      </w:r>
      <w:r w:rsidR="00ED1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color w:val="000000"/>
        </w:rPr>
        <w:t>Clinical</w:t>
      </w:r>
      <w:r w:rsidR="00ED1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color w:val="000000"/>
        </w:rPr>
        <w:t>Oncology</w:t>
      </w:r>
    </w:p>
    <w:p w14:paraId="7555A495" w14:textId="6EB2D0B8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Manuscript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NO: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63832</w:t>
      </w:r>
    </w:p>
    <w:p w14:paraId="7197DC44" w14:textId="34DA7A23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Manuscript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Type: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MINIREVIEWS</w:t>
      </w:r>
    </w:p>
    <w:p w14:paraId="69EA0B85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C8E008" w14:textId="5FD7E3DA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Mechanisms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acquired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resistance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BRCA1/2-driven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tumors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to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platinum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compounds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and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PARP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inhibitors</w:t>
      </w:r>
    </w:p>
    <w:p w14:paraId="7F477043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AAC6FA" w14:textId="7D1EAFAB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Imyanitov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</w:p>
    <w:p w14:paraId="1CA062C7" w14:textId="4F577201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FA2CCE" w14:textId="62089C39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Evgeny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Imyanitov,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Sokolenko</w:t>
      </w:r>
    </w:p>
    <w:p w14:paraId="4B95C3BC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82E886" w14:textId="66135645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Evgeny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Imyanitov,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Sokolenko,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Department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Growth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N.N.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Petrov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Institute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Oncology,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Saint-Petersburg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197758,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</w:t>
      </w:r>
    </w:p>
    <w:p w14:paraId="781F45BA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C2E3BC" w14:textId="579FEAE8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Evgeny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Imyanitov,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Sokolenko,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Department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St.-Petersburg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Pediatric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University,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Saint-Petersburg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194100,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</w:t>
      </w:r>
    </w:p>
    <w:p w14:paraId="69A7842D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86AD3B" w14:textId="14B367ED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Evgeny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Imyanitov,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Department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Oncology,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I.I.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Mechnikov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North-Western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University,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Saint-Petersburg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191015,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</w:t>
      </w:r>
    </w:p>
    <w:p w14:paraId="7BB08613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147858" w14:textId="4A1C3A2C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Imyanitov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8B233D">
        <w:rPr>
          <w:rFonts w:ascii="Book Antiqua" w:eastAsia="Book Antiqua" w:hAnsi="Book Antiqua" w:cs="Book Antiqua"/>
          <w:color w:val="000000"/>
        </w:rPr>
        <w:t>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designed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concept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paper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prepared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draft</w:t>
      </w:r>
      <w:r w:rsidR="008B233D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Sokolenko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8B233D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collected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data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paper,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designed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figures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manuscript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writing.</w:t>
      </w:r>
    </w:p>
    <w:p w14:paraId="3259A21C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ACD35B" w14:textId="524952E4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Ministry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Science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Education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Federation,</w:t>
      </w:r>
      <w:r w:rsidR="00ED1590">
        <w:rPr>
          <w:rFonts w:ascii="Book Antiqua" w:eastAsia="Book Antiqua" w:hAnsi="Book Antiqua" w:cs="Book Antiqua"/>
          <w:color w:val="000000"/>
        </w:rPr>
        <w:t xml:space="preserve"> No. </w:t>
      </w:r>
      <w:r w:rsidRPr="00E33160">
        <w:rPr>
          <w:rFonts w:ascii="Book Antiqua" w:eastAsia="Book Antiqua" w:hAnsi="Book Antiqua" w:cs="Book Antiqua"/>
          <w:color w:val="000000"/>
        </w:rPr>
        <w:t>075-15-2020-789.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083512F8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255D73" w14:textId="48CB37FB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Evgeny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Imyanitov,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Department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Growth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N.N.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Petrov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Institute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Oncology,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871D5" w:rsidRPr="00E33160">
        <w:rPr>
          <w:rFonts w:ascii="Book Antiqua" w:eastAsia="Book Antiqua" w:hAnsi="Book Antiqua" w:cs="Book Antiqua"/>
          <w:color w:val="000000"/>
        </w:rPr>
        <w:t>Pesochny,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871D5" w:rsidRPr="00E33160">
        <w:rPr>
          <w:rFonts w:ascii="Book Antiqua" w:eastAsia="Book Antiqua" w:hAnsi="Book Antiqua" w:cs="Book Antiqua"/>
          <w:color w:val="000000"/>
        </w:rPr>
        <w:t>Leningradskaya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871D5" w:rsidRPr="00E33160">
        <w:rPr>
          <w:rFonts w:ascii="Book Antiqua" w:eastAsia="Book Antiqua" w:hAnsi="Book Antiqua" w:cs="Book Antiqua"/>
          <w:color w:val="000000"/>
        </w:rPr>
        <w:t>str.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871D5" w:rsidRPr="00E33160">
        <w:rPr>
          <w:rFonts w:ascii="Book Antiqua" w:eastAsia="Book Antiqua" w:hAnsi="Book Antiqua" w:cs="Book Antiqua"/>
          <w:color w:val="000000"/>
        </w:rPr>
        <w:t>68</w:t>
      </w:r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Saint-Petersburg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197758,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evgeny@imyanitov.spb.ru</w:t>
      </w:r>
    </w:p>
    <w:p w14:paraId="6F7F0F2B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75D157" w14:textId="3A7417FB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February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3,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2021</w:t>
      </w:r>
    </w:p>
    <w:p w14:paraId="5AECE606" w14:textId="15F35AEB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April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4,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2021</w:t>
      </w:r>
    </w:p>
    <w:p w14:paraId="4D4151EA" w14:textId="153D30C6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DD31C7">
        <w:rPr>
          <w:rFonts w:ascii="Book Antiqua" w:eastAsia="SimSun" w:hAnsi="Book Antiqua"/>
          <w:color w:val="000000" w:themeColor="text1"/>
        </w:rPr>
        <w:t>J</w:t>
      </w:r>
      <w:r w:rsidR="00DD31C7">
        <w:rPr>
          <w:rFonts w:ascii="Book Antiqua" w:eastAsia="SimSun" w:hAnsi="Book Antiqua" w:hint="eastAsia"/>
          <w:color w:val="000000" w:themeColor="text1"/>
          <w:lang w:eastAsia="zh-CN"/>
        </w:rPr>
        <w:t>une</w:t>
      </w:r>
      <w:r w:rsidR="00DD31C7" w:rsidRPr="00F06907">
        <w:rPr>
          <w:rFonts w:ascii="Book Antiqua" w:eastAsia="SimSun" w:hAnsi="Book Antiqua"/>
          <w:color w:val="000000" w:themeColor="text1"/>
        </w:rPr>
        <w:t xml:space="preserve"> </w:t>
      </w:r>
      <w:r w:rsidR="00DD31C7">
        <w:rPr>
          <w:rFonts w:ascii="Book Antiqua" w:eastAsia="SimSun" w:hAnsi="Book Antiqua"/>
          <w:color w:val="000000" w:themeColor="text1"/>
        </w:rPr>
        <w:t>3</w:t>
      </w:r>
      <w:r w:rsidR="00DD31C7" w:rsidRPr="00F06907">
        <w:rPr>
          <w:rFonts w:ascii="Book Antiqua" w:eastAsia="SimSun" w:hAnsi="Book Antiqua"/>
          <w:color w:val="000000" w:themeColor="text1"/>
        </w:rPr>
        <w:t>, 2021</w:t>
      </w:r>
      <w:bookmarkEnd w:id="0"/>
      <w:bookmarkEnd w:id="1"/>
      <w:bookmarkEnd w:id="2"/>
    </w:p>
    <w:p w14:paraId="5DF060C3" w14:textId="06FCD0BB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9BD021D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3316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06F43F" w14:textId="777777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D4C2F9" w14:textId="01E440E3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Molecular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pathogenesis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F262E">
        <w:rPr>
          <w:rFonts w:ascii="Book Antiqua" w:eastAsia="Book Antiqua" w:hAnsi="Book Antiqua" w:cs="Book Antiqua"/>
          <w:color w:val="000000"/>
        </w:rPr>
        <w:t>cludes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0219F" w:rsidRPr="00E33160">
        <w:rPr>
          <w:rFonts w:ascii="Book Antiqua" w:eastAsia="Book Antiqua" w:hAnsi="Book Antiqua" w:cs="Book Antiqua"/>
          <w:color w:val="000000"/>
        </w:rPr>
        <w:t>poly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0219F" w:rsidRPr="00E33160">
        <w:rPr>
          <w:rFonts w:ascii="Book Antiqua" w:eastAsia="Book Antiqua" w:hAnsi="Book Antiqua" w:cs="Book Antiqua"/>
          <w:color w:val="000000"/>
        </w:rPr>
        <w:t>(ADP-ribose)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0219F" w:rsidRPr="00E33160">
        <w:rPr>
          <w:rFonts w:ascii="Book Antiqua" w:eastAsia="Book Antiqua" w:hAnsi="Book Antiqua" w:cs="Book Antiqua"/>
          <w:color w:val="000000"/>
        </w:rPr>
        <w:t>polymerase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0219F" w:rsidRPr="00E33160">
        <w:rPr>
          <w:rFonts w:ascii="Book Antiqua" w:eastAsia="Book Antiqua" w:hAnsi="Book Antiqua" w:cs="Book Antiqua"/>
          <w:color w:val="000000"/>
        </w:rPr>
        <w:t>inhibitors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(PARPi).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Long-term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restore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open-reading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affected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platinum/PARPi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cross-resistance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applies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repeatedly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validated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laboratory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models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routes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rescue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BRCA1/2-independent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genomic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maintenance</w:t>
      </w:r>
      <w:r w:rsidR="0068030B">
        <w:rPr>
          <w:rFonts w:ascii="Book Antiqua" w:eastAsia="Book Antiqua" w:hAnsi="Book Antiqua" w:cs="Book Antiqua"/>
          <w:color w:val="000000"/>
        </w:rPr>
        <w:t xml:space="preserve">; </w:t>
      </w:r>
      <w:r w:rsidRPr="00E33160">
        <w:rPr>
          <w:rFonts w:ascii="Book Antiqua" w:eastAsia="Book Antiqua" w:hAnsi="Book Antiqua" w:cs="Book Antiqua"/>
          <w:color w:val="000000"/>
        </w:rPr>
        <w:t>however</w:t>
      </w:r>
      <w:r w:rsidR="0068030B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relevance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established.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addition,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short-term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chemonaive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proportion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pre-existing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heterozygosity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rapidly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repopulate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become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outcompeted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holidays.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Understanding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platinum/PARPi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novel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approaches,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aim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improve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management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BRCA1/2-related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currently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undergoing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evaluation.</w:t>
      </w:r>
    </w:p>
    <w:p w14:paraId="594872C4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67BEC4" w14:textId="0B222823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D471B3">
        <w:rPr>
          <w:rFonts w:ascii="Book Antiqua" w:eastAsia="Book Antiqua" w:hAnsi="Book Antiqua" w:cs="Book Antiqua"/>
          <w:color w:val="000000"/>
        </w:rPr>
        <w:t>s</w:t>
      </w:r>
      <w:r w:rsidRPr="00E33160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68030B">
        <w:rPr>
          <w:rFonts w:ascii="Book Antiqua" w:eastAsia="Book Antiqua" w:hAnsi="Book Antiqua" w:cs="Book Antiqua"/>
          <w:color w:val="000000"/>
        </w:rPr>
        <w:t>P</w:t>
      </w:r>
      <w:r w:rsidR="0068030B" w:rsidRPr="00E33160">
        <w:rPr>
          <w:rFonts w:ascii="Book Antiqua" w:eastAsia="Book Antiqua" w:hAnsi="Book Antiqua" w:cs="Book Antiqua"/>
          <w:color w:val="000000"/>
        </w:rPr>
        <w:t>latinum</w:t>
      </w:r>
      <w:r w:rsidR="00E33160" w:rsidRPr="00E33160">
        <w:rPr>
          <w:rFonts w:ascii="Book Antiqua" w:eastAsia="Book Antiqua" w:hAnsi="Book Antiqua" w:cs="Book Antiqua"/>
          <w:color w:val="000000"/>
        </w:rPr>
        <w:t>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33160" w:rsidRPr="00E33160">
        <w:rPr>
          <w:rFonts w:ascii="Book Antiqua" w:eastAsia="Book Antiqua" w:hAnsi="Book Antiqua" w:cs="Book Antiqua"/>
          <w:color w:val="000000"/>
        </w:rPr>
        <w:t>therapy</w:t>
      </w:r>
      <w:r w:rsidR="00D471B3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P</w:t>
      </w:r>
      <w:r w:rsidR="00D471B3" w:rsidRPr="00E33160">
        <w:rPr>
          <w:rFonts w:ascii="Book Antiqua" w:eastAsia="Book Antiqua" w:hAnsi="Book Antiqua" w:cs="Book Antiqua"/>
          <w:color w:val="000000"/>
        </w:rPr>
        <w:t>oly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 w:rsidRPr="00E33160">
        <w:rPr>
          <w:rFonts w:ascii="Book Antiqua" w:eastAsia="Book Antiqua" w:hAnsi="Book Antiqua" w:cs="Book Antiqua"/>
          <w:color w:val="000000"/>
        </w:rPr>
        <w:t>(ADP-ribose)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 w:rsidRPr="00E33160">
        <w:rPr>
          <w:rFonts w:ascii="Book Antiqua" w:eastAsia="Book Antiqua" w:hAnsi="Book Antiqua" w:cs="Book Antiqua"/>
          <w:color w:val="000000"/>
        </w:rPr>
        <w:t>polymerase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 w:rsidRPr="00E33160">
        <w:rPr>
          <w:rFonts w:ascii="Book Antiqua" w:eastAsia="Book Antiqua" w:hAnsi="Book Antiqua" w:cs="Book Antiqua"/>
          <w:color w:val="000000"/>
        </w:rPr>
        <w:t>inhibitors</w:t>
      </w:r>
      <w:r w:rsidR="00D471B3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68030B">
        <w:rPr>
          <w:rFonts w:ascii="Book Antiqua" w:eastAsia="Book Antiqua" w:hAnsi="Book Antiqua" w:cs="Book Antiqua"/>
          <w:color w:val="000000"/>
        </w:rPr>
        <w:t xml:space="preserve">Drug </w:t>
      </w:r>
      <w:r w:rsidR="00D471B3">
        <w:rPr>
          <w:rFonts w:ascii="Book Antiqua" w:eastAsia="Book Antiqua" w:hAnsi="Book Antiqua" w:cs="Book Antiqua"/>
          <w:color w:val="000000"/>
        </w:rPr>
        <w:t>resistance;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S</w:t>
      </w:r>
      <w:r w:rsidR="00D471B3">
        <w:rPr>
          <w:rFonts w:ascii="Book Antiqua" w:eastAsia="Book Antiqua" w:hAnsi="Book Antiqua" w:cs="Book Antiqua"/>
          <w:color w:val="000000"/>
        </w:rPr>
        <w:t>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>
        <w:rPr>
          <w:rFonts w:ascii="Book Antiqua" w:eastAsia="Book Antiqua" w:hAnsi="Book Antiqua" w:cs="Book Antiqua"/>
          <w:color w:val="000000"/>
        </w:rPr>
        <w:t>mutations;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I</w:t>
      </w:r>
      <w:r w:rsidR="00D471B3">
        <w:rPr>
          <w:rFonts w:ascii="Book Antiqua" w:eastAsia="Book Antiqua" w:hAnsi="Book Antiqua" w:cs="Book Antiqua"/>
          <w:color w:val="000000"/>
        </w:rPr>
        <w:t>ntratumoral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>
        <w:rPr>
          <w:rFonts w:ascii="Book Antiqua" w:eastAsia="Book Antiqua" w:hAnsi="Book Antiqua" w:cs="Book Antiqua"/>
          <w:color w:val="000000"/>
        </w:rPr>
        <w:t>heterogeneity;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N</w:t>
      </w:r>
      <w:r w:rsidR="00D471B3">
        <w:rPr>
          <w:rFonts w:ascii="Book Antiqua" w:eastAsia="Book Antiqua" w:hAnsi="Book Antiqua" w:cs="Book Antiqua"/>
          <w:color w:val="000000"/>
        </w:rPr>
        <w:t>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471B3">
        <w:rPr>
          <w:rFonts w:ascii="Book Antiqua" w:eastAsia="Book Antiqua" w:hAnsi="Book Antiqua" w:cs="Book Antiqua"/>
          <w:color w:val="000000"/>
        </w:rPr>
        <w:t>therapy</w:t>
      </w:r>
    </w:p>
    <w:p w14:paraId="660E3ED1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8CBB0E" w14:textId="086DB3CA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Imyanitov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Sokolenko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inhibitors.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2021;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press</w:t>
      </w:r>
    </w:p>
    <w:p w14:paraId="70F0EDD6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E11E34" w14:textId="160F17B3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8B233D" w:rsidRPr="00E33160">
        <w:rPr>
          <w:rFonts w:ascii="Book Antiqua" w:eastAsia="Book Antiqua" w:hAnsi="Book Antiqua" w:cs="Book Antiqua"/>
          <w:color w:val="000000"/>
        </w:rPr>
        <w:t>poly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8B233D" w:rsidRPr="00E33160">
        <w:rPr>
          <w:rFonts w:ascii="Book Antiqua" w:eastAsia="Book Antiqua" w:hAnsi="Book Antiqua" w:cs="Book Antiqua"/>
          <w:color w:val="000000"/>
        </w:rPr>
        <w:t>(ADP-ribose)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8B233D" w:rsidRPr="00E33160">
        <w:rPr>
          <w:rFonts w:ascii="Book Antiqua" w:eastAsia="Book Antiqua" w:hAnsi="Book Antiqua" w:cs="Book Antiqua"/>
          <w:color w:val="000000"/>
        </w:rPr>
        <w:t>polymerase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inhibitors</w:t>
      </w:r>
      <w:r w:rsidR="0068030B">
        <w:rPr>
          <w:rFonts w:ascii="Book Antiqua" w:eastAsia="Book Antiqua" w:hAnsi="Book Antiqua" w:cs="Book Antiqua"/>
          <w:color w:val="000000"/>
        </w:rPr>
        <w:t xml:space="preserve">; </w:t>
      </w:r>
      <w:r w:rsidRPr="00E33160">
        <w:rPr>
          <w:rFonts w:ascii="Book Antiqua" w:eastAsia="Book Antiqua" w:hAnsi="Book Antiqua" w:cs="Book Antiqua"/>
          <w:color w:val="000000"/>
        </w:rPr>
        <w:t>however</w:t>
      </w:r>
      <w:r w:rsidR="0068030B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type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Restoration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known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pressure.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chemonaive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suggesting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first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pathogenesis.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pre-existing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rapidly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repopulate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explain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inevitability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disease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relapses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seemingly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successful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debulking.</w:t>
      </w:r>
    </w:p>
    <w:p w14:paraId="22F4691A" w14:textId="77777777" w:rsidR="00ED1590" w:rsidRDefault="00ED1590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ED15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227D58" w14:textId="777777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82F49BF" w14:textId="2D8015D5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well-known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hereditary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predisposition.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variants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approximately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5</w:t>
      </w:r>
      <w:r w:rsidR="008B233D">
        <w:rPr>
          <w:rFonts w:ascii="Book Antiqua" w:eastAsia="Book Antiqua" w:hAnsi="Book Antiqua" w:cs="Book Antiqua"/>
          <w:color w:val="000000"/>
        </w:rPr>
        <w:t>%</w:t>
      </w:r>
      <w:r w:rsidRPr="00E33160">
        <w:rPr>
          <w:rFonts w:ascii="Book Antiqua" w:eastAsia="Book Antiqua" w:hAnsi="Book Antiqua" w:cs="Book Antiqua"/>
          <w:color w:val="000000"/>
        </w:rPr>
        <w:t>-10%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15</w:t>
      </w:r>
      <w:r w:rsidR="008B233D">
        <w:rPr>
          <w:rFonts w:ascii="Book Antiqua" w:eastAsia="Book Antiqua" w:hAnsi="Book Antiqua" w:cs="Book Antiqua"/>
          <w:color w:val="000000"/>
        </w:rPr>
        <w:t>%</w:t>
      </w:r>
      <w:r w:rsidRPr="00E33160">
        <w:rPr>
          <w:rFonts w:ascii="Book Antiqua" w:eastAsia="Book Antiqua" w:hAnsi="Book Antiqua" w:cs="Book Antiqua"/>
          <w:color w:val="000000"/>
        </w:rPr>
        <w:t>-30%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morbidity,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respectively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[1-6]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addition,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mentioned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pathogenesis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subset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stomach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inheritance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risk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prostate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pancreatic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malignancies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particular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characteristics</w:t>
      </w:r>
      <w:r w:rsidR="00BC27B6">
        <w:rPr>
          <w:rFonts w:ascii="Book Antiqua" w:eastAsia="Book Antiqua" w:hAnsi="Book Antiqua" w:cs="Book Antiqua"/>
          <w:color w:val="000000"/>
        </w:rPr>
        <w:t xml:space="preserve">: </w:t>
      </w:r>
      <w:r w:rsidRPr="00E33160">
        <w:rPr>
          <w:rFonts w:ascii="Book Antiqua" w:eastAsia="Book Antiqua" w:hAnsi="Book Antiqua" w:cs="Book Antiqua"/>
          <w:color w:val="000000"/>
        </w:rPr>
        <w:t>being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younger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onset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malignant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phenotype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carcinomas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(BCs)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A5AD6">
        <w:rPr>
          <w:rFonts w:ascii="Book Antiqua" w:eastAsia="Book Antiqua" w:hAnsi="Book Antiqua" w:cs="Book Antiqua"/>
          <w:color w:val="000000"/>
        </w:rPr>
        <w:t>occur</w:t>
      </w:r>
      <w:r w:rsidR="00A878A6">
        <w:rPr>
          <w:rFonts w:ascii="Book Antiqua" w:eastAsia="Book Antiqua" w:hAnsi="Book Antiqua" w:cs="Book Antiqua"/>
          <w:color w:val="000000"/>
        </w:rPr>
        <w:t>r</w:t>
      </w:r>
      <w:r w:rsidR="00DA5AD6">
        <w:rPr>
          <w:rFonts w:ascii="Book Antiqua" w:eastAsia="Book Antiqua" w:hAnsi="Book Antiqua" w:cs="Book Antiqua"/>
          <w:color w:val="000000"/>
        </w:rPr>
        <w:t>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lack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expression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estrogen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progesterone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receptors,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</w:t>
      </w:r>
      <w:bookmarkStart w:id="3" w:name="_Hlk73132213"/>
      <w:r w:rsidR="00A878A6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bookmarkEnd w:id="3"/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(OCs)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serous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high-grade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histological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appearance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092D07BF" w14:textId="1215D620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hereditary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syndrome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key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DA5AD6">
        <w:rPr>
          <w:rFonts w:ascii="Book Antiqua" w:eastAsia="Book Antiqua" w:hAnsi="Book Antiqua" w:cs="Book Antiqua"/>
          <w:color w:val="000000"/>
        </w:rPr>
        <w:t>role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maintenance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genomic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integrity.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lacking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homologous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recombination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(HR).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(ADP-ribose)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polymerase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inhibitors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(PARPi)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induce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damage,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requires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HR-mediated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BRCA1/2-null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C27B6">
        <w:rPr>
          <w:rFonts w:ascii="Book Antiqua" w:eastAsia="Book Antiqua" w:hAnsi="Book Antiqua" w:cs="Book Antiqua"/>
          <w:color w:val="000000"/>
        </w:rPr>
        <w:t xml:space="preserve">consequently </w:t>
      </w:r>
      <w:r w:rsidRPr="00E33160">
        <w:rPr>
          <w:rFonts w:ascii="Book Antiqua" w:eastAsia="Book Antiqua" w:hAnsi="Book Antiqua" w:cs="Book Antiqua"/>
          <w:color w:val="000000"/>
        </w:rPr>
        <w:t>die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tumor-selective,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normal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capable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coping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damage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1F8ED852" w14:textId="7E591FF1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mentioned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above,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BRCA1/2-related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hereditary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constitute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addition,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high-grade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serous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causes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biallelic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members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[1,15]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explains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efficacy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regimens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empirically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before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discovery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constitute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standard-of-care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management.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expected,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efficacy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hereditary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sporadic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[2,16]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minority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BC27B6">
        <w:rPr>
          <w:rFonts w:ascii="Book Antiqua" w:eastAsia="Book Antiqua" w:hAnsi="Book Antiqua" w:cs="Book Antiqua"/>
          <w:color w:val="000000"/>
        </w:rPr>
        <w:t xml:space="preserve">;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incorporated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conventional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schemes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non-selected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trials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might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outperform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applied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BCs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[17-19]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specifically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targeting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and/or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slightly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varying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indications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460D8287" w14:textId="692B46D6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clear-cut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vulnerability,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C27B6" w:rsidRPr="00E33160">
        <w:rPr>
          <w:rFonts w:ascii="Book Antiqua" w:eastAsia="Book Antiqua" w:hAnsi="Book Antiqua" w:cs="Book Antiqua"/>
          <w:color w:val="000000"/>
        </w:rPr>
        <w:t xml:space="preserve">usually </w:t>
      </w:r>
      <w:r w:rsidRPr="00E33160">
        <w:rPr>
          <w:rFonts w:ascii="Book Antiqua" w:eastAsia="Book Antiqua" w:hAnsi="Book Antiqua" w:cs="Book Antiqua"/>
          <w:color w:val="000000"/>
        </w:rPr>
        <w:t>result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metastatic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disease.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PARPi-exposed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manage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escape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BRCA1/2-specific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identified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bypass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damage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initially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investigations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evidence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alternative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scenario,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attributed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pre-existing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amounts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chemonaive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enriched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residual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lesion.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paper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brief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overview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PARP-resistance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0F554C7D" w14:textId="77777777" w:rsidR="00A77B3E" w:rsidRPr="00E33160" w:rsidRDefault="00A77B3E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</w:p>
    <w:p w14:paraId="566409E9" w14:textId="57D5A432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RESTORATION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i/>
          <w:iCs/>
          <w:caps/>
          <w:color w:val="000000"/>
          <w:u w:val="single"/>
        </w:rPr>
        <w:t>BRCA1/2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BY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SECONDARY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SOMATIC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MUTATIONS</w:t>
      </w:r>
    </w:p>
    <w:p w14:paraId="56DD19D1" w14:textId="443AD962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majority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inherited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represented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nucleotide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frameshift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premature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stop-codons.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open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(ORF)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rescued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nearby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restores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original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3-letter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code,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deletion,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excises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reconstitutes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back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(Figure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1)</w:t>
      </w:r>
      <w:r w:rsidR="00E33160" w:rsidRPr="00E33160">
        <w:rPr>
          <w:rFonts w:ascii="Book Antiqua" w:eastAsia="Book Antiqua" w:hAnsi="Book Antiqua" w:cs="Book Antiqua"/>
          <w:color w:val="000000"/>
          <w:vertAlign w:val="superscript"/>
        </w:rPr>
        <w:t>[22-24]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first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described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myeloid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leukemia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Fanconi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anemia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discovery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recognition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BRCA1/2-specific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stimulated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investigations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series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reproducible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hallmark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acquisition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phenotype.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Indeed,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reversion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repeatedly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experiments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lines,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patient-derived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xenografts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(PDX)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samples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7B344F86" w14:textId="6B06155A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time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relevant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convincingly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validated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samples.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incidence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difficult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presently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biases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technical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limitations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available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molecular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assays: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found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approximately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quarter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PARPi/platinum-resistant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estimates.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Importantly,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describe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distinct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independent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9C1216">
        <w:rPr>
          <w:rFonts w:ascii="Book Antiqua" w:eastAsia="Book Antiqua" w:hAnsi="Book Antiqua" w:cs="Book Antiqua"/>
          <w:color w:val="000000"/>
        </w:rPr>
        <w:t>-</w:t>
      </w:r>
      <w:r w:rsidRPr="00E33160">
        <w:rPr>
          <w:rFonts w:ascii="Book Antiqua" w:eastAsia="Book Antiqua" w:hAnsi="Book Antiqua" w:cs="Book Antiqua"/>
          <w:color w:val="000000"/>
        </w:rPr>
        <w:t>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clones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evidence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20DBB766" w14:textId="636E0325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data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suggest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reversion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somewhat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Distinct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variants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ability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rescued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hypothesized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reversion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acceptable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non-conservative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above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dispensable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Indeed,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cases,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except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genuine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back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undergoes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subtle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</w:t>
      </w:r>
      <w:r w:rsidRPr="00ED1590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deletion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nucleotides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change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amino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acids);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conserved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tolerate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[14,26,27]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2817974D" w14:textId="3B0E8618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addition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affecting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similar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production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hypomorphic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still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example,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compatible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participation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alternative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splicing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11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skipping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located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N-terminal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bypassed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production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hypomorphic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whose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frameshift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rescue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rearrangements,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terminate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before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mutation-containing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BCRT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domain</w:t>
      </w:r>
      <w:r w:rsidR="0096338E">
        <w:rPr>
          <w:rFonts w:ascii="Book Antiqua" w:eastAsia="Book Antiqua" w:hAnsi="Book Antiqua" w:cs="Book Antiqua"/>
          <w:color w:val="000000"/>
        </w:rPr>
        <w:t>, consequently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prevent</w:t>
      </w:r>
      <w:r w:rsidR="0096338E">
        <w:rPr>
          <w:rFonts w:ascii="Book Antiqua" w:eastAsia="Book Antiqua" w:hAnsi="Book Antiqua" w:cs="Book Antiqua"/>
          <w:color w:val="000000"/>
        </w:rPr>
        <w:t>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proteasomal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degradation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96338E">
        <w:rPr>
          <w:rFonts w:ascii="Book Antiqua" w:eastAsia="Book Antiqua" w:hAnsi="Book Antiqua" w:cs="Book Antiqua"/>
          <w:color w:val="000000"/>
        </w:rPr>
        <w:t>. T</w:t>
      </w:r>
      <w:r w:rsidR="0096338E" w:rsidRPr="00E33160">
        <w:rPr>
          <w:rFonts w:ascii="Book Antiqua" w:eastAsia="Book Antiqua" w:hAnsi="Book Antiqua" w:cs="Book Antiqua"/>
          <w:color w:val="000000"/>
        </w:rPr>
        <w:t>hese</w:t>
      </w:r>
      <w:r w:rsidR="0096338E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truncated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versions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capable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HSP90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stabilize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BRCA1-mutant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support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Amplification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compensate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rendered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experiments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2C14373F" w14:textId="5315FAEA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represented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so-called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large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rearrangements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(LGRs),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deletions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exons.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definition,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would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likely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pronounced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prolonged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BRCA1/2-specific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LGRs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specifically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considered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supporting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exceptional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responsiveness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LGR-associated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1E98304C" w14:textId="77777777" w:rsidR="00A77B3E" w:rsidRPr="00E33160" w:rsidRDefault="00A77B3E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</w:p>
    <w:p w14:paraId="4F81A73B" w14:textId="1823F4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BYPASS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MECHANISMS</w:t>
      </w:r>
    </w:p>
    <w:p w14:paraId="3BF9512F" w14:textId="604BF38F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two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key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double-strand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breaks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(DSB).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Accurate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correction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achieved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exclusively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absence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error-prone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non-homologous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end-joining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(NHEJ)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becomes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prevailing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DSB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choice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NHEJ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balance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regulators,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53BP1.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NHEJ-driven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prevails.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accumulation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lesions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death.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pressure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down-regulation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53BP1.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NHEJ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suppression,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re-activate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become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[31,34,35]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Down-regulation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53BP1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samples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failed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[31,36,37]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F2351E">
        <w:rPr>
          <w:rFonts w:ascii="Book Antiqua" w:eastAsia="Book Antiqua" w:hAnsi="Book Antiqua" w:cs="Book Antiqua"/>
          <w:i/>
          <w:color w:val="000000"/>
        </w:rPr>
        <w:t>In</w:t>
      </w:r>
      <w:r w:rsidR="00ED1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351E">
        <w:rPr>
          <w:rFonts w:ascii="Book Antiqua" w:eastAsia="Book Antiqua" w:hAnsi="Book Antiqua" w:cs="Book Antiqua"/>
          <w:i/>
          <w:color w:val="000000"/>
        </w:rPr>
        <w:t>vitro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whose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switch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NHEJ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bypass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Noticeably,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53BP1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exemplifies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Pr="00E33160">
        <w:rPr>
          <w:rFonts w:ascii="Book Antiqua" w:eastAsia="Book Antiqua" w:hAnsi="Book Antiqua" w:cs="Book Antiqua"/>
          <w:color w:val="000000"/>
        </w:rPr>
        <w:t>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Pr="00E33160">
        <w:rPr>
          <w:rFonts w:ascii="Book Antiqua" w:eastAsia="Book Antiqua" w:hAnsi="Book Antiqua" w:cs="Book Antiqua"/>
          <w:color w:val="000000"/>
        </w:rPr>
        <w:t>-mutated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53BP1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relevant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escape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identified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HR-independent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platinum/PARPi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stabilization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replication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forks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66AC4E3D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427603" w14:textId="0FBA78F9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BRCA1/2-NON-RELATED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MECHANISMS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ACQUIRED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RESISTANCE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PLATINUM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COMPOUNDS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PARP</w:t>
      </w:r>
      <w:r w:rsidR="00254498" w:rsidRPr="00F2351E">
        <w:rPr>
          <w:rFonts w:ascii="Book Antiqua" w:eastAsia="Book Antiqua" w:hAnsi="Book Antiqua" w:cs="Book Antiqua"/>
          <w:color w:val="000000"/>
          <w:u w:val="single"/>
        </w:rPr>
        <w:t>i</w:t>
      </w:r>
    </w:p>
    <w:p w14:paraId="3FB65AF5" w14:textId="5D3E8A11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above-described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specific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indirectly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targeted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efflux,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down-deregulation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apoptosis,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preservation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stem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(CSCs)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epithelial-mesenchymal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(EMT)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Up-regulation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ABCB1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(MDR1)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transporter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multidrug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resistance.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Therapy-resistant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ovarian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breast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carcinomas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fusions,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D15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ABCB1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translational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implications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immediately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clear: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D1590" w:rsidRPr="00E33160">
        <w:rPr>
          <w:rFonts w:ascii="Book Antiqua" w:eastAsia="Book Antiqua" w:hAnsi="Book Antiqua" w:cs="Book Antiqua"/>
          <w:color w:val="000000"/>
        </w:rPr>
        <w:t>D</w:t>
      </w:r>
      <w:r w:rsidRPr="00E33160">
        <w:rPr>
          <w:rFonts w:ascii="Book Antiqua" w:eastAsia="Book Antiqua" w:hAnsi="Book Antiqua" w:cs="Book Antiqua"/>
          <w:color w:val="000000"/>
        </w:rPr>
        <w:t>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transporters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physiological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processes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redundancy,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targeting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adverse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insufficient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efficacy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CSCs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role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51CC4B3C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6F1BA8" w14:textId="0969C6A0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SELECTION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PRE-EXISTING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BRCA1-PROFICIENT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CELLS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DURING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PLATINUM-BASED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THERAPY</w:t>
      </w:r>
    </w:p>
    <w:p w14:paraId="3284D439" w14:textId="6A984565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inoperable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disease;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undergo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(first-line)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aimed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reduce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burden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permit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excision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lumps.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particularly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systemic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hence,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category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amenable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complete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debulking.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Despite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presumably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administered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surgery,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apparently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eliminate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residual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almost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scheme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relapse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2CCE6088" w14:textId="72DB59EE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Comparison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specimens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before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start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weeks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surprising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findings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(Figure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chemonaive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heterozygosity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(LOH)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residual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weeks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often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retention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wild-type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“restoration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heterozygosity”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occurs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preexisting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amounts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chemonaive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96338E">
        <w:rPr>
          <w:rFonts w:ascii="Book Antiqua" w:eastAsia="Book Antiqua" w:hAnsi="Book Antiqua" w:cs="Book Antiqua"/>
          <w:color w:val="000000"/>
        </w:rPr>
        <w:t xml:space="preserve">;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isolated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visualized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imaging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techniques.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Importantly,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primary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residual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normal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triggers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apoptosis,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survive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initial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stages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evolution,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LOH,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key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pathogenesis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tolerated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isolated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common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“restoration”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heterozygosity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approximately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two-thirds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045A0260" w14:textId="4D2F99D9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Intriguingly,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relapse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397C2F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tissues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holidays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again,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explanation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recurrent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(Figure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stably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throughout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natural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history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profiles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point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chromosome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number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variations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chemonaive,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post-neoadjuvant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recurrent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specimens.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Overall,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ecosystem: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majority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BRCA1-deficient,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apparently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reasons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amounts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absence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external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hazards,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clearly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outcompete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perhaps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kinds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unfavorable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environment,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maintenance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reservoir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invulnerable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(BRCA1-proficient)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important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warranting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plasticity.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pressure,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take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advantage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residual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competition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cessation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systemic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above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concept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“stem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cells”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0C19BC80" w14:textId="3A89F033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platinum-induced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pre-existing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similarly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designed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performed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yet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self-explanatory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phenomenon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applicable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Indeed,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both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proteins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damage,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essential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dissimilarities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structure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function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regarding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spectrum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prostate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pancreatic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strongly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linked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397C2F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heterozygosity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carcinomas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triple-negative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regard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receptor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status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PgR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HER2),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pathogenic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generally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expressing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steroid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hormone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receptors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essential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taxane-mediated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death,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taxanes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ORF-restoring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heavily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pretreated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somewhat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common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lethal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normal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always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down-regulation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apoptosis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ground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survival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BRCA1-null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contrast,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inactivation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compatible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viability,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often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wild-type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status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chemonaive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essential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unclear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intratumoral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heterogeneity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supports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maintenance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“natural”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conditions.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intratumoral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heterogeneity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necessarily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Further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needed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whether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persistence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isolated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“stem”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relevant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sporadic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BRCAness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phenotype.</w:t>
      </w:r>
    </w:p>
    <w:p w14:paraId="526120A3" w14:textId="77777777" w:rsidR="00A77B3E" w:rsidRPr="00E33160" w:rsidRDefault="00A77B3E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</w:p>
    <w:p w14:paraId="732DF882" w14:textId="00E78CCF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CONTROVERSIAL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UNRESOLVED</w:t>
      </w:r>
      <w:r w:rsidR="00ED15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ISSUES</w:t>
      </w:r>
    </w:p>
    <w:p w14:paraId="45A397A0" w14:textId="36BF5F64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compounds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converge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regard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targeting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example,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target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nucleotide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excision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repair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Consequently,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HR-restoring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likely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cross-resistance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modes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drug-specific.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commonly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trials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654A8D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outcomes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platinum-sensitive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D2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disease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[48,49]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Similarly,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advantage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talazoparib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pronounced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receive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prior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cisplatin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carboplatin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presumably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still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[48,49]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hand,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example,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trapping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unlikely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affect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needs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stressed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setting,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actual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carboplatin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cisplatin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time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interval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exceeding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6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impossible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restore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shorter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period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time,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could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explained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conventional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BB6537" w:rsidRPr="00F2351E">
        <w:rPr>
          <w:rFonts w:ascii="Book Antiqua" w:eastAsia="Book Antiqua" w:hAnsi="Book Antiqua" w:cs="Book Antiqua"/>
          <w:color w:val="000000"/>
        </w:rPr>
        <w:t>-</w:t>
      </w:r>
      <w:r w:rsidR="00BB6537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B6537">
        <w:rPr>
          <w:rFonts w:ascii="Book Antiqua" w:eastAsia="Book Antiqua" w:hAnsi="Book Antiqua" w:cs="Book Antiqua"/>
          <w:color w:val="000000"/>
        </w:rPr>
        <w:t>biological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evaluated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trials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unaware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systematic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analysis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</w:p>
    <w:p w14:paraId="2FFCAD77" w14:textId="4EA76759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viewed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equivalent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trials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damaging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approach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generally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justified,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two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acknowledged.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experiments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escape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relevant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spectrum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somewhat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two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example,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analysis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prostate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malignancies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almost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entirely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limited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negligible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role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predisposition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disease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0B978DFE" w14:textId="7291A9E7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regimens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administration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salts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Cisplatin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carboplatin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usually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administered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cycles,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peak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concentrations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intervals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between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infusions.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contrast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intermittent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administration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263C2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263C2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B263C2">
        <w:rPr>
          <w:rFonts w:ascii="Book Antiqua" w:eastAsia="Book Antiqua" w:hAnsi="Book Antiqua" w:cs="Book Antiqua"/>
          <w:color w:val="000000"/>
        </w:rPr>
        <w:t>drugs</w:t>
      </w:r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continuous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prolonged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period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time.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likely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administration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influence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intervention.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Furthermore,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published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experiments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included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heterogeneous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groups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regard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prior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majority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detected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heavily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pretreated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initial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cycles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rarely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reversion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sequence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[26,27,46,52]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502F01FE" w14:textId="64FCBC27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animal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experiments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recapitulate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complexity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intratumoral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heterogeneity,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microenvironment,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interplay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immune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system,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dosing,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E33160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characteristic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setting.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investigation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material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challenging,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particularly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analysis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acquired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re-biopsy,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definition,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requires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sound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ethical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justification;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relied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circulating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(ctDNA).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Liquid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biopsy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capable,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theory,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uncover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entire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spectrum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subclonal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underestimate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frequency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back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account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proportion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BRCA1/2-restored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technologies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sequencing,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utilized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detection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large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deletions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material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desirable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continue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collection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samples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subject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specimens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comprehensive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molecular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profiling,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monitor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subsequent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modalities.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effort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identify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gene-response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correlation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help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guide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management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BRCA1/2-related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failure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standard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366C5A5F" w14:textId="77777777" w:rsidR="00A77B3E" w:rsidRPr="00E33160" w:rsidRDefault="00A77B3E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</w:p>
    <w:p w14:paraId="75D3B3F8" w14:textId="777777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5AC198B" w14:textId="7A903C8E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number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in-built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conventional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schemes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platinum-based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(Figure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3).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Nowadays,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number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patients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subjected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long-term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maintenance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certainly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affects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biological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properties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recurrent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somewhat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surprising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available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medical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research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literature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does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put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emphasis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potential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options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background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continuous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exposure,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despite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D7559"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lines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clinical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data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suggest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involvement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cross-resistance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465CCB6D" w14:textId="66BB508C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Genome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profiling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from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identified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recurrent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actionable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molecular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lesions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despite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restoration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proficiency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bypass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pathways,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continue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genomic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scar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BRCAness,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D2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existence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genomic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rearrangements.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lesions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underlie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antigenicity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Interestingly,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second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often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emergence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additional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antigenic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epitopes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feasibility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immune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against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platinum/PARPi-resistant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evaluated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systematically,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although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series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support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D7559">
        <w:rPr>
          <w:rFonts w:ascii="Book Antiqua" w:eastAsia="Book Antiqua" w:hAnsi="Book Antiqua" w:cs="Book Antiqua"/>
          <w:color w:val="000000"/>
        </w:rPr>
        <w:t>promise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D7559">
        <w:rPr>
          <w:rFonts w:ascii="Book Antiqua" w:eastAsia="Book Antiqua" w:hAnsi="Book Antiqua" w:cs="Book Antiqua"/>
          <w:color w:val="000000"/>
        </w:rPr>
        <w:t>option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70F4FDF2" w14:textId="3B0E072B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best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approach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would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implement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would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prevent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appearance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clones.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number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ongoing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trials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evaluating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efficacy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combinations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[34,54]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studies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potentially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impact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high-dose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carriers;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however,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excessive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adverse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effects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E33160">
        <w:rPr>
          <w:rFonts w:ascii="Book Antiqua" w:eastAsia="Book Antiqua" w:hAnsi="Book Antiqua" w:cs="Book Antiqua"/>
          <w:color w:val="000000"/>
        </w:rPr>
        <w:t>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combination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cisplatin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mitomycin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complete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lastRenderedPageBreak/>
        <w:t>pathological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responses,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A84D2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elimination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detectable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OCs</w:t>
      </w:r>
      <w:r w:rsidRPr="00E33160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E33160">
        <w:rPr>
          <w:rFonts w:ascii="Book Antiqua" w:eastAsia="Book Antiqua" w:hAnsi="Book Antiqua" w:cs="Book Antiqua"/>
          <w:color w:val="000000"/>
        </w:rPr>
        <w:t>.</w:t>
      </w:r>
    </w:p>
    <w:p w14:paraId="01BF1598" w14:textId="71289140" w:rsidR="00A77B3E" w:rsidRPr="00E33160" w:rsidRDefault="00741601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several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recent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breakthroughs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management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resulted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improvement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disease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outcomes.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Continued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understanding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mechanisms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platinum/PARPi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resistance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inspired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development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multitude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novel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approaches,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likely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further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advances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treatment.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carcinomas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have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well-defined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vulnerabilities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characterized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pronounced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drug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similar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respect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germ-cell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hematological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malignancies,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generally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already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available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therapeutic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tools.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reasonable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chances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cure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rates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BRCA1/2-associated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malignancies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significantly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increase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near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future.</w:t>
      </w:r>
    </w:p>
    <w:p w14:paraId="1AAC1242" w14:textId="77777777" w:rsidR="00A77B3E" w:rsidRPr="00E33160" w:rsidRDefault="00A77B3E" w:rsidP="00490D43">
      <w:pPr>
        <w:adjustRightInd w:val="0"/>
        <w:snapToGrid w:val="0"/>
        <w:spacing w:line="360" w:lineRule="auto"/>
        <w:ind w:firstLine="567"/>
        <w:jc w:val="both"/>
        <w:rPr>
          <w:rFonts w:ascii="Book Antiqua" w:hAnsi="Book Antiqua"/>
        </w:rPr>
      </w:pPr>
    </w:p>
    <w:p w14:paraId="56451DA2" w14:textId="777777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48EAE69" w14:textId="0348C525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We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appreciate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greatly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contribution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Ekatherina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Kuligina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(N.N.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Petrov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Institute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Oncology)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preparation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Figures.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cordially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thankful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Barbara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Vona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(University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Tuebingen)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critical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reading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manuscript.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60C5D4D3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FFD3F2" w14:textId="77777777" w:rsidR="00490D43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REFERENCES</w:t>
      </w:r>
    </w:p>
    <w:p w14:paraId="1E062D15" w14:textId="64B22C35" w:rsidR="00490D43" w:rsidRPr="00E33160" w:rsidRDefault="00490D43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" w:name="OLE_LINK14"/>
      <w:r w:rsidRPr="00E33160">
        <w:rPr>
          <w:rFonts w:ascii="Book Antiqua" w:hAnsi="Book Antiqua"/>
          <w:color w:val="201F35"/>
        </w:rPr>
        <w:t>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Walsh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Casadei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Pennil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Nord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Thornton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Roeb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Agnew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Stray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Wickramanayake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Norquist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Pennington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Garcia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inherited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fallopian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tube,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peritoneal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carcinoma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identified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massively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parallel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sequencing.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Proc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Acad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Sci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U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2011;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18032-18037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22006311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10.1073/pnas.1115052108]</w:t>
      </w:r>
    </w:p>
    <w:p w14:paraId="6DFC5312" w14:textId="18491D3E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Alsop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Fereday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Meldrum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deFazio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Emmanuel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George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Dobrovic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Birrer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Webb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Stewart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Friedlander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Fox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Bowtell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Mitchell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frequency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patterns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treatment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mutation-positive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women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report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Australian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Study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Group.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Clin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2012;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2654-2663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22711857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10.1200/JCO.2011.39.8545]</w:t>
      </w:r>
    </w:p>
    <w:p w14:paraId="040BCE95" w14:textId="5BF8A50B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lastRenderedPageBreak/>
        <w:t>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Kast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Rhiem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Wappenschmidt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Hahnen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Hauke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Bluemcke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Zarghooni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Herold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Ditsch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Kiechle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Braun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Fischer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Dikow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Schott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Rahner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Niederacher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Fehm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Gehrig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Mueller-Reible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Arnold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Maass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Borck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Gregorio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Scholz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Auber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Varon-Manteeva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Speiser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Horvath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Lichey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Wimberger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Faust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Weber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Zachariae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Meindl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Schmutzler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Engel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Consortium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(GC-HBOC).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Prevalence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21</w:t>
      </w:r>
      <w:r w:rsidR="00ED1590">
        <w:rPr>
          <w:rFonts w:ascii="MS Mincho" w:eastAsia="MS Mincho" w:hAnsi="MS Mincho" w:cs="MS Mincho" w:hint="eastAsi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401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families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 w:cs="Verdan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Med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Genet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53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465-471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26928436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10.1136/jmedgenet-2015-103672]</w:t>
      </w:r>
    </w:p>
    <w:p w14:paraId="5400D31D" w14:textId="4DCEFAC9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Hauke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J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Horvath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Groß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Gehrig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Honisch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Hackmann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Schmidt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Arnold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Faust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Sutter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Hentschel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Wang-Gohrke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Smogavec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Weber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BHF,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Weber-Lassalle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Weber-Lassalle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Borde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Ernst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Altmüller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Volk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Thiele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Hübbel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Nürnberg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Keupp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Versmold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Pohl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Kubisch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Grill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Paul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Herold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Lichey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Rhiem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Ditsch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Ruckert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Wappenschmidt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Auber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Rump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Niederacher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Haaf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Ramser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Dworniczak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Engel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Meindl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Schmutzler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Hahnen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panel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testing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5589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BRCA1/2-negative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index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routine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diagnostic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setting: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results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Consortium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7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1349-1358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29522266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10.1002/cam4.1376]</w:t>
      </w:r>
    </w:p>
    <w:p w14:paraId="3EAFE716" w14:textId="43695180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Beitsch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PD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Whitworth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Hughes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Compagnoni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Simmons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Grady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Kinney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Coomer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Barbosa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Holmes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Brown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Lyons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Ruiz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Kahn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MacDonald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Curcio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Hardwick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Esplin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Nussbaum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RL.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Underdiagnosis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Testing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Guidelines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Obstacle?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Clin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37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453-460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30526229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10.1200/JCO.18.01631]</w:t>
      </w:r>
    </w:p>
    <w:p w14:paraId="7D4111E0" w14:textId="38EFDE2A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Gorodnova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Sokolenko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Ivantsov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Kotiv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Petrik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Amelina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Berlev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Imyanitov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BRCA1-associated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sporadic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carcinomas: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outcomes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primary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cytoreductive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surgery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neoadjuvant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chemotherapy.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Int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Gynecol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779-786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30839285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10.1136/ijgc-2018-000175]</w:t>
      </w:r>
    </w:p>
    <w:p w14:paraId="4457CB3E" w14:textId="326F6597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van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Asperen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CJ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Brohet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Meijers-Heijboer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Hoogerbrugge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Verhoef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Ausems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Menko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Gomez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Garcia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Klijn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Hogervorst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lastRenderedPageBreak/>
        <w:t>Houwelingen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van't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Veer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Rookus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Leeuwen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Netherlands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Collaborative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Group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(HEBON).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risks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families: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estimates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other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ovary.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Med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Genet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2005;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42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711-719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16141007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10.1136/jmg.2004.028829]</w:t>
      </w:r>
    </w:p>
    <w:p w14:paraId="771CCF94" w14:textId="48D65A0D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Avanesyan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Sokolenko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Ivantsov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Kleshchev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Maydin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Bizin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Raskin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Shelekhova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Gorodnova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Bessonov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Anisimova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Volynshchikova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Romanko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Broyde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Tkachenko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Whitehead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Scherbakov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Imyanitov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Gastric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Results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Endoscopic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Screening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Molecular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Analysis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Tissues.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Pathobiology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87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367-374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33161400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10.1159/000511323]</w:t>
      </w:r>
    </w:p>
    <w:p w14:paraId="27545A9A" w14:textId="549B0A96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Antoniou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Pharoah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Narod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Risch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Eyfjord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Hopper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Olsson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Johannsson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Borg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Pasini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Radice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Manoukian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Eccles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Olah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Anton-Culver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Warner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Lubinski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Gronwald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Gorski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Tulinius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Thorlacius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Eerola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Nevanlinna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Syrjäkoski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Kallioniemi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Thompson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Evans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Lalloo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Evans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Easton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DF.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Average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risks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associated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detected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Series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unselected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family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history: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combined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analysis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studies.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Am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Hum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Genet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2003;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72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1117-1130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12677558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10.1086/375033]</w:t>
      </w:r>
    </w:p>
    <w:p w14:paraId="6A2486E8" w14:textId="04E706C4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Hodgson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Turashvili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Pathology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Front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531790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33117676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10.3389/fonc.2020.531790]</w:t>
      </w:r>
    </w:p>
    <w:p w14:paraId="16585EA1" w14:textId="4798ED40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Mavaddat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N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Barrowdale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Andrulis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Domchek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Eccles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Nevanlinna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Ramus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Spurdle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Robson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Sherman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Mulligan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Couch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Engel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McGuffog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Healey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Sinilnikova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Southey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Terry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Goldgar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O'Malley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Janavicius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Tihomirova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Hansen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Nielsen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Osorio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Stavropoulou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Benítez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Manoukian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Peissel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Barile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Volorio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Pasini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Dolcetti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Putignano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Ottini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Radice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Hamann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Rashid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Hogervorst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Kriege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Luijt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RB;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HEBON,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Peock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Evans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Brewer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Walker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Rogers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Houghton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EMBRACE,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Weaver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Godwin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Schmutzler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Wappenschmidt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Meindl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Arnold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Niederacher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Sutter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Deissler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Gadzicki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Preisler-Adams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Varon-Mateeva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Schönbuchner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Gevensleben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Stoppa-Lyonnet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Belotti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lastRenderedPageBreak/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Barjhoux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GEMO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Study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Collaborators,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Isaacs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Peshkin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Caldes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Hoya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Cañadas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Heikkinen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Heikkilä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Aittomäki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Blanco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Lazaro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Brunet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Agnarsson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Arason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Barkardottir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Dumont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Simard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Montagna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Agata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D'Andrea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Fox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kConFab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Investigators,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Rebbeck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Rubinstein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Garber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Fredericksen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Pankratz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Lindor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Szabo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Offit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Sakr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Gaudet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Singer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Tea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Rappaport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Greene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Sokolenko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Imyanitov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Toland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Senter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Sweet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Thomassen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Gerdes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Kruse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Caligo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Aretini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Rantala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Wachenfeld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Henriksson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SWE-BRCA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Collaborators,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Steele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Neuhausen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Nussbaum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Beattie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Odunsi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Sucheston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Gayther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Nathanson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Walsh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Karlan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Chenevix-Trench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Easton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Antoniou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Consortium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Investigators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Modifiers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Pathology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among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results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Consortium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Investigators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Modifiers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(CIMBA).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Epidemiol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Biomarkers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Prev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2012;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134-147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22144499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10.1158/1055-9965.EPI-11-0775]</w:t>
      </w:r>
    </w:p>
    <w:p w14:paraId="573312FD" w14:textId="4F38C21E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Iyevleva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AG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Imyanitov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Cytotoxic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targeted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hereditary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Hered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Clin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Pract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14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27555886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10.1186/s13053-016-0057-2]</w:t>
      </w:r>
    </w:p>
    <w:p w14:paraId="5D6C5F35" w14:textId="71E91A1A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Maxwell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KN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Wubbenhorst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Wenz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Sloover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Pluta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Emery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Barrett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Kraya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Anastopoulos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Jiang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Zhang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Hackman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D'Andrea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Daber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Morrissette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JJD,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Mitra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Feldman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Domchek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Nathanson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KL.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locus-specific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heterozygosity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Commun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2017;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28831036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10.1038/s41467-017-00388-9]</w:t>
      </w:r>
    </w:p>
    <w:p w14:paraId="218D524B" w14:textId="74DE3AB6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Le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Page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Amuzu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Rahimi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Gotlieb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Ragoussis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Tonin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Lessons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learned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understanding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epithelial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tubo-ovarian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carcinoma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Semin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Biol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32827632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10.1016/j.semcancer.2020.08.005]</w:t>
      </w:r>
    </w:p>
    <w:p w14:paraId="459AB926" w14:textId="24912F44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Jonsson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Bandlamudi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Srinivasan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Friedman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Richards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Bouvier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Selcuklu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Bielski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Abida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Mandelker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Birsoy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Zhang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Zehir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Donoghue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MTA,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Baselga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Offit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O'Reilly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Stadler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Schultz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Socci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Viale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Ladanyi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Robson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Hyman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Berger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Solit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lastRenderedPageBreak/>
        <w:t>Taylor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Tumour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lineage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shapes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BRCA-mediated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phenotypes.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Nature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571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576-579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31292550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10.1038/s41586-019-1382-1]</w:t>
      </w:r>
    </w:p>
    <w:p w14:paraId="5BBDBF98" w14:textId="7B6D8678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Gorodnova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TV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Sokolenko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Ivantsov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Iyevleva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Suspitsin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Aleksakhina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Yanus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Togo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Maximov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Imyanitov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neoadjuvant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platinum-based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carrying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germ-line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Lett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2015;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369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363-367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26342406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10.1016/j.canlet.2015.08.028]</w:t>
      </w:r>
    </w:p>
    <w:p w14:paraId="196C0D6D" w14:textId="5029DAC9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Byrski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Gronwald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Huzarski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Grzybowska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Budryk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Stawicka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Mierzwa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Szwiec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Wisniowski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Siolek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Lubinski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Narod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Pathologic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complete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young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women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BRCA1-positive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after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neoadjuvant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chemotherapy.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Clin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375-379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20008645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10.1200/JCO.2008.20.7019]</w:t>
      </w:r>
    </w:p>
    <w:p w14:paraId="614BD4F4" w14:textId="67D9020D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Tutt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Tovey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Kernaghan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Kilburn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Gazinska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Owen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Abraham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Barrett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Barrett-Lee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Brown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Dowsett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Flanagan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Fox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Grigoriadis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Gutin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Harper-Wynne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Hatton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MQ,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Hoadley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Parikh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Parker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Perou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Roylance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Shaw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Timms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Wardley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Wilson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Gillett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Lanchbury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Ashworth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Rahman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Harries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Ellis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Pinder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Bliss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Carboplatin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BRCA1/2-mutated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triple-negative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BRCAness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subgroups: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Trial.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24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628-637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29713086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10.1038/s41591-018-0009-7]</w:t>
      </w:r>
    </w:p>
    <w:p w14:paraId="353583FC" w14:textId="782A251D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19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Garutti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Pelizzari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Bartoletti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Malfatti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Gerratana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Puglisi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Salts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Focus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Predictive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Factors.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Int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Sci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31295913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10.3390/ijms20143390]</w:t>
      </w:r>
    </w:p>
    <w:p w14:paraId="6115313D" w14:textId="3D0B04E4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Patel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Nowsheen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Maraboyina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poly(ADP-ribose)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polymerase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treatment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methods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overcome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review.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Cell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Biosci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32180937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10.1186/s13578-020-00390-7]</w:t>
      </w:r>
    </w:p>
    <w:p w14:paraId="050ED113" w14:textId="227765DB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Rose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Burgess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O'Byrne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Richard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Bolderson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Inhibitors: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Clinical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Relevance,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Mechanisms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Front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Cell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Dev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Biol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564601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33015058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10.3389/fcell.2020.564601]</w:t>
      </w:r>
    </w:p>
    <w:p w14:paraId="24776633" w14:textId="2EC4C476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lastRenderedPageBreak/>
        <w:t>22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Patch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Christie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Etemadmoghadam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Garsed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George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Fereday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Nones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Cowin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Alsop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Bailey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Kassahn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Newell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Quinn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Kazakoff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Quek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Wilhelm-Benartzi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Curry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Leong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HS;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Australian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Study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Group,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Hamilton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Mileshkin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Au-Yeung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Kennedy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Hung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Chiew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Harnett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Friedlander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Quinn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Pyman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Cordner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O'Brien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Leditschke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Young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Strachan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Waring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Azar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Mitchell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Traficante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Hendley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Thorne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Shackleton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Miller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Arnau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Tothill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Holloway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Semple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Harliwong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Nourse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Nourbakhsh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Manning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Idrisoglu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Bruxner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Christ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Poudel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Holmes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Anderson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Leonard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Lonie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Wood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Taylor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Q,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Fink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Waddell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Drapkin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Stronach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Gabra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Brown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Jewell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Nagaraj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Markham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Wilson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Ellul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McNally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Doyle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Vedururu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Stewart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Lengyel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Pearson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Waddell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deFazio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Grimmond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Bowtell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DD.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Whole-genome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characterization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chemoresistant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Nature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2015;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521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489-494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26017449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10.1038/nature14410]</w:t>
      </w:r>
    </w:p>
    <w:p w14:paraId="13987105" w14:textId="2D6CD93F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Lin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KK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Oza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Oaknin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Ray-Coquard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Tinker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Helman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Radke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Isaacson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Maloney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O'Malley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Chambers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Kaufmann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Scott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Konecny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Coleman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JX,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Giordano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Brenton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Harding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McNeish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Circulating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Predict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Primary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Acquired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Rucaparib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High-Grade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Carcinoma.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Discov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210-219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30425037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10.1158/2159-8290.CD-18-0715]</w:t>
      </w:r>
    </w:p>
    <w:p w14:paraId="5A349306" w14:textId="21E82D8B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Carneiro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BA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Collier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Nagy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Pamarthy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Sagar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Fairclough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Odegaard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Lanman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Costa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Taxter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Kuzel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Cristofanilli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Hussain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Abdulkadir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Giles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FJ.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Acquired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(ADP-ribose)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Polymerase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Olaparib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BRCA2</w:t>
      </w:r>
      <w:r w:rsidRPr="00E33160">
        <w:rPr>
          <w:rFonts w:ascii="Book Antiqua" w:hAnsi="Book Antiqua"/>
          <w:color w:val="201F35"/>
        </w:rPr>
        <w:t>-Associated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Prostate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Resulting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Biallelic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Restores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Somatic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Loss-of-Function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JCO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Precis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31501807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10.1200/PO.17.00176]</w:t>
      </w:r>
    </w:p>
    <w:p w14:paraId="2DF92E97" w14:textId="3DEC8D2A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Ikeda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H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Matsushita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Waisfisz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Q,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Kinoshita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Oostra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Nieuwint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Winter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Hoatlin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Kawai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Sasaki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D'Andrea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Kawakami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Joenje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lastRenderedPageBreak/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acute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myelogenous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leukemia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from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Fanconi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anemia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biallelic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2003;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63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2688-2694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12750298]</w:t>
      </w:r>
    </w:p>
    <w:p w14:paraId="4B7D0F6D" w14:textId="4BC144A0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Pettitt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SJ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Frankum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Punta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Alexander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Haider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CJ.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Clinical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BRCA1/2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Analysis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Identifies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Hotspot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Predicted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Neoantigens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Associated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Discov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1475-1488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32699032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10.1158/2159-8290.CD-19-1485]</w:t>
      </w:r>
    </w:p>
    <w:p w14:paraId="17C5A7C2" w14:textId="502CED12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Tobalina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Armenia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Irving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O'Connor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Forment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JV.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meta-analysis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identifies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signatures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end-joining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repair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mechanisms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driving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Ann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2021;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32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103-112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33091561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10.1016/j.annonc.2020.10.470]</w:t>
      </w:r>
    </w:p>
    <w:p w14:paraId="14C18B2E" w14:textId="57CD4D38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Wang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Y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Bernhardy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Cruz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Krais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Nacson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Nicolas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Peri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Gulden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Heijden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O'Brien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Zhang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Candido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Pharoah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Karlan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Gourley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Lambrechts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Chenevix-Trench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Olsson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Benitez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Greene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Nussbaum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Sadetzki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Gayther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Kjaer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SK;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kConFab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Investigators,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D'Andrea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Shapiro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Wiest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Connolly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Daly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Bouwman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Jonkers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Balmaña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BRCA1-Δ11q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Alternative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Splice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Isoform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Bypasses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Promotes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Therapeutic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Cisplatin.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76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2778-2790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27197267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10.1158/0008-5472.CAN-16-0186]</w:t>
      </w:r>
    </w:p>
    <w:p w14:paraId="6005250C" w14:textId="715233C4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29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Drost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R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Dhillon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Gulden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Heijden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Brandsma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Cruz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Chondronasiou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Castroviejo-Bermejo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Schut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Burg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Wientjens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Pieterse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Klijn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Klarenbeek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Loayza-Puch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Elkon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Deemter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Rottenberg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Dekkers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Demmers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Agami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Balmaña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Taniguchi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Bouwman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Jonkers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BRCA1185delAG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acquire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through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expression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RING-less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Clin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Invest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126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2903-2918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27454287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10.1172/JCI70196]</w:t>
      </w:r>
    </w:p>
    <w:p w14:paraId="406B262F" w14:textId="172333D3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Wang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Y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Bernhardy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Nacson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Krais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Nicolas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Radke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Handorf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Llop-Guevara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Balmaña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Peri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intronic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elements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rearrangements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Commun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5661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31827092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10.1038/s41467-019-13530-6]</w:t>
      </w:r>
    </w:p>
    <w:p w14:paraId="69A4B755" w14:textId="1C665CE0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lastRenderedPageBreak/>
        <w:t>31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Johnson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N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Choi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Bernhardy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Capelletti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Sarosiek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Moreau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Chowdhury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Wickramanayake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D'Andrea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Miron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Shapiro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Stabilization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protein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confers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Proc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Acad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Sci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U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2013;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17041-17046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24085845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10.1073/pnas.1305170110]</w:t>
      </w:r>
    </w:p>
    <w:p w14:paraId="6F1A250C" w14:textId="277A2783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Park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PH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Yamamoto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Alcivar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Bernhardy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Turner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Kossenkov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Watson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Behbakht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Casadei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Mischel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Bitler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BG.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Amplification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Mutation-Carrying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Allele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Promotes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RAD51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Loading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Absence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Ther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602-613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31575654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10.1158/1535-7163.MCT-17-0256]</w:t>
      </w:r>
    </w:p>
    <w:p w14:paraId="590C3026" w14:textId="5FAE46C6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Moiseyenko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VM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Chubenko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Moiseyenko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Zagorskaya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Zaytseva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Gesha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Zykov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Preobrazhenskaya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Sokolenko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Imyanitov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"Lazarus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Response"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Olaparib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Virtually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Chemonaive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Carrying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Gross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Deletion.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Cureus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e2150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29651367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10.7759/cureus.2150]</w:t>
      </w:r>
    </w:p>
    <w:p w14:paraId="43A00622" w14:textId="4F5E806F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McMullen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Karakasis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Madariaga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Oza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Overcoming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PARP-Inhibitor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(Basel)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32560564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10.3390/cancers12061607]</w:t>
      </w:r>
    </w:p>
    <w:p w14:paraId="6D182881" w14:textId="5C6DC21D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Belotserkovskaya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R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Raga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Lawrence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Butler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Clifford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Wilson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Jackson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PALB2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chromatin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recruitment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restores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homologous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recombination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BRCA1-deficient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depleted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53BP1.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Commun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819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32041954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10.1038/s41467-020-14563-y]</w:t>
      </w:r>
    </w:p>
    <w:p w14:paraId="52D6DB1E" w14:textId="4AED6F1E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Hurley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RM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Wahner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Hendrickson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Visscher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Ansell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Wagner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Negron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Goergen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Maurer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Oberg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Flatten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Jonge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Herpen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Gietema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Koornstra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RHT,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Jager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Hollander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Dudley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Shepherd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Kaufmann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53BP1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potential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predictor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inhibitor-treated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homologous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recombination-deficient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Gynecol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153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127-134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30686551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10.1016/j.ygyno.2019.01.015]</w:t>
      </w:r>
    </w:p>
    <w:p w14:paraId="17A0EA4A" w14:textId="36903B73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Waks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AG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Cohen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Kochupurakkal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Buendia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Buendia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Wander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Helvie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Lloyd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Marini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Hughes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Freeman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Geradts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Isakoff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lastRenderedPageBreak/>
        <w:t>LoRusso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Adalsteinsson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Tolaney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Matulonis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Krop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D'Andrea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Winer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NU,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Shapiro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Wagle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non-reversion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mechanisms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BRCA1/2-mutant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metastatic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Ann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590-598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32245699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10.1016/j.annonc.2020.02.008]</w:t>
      </w:r>
    </w:p>
    <w:p w14:paraId="1348CAF0" w14:textId="7ECC512E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Ray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Chaudhuri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Callen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X,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Gogola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Duarte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Wong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Lafarga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Calvo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Panzarino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John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Crespo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Starnes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Ruiter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Daniel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Konstantinopoulos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Cortez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Fernandez-Capetillo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Jonkers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Rottenberg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Sharan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Nussenzweig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Replication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stability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confers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BRCA-deficient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Nature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535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382-387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27443740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10.1038/nature18325]</w:t>
      </w:r>
    </w:p>
    <w:p w14:paraId="6A9E198C" w14:textId="4D628162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39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Aleksakhina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SN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Kashyap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Imyanitov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Mechanisms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acquired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drug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Biochim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Biophys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Acta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Rev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1872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188310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31442474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10.1016/j.bbcan.2019.188310]</w:t>
      </w:r>
    </w:p>
    <w:p w14:paraId="4E47112F" w14:textId="25C24D64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Christie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EL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Pattnaik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Beach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Copeland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Rashoo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Fereday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Hendley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Alsop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Brady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Lamb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Pandey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deFazio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Thorne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Bild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Bowtell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DDL.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Multiple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ABCB1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transcriptional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fusions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drug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high-grade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Commun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1295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30894541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10.1038/s41467-019-09312-9]</w:t>
      </w:r>
    </w:p>
    <w:p w14:paraId="176B258C" w14:textId="7170C17F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Lhommé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Walker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Lissoni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Nicoletto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Manikhas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Baekelandt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Gordon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Fracasso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Mietlowski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Jones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Dugan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MH.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Phase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III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study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valspodar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(PSC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833)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combined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paclitaxel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carboplatin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compared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paclitaxel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carboplatin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alone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suboptimally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debulked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stage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III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epithelial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primary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peritoneal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Clin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2008;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26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2674-2682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18509179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10.1200/JCO.2007.14.9807]</w:t>
      </w:r>
    </w:p>
    <w:p w14:paraId="048C2DCD" w14:textId="4C9C0DBB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Bellio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C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DiGloria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Foster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James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Konstantinopoulos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Growdon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Rueda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Induces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Enrichment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Repair-Proficient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CD133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CD117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Positive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Stem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17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431-445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30401718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10.1158/1541-7786.MCR-18-0594]</w:t>
      </w:r>
    </w:p>
    <w:p w14:paraId="10C5BEF5" w14:textId="44CDDF36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Ordonez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LD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McEwen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Polanska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Hughes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Delpuech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Cadogan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Powell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Tornillo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Silcock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O'Connor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Clarke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Smalley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MJ.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Rapid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activation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epithelial-mesenchymal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transition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drives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Brca2</w:t>
      </w:r>
      <w:r w:rsidRPr="00E33160">
        <w:rPr>
          <w:rFonts w:ascii="Book Antiqua" w:hAnsi="Book Antiqua"/>
          <w:color w:val="201F35"/>
        </w:rPr>
        <w:t>-</w:t>
      </w:r>
      <w:r w:rsidRPr="00E33160">
        <w:rPr>
          <w:rFonts w:ascii="Book Antiqua" w:hAnsi="Book Antiqua"/>
          <w:color w:val="201F35"/>
        </w:rPr>
        <w:lastRenderedPageBreak/>
        <w:t>mutant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mammary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tumours.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Oncotarget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10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2586-2606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31080552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10.18632/oncotarget.26830]</w:t>
      </w:r>
    </w:p>
    <w:p w14:paraId="0D3B7A4C" w14:textId="78C32654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Gorodnova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TV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Kotiv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Ivantsov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Mikheyeva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Mikhailiuk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Lisyanskaya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Mikaya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Guseynov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Bondarev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Matveyeva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Nekrasova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Sidoruk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Manikhas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Belyaev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Sokolenko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Berlev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Imyanitov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Efficacy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Neoadjuvant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Cisplatin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Mitomycin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BRCA1-Mutated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Int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Gynecol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1498-1506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30247247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10.1097/IGC.0000000000001352]</w:t>
      </w:r>
    </w:p>
    <w:p w14:paraId="3DCF7F6A" w14:textId="008181B2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Sokolenko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AP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Savonevich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Ivantsov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Raskin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Kuligina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Gorodnova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Preobrazhenskaya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Kleshchov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Tiurin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Mukhina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Kotiv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Shulga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Kuznetsov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Berlev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Imyanitov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Rapid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selection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BRCA1-proficient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during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neoadjuvant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Lett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2017;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397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127-132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28377179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10.1016/j.canlet.2017.03.036]</w:t>
      </w:r>
    </w:p>
    <w:p w14:paraId="5C57DC20" w14:textId="751EAF12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Sokolenko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AP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Bizin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Preobrazhenskaya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Gorodnova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TV,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Ivantsov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AO,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Iyevleva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Savonevich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Kotiv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Kuligina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Imyanitov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Molecular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profiles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BRCA1-associated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treated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platinum-based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therapy: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Analysis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primary,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residual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relapsed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tumors.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Int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146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1879-1888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31693165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10.1002/ijc.32776]</w:t>
      </w:r>
    </w:p>
    <w:p w14:paraId="31A49091" w14:textId="3ED97E20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Park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Nam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Kim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Ahn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WY,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YH.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Clinical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Characteristics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Exploratory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Genomic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Analyses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18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1315-1325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32554602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10.1158/1541-7786.MCR-19-1108]</w:t>
      </w:r>
    </w:p>
    <w:p w14:paraId="114AD575" w14:textId="22168943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Madariaga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A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Lheureux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Oza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AM.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Tailoring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Treatment: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Implications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of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BRCA1/2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(Basel)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2019;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30909618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10.3390/cancers11030416]</w:t>
      </w:r>
    </w:p>
    <w:p w14:paraId="7EEBA79E" w14:textId="1FA4D2DD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49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Veneris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JT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Matulonis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Konstantinopoulos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Choosing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wisely: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Selecting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combinations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promote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anti-tumor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immune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responses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beyond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Gynecol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156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488-497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31630846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10.1016/j.ygyno.2019.09.021]</w:t>
      </w:r>
    </w:p>
    <w:p w14:paraId="318A487E" w14:textId="2E8A468C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lastRenderedPageBreak/>
        <w:t>50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Litton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JK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Rugo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Ettl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Hurvitz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Gonçalves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Fehrenbacher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Yerushalmi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Mina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Martin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Roché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Quek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RGW,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Markova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Tudor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Hannah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Eiermann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Blum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JL.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Talazoparib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Advanced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Germline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Engl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379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753-763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30110579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10.1056/NEJMoa1802905]</w:t>
      </w:r>
    </w:p>
    <w:p w14:paraId="210BD96D" w14:textId="58CD3BD6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Pettitt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SJ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Krastev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Brandsma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Dréan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Aleksandrov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Harrell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Menon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Brough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Campbell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Frankum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Ranes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Pemberton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HN,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Rafiq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Fenwick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Swain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Guettler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Swisher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Stoynov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Yusa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K,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Ashworth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Lord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CJ.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Genome-wide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high-density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CRISPR-Cas9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screens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identify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point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causing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Nat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Commun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9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1849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29748565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10.1038/s41467-018-03917-2]</w:t>
      </w:r>
    </w:p>
    <w:p w14:paraId="5EA0E14B" w14:textId="0E8BDEBA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Lambrechts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S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Smeets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Moisse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Braicu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EI,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Vanderstichele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Zhao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Nieuwenhuysen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Berns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Sehouli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Zeillinger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Darb-Esfahani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Cacsire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Castillo-Tong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Lambrechts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Vergote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heterogeneity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after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first-line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high-grade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Eur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J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53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51-64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26693899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10.1016/j.ejca.2015.11.001]</w:t>
      </w:r>
    </w:p>
    <w:p w14:paraId="5CEFEB03" w14:textId="442A577F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53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Matsuo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Spragg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Ciccone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Blake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Ricker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Pham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HQ,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Roman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LD.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Nivolumab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BRCA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gene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mutation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carriers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with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recurrent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epithelial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ovarian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series.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Gynecol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Oncol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Rep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2018;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25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98-101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29998185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10.1016/j.gore.2018.06.011]</w:t>
      </w:r>
    </w:p>
    <w:p w14:paraId="7B17BA16" w14:textId="1DA43914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54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Lee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EK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Matulonis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UA.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PARP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Inhibitor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Resistance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Mechanisms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Implications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for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Post-Progression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Combination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Therapies.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Cancers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(Basel)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2020;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12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32722408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10.3390/cancers12082054]</w:t>
      </w:r>
    </w:p>
    <w:p w14:paraId="584AE2B0" w14:textId="74D40998" w:rsidR="00490D43" w:rsidRPr="00E33160" w:rsidRDefault="00490D43" w:rsidP="00490D4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33160">
        <w:rPr>
          <w:rFonts w:ascii="Book Antiqua" w:hAnsi="Book Antiqua"/>
          <w:color w:val="201F35"/>
        </w:rPr>
        <w:t>55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Boudin</w:t>
      </w:r>
      <w:r w:rsidR="00ED1590">
        <w:rPr>
          <w:rFonts w:ascii="Book Antiqua" w:hAnsi="Book Antiqua"/>
          <w:b/>
          <w:bCs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L</w:t>
      </w:r>
      <w:r w:rsidRPr="00E33160">
        <w:rPr>
          <w:rFonts w:ascii="Book Antiqua" w:hAnsi="Book Antiqua"/>
          <w:color w:val="201F35"/>
        </w:rPr>
        <w:t>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Gonçalves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Sabatier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Moretta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Sfumato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Asseeva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Livon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Bertucci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Extra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Tarpin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Houvenaeghel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G,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Lambaudie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Tallet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Resbeut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Sobol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Charafe-Jauffret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Calmels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Lemarie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Boher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JM,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Viens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Eisinger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F,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Chabannon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Highly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favorable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outcome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in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BRCA-mutated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metastatic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breast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cancer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patients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receiving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high-dose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chemotherapy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and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autologous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hematopoietic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stem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cell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transplantation.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Bone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Marrow</w:t>
      </w:r>
      <w:r w:rsidR="00ED1590">
        <w:rPr>
          <w:rFonts w:ascii="Book Antiqua" w:hAnsi="Book Antiqua"/>
          <w:i/>
          <w:iCs/>
          <w:color w:val="201F35"/>
        </w:rPr>
        <w:t xml:space="preserve"> </w:t>
      </w:r>
      <w:r w:rsidRPr="00E33160">
        <w:rPr>
          <w:rFonts w:ascii="Book Antiqua" w:hAnsi="Book Antiqua"/>
          <w:i/>
          <w:iCs/>
          <w:color w:val="201F35"/>
        </w:rPr>
        <w:t>Transplant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2016;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b/>
          <w:bCs/>
          <w:color w:val="201F35"/>
        </w:rPr>
        <w:t>51</w:t>
      </w:r>
      <w:r w:rsidRPr="00E33160">
        <w:rPr>
          <w:rFonts w:ascii="Book Antiqua" w:hAnsi="Book Antiqua"/>
          <w:color w:val="201F35"/>
        </w:rPr>
        <w:t>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1082-1086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[PMID: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27042835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DOI:</w:t>
      </w:r>
      <w:r w:rsidR="00ED1590">
        <w:rPr>
          <w:rFonts w:ascii="Book Antiqua" w:hAnsi="Book Antiqua"/>
          <w:color w:val="201F35"/>
        </w:rPr>
        <w:t xml:space="preserve"> </w:t>
      </w:r>
      <w:r w:rsidRPr="00E33160">
        <w:rPr>
          <w:rFonts w:ascii="Book Antiqua" w:hAnsi="Book Antiqua"/>
          <w:color w:val="201F35"/>
        </w:rPr>
        <w:t>10.1038/bmt.2016.82]</w:t>
      </w:r>
    </w:p>
    <w:bookmarkEnd w:id="4"/>
    <w:p w14:paraId="3CC573E4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331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FBBC4E" w14:textId="7777777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D73EB4E" w14:textId="0771176F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authors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declare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conflict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interests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article.</w:t>
      </w:r>
    </w:p>
    <w:p w14:paraId="2316E9A0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0D743E" w14:textId="627CBFD6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article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open-access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article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that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selected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in-house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editor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fully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peer-reviewed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external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reviewers.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distributed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accordance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Creative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Commons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Attribution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NonCommercial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(CC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BY-NC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4.0)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license,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permits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others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distribute,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remix,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adapt,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build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upon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work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non-commercially,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license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their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derivative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works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different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terms,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provided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original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work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properly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cited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use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non-commercial.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See: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C31558D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ABD2B2" w14:textId="3361E06E" w:rsidR="00A77B3E" w:rsidRDefault="0074160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Manuscript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source: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Invited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m</w:t>
      </w:r>
      <w:r w:rsidRPr="00E33160">
        <w:rPr>
          <w:rFonts w:ascii="Book Antiqua" w:eastAsia="Book Antiqua" w:hAnsi="Book Antiqua" w:cs="Book Antiqua"/>
          <w:color w:val="000000"/>
        </w:rPr>
        <w:t>anuscript</w:t>
      </w:r>
    </w:p>
    <w:p w14:paraId="4CEB9D39" w14:textId="77777777" w:rsidR="00ED1590" w:rsidRPr="00E33160" w:rsidRDefault="00ED1590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BED3A7" w14:textId="2AB24A58" w:rsidR="00A77B3E" w:rsidRPr="00097FB5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Corresponding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Author's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Membership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in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Professional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Societies:</w:t>
      </w:r>
      <w:r w:rsidR="00ED1590">
        <w:t xml:space="preserve"> </w:t>
      </w:r>
      <w:r w:rsidR="00097FB5" w:rsidRPr="00097FB5">
        <w:rPr>
          <w:rFonts w:ascii="Book Antiqua" w:eastAsia="Book Antiqua" w:hAnsi="Book Antiqua" w:cs="Book Antiqua"/>
          <w:bCs/>
          <w:color w:val="000000"/>
        </w:rPr>
        <w:t>European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7FB5" w:rsidRPr="00097FB5">
        <w:rPr>
          <w:rFonts w:ascii="Book Antiqua" w:eastAsia="Book Antiqua" w:hAnsi="Book Antiqua" w:cs="Book Antiqua"/>
          <w:bCs/>
          <w:color w:val="000000"/>
        </w:rPr>
        <w:t>Society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7FB5" w:rsidRPr="00097FB5">
        <w:rPr>
          <w:rFonts w:ascii="Book Antiqua" w:eastAsia="Book Antiqua" w:hAnsi="Book Antiqua" w:cs="Book Antiqua"/>
          <w:bCs/>
          <w:color w:val="000000"/>
        </w:rPr>
        <w:t>for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7FB5" w:rsidRPr="00097FB5">
        <w:rPr>
          <w:rFonts w:ascii="Book Antiqua" w:eastAsia="Book Antiqua" w:hAnsi="Book Antiqua" w:cs="Book Antiqua"/>
          <w:bCs/>
          <w:color w:val="000000"/>
        </w:rPr>
        <w:t>Medical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7FB5" w:rsidRPr="00097FB5">
        <w:rPr>
          <w:rFonts w:ascii="Book Antiqua" w:eastAsia="Book Antiqua" w:hAnsi="Book Antiqua" w:cs="Book Antiqua"/>
          <w:bCs/>
          <w:color w:val="000000"/>
        </w:rPr>
        <w:t>Oncology</w:t>
      </w:r>
      <w:r w:rsidRPr="00097FB5">
        <w:rPr>
          <w:rFonts w:ascii="Book Antiqua" w:eastAsia="Book Antiqua" w:hAnsi="Book Antiqua" w:cs="Book Antiqua"/>
          <w:bCs/>
          <w:color w:val="000000"/>
        </w:rPr>
        <w:t>,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7FB5">
        <w:rPr>
          <w:rFonts w:ascii="Book Antiqua" w:eastAsia="Book Antiqua" w:hAnsi="Book Antiqua" w:cs="Book Antiqua"/>
          <w:bCs/>
          <w:color w:val="000000"/>
        </w:rPr>
        <w:t>No.</w:t>
      </w:r>
      <w:r w:rsidR="00ED15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97FB5">
        <w:rPr>
          <w:rFonts w:ascii="Book Antiqua" w:eastAsia="Book Antiqua" w:hAnsi="Book Antiqua" w:cs="Book Antiqua"/>
          <w:bCs/>
          <w:color w:val="000000"/>
        </w:rPr>
        <w:t>6102</w:t>
      </w:r>
    </w:p>
    <w:p w14:paraId="48CA711A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61DE92" w14:textId="42A0A322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Peer-review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started: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February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3,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2021</w:t>
      </w:r>
    </w:p>
    <w:p w14:paraId="5AA43EA2" w14:textId="2BB196A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First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decision: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March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31,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2021</w:t>
      </w:r>
    </w:p>
    <w:p w14:paraId="6A03C483" w14:textId="7D0CFAC2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Article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in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press: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D96B281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4ABB56" w14:textId="4752F081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Specialty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type: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Oncology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130175C3" w14:textId="67F70560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Country/Territory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origin: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Russia</w:t>
      </w:r>
    </w:p>
    <w:p w14:paraId="3A0F7110" w14:textId="181A6207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t>Peer-review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report’s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scientific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quality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D7147A1" w14:textId="384D4344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(Excellent):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0</w:t>
      </w:r>
    </w:p>
    <w:p w14:paraId="7DD5DD00" w14:textId="5572485F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(Very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good):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B,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F2351E">
        <w:rPr>
          <w:rFonts w:ascii="Book Antiqua" w:eastAsia="Book Antiqua" w:hAnsi="Book Antiqua" w:cs="Book Antiqua"/>
          <w:color w:val="000000"/>
        </w:rPr>
        <w:t>B</w:t>
      </w:r>
    </w:p>
    <w:p w14:paraId="108C5066" w14:textId="75466F03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(Good):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0</w:t>
      </w:r>
    </w:p>
    <w:p w14:paraId="71F51538" w14:textId="55FCB9B5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(Fair):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0</w:t>
      </w:r>
    </w:p>
    <w:p w14:paraId="623C0013" w14:textId="3815B469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3160">
        <w:rPr>
          <w:rFonts w:ascii="Book Antiqua" w:eastAsia="Book Antiqua" w:hAnsi="Book Antiqua" w:cs="Book Antiqua"/>
          <w:color w:val="000000"/>
        </w:rPr>
        <w:t>Grade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(Poor):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0</w:t>
      </w:r>
    </w:p>
    <w:p w14:paraId="32DBC71F" w14:textId="77777777" w:rsidR="00A77B3E" w:rsidRPr="00E33160" w:rsidRDefault="00A77B3E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72D185" w14:textId="116F9F96" w:rsidR="00A77B3E" w:rsidRPr="002F11B2" w:rsidRDefault="0074160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77B3E" w:rsidRPr="002F11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33160">
        <w:rPr>
          <w:rFonts w:ascii="Book Antiqua" w:eastAsia="Book Antiqua" w:hAnsi="Book Antiqua" w:cs="Book Antiqua"/>
          <w:b/>
          <w:color w:val="000000"/>
        </w:rPr>
        <w:t>P-Reviewer: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Zheng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Z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S-Editor: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Liu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L-Editor: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3349">
        <w:rPr>
          <w:rFonts w:ascii="Book Antiqua" w:eastAsia="Book Antiqua" w:hAnsi="Book Antiqua" w:cs="Book Antiqua"/>
          <w:bCs/>
          <w:color w:val="000000"/>
        </w:rPr>
        <w:t>Filipodia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P-Editor: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3DCAC51" w14:textId="306AACFB" w:rsidR="00A77B3E" w:rsidRDefault="0074160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3316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D15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color w:val="000000"/>
        </w:rPr>
        <w:t>Legends</w:t>
      </w:r>
    </w:p>
    <w:p w14:paraId="148E55E5" w14:textId="1220667C" w:rsidR="00EE17A6" w:rsidRPr="00E33160" w:rsidRDefault="00ED1590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t xml:space="preserve"> </w:t>
      </w:r>
      <w:r w:rsidR="002F11B2">
        <w:rPr>
          <w:rFonts w:ascii="Book Antiqua" w:hAnsi="Book Antiqua"/>
          <w:noProof/>
        </w:rPr>
        <w:drawing>
          <wp:inline distT="0" distB="0" distL="0" distR="0" wp14:anchorId="1A94E008" wp14:editId="5C634EEC">
            <wp:extent cx="4941170" cy="31417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79" cy="3144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6D294" w14:textId="6138CF15" w:rsidR="002F11B2" w:rsidRDefault="00741601" w:rsidP="00490D4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3316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1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Examples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i/>
          <w:iCs/>
          <w:color w:val="000000"/>
        </w:rPr>
        <w:t>BRCA1/2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17A6" w:rsidRPr="00EE17A6">
        <w:rPr>
          <w:rFonts w:ascii="Book Antiqua" w:eastAsia="Book Antiqua" w:hAnsi="Book Antiqua" w:cs="Book Antiqua"/>
          <w:b/>
          <w:bCs/>
          <w:color w:val="000000"/>
        </w:rPr>
        <w:t>open-reading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17A6" w:rsidRPr="00EE17A6">
        <w:rPr>
          <w:rFonts w:ascii="Book Antiqua" w:eastAsia="Book Antiqua" w:hAnsi="Book Antiqua" w:cs="Book Antiqua"/>
          <w:b/>
          <w:bCs/>
          <w:color w:val="000000"/>
        </w:rPr>
        <w:t>frame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restoration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BRCA1/2-mutated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tumors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systemic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b/>
          <w:bCs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A: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E17A6">
        <w:rPr>
          <w:rFonts w:ascii="Book Antiqua" w:eastAsia="Book Antiqua" w:hAnsi="Book Antiqua" w:cs="Book Antiqua"/>
          <w:color w:val="000000"/>
        </w:rPr>
        <w:t>S</w:t>
      </w:r>
      <w:r w:rsidRPr="00EE17A6">
        <w:rPr>
          <w:rFonts w:ascii="Book Antiqua" w:eastAsia="Book Antiqua" w:hAnsi="Book Antiqua" w:cs="Book Antiqua"/>
          <w:color w:val="000000"/>
        </w:rPr>
        <w:t>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1-bp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deletion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occurring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downstream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germline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(</w:t>
      </w:r>
      <w:r w:rsidRPr="00EE17A6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c.5266dupC;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described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in</w:t>
      </w:r>
      <w:r w:rsidRPr="00EE17A6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EE17A6">
        <w:rPr>
          <w:rFonts w:ascii="Book Antiqua" w:eastAsia="Book Antiqua" w:hAnsi="Book Antiqua" w:cs="Book Antiqua"/>
          <w:color w:val="000000"/>
        </w:rPr>
        <w:t>)</w:t>
      </w:r>
      <w:r w:rsidR="00EE17A6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B: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E17A6">
        <w:rPr>
          <w:rFonts w:ascii="Book Antiqua" w:eastAsia="Book Antiqua" w:hAnsi="Book Antiqua" w:cs="Book Antiqua"/>
          <w:color w:val="000000"/>
        </w:rPr>
        <w:t>S</w:t>
      </w:r>
      <w:r w:rsidRPr="00EE17A6">
        <w:rPr>
          <w:rFonts w:ascii="Book Antiqua" w:eastAsia="Book Antiqua" w:hAnsi="Book Antiqua" w:cs="Book Antiqua"/>
          <w:color w:val="000000"/>
        </w:rPr>
        <w:t>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4-bp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deletion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located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upstream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germline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mutation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(</w:t>
      </w:r>
      <w:r w:rsidRPr="00EE17A6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c.3770_3771delAG;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example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from</w:t>
      </w:r>
      <w:r w:rsidRPr="00EE17A6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EE17A6">
        <w:rPr>
          <w:rFonts w:ascii="Book Antiqua" w:eastAsia="Book Antiqua" w:hAnsi="Book Antiqua" w:cs="Book Antiqua"/>
          <w:color w:val="000000"/>
        </w:rPr>
        <w:t>)</w:t>
      </w:r>
      <w:r w:rsidR="00EE17A6">
        <w:rPr>
          <w:rFonts w:ascii="Book Antiqua" w:eastAsia="Book Antiqua" w:hAnsi="Book Antiqua" w:cs="Book Antiqua"/>
          <w:color w:val="000000"/>
        </w:rPr>
        <w:t>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C: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E17A6">
        <w:rPr>
          <w:rFonts w:ascii="Book Antiqua" w:eastAsia="Book Antiqua" w:hAnsi="Book Antiqua" w:cs="Book Antiqua"/>
          <w:color w:val="000000"/>
        </w:rPr>
        <w:t>S</w:t>
      </w:r>
      <w:r w:rsidRPr="00EE17A6">
        <w:rPr>
          <w:rFonts w:ascii="Book Antiqua" w:eastAsia="Book Antiqua" w:hAnsi="Book Antiqua" w:cs="Book Antiqua"/>
          <w:color w:val="000000"/>
        </w:rPr>
        <w:t>econdary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in-frame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deletion/insertion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excising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mutation-containing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gene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fragment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(</w:t>
      </w:r>
      <w:r w:rsidRPr="00EE17A6">
        <w:rPr>
          <w:rFonts w:ascii="Book Antiqua" w:eastAsia="Book Antiqua" w:hAnsi="Book Antiqua" w:cs="Book Antiqua"/>
          <w:i/>
          <w:iCs/>
          <w:color w:val="000000"/>
        </w:rPr>
        <w:t>BRCA2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c.5946delT;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example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E17A6">
        <w:rPr>
          <w:rFonts w:ascii="Book Antiqua" w:eastAsia="Book Antiqua" w:hAnsi="Book Antiqua" w:cs="Book Antiqua"/>
          <w:color w:val="000000"/>
        </w:rPr>
        <w:t>from</w:t>
      </w:r>
      <w:r w:rsidRPr="00EE17A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EE17A6">
        <w:rPr>
          <w:rFonts w:ascii="Book Antiqua" w:eastAsia="Book Antiqua" w:hAnsi="Book Antiqua" w:cs="Book Antiqua"/>
          <w:color w:val="000000"/>
        </w:rPr>
        <w:t>).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2F11B2" w:rsidRPr="00EE17A6">
        <w:rPr>
          <w:rFonts w:ascii="Book Antiqua" w:eastAsia="Book Antiqua" w:hAnsi="Book Antiqua" w:cs="Book Antiqua"/>
          <w:color w:val="000000"/>
        </w:rPr>
        <w:t>ORF: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2F11B2" w:rsidRPr="00EE17A6">
        <w:rPr>
          <w:rFonts w:ascii="Book Antiqua" w:eastAsia="Book Antiqua" w:hAnsi="Book Antiqua" w:cs="Book Antiqua"/>
          <w:color w:val="000000"/>
        </w:rPr>
        <w:t>Open-reading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2F11B2" w:rsidRPr="00EE17A6">
        <w:rPr>
          <w:rFonts w:ascii="Book Antiqua" w:eastAsia="Book Antiqua" w:hAnsi="Book Antiqua" w:cs="Book Antiqua"/>
          <w:color w:val="000000"/>
        </w:rPr>
        <w:t>frame.</w:t>
      </w:r>
      <w:r w:rsidR="00EE17A6">
        <w:rPr>
          <w:rFonts w:ascii="Book Antiqua" w:hAnsi="Book Antiqua"/>
        </w:rPr>
        <w:br w:type="page"/>
      </w:r>
      <w:r w:rsidR="002F11B2">
        <w:rPr>
          <w:rFonts w:ascii="Book Antiqua" w:hAnsi="Book Antiqua"/>
          <w:noProof/>
        </w:rPr>
        <w:lastRenderedPageBreak/>
        <w:drawing>
          <wp:inline distT="0" distB="0" distL="0" distR="0" wp14:anchorId="55F8F0B9" wp14:editId="4A37D1BB">
            <wp:extent cx="4355615" cy="22008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519" cy="220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1CF0D74" w14:textId="3CA88A1F" w:rsidR="00A77B3E" w:rsidRPr="00E33160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11B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2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pre-existing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BRCA1-proficient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platinum-based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therapy.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remaining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allele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observed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majority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forming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FE099D">
        <w:rPr>
          <w:rFonts w:ascii="Book Antiqua" w:eastAsia="Book Antiqua" w:hAnsi="Book Antiqua" w:cs="Book Antiqua"/>
          <w:color w:val="000000"/>
        </w:rPr>
        <w:t xml:space="preserve">; </w:t>
      </w:r>
      <w:r w:rsidRPr="00E33160">
        <w:rPr>
          <w:rFonts w:ascii="Book Antiqua" w:eastAsia="Book Antiqua" w:hAnsi="Book Antiqua" w:cs="Book Antiqua"/>
          <w:color w:val="000000"/>
        </w:rPr>
        <w:t>however</w:t>
      </w:r>
      <w:r w:rsidR="00FE099D">
        <w:rPr>
          <w:rFonts w:ascii="Book Antiqua" w:eastAsia="Book Antiqua" w:hAnsi="Book Antiqua" w:cs="Book Antiqua"/>
          <w:color w:val="000000"/>
        </w:rPr>
        <w:t>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even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chemonaive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BRCA1-driven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2F11B2" w:rsidRPr="002F11B2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2F11B2" w:rsidRPr="002F11B2">
        <w:rPr>
          <w:rFonts w:ascii="Book Antiqua" w:eastAsia="Book Antiqua" w:hAnsi="Book Antiqua" w:cs="Book Antiqua"/>
          <w:color w:val="000000"/>
        </w:rPr>
        <w:t>cancer</w:t>
      </w:r>
      <w:r w:rsidRPr="00E33160">
        <w:rPr>
          <w:rFonts w:ascii="Book Antiqua" w:eastAsia="Book Antiqua" w:hAnsi="Book Antiqua" w:cs="Book Antiqua"/>
          <w:color w:val="000000"/>
        </w:rPr>
        <w:t>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contain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small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fraction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transformed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retained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heterozygosity.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are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platinum-resistant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rapidly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repopulate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mass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neoadjuvant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for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During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platinum-free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interval,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which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occurs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after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completion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of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adjuvant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therapy,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these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BRCA1-proficient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become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outcompeted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cells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carrying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LOH.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Therefore,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ovarian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cancer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relapses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resemble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primary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tumors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with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regard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i/>
          <w:iCs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status,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as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demonstrate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again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BRCA1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deficiency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and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the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sensitivity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="00EE50A2">
        <w:rPr>
          <w:rFonts w:ascii="Book Antiqua" w:eastAsia="Book Antiqua" w:hAnsi="Book Antiqua" w:cs="Book Antiqua"/>
          <w:color w:val="000000"/>
        </w:rPr>
        <w:t>to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platinum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  <w:r w:rsidRPr="00E33160">
        <w:rPr>
          <w:rFonts w:ascii="Book Antiqua" w:eastAsia="Book Antiqua" w:hAnsi="Book Antiqua" w:cs="Book Antiqua"/>
          <w:color w:val="000000"/>
        </w:rPr>
        <w:t>com</w:t>
      </w:r>
      <w:r w:rsidRPr="00EE17A6">
        <w:rPr>
          <w:rFonts w:ascii="Book Antiqua" w:eastAsia="Book Antiqua" w:hAnsi="Book Antiqua" w:cs="Book Antiqua"/>
          <w:color w:val="000000"/>
        </w:rPr>
        <w:t>pounds.</w:t>
      </w:r>
      <w:r w:rsidR="00ED1590">
        <w:rPr>
          <w:rFonts w:ascii="Book Antiqua" w:eastAsia="Book Antiqua" w:hAnsi="Book Antiqua" w:cs="Book Antiqua"/>
          <w:color w:val="000000"/>
        </w:rPr>
        <w:t xml:space="preserve"> </w:t>
      </w:r>
    </w:p>
    <w:p w14:paraId="2F4406D0" w14:textId="3FC8A0E5" w:rsidR="00A77B3E" w:rsidRPr="00E33160" w:rsidRDefault="002F11B2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noProof/>
        </w:rPr>
        <w:lastRenderedPageBreak/>
        <w:drawing>
          <wp:inline distT="0" distB="0" distL="0" distR="0" wp14:anchorId="124E0009" wp14:editId="2D9BC6FC">
            <wp:extent cx="5536729" cy="290401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67" cy="2909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63426" w14:textId="7E4F508A" w:rsidR="00A77B3E" w:rsidRPr="002F11B2" w:rsidRDefault="00741601" w:rsidP="00490D4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F11B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3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acquired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resistance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BRCA1/2-driven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tumors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to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platinum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compounds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PARP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11B2">
        <w:rPr>
          <w:rFonts w:ascii="Book Antiqua" w:eastAsia="Book Antiqua" w:hAnsi="Book Antiqua" w:cs="Book Antiqua"/>
          <w:b/>
          <w:bCs/>
          <w:color w:val="000000"/>
        </w:rPr>
        <w:t>inhibitors.</w:t>
      </w:r>
      <w:r w:rsidR="00ED15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sectPr w:rsidR="00A77B3E" w:rsidRPr="002F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BAEE" w14:textId="77777777" w:rsidR="00C13F25" w:rsidRDefault="00C13F25" w:rsidP="00490D43">
      <w:r>
        <w:separator/>
      </w:r>
    </w:p>
  </w:endnote>
  <w:endnote w:type="continuationSeparator" w:id="0">
    <w:p w14:paraId="5614B3C4" w14:textId="77777777" w:rsidR="00C13F25" w:rsidRDefault="00C13F25" w:rsidP="0049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0998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D5FA50" w14:textId="05D428ED" w:rsidR="008B233D" w:rsidRPr="00B03D90" w:rsidRDefault="008B233D" w:rsidP="008B233D">
            <w:pPr>
              <w:pStyle w:val="Footer"/>
              <w:jc w:val="right"/>
            </w:pPr>
            <w:r w:rsidRPr="008B233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84D2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A84D26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03D9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84D2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A84D26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A84D2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82D11B3" w14:textId="77777777" w:rsidR="008B233D" w:rsidRDefault="008B2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C619" w14:textId="77777777" w:rsidR="00C13F25" w:rsidRDefault="00C13F25" w:rsidP="00490D43">
      <w:r>
        <w:separator/>
      </w:r>
    </w:p>
  </w:footnote>
  <w:footnote w:type="continuationSeparator" w:id="0">
    <w:p w14:paraId="0390B3EA" w14:textId="77777777" w:rsidR="00C13F25" w:rsidRDefault="00C13F25" w:rsidP="00490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34D1"/>
    <w:rsid w:val="00073349"/>
    <w:rsid w:val="00097FB5"/>
    <w:rsid w:val="00124205"/>
    <w:rsid w:val="001448D7"/>
    <w:rsid w:val="00254498"/>
    <w:rsid w:val="002F11B2"/>
    <w:rsid w:val="003076B7"/>
    <w:rsid w:val="0033493C"/>
    <w:rsid w:val="003417AB"/>
    <w:rsid w:val="00397C2F"/>
    <w:rsid w:val="00490D43"/>
    <w:rsid w:val="005A5F65"/>
    <w:rsid w:val="005F1535"/>
    <w:rsid w:val="00637788"/>
    <w:rsid w:val="00654A8D"/>
    <w:rsid w:val="0068030B"/>
    <w:rsid w:val="006B2AC1"/>
    <w:rsid w:val="006C4B64"/>
    <w:rsid w:val="00704F93"/>
    <w:rsid w:val="00741601"/>
    <w:rsid w:val="00777480"/>
    <w:rsid w:val="007959D0"/>
    <w:rsid w:val="008535FA"/>
    <w:rsid w:val="0086714D"/>
    <w:rsid w:val="008B233D"/>
    <w:rsid w:val="0096338E"/>
    <w:rsid w:val="009C1216"/>
    <w:rsid w:val="00A77B3E"/>
    <w:rsid w:val="00A84D26"/>
    <w:rsid w:val="00A878A6"/>
    <w:rsid w:val="00B03D90"/>
    <w:rsid w:val="00B263C2"/>
    <w:rsid w:val="00BA1CB5"/>
    <w:rsid w:val="00BB2362"/>
    <w:rsid w:val="00BB6537"/>
    <w:rsid w:val="00BC27B6"/>
    <w:rsid w:val="00C06044"/>
    <w:rsid w:val="00C13F25"/>
    <w:rsid w:val="00C91CBD"/>
    <w:rsid w:val="00C938CF"/>
    <w:rsid w:val="00CA2A55"/>
    <w:rsid w:val="00CC157F"/>
    <w:rsid w:val="00CE28CA"/>
    <w:rsid w:val="00D0219F"/>
    <w:rsid w:val="00D471B3"/>
    <w:rsid w:val="00D871D5"/>
    <w:rsid w:val="00DA5AD6"/>
    <w:rsid w:val="00DD31C7"/>
    <w:rsid w:val="00E33160"/>
    <w:rsid w:val="00E745EF"/>
    <w:rsid w:val="00E90D8D"/>
    <w:rsid w:val="00ED1590"/>
    <w:rsid w:val="00ED7559"/>
    <w:rsid w:val="00EE17A6"/>
    <w:rsid w:val="00EE50A2"/>
    <w:rsid w:val="00EF262E"/>
    <w:rsid w:val="00F10230"/>
    <w:rsid w:val="00F2351E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A21BE"/>
  <w15:docId w15:val="{59308D8A-A4BF-4D8B-B2B9-5DB4CE8E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0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90D4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0D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0D43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90D4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490D43"/>
  </w:style>
  <w:style w:type="character" w:customStyle="1" w:styleId="CommentTextChar">
    <w:name w:val="Comment Text Char"/>
    <w:basedOn w:val="DefaultParagraphFont"/>
    <w:link w:val="CommentText"/>
    <w:semiHidden/>
    <w:rsid w:val="00490D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D4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0D4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rsid w:val="00D87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71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8BE4-66B6-4E0F-9CAE-8CE45ECD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8089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Donna Fox</cp:lastModifiedBy>
  <cp:revision>2</cp:revision>
  <dcterms:created xsi:type="dcterms:W3CDTF">2021-06-13T20:59:00Z</dcterms:created>
  <dcterms:modified xsi:type="dcterms:W3CDTF">2021-06-13T20:59:00Z</dcterms:modified>
</cp:coreProperties>
</file>