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6A" w:rsidRPr="00260125" w:rsidRDefault="004C196A" w:rsidP="00260125">
      <w:pPr>
        <w:spacing w:after="0" w:line="360" w:lineRule="auto"/>
        <w:jc w:val="both"/>
        <w:rPr>
          <w:rFonts w:ascii="Book Antiqua" w:hAnsi="Book Antiqua"/>
          <w:b/>
          <w:sz w:val="24"/>
          <w:szCs w:val="24"/>
          <w:lang w:val="en-US" w:eastAsia="zh-CN"/>
        </w:rPr>
      </w:pPr>
      <w:r w:rsidRPr="00260125">
        <w:rPr>
          <w:rFonts w:ascii="Book Antiqua" w:hAnsi="Book Antiqua"/>
          <w:b/>
          <w:sz w:val="24"/>
          <w:szCs w:val="24"/>
          <w:lang w:val="en-US" w:eastAsia="zh-CN"/>
        </w:rPr>
        <w:t>Name of journal: World Journal of Gastroenterology</w:t>
      </w:r>
    </w:p>
    <w:p w:rsidR="004C196A" w:rsidRPr="00260125" w:rsidRDefault="004C196A" w:rsidP="00260125">
      <w:pPr>
        <w:spacing w:after="0" w:line="360" w:lineRule="auto"/>
        <w:jc w:val="both"/>
        <w:rPr>
          <w:rFonts w:ascii="Book Antiqua" w:hAnsi="Book Antiqua"/>
          <w:b/>
          <w:sz w:val="24"/>
          <w:szCs w:val="24"/>
          <w:lang w:val="en-US" w:eastAsia="zh-CN"/>
        </w:rPr>
      </w:pPr>
      <w:r w:rsidRPr="00260125">
        <w:rPr>
          <w:rFonts w:ascii="Book Antiqua" w:hAnsi="Book Antiqua"/>
          <w:b/>
          <w:sz w:val="24"/>
          <w:szCs w:val="24"/>
          <w:lang w:val="en-US" w:eastAsia="zh-CN"/>
        </w:rPr>
        <w:t>ESPS Manuscript NO: 6392</w:t>
      </w:r>
    </w:p>
    <w:p w:rsidR="004C196A" w:rsidRPr="00260125" w:rsidRDefault="004C196A" w:rsidP="00260125">
      <w:pPr>
        <w:spacing w:after="0" w:line="360" w:lineRule="auto"/>
        <w:jc w:val="both"/>
        <w:rPr>
          <w:rFonts w:ascii="Book Antiqua" w:hAnsi="Book Antiqua"/>
          <w:b/>
          <w:sz w:val="24"/>
          <w:szCs w:val="24"/>
          <w:lang w:val="en-US" w:eastAsia="zh-CN"/>
        </w:rPr>
      </w:pPr>
      <w:r w:rsidRPr="00260125">
        <w:rPr>
          <w:rFonts w:ascii="Book Antiqua" w:hAnsi="Book Antiqua"/>
          <w:b/>
          <w:sz w:val="24"/>
          <w:szCs w:val="24"/>
          <w:lang w:val="en-US" w:eastAsia="zh-CN"/>
        </w:rPr>
        <w:t>Columns:</w:t>
      </w:r>
      <w:r>
        <w:rPr>
          <w:rFonts w:ascii="Book Antiqua" w:hAnsi="Book Antiqua"/>
          <w:b/>
          <w:sz w:val="24"/>
          <w:szCs w:val="24"/>
          <w:lang w:val="en-US" w:eastAsia="zh-CN"/>
        </w:rPr>
        <w:t xml:space="preserve"> </w:t>
      </w:r>
      <w:r w:rsidRPr="00260125">
        <w:rPr>
          <w:rFonts w:ascii="Book Antiqua" w:hAnsi="Book Antiqua"/>
          <w:b/>
          <w:sz w:val="24"/>
          <w:szCs w:val="24"/>
          <w:lang w:val="en-US" w:eastAsia="zh-CN"/>
        </w:rPr>
        <w:t>TOPIC HIGHLIGHTS</w:t>
      </w:r>
    </w:p>
    <w:p w:rsidR="004C196A" w:rsidRPr="00260125" w:rsidRDefault="004C196A" w:rsidP="00260125">
      <w:pPr>
        <w:spacing w:after="0" w:line="360" w:lineRule="auto"/>
        <w:jc w:val="both"/>
        <w:rPr>
          <w:rFonts w:ascii="Book Antiqua" w:hAnsi="Book Antiqua"/>
          <w:b/>
          <w:sz w:val="24"/>
          <w:szCs w:val="24"/>
          <w:lang w:val="en-US" w:eastAsia="zh-CN"/>
        </w:rPr>
      </w:pPr>
    </w:p>
    <w:p w:rsidR="004C196A" w:rsidRPr="00B0503E" w:rsidRDefault="004C196A" w:rsidP="00F16745">
      <w:pPr>
        <w:spacing w:line="360" w:lineRule="auto"/>
        <w:rPr>
          <w:rFonts w:ascii="Book Antiqua" w:hAnsi="Book Antiqua"/>
          <w:color w:val="000000"/>
          <w:sz w:val="24"/>
        </w:rPr>
      </w:pPr>
      <w:r w:rsidRPr="00B0503E">
        <w:rPr>
          <w:rFonts w:ascii="Book Antiqua" w:hAnsi="Book Antiqua" w:cs="TwCenMT-Bold"/>
          <w:bCs/>
          <w:sz w:val="24"/>
        </w:rPr>
        <w:t xml:space="preserve">WJG 20th </w:t>
      </w:r>
      <w:proofErr w:type="spellStart"/>
      <w:r w:rsidRPr="00B0503E">
        <w:rPr>
          <w:rFonts w:ascii="Book Antiqua" w:hAnsi="Book Antiqua" w:cs="TwCenMT-Bold"/>
          <w:bCs/>
          <w:sz w:val="24"/>
        </w:rPr>
        <w:t>Anniversary</w:t>
      </w:r>
      <w:proofErr w:type="spellEnd"/>
      <w:r w:rsidRPr="00B0503E">
        <w:rPr>
          <w:rFonts w:ascii="Book Antiqua" w:hAnsi="Book Antiqua" w:cs="TwCenMT-Bold"/>
          <w:bCs/>
          <w:sz w:val="24"/>
        </w:rPr>
        <w:t xml:space="preserve"> </w:t>
      </w:r>
      <w:proofErr w:type="spellStart"/>
      <w:r w:rsidRPr="00B0503E">
        <w:rPr>
          <w:rFonts w:ascii="Book Antiqua" w:hAnsi="Book Antiqua" w:cs="TwCenMT-Bold"/>
          <w:bCs/>
          <w:sz w:val="24"/>
        </w:rPr>
        <w:t>Special</w:t>
      </w:r>
      <w:proofErr w:type="spellEnd"/>
      <w:r w:rsidRPr="00B0503E">
        <w:rPr>
          <w:rFonts w:ascii="Book Antiqua" w:hAnsi="Book Antiqua" w:cs="TwCenMT-Bold"/>
          <w:bCs/>
          <w:sz w:val="24"/>
        </w:rPr>
        <w:t xml:space="preserve"> </w:t>
      </w:r>
      <w:proofErr w:type="spellStart"/>
      <w:r w:rsidRPr="00B0503E">
        <w:rPr>
          <w:rFonts w:ascii="Book Antiqua" w:hAnsi="Book Antiqua" w:cs="TwCenMT-Bold"/>
          <w:bCs/>
          <w:sz w:val="24"/>
        </w:rPr>
        <w:t>Issues</w:t>
      </w:r>
      <w:proofErr w:type="spellEnd"/>
      <w:r w:rsidRPr="00B0503E">
        <w:rPr>
          <w:rFonts w:ascii="Book Antiqua" w:hAnsi="Book Antiqua"/>
          <w:color w:val="000000"/>
          <w:sz w:val="24"/>
        </w:rPr>
        <w:t xml:space="preserve"> (9): Hepatitis B virus</w:t>
      </w:r>
    </w:p>
    <w:p w:rsidR="004C196A" w:rsidRPr="00F16745" w:rsidRDefault="004C196A" w:rsidP="00260125">
      <w:pPr>
        <w:spacing w:after="0" w:line="360" w:lineRule="auto"/>
        <w:jc w:val="both"/>
        <w:rPr>
          <w:rFonts w:ascii="Book Antiqua" w:hAnsi="Book Antiqua"/>
          <w:b/>
          <w:sz w:val="24"/>
          <w:szCs w:val="24"/>
          <w:lang w:eastAsia="zh-CN"/>
        </w:rPr>
      </w:pPr>
    </w:p>
    <w:p w:rsidR="004C196A" w:rsidRPr="00260125" w:rsidRDefault="004C196A" w:rsidP="00260125">
      <w:pPr>
        <w:spacing w:after="0" w:line="360" w:lineRule="auto"/>
        <w:jc w:val="both"/>
        <w:rPr>
          <w:rFonts w:ascii="Book Antiqua" w:hAnsi="Book Antiqua"/>
          <w:b/>
          <w:sz w:val="24"/>
          <w:szCs w:val="24"/>
          <w:lang w:val="en-US"/>
        </w:rPr>
      </w:pPr>
      <w:r w:rsidRPr="00260125">
        <w:rPr>
          <w:rFonts w:ascii="Book Antiqua" w:hAnsi="Book Antiqua"/>
          <w:b/>
          <w:sz w:val="24"/>
          <w:szCs w:val="24"/>
          <w:lang w:val="en-US"/>
        </w:rPr>
        <w:t xml:space="preserve">Treatment of chronic hepatitis B in clinical practice with </w:t>
      </w:r>
      <w:proofErr w:type="spellStart"/>
      <w:r w:rsidRPr="00260125">
        <w:rPr>
          <w:rFonts w:ascii="Book Antiqua" w:hAnsi="Book Antiqua"/>
          <w:b/>
          <w:sz w:val="24"/>
          <w:szCs w:val="24"/>
          <w:lang w:val="en-US"/>
        </w:rPr>
        <w:t>entecavir</w:t>
      </w:r>
      <w:proofErr w:type="spellEnd"/>
      <w:r w:rsidRPr="00260125">
        <w:rPr>
          <w:rFonts w:ascii="Book Antiqua" w:hAnsi="Book Antiqua"/>
          <w:b/>
          <w:sz w:val="24"/>
          <w:szCs w:val="24"/>
          <w:lang w:val="en-US"/>
        </w:rPr>
        <w:t xml:space="preserve"> or </w:t>
      </w:r>
      <w:proofErr w:type="spellStart"/>
      <w:r w:rsidRPr="00260125">
        <w:rPr>
          <w:rFonts w:ascii="Book Antiqua" w:hAnsi="Book Antiqua"/>
          <w:b/>
          <w:sz w:val="24"/>
          <w:szCs w:val="24"/>
          <w:lang w:val="en-US"/>
        </w:rPr>
        <w:t>tenofovir</w:t>
      </w:r>
      <w:proofErr w:type="spellEnd"/>
    </w:p>
    <w:p w:rsidR="004C196A" w:rsidRPr="00092706" w:rsidRDefault="004C196A" w:rsidP="00260125">
      <w:pPr>
        <w:spacing w:after="0" w:line="360" w:lineRule="auto"/>
        <w:jc w:val="both"/>
        <w:rPr>
          <w:rFonts w:ascii="Book Antiqua" w:hAnsi="Book Antiqua"/>
          <w:sz w:val="24"/>
          <w:szCs w:val="24"/>
          <w:lang w:val="en-US" w:eastAsia="zh-CN"/>
        </w:rPr>
      </w:pPr>
    </w:p>
    <w:p w:rsidR="004C196A" w:rsidRPr="00260125" w:rsidRDefault="004C196A" w:rsidP="00260125">
      <w:pPr>
        <w:spacing w:after="0" w:line="360" w:lineRule="auto"/>
        <w:jc w:val="both"/>
        <w:rPr>
          <w:rFonts w:ascii="Book Antiqua" w:hAnsi="Book Antiqua"/>
          <w:caps/>
          <w:sz w:val="24"/>
          <w:szCs w:val="24"/>
          <w:lang w:val="en-US" w:eastAsia="zh-CN"/>
        </w:rPr>
      </w:pPr>
      <w:proofErr w:type="spellStart"/>
      <w:r w:rsidRPr="00092706">
        <w:rPr>
          <w:rFonts w:ascii="Book Antiqua" w:hAnsi="Book Antiqua"/>
          <w:sz w:val="24"/>
          <w:szCs w:val="24"/>
          <w:lang w:val="en-US"/>
        </w:rPr>
        <w:t>Ridruejo</w:t>
      </w:r>
      <w:proofErr w:type="spellEnd"/>
      <w:r w:rsidRPr="00260125">
        <w:rPr>
          <w:rFonts w:ascii="Book Antiqua" w:hAnsi="Book Antiqua"/>
          <w:sz w:val="24"/>
          <w:szCs w:val="24"/>
          <w:lang w:val="en-US" w:eastAsia="zh-CN"/>
        </w:rPr>
        <w:t xml:space="preserve"> E. ETV and TDF in clinical practice</w:t>
      </w:r>
    </w:p>
    <w:p w:rsidR="004C196A" w:rsidRPr="00092706" w:rsidRDefault="004C196A" w:rsidP="00260125">
      <w:pPr>
        <w:spacing w:after="0" w:line="360" w:lineRule="auto"/>
        <w:jc w:val="both"/>
        <w:rPr>
          <w:rFonts w:ascii="Book Antiqua" w:hAnsi="Book Antiqua"/>
          <w:caps/>
          <w:sz w:val="24"/>
          <w:szCs w:val="24"/>
          <w:lang w:val="en-US" w:eastAsia="zh-CN"/>
        </w:rPr>
      </w:pPr>
    </w:p>
    <w:p w:rsidR="004C196A" w:rsidRPr="00260125" w:rsidRDefault="004C196A" w:rsidP="00260125">
      <w:pPr>
        <w:spacing w:after="0" w:line="360" w:lineRule="auto"/>
        <w:jc w:val="both"/>
        <w:rPr>
          <w:rFonts w:ascii="Book Antiqua" w:hAnsi="Book Antiqua"/>
          <w:sz w:val="24"/>
          <w:szCs w:val="24"/>
          <w:lang w:eastAsia="zh-CN"/>
        </w:rPr>
      </w:pPr>
      <w:r w:rsidRPr="00260125">
        <w:rPr>
          <w:rFonts w:ascii="Book Antiqua" w:hAnsi="Book Antiqua"/>
          <w:caps/>
          <w:sz w:val="24"/>
          <w:szCs w:val="24"/>
        </w:rPr>
        <w:t>E</w:t>
      </w:r>
      <w:r w:rsidRPr="00260125">
        <w:rPr>
          <w:rFonts w:ascii="Book Antiqua" w:hAnsi="Book Antiqua"/>
          <w:sz w:val="24"/>
          <w:szCs w:val="24"/>
        </w:rPr>
        <w:t xml:space="preserve">zequiel </w:t>
      </w:r>
      <w:bookmarkStart w:id="0" w:name="OLE_LINK30"/>
      <w:bookmarkStart w:id="1" w:name="OLE_LINK31"/>
      <w:r w:rsidRPr="00260125">
        <w:rPr>
          <w:rFonts w:ascii="Book Antiqua" w:hAnsi="Book Antiqua"/>
          <w:sz w:val="24"/>
          <w:szCs w:val="24"/>
        </w:rPr>
        <w:t>Ridruejo</w:t>
      </w:r>
      <w:bookmarkEnd w:id="0"/>
      <w:bookmarkEnd w:id="1"/>
    </w:p>
    <w:p w:rsidR="004C196A" w:rsidRPr="00260125" w:rsidRDefault="004C196A" w:rsidP="00260125">
      <w:pPr>
        <w:spacing w:after="0" w:line="360" w:lineRule="auto"/>
        <w:jc w:val="both"/>
        <w:rPr>
          <w:rFonts w:ascii="Book Antiqua" w:hAnsi="Book Antiqua"/>
          <w:caps/>
          <w:sz w:val="24"/>
          <w:szCs w:val="24"/>
          <w:lang w:eastAsia="zh-CN"/>
        </w:rPr>
      </w:pPr>
    </w:p>
    <w:p w:rsidR="004C196A" w:rsidRPr="00260125" w:rsidRDefault="004C196A" w:rsidP="00260125">
      <w:pPr>
        <w:spacing w:after="0" w:line="360" w:lineRule="auto"/>
        <w:jc w:val="both"/>
        <w:rPr>
          <w:rFonts w:ascii="Book Antiqua" w:hAnsi="Book Antiqua"/>
          <w:sz w:val="24"/>
          <w:szCs w:val="24"/>
          <w:lang w:eastAsia="zh-CN"/>
        </w:rPr>
      </w:pPr>
      <w:r w:rsidRPr="00260125">
        <w:rPr>
          <w:rFonts w:ascii="Book Antiqua" w:hAnsi="Book Antiqua"/>
          <w:b/>
          <w:caps/>
          <w:sz w:val="24"/>
          <w:szCs w:val="24"/>
        </w:rPr>
        <w:t>E</w:t>
      </w:r>
      <w:r w:rsidRPr="00260125">
        <w:rPr>
          <w:rFonts w:ascii="Book Antiqua" w:hAnsi="Book Antiqua"/>
          <w:b/>
          <w:sz w:val="24"/>
          <w:szCs w:val="24"/>
        </w:rPr>
        <w:t>zequiel Ridruejo</w:t>
      </w:r>
      <w:r w:rsidRPr="00260125">
        <w:rPr>
          <w:rFonts w:ascii="Book Antiqua" w:hAnsi="Book Antiqua"/>
          <w:b/>
          <w:sz w:val="24"/>
          <w:szCs w:val="24"/>
          <w:lang w:eastAsia="zh-CN"/>
        </w:rPr>
        <w:t>,</w:t>
      </w:r>
      <w:r>
        <w:rPr>
          <w:rFonts w:ascii="Book Antiqua" w:hAnsi="Book Antiqua"/>
          <w:b/>
          <w:sz w:val="24"/>
          <w:szCs w:val="24"/>
          <w:lang w:eastAsia="zh-CN"/>
        </w:rPr>
        <w:t xml:space="preserve"> </w:t>
      </w:r>
      <w:proofErr w:type="spellStart"/>
      <w:r w:rsidRPr="00260125">
        <w:rPr>
          <w:rFonts w:ascii="Book Antiqua" w:hAnsi="Book Antiqua"/>
          <w:sz w:val="24"/>
          <w:szCs w:val="24"/>
        </w:rPr>
        <w:t>Hepatology</w:t>
      </w:r>
      <w:proofErr w:type="spellEnd"/>
      <w:r w:rsidRPr="00260125">
        <w:rPr>
          <w:rFonts w:ascii="Book Antiqua" w:hAnsi="Book Antiqua"/>
          <w:sz w:val="24"/>
          <w:szCs w:val="24"/>
        </w:rPr>
        <w:t xml:space="preserve"> </w:t>
      </w:r>
      <w:proofErr w:type="spellStart"/>
      <w:r w:rsidRPr="00260125">
        <w:rPr>
          <w:rFonts w:ascii="Book Antiqua" w:hAnsi="Book Antiqua"/>
          <w:sz w:val="24"/>
          <w:szCs w:val="24"/>
        </w:rPr>
        <w:t>Section</w:t>
      </w:r>
      <w:proofErr w:type="spellEnd"/>
      <w:r w:rsidRPr="00260125">
        <w:rPr>
          <w:rFonts w:ascii="Book Antiqua" w:hAnsi="Book Antiqua"/>
          <w:sz w:val="24"/>
          <w:szCs w:val="24"/>
        </w:rPr>
        <w:t xml:space="preserve">, </w:t>
      </w:r>
      <w:proofErr w:type="spellStart"/>
      <w:r w:rsidRPr="00260125">
        <w:rPr>
          <w:rFonts w:ascii="Book Antiqua" w:hAnsi="Book Antiqua"/>
          <w:sz w:val="24"/>
          <w:szCs w:val="24"/>
        </w:rPr>
        <w:t>Departament</w:t>
      </w:r>
      <w:proofErr w:type="spellEnd"/>
      <w:r w:rsidRPr="00260125">
        <w:rPr>
          <w:rFonts w:ascii="Book Antiqua" w:hAnsi="Book Antiqua"/>
          <w:sz w:val="24"/>
          <w:szCs w:val="24"/>
        </w:rPr>
        <w:t xml:space="preserve"> of Medicine, Centro de Educación Médica e Investigaciones Clínicas Norberto </w:t>
      </w:r>
      <w:proofErr w:type="spellStart"/>
      <w:r w:rsidRPr="00260125">
        <w:rPr>
          <w:rFonts w:ascii="Book Antiqua" w:hAnsi="Book Antiqua"/>
          <w:sz w:val="24"/>
          <w:szCs w:val="24"/>
        </w:rPr>
        <w:t>Quirno</w:t>
      </w:r>
      <w:proofErr w:type="spellEnd"/>
      <w:r w:rsidRPr="00260125">
        <w:rPr>
          <w:rFonts w:ascii="Book Antiqua" w:hAnsi="Book Antiqua"/>
          <w:sz w:val="24"/>
          <w:szCs w:val="24"/>
        </w:rPr>
        <w:t xml:space="preserve"> “CEMIC”</w:t>
      </w:r>
      <w:r w:rsidRPr="00260125">
        <w:rPr>
          <w:rFonts w:ascii="Book Antiqua" w:hAnsi="Book Antiqua"/>
          <w:sz w:val="24"/>
          <w:szCs w:val="24"/>
          <w:lang w:eastAsia="zh-CN"/>
        </w:rPr>
        <w:t>,</w:t>
      </w:r>
      <w:r w:rsidRPr="00260125">
        <w:rPr>
          <w:rFonts w:ascii="Book Antiqua" w:hAnsi="Book Antiqua"/>
          <w:sz w:val="24"/>
          <w:szCs w:val="24"/>
        </w:rPr>
        <w:t xml:space="preserve"> Ciudad Autónoma de Buenos Aires, Buenos Aires</w:t>
      </w:r>
      <w:r>
        <w:rPr>
          <w:rFonts w:ascii="Book Antiqua" w:hAnsi="Book Antiqua"/>
          <w:sz w:val="24"/>
          <w:szCs w:val="24"/>
          <w:lang w:eastAsia="zh-CN"/>
        </w:rPr>
        <w:t xml:space="preserve"> </w:t>
      </w:r>
      <w:r w:rsidRPr="00260125">
        <w:rPr>
          <w:rFonts w:ascii="Book Antiqua" w:hAnsi="Book Antiqua"/>
          <w:sz w:val="24"/>
          <w:szCs w:val="24"/>
        </w:rPr>
        <w:t>C1425ASG,</w:t>
      </w:r>
      <w:r>
        <w:rPr>
          <w:rFonts w:ascii="Book Antiqua" w:hAnsi="Book Antiqua"/>
          <w:sz w:val="24"/>
          <w:szCs w:val="24"/>
          <w:lang w:eastAsia="zh-CN"/>
        </w:rPr>
        <w:t xml:space="preserve"> </w:t>
      </w:r>
      <w:r w:rsidRPr="00260125">
        <w:rPr>
          <w:rFonts w:ascii="Book Antiqua" w:hAnsi="Book Antiqua"/>
          <w:sz w:val="24"/>
          <w:szCs w:val="24"/>
        </w:rPr>
        <w:t>Argentina</w:t>
      </w:r>
    </w:p>
    <w:p w:rsidR="004C196A" w:rsidRPr="00260125" w:rsidRDefault="004C196A" w:rsidP="00260125">
      <w:pPr>
        <w:spacing w:after="0" w:line="360" w:lineRule="auto"/>
        <w:jc w:val="both"/>
        <w:rPr>
          <w:rFonts w:ascii="Book Antiqua" w:hAnsi="Book Antiqua"/>
          <w:caps/>
          <w:sz w:val="24"/>
          <w:szCs w:val="24"/>
          <w:lang w:eastAsia="zh-CN"/>
        </w:rPr>
      </w:pPr>
    </w:p>
    <w:p w:rsidR="004C196A" w:rsidRPr="00092706" w:rsidRDefault="004C196A" w:rsidP="00260125">
      <w:pPr>
        <w:spacing w:after="0" w:line="360" w:lineRule="auto"/>
        <w:jc w:val="both"/>
        <w:rPr>
          <w:rFonts w:ascii="Book Antiqua" w:hAnsi="Book Antiqua"/>
          <w:sz w:val="24"/>
          <w:szCs w:val="24"/>
          <w:lang w:val="en-US" w:eastAsia="zh-CN"/>
        </w:rPr>
      </w:pPr>
      <w:r w:rsidRPr="00260125">
        <w:rPr>
          <w:rFonts w:ascii="Book Antiqua" w:hAnsi="Book Antiqua"/>
          <w:b/>
          <w:caps/>
          <w:sz w:val="24"/>
          <w:szCs w:val="24"/>
          <w:lang w:val="en-US"/>
        </w:rPr>
        <w:t>E</w:t>
      </w:r>
      <w:r w:rsidRPr="00260125">
        <w:rPr>
          <w:rFonts w:ascii="Book Antiqua" w:hAnsi="Book Antiqua"/>
          <w:b/>
          <w:sz w:val="24"/>
          <w:szCs w:val="24"/>
          <w:lang w:val="en-US"/>
        </w:rPr>
        <w:t xml:space="preserve">zequiel </w:t>
      </w:r>
      <w:proofErr w:type="spellStart"/>
      <w:r w:rsidRPr="00260125">
        <w:rPr>
          <w:rFonts w:ascii="Book Antiqua" w:hAnsi="Book Antiqua"/>
          <w:b/>
          <w:sz w:val="24"/>
          <w:szCs w:val="24"/>
          <w:lang w:val="en-US"/>
        </w:rPr>
        <w:t>Ridruejo</w:t>
      </w:r>
      <w:proofErr w:type="spellEnd"/>
      <w:r w:rsidRPr="00260125">
        <w:rPr>
          <w:rFonts w:ascii="Book Antiqua" w:hAnsi="Book Antiqua"/>
          <w:b/>
          <w:sz w:val="24"/>
          <w:szCs w:val="24"/>
          <w:lang w:val="en-US" w:eastAsia="zh-CN"/>
        </w:rPr>
        <w:t>,</w:t>
      </w:r>
      <w:r>
        <w:rPr>
          <w:rFonts w:ascii="Book Antiqua" w:hAnsi="Book Antiqua"/>
          <w:b/>
          <w:sz w:val="24"/>
          <w:szCs w:val="24"/>
          <w:lang w:val="en-US" w:eastAsia="zh-CN"/>
        </w:rPr>
        <w:t xml:space="preserve"> </w:t>
      </w:r>
      <w:proofErr w:type="spellStart"/>
      <w:r w:rsidRPr="00260125">
        <w:rPr>
          <w:rFonts w:ascii="Book Antiqua" w:hAnsi="Book Antiqua"/>
          <w:sz w:val="24"/>
          <w:szCs w:val="24"/>
          <w:lang w:val="en-US"/>
        </w:rPr>
        <w:t>Hepatology</w:t>
      </w:r>
      <w:proofErr w:type="spellEnd"/>
      <w:r w:rsidRPr="00260125">
        <w:rPr>
          <w:rFonts w:ascii="Book Antiqua" w:hAnsi="Book Antiqua"/>
          <w:sz w:val="24"/>
          <w:szCs w:val="24"/>
          <w:lang w:val="en-US"/>
        </w:rPr>
        <w:t xml:space="preserve"> and Liver Transplant Unit, Hospital </w:t>
      </w:r>
      <w:proofErr w:type="spellStart"/>
      <w:r w:rsidRPr="00260125">
        <w:rPr>
          <w:rFonts w:ascii="Book Antiqua" w:hAnsi="Book Antiqua"/>
          <w:sz w:val="24"/>
          <w:szCs w:val="24"/>
          <w:lang w:val="en-US"/>
        </w:rPr>
        <w:t>Universitario</w:t>
      </w:r>
      <w:proofErr w:type="spellEnd"/>
      <w:r w:rsidRPr="00260125">
        <w:rPr>
          <w:rFonts w:ascii="Book Antiqua" w:hAnsi="Book Antiqua"/>
          <w:sz w:val="24"/>
          <w:szCs w:val="24"/>
          <w:lang w:val="en-US"/>
        </w:rPr>
        <w:t xml:space="preserve"> Austral</w:t>
      </w:r>
      <w:r w:rsidRPr="00260125">
        <w:rPr>
          <w:rFonts w:ascii="Book Antiqua" w:hAnsi="Book Antiqua"/>
          <w:sz w:val="24"/>
          <w:szCs w:val="24"/>
          <w:lang w:val="en-US" w:eastAsia="zh-CN"/>
        </w:rPr>
        <w:t>,</w:t>
      </w:r>
      <w:r>
        <w:rPr>
          <w:rFonts w:ascii="Book Antiqua" w:hAnsi="Book Antiqua"/>
          <w:sz w:val="24"/>
          <w:szCs w:val="24"/>
          <w:lang w:val="en-US" w:eastAsia="zh-CN"/>
        </w:rPr>
        <w:t xml:space="preserve"> </w:t>
      </w:r>
      <w:proofErr w:type="spellStart"/>
      <w:r w:rsidRPr="00092706">
        <w:rPr>
          <w:rFonts w:ascii="Book Antiqua" w:hAnsi="Book Antiqua"/>
          <w:sz w:val="24"/>
          <w:szCs w:val="24"/>
          <w:lang w:val="en-US"/>
        </w:rPr>
        <w:t>Pilar</w:t>
      </w:r>
      <w:proofErr w:type="spellEnd"/>
      <w:r w:rsidRPr="00092706">
        <w:rPr>
          <w:rFonts w:ascii="Book Antiqua" w:hAnsi="Book Antiqua"/>
          <w:sz w:val="24"/>
          <w:szCs w:val="24"/>
          <w:lang w:val="en-US"/>
        </w:rPr>
        <w:t xml:space="preserve">, </w:t>
      </w:r>
      <w:proofErr w:type="spellStart"/>
      <w:r w:rsidRPr="00092706">
        <w:rPr>
          <w:rFonts w:ascii="Book Antiqua" w:hAnsi="Book Antiqua"/>
          <w:sz w:val="24"/>
          <w:szCs w:val="24"/>
          <w:lang w:val="en-US"/>
        </w:rPr>
        <w:t>Provincia</w:t>
      </w:r>
      <w:proofErr w:type="spellEnd"/>
      <w:r w:rsidRPr="00092706">
        <w:rPr>
          <w:rFonts w:ascii="Book Antiqua" w:hAnsi="Book Antiqua"/>
          <w:sz w:val="24"/>
          <w:szCs w:val="24"/>
          <w:lang w:val="en-US"/>
        </w:rPr>
        <w:t xml:space="preserve"> de Buenos Aires, Buenos Aires</w:t>
      </w:r>
      <w:r>
        <w:rPr>
          <w:rFonts w:ascii="Book Antiqua" w:hAnsi="Book Antiqua"/>
          <w:sz w:val="24"/>
          <w:szCs w:val="24"/>
          <w:lang w:val="en-US" w:eastAsia="zh-CN"/>
        </w:rPr>
        <w:t xml:space="preserve"> </w:t>
      </w:r>
      <w:r w:rsidRPr="00092706">
        <w:rPr>
          <w:rFonts w:ascii="Book Antiqua" w:hAnsi="Book Antiqua"/>
          <w:sz w:val="24"/>
          <w:szCs w:val="24"/>
          <w:lang w:val="en-US"/>
        </w:rPr>
        <w:t>C1425ASG,</w:t>
      </w:r>
      <w:r>
        <w:rPr>
          <w:rFonts w:ascii="Book Antiqua" w:hAnsi="Book Antiqua"/>
          <w:sz w:val="24"/>
          <w:szCs w:val="24"/>
          <w:lang w:val="en-US" w:eastAsia="zh-CN"/>
        </w:rPr>
        <w:t xml:space="preserve"> </w:t>
      </w:r>
      <w:r w:rsidRPr="00092706">
        <w:rPr>
          <w:rFonts w:ascii="Book Antiqua" w:hAnsi="Book Antiqua"/>
          <w:sz w:val="24"/>
          <w:szCs w:val="24"/>
          <w:lang w:val="en-US"/>
        </w:rPr>
        <w:t>Argentina</w:t>
      </w:r>
    </w:p>
    <w:p w:rsidR="004C196A" w:rsidRPr="00092706" w:rsidRDefault="004C196A" w:rsidP="00260125">
      <w:pPr>
        <w:spacing w:after="0" w:line="360" w:lineRule="auto"/>
        <w:jc w:val="both"/>
        <w:rPr>
          <w:rFonts w:ascii="Book Antiqua" w:hAnsi="Book Antiqua"/>
          <w:sz w:val="24"/>
          <w:szCs w:val="24"/>
          <w:lang w:val="en-US" w:eastAsia="zh-CN"/>
        </w:rPr>
      </w:pPr>
    </w:p>
    <w:p w:rsidR="004C196A" w:rsidRPr="00260125" w:rsidRDefault="004C196A" w:rsidP="00260125">
      <w:pPr>
        <w:spacing w:after="0" w:line="360" w:lineRule="auto"/>
        <w:jc w:val="both"/>
        <w:rPr>
          <w:rFonts w:ascii="Book Antiqua" w:hAnsi="Book Antiqua"/>
          <w:color w:val="000000"/>
          <w:sz w:val="24"/>
          <w:szCs w:val="24"/>
          <w:lang w:val="en-US" w:eastAsia="zh-CN"/>
        </w:rPr>
      </w:pPr>
      <w:r w:rsidRPr="00260125">
        <w:rPr>
          <w:rFonts w:ascii="Book Antiqua" w:hAnsi="Book Antiqua"/>
          <w:b/>
          <w:sz w:val="24"/>
          <w:szCs w:val="24"/>
          <w:lang w:val="en-US" w:eastAsia="zh-CN"/>
        </w:rPr>
        <w:t>Author contributions:</w:t>
      </w:r>
      <w:r>
        <w:rPr>
          <w:rFonts w:ascii="Book Antiqua" w:hAnsi="Book Antiqua"/>
          <w:b/>
          <w:sz w:val="24"/>
          <w:szCs w:val="24"/>
          <w:lang w:val="en-US" w:eastAsia="zh-CN"/>
        </w:rPr>
        <w:t xml:space="preserve"> </w:t>
      </w:r>
      <w:proofErr w:type="spellStart"/>
      <w:r w:rsidRPr="00260125">
        <w:rPr>
          <w:rFonts w:ascii="Book Antiqua" w:hAnsi="Book Antiqua"/>
          <w:sz w:val="24"/>
          <w:szCs w:val="24"/>
          <w:lang w:val="en-US" w:eastAsia="zh-CN"/>
        </w:rPr>
        <w:t>Ridruejo</w:t>
      </w:r>
      <w:proofErr w:type="spellEnd"/>
      <w:r w:rsidRPr="00260125">
        <w:rPr>
          <w:rFonts w:ascii="Book Antiqua" w:hAnsi="Book Antiqua"/>
          <w:sz w:val="24"/>
          <w:szCs w:val="24"/>
          <w:lang w:val="en-US" w:eastAsia="zh-CN"/>
        </w:rPr>
        <w:t xml:space="preserve"> E</w:t>
      </w:r>
      <w:r>
        <w:rPr>
          <w:rFonts w:ascii="Book Antiqua" w:hAnsi="Book Antiqua"/>
          <w:sz w:val="24"/>
          <w:szCs w:val="24"/>
          <w:lang w:val="en-US" w:eastAsia="zh-CN"/>
        </w:rPr>
        <w:t xml:space="preserve"> </w:t>
      </w:r>
      <w:r w:rsidRPr="00260125">
        <w:rPr>
          <w:rFonts w:ascii="Book Antiqua" w:hAnsi="Book Antiqua"/>
          <w:color w:val="000000"/>
          <w:sz w:val="24"/>
          <w:szCs w:val="24"/>
          <w:lang w:val="en-US"/>
        </w:rPr>
        <w:t>analyzed all the data and wrote the paper.</w:t>
      </w:r>
    </w:p>
    <w:p w:rsidR="004C196A" w:rsidRPr="00260125" w:rsidRDefault="004C196A" w:rsidP="00260125">
      <w:pPr>
        <w:spacing w:after="0" w:line="360" w:lineRule="auto"/>
        <w:jc w:val="both"/>
        <w:rPr>
          <w:rFonts w:ascii="Book Antiqua" w:hAnsi="Book Antiqua"/>
          <w:sz w:val="24"/>
          <w:szCs w:val="24"/>
          <w:lang w:val="en-US" w:eastAsia="zh-CN"/>
        </w:rPr>
      </w:pPr>
    </w:p>
    <w:p w:rsidR="004C196A" w:rsidRPr="00260125" w:rsidRDefault="004C196A" w:rsidP="00260125">
      <w:pPr>
        <w:spacing w:after="0" w:line="360" w:lineRule="auto"/>
        <w:jc w:val="both"/>
        <w:rPr>
          <w:rFonts w:ascii="Book Antiqua" w:hAnsi="Book Antiqua"/>
          <w:sz w:val="24"/>
          <w:szCs w:val="24"/>
          <w:lang w:eastAsia="zh-CN"/>
        </w:rPr>
      </w:pPr>
      <w:proofErr w:type="spellStart"/>
      <w:r w:rsidRPr="00882B9D">
        <w:rPr>
          <w:rFonts w:ascii="Book Antiqua" w:hAnsi="Book Antiqua"/>
          <w:b/>
          <w:sz w:val="24"/>
          <w:szCs w:val="24"/>
        </w:rPr>
        <w:t>Correspondence</w:t>
      </w:r>
      <w:proofErr w:type="spellEnd"/>
      <w:r w:rsidRPr="00882B9D">
        <w:rPr>
          <w:rFonts w:ascii="Book Antiqua" w:hAnsi="Book Antiqua"/>
          <w:b/>
          <w:sz w:val="24"/>
          <w:szCs w:val="24"/>
        </w:rPr>
        <w:t xml:space="preserve"> to:</w:t>
      </w:r>
      <w:r>
        <w:rPr>
          <w:rFonts w:ascii="Book Antiqua" w:hAnsi="Book Antiqua"/>
          <w:b/>
          <w:sz w:val="24"/>
          <w:szCs w:val="24"/>
          <w:lang w:eastAsia="zh-CN"/>
        </w:rPr>
        <w:t xml:space="preserve"> </w:t>
      </w:r>
      <w:r w:rsidRPr="00260125">
        <w:rPr>
          <w:rFonts w:ascii="Book Antiqua" w:hAnsi="Book Antiqua"/>
          <w:b/>
          <w:sz w:val="24"/>
          <w:szCs w:val="24"/>
        </w:rPr>
        <w:t>Ezequiel Ridruejo</w:t>
      </w:r>
      <w:r w:rsidRPr="00260125">
        <w:rPr>
          <w:rFonts w:ascii="Book Antiqua" w:hAnsi="Book Antiqua"/>
          <w:b/>
          <w:sz w:val="24"/>
          <w:szCs w:val="24"/>
          <w:lang w:eastAsia="zh-CN"/>
        </w:rPr>
        <w:t>,</w:t>
      </w:r>
      <w:r w:rsidRPr="00260125">
        <w:rPr>
          <w:rFonts w:ascii="Book Antiqua" w:hAnsi="Book Antiqua"/>
          <w:b/>
          <w:sz w:val="24"/>
          <w:szCs w:val="24"/>
        </w:rPr>
        <w:t xml:space="preserve"> MD</w:t>
      </w:r>
      <w:r w:rsidRPr="00260125">
        <w:rPr>
          <w:rFonts w:ascii="Book Antiqua" w:hAnsi="Book Antiqua"/>
          <w:b/>
          <w:sz w:val="24"/>
          <w:szCs w:val="24"/>
          <w:lang w:eastAsia="zh-CN"/>
        </w:rPr>
        <w:t>,</w:t>
      </w:r>
      <w:r>
        <w:rPr>
          <w:rFonts w:ascii="Book Antiqua" w:hAnsi="Book Antiqua"/>
          <w:b/>
          <w:sz w:val="24"/>
          <w:szCs w:val="24"/>
          <w:lang w:eastAsia="zh-CN"/>
        </w:rPr>
        <w:t xml:space="preserve"> </w:t>
      </w:r>
      <w:proofErr w:type="spellStart"/>
      <w:r w:rsidRPr="00260125">
        <w:rPr>
          <w:rFonts w:ascii="Book Antiqua" w:hAnsi="Book Antiqua"/>
          <w:sz w:val="24"/>
          <w:szCs w:val="24"/>
        </w:rPr>
        <w:t>Hepatology</w:t>
      </w:r>
      <w:proofErr w:type="spellEnd"/>
      <w:r w:rsidRPr="00260125">
        <w:rPr>
          <w:rFonts w:ascii="Book Antiqua" w:hAnsi="Book Antiqua"/>
          <w:sz w:val="24"/>
          <w:szCs w:val="24"/>
        </w:rPr>
        <w:t xml:space="preserve"> </w:t>
      </w:r>
      <w:proofErr w:type="spellStart"/>
      <w:r w:rsidRPr="00260125">
        <w:rPr>
          <w:rFonts w:ascii="Book Antiqua" w:hAnsi="Book Antiqua"/>
          <w:sz w:val="24"/>
          <w:szCs w:val="24"/>
        </w:rPr>
        <w:t>Section</w:t>
      </w:r>
      <w:proofErr w:type="spellEnd"/>
      <w:r w:rsidRPr="00260125">
        <w:rPr>
          <w:rFonts w:ascii="Book Antiqua" w:hAnsi="Book Antiqua"/>
          <w:sz w:val="24"/>
          <w:szCs w:val="24"/>
        </w:rPr>
        <w:t xml:space="preserve">, </w:t>
      </w:r>
      <w:proofErr w:type="spellStart"/>
      <w:r w:rsidRPr="00260125">
        <w:rPr>
          <w:rFonts w:ascii="Book Antiqua" w:hAnsi="Book Antiqua"/>
          <w:sz w:val="24"/>
          <w:szCs w:val="24"/>
        </w:rPr>
        <w:t>Department</w:t>
      </w:r>
      <w:proofErr w:type="spellEnd"/>
      <w:r w:rsidRPr="00260125">
        <w:rPr>
          <w:rFonts w:ascii="Book Antiqua" w:hAnsi="Book Antiqua"/>
          <w:sz w:val="24"/>
          <w:szCs w:val="24"/>
        </w:rPr>
        <w:t xml:space="preserve"> of Medicine</w:t>
      </w:r>
      <w:r w:rsidRPr="00260125">
        <w:rPr>
          <w:rFonts w:ascii="Book Antiqua" w:hAnsi="Book Antiqua"/>
          <w:sz w:val="24"/>
          <w:szCs w:val="24"/>
          <w:lang w:eastAsia="zh-CN"/>
        </w:rPr>
        <w:t>,</w:t>
      </w:r>
      <w:r>
        <w:rPr>
          <w:rFonts w:ascii="Book Antiqua" w:hAnsi="Book Antiqua"/>
          <w:sz w:val="24"/>
          <w:szCs w:val="24"/>
          <w:lang w:eastAsia="zh-CN"/>
        </w:rPr>
        <w:t xml:space="preserve"> </w:t>
      </w:r>
      <w:r w:rsidRPr="00260125">
        <w:rPr>
          <w:rFonts w:ascii="Book Antiqua" w:hAnsi="Book Antiqua"/>
          <w:sz w:val="24"/>
          <w:szCs w:val="24"/>
          <w:lang w:val="es-ES"/>
        </w:rPr>
        <w:t xml:space="preserve">Centro de Educación Médica e Investigaciones Clínicas Norberto </w:t>
      </w:r>
      <w:proofErr w:type="spellStart"/>
      <w:r w:rsidRPr="00260125">
        <w:rPr>
          <w:rFonts w:ascii="Book Antiqua" w:hAnsi="Book Antiqua"/>
          <w:sz w:val="24"/>
          <w:szCs w:val="24"/>
          <w:lang w:val="es-ES"/>
        </w:rPr>
        <w:t>Quirno</w:t>
      </w:r>
      <w:proofErr w:type="spellEnd"/>
      <w:r w:rsidRPr="00260125">
        <w:rPr>
          <w:rFonts w:ascii="Book Antiqua" w:hAnsi="Book Antiqua"/>
          <w:sz w:val="24"/>
          <w:szCs w:val="24"/>
          <w:lang w:val="es-ES"/>
        </w:rPr>
        <w:t xml:space="preserve"> “CEMIC”</w:t>
      </w:r>
      <w:r w:rsidRPr="00260125">
        <w:rPr>
          <w:rFonts w:ascii="Book Antiqua" w:hAnsi="Book Antiqua"/>
          <w:sz w:val="24"/>
          <w:szCs w:val="24"/>
          <w:lang w:val="es-ES" w:eastAsia="zh-CN"/>
        </w:rPr>
        <w:t>,</w:t>
      </w:r>
      <w:r>
        <w:rPr>
          <w:rFonts w:ascii="Book Antiqua" w:hAnsi="Book Antiqua"/>
          <w:sz w:val="24"/>
          <w:szCs w:val="24"/>
          <w:lang w:val="es-ES" w:eastAsia="zh-CN"/>
        </w:rPr>
        <w:t xml:space="preserve"> </w:t>
      </w:r>
      <w:r w:rsidRPr="00260125">
        <w:rPr>
          <w:rFonts w:ascii="Book Antiqua" w:hAnsi="Book Antiqua"/>
          <w:sz w:val="24"/>
          <w:szCs w:val="24"/>
        </w:rPr>
        <w:t xml:space="preserve">Ciudad Autónoma de Buenos Aires, </w:t>
      </w:r>
      <w:proofErr w:type="spellStart"/>
      <w:r w:rsidRPr="00260125">
        <w:rPr>
          <w:rFonts w:ascii="Book Antiqua" w:hAnsi="Book Antiqua"/>
          <w:sz w:val="24"/>
          <w:szCs w:val="24"/>
        </w:rPr>
        <w:t>Avda</w:t>
      </w:r>
      <w:proofErr w:type="spellEnd"/>
      <w:r>
        <w:rPr>
          <w:rFonts w:ascii="Book Antiqua" w:hAnsi="Book Antiqua"/>
          <w:sz w:val="24"/>
          <w:szCs w:val="24"/>
          <w:lang w:eastAsia="zh-CN"/>
        </w:rPr>
        <w:t>,</w:t>
      </w:r>
      <w:r w:rsidRPr="00260125">
        <w:rPr>
          <w:rFonts w:ascii="Book Antiqua" w:hAnsi="Book Antiqua"/>
          <w:sz w:val="24"/>
          <w:szCs w:val="24"/>
        </w:rPr>
        <w:t xml:space="preserve"> Las Heras 2939</w:t>
      </w:r>
      <w:r w:rsidRPr="00260125">
        <w:rPr>
          <w:rFonts w:ascii="Book Antiqua" w:hAnsi="Book Antiqua"/>
          <w:sz w:val="24"/>
          <w:szCs w:val="24"/>
          <w:lang w:eastAsia="zh-CN"/>
        </w:rPr>
        <w:t xml:space="preserve">, </w:t>
      </w:r>
      <w:r w:rsidRPr="00260125">
        <w:rPr>
          <w:rFonts w:ascii="Book Antiqua" w:hAnsi="Book Antiqua"/>
          <w:sz w:val="24"/>
          <w:szCs w:val="24"/>
        </w:rPr>
        <w:t>Buenos Aires</w:t>
      </w:r>
      <w:r>
        <w:rPr>
          <w:rFonts w:ascii="Book Antiqua" w:hAnsi="Book Antiqua"/>
          <w:sz w:val="24"/>
          <w:szCs w:val="24"/>
          <w:lang w:eastAsia="zh-CN"/>
        </w:rPr>
        <w:t xml:space="preserve"> </w:t>
      </w:r>
      <w:r w:rsidRPr="00260125">
        <w:rPr>
          <w:rFonts w:ascii="Book Antiqua" w:hAnsi="Book Antiqua"/>
          <w:sz w:val="24"/>
          <w:szCs w:val="24"/>
        </w:rPr>
        <w:t>C1425ASG,</w:t>
      </w:r>
      <w:r>
        <w:rPr>
          <w:rFonts w:ascii="Book Antiqua" w:hAnsi="Book Antiqua"/>
          <w:sz w:val="24"/>
          <w:szCs w:val="24"/>
          <w:lang w:eastAsia="zh-CN"/>
        </w:rPr>
        <w:t xml:space="preserve"> </w:t>
      </w:r>
      <w:r w:rsidRPr="00260125">
        <w:rPr>
          <w:rFonts w:ascii="Book Antiqua" w:hAnsi="Book Antiqua"/>
          <w:sz w:val="24"/>
          <w:szCs w:val="24"/>
        </w:rPr>
        <w:t>Argentina</w:t>
      </w:r>
      <w:r w:rsidRPr="00260125">
        <w:rPr>
          <w:rFonts w:ascii="Book Antiqua" w:hAnsi="Book Antiqua"/>
          <w:sz w:val="24"/>
          <w:szCs w:val="24"/>
          <w:lang w:eastAsia="zh-CN"/>
        </w:rPr>
        <w:t>.</w:t>
      </w:r>
      <w:r>
        <w:rPr>
          <w:rFonts w:ascii="Book Antiqua" w:hAnsi="Book Antiqua"/>
          <w:sz w:val="24"/>
          <w:szCs w:val="24"/>
          <w:lang w:eastAsia="zh-CN"/>
        </w:rPr>
        <w:t xml:space="preserve"> </w:t>
      </w:r>
      <w:r w:rsidRPr="00260125">
        <w:rPr>
          <w:rFonts w:ascii="Book Antiqua" w:hAnsi="Book Antiqua"/>
          <w:sz w:val="24"/>
          <w:szCs w:val="24"/>
        </w:rPr>
        <w:t>eridruejo@gmail.com</w:t>
      </w:r>
    </w:p>
    <w:p w:rsidR="004C196A" w:rsidRPr="00260125" w:rsidRDefault="004C196A" w:rsidP="00260125">
      <w:pPr>
        <w:spacing w:after="0" w:line="360" w:lineRule="auto"/>
        <w:jc w:val="both"/>
        <w:rPr>
          <w:rFonts w:ascii="Book Antiqua" w:hAnsi="Book Antiqua"/>
          <w:b/>
          <w:sz w:val="24"/>
          <w:szCs w:val="24"/>
          <w:lang w:eastAsia="zh-CN"/>
        </w:rPr>
      </w:pPr>
    </w:p>
    <w:p w:rsidR="004C196A" w:rsidRPr="00092706" w:rsidRDefault="004C196A" w:rsidP="00260125">
      <w:pPr>
        <w:spacing w:after="0" w:line="360" w:lineRule="auto"/>
        <w:jc w:val="both"/>
        <w:rPr>
          <w:rFonts w:ascii="Book Antiqua" w:hAnsi="Book Antiqua"/>
          <w:sz w:val="24"/>
          <w:szCs w:val="24"/>
          <w:lang w:val="en-US"/>
        </w:rPr>
      </w:pPr>
      <w:r w:rsidRPr="00092706">
        <w:rPr>
          <w:rFonts w:ascii="Book Antiqua" w:hAnsi="Book Antiqua"/>
          <w:b/>
          <w:sz w:val="24"/>
          <w:szCs w:val="24"/>
          <w:lang w:val="en-US"/>
        </w:rPr>
        <w:t xml:space="preserve">Telephone: </w:t>
      </w:r>
      <w:r w:rsidRPr="00092706">
        <w:rPr>
          <w:rFonts w:ascii="Book Antiqua" w:hAnsi="Book Antiqua"/>
          <w:sz w:val="24"/>
          <w:szCs w:val="24"/>
          <w:lang w:val="en-US" w:eastAsia="zh-CN"/>
        </w:rPr>
        <w:t>+</w:t>
      </w:r>
      <w:r w:rsidRPr="00092706">
        <w:rPr>
          <w:rFonts w:ascii="Book Antiqua" w:hAnsi="Book Antiqua"/>
          <w:sz w:val="24"/>
          <w:szCs w:val="24"/>
          <w:lang w:val="en-US"/>
        </w:rPr>
        <w:t>54-11-48091980</w:t>
      </w:r>
      <w:r>
        <w:rPr>
          <w:rFonts w:ascii="Book Antiqua" w:hAnsi="Book Antiqua"/>
          <w:sz w:val="24"/>
          <w:szCs w:val="24"/>
          <w:lang w:val="en-US" w:eastAsia="zh-CN"/>
        </w:rPr>
        <w:t xml:space="preserve">                     </w:t>
      </w:r>
      <w:r w:rsidRPr="00092706">
        <w:rPr>
          <w:rFonts w:ascii="Book Antiqua" w:hAnsi="Book Antiqua"/>
          <w:b/>
          <w:sz w:val="24"/>
          <w:szCs w:val="24"/>
          <w:lang w:val="en-US"/>
        </w:rPr>
        <w:t xml:space="preserve">Fax: </w:t>
      </w:r>
      <w:r w:rsidRPr="00092706">
        <w:rPr>
          <w:rFonts w:ascii="Book Antiqua" w:hAnsi="Book Antiqua"/>
          <w:sz w:val="24"/>
          <w:szCs w:val="24"/>
          <w:lang w:val="en-US" w:eastAsia="zh-CN"/>
        </w:rPr>
        <w:t>+</w:t>
      </w:r>
      <w:r w:rsidRPr="00092706">
        <w:rPr>
          <w:rFonts w:ascii="Book Antiqua" w:hAnsi="Book Antiqua"/>
          <w:sz w:val="24"/>
          <w:szCs w:val="24"/>
          <w:lang w:val="en-US"/>
        </w:rPr>
        <w:t>54-11-48091992</w:t>
      </w:r>
    </w:p>
    <w:p w:rsidR="004C196A" w:rsidRPr="00092706" w:rsidRDefault="004C196A" w:rsidP="00926557">
      <w:pPr>
        <w:spacing w:after="0" w:line="360" w:lineRule="auto"/>
        <w:jc w:val="both"/>
        <w:rPr>
          <w:rFonts w:ascii="Book Antiqua" w:hAnsi="Book Antiqua"/>
          <w:b/>
          <w:sz w:val="24"/>
          <w:szCs w:val="24"/>
          <w:lang w:val="en-US" w:eastAsia="zh-CN"/>
        </w:rPr>
      </w:pPr>
      <w:r w:rsidRPr="00092706">
        <w:rPr>
          <w:rFonts w:ascii="Book Antiqua" w:hAnsi="Book Antiqua"/>
          <w:b/>
          <w:sz w:val="24"/>
          <w:szCs w:val="24"/>
          <w:lang w:val="en-US"/>
        </w:rPr>
        <w:t xml:space="preserve">Received: </w:t>
      </w:r>
      <w:r w:rsidRPr="00092706">
        <w:rPr>
          <w:rFonts w:ascii="Book Antiqua" w:hAnsi="Book Antiqua"/>
          <w:sz w:val="24"/>
          <w:szCs w:val="24"/>
          <w:lang w:val="en-US" w:eastAsia="zh-CN"/>
        </w:rPr>
        <w:t>October15</w:t>
      </w:r>
      <w:r w:rsidRPr="00092706">
        <w:rPr>
          <w:rFonts w:ascii="Book Antiqua" w:hAnsi="Book Antiqua"/>
          <w:sz w:val="24"/>
          <w:szCs w:val="24"/>
          <w:lang w:val="en-US"/>
        </w:rPr>
        <w:t>, 201</w:t>
      </w:r>
      <w:r w:rsidRPr="00092706">
        <w:rPr>
          <w:rFonts w:ascii="Book Antiqua" w:hAnsi="Book Antiqua"/>
          <w:sz w:val="24"/>
          <w:szCs w:val="24"/>
          <w:lang w:val="en-US" w:eastAsia="zh-CN"/>
        </w:rPr>
        <w:t>3</w:t>
      </w:r>
      <w:r>
        <w:rPr>
          <w:rFonts w:ascii="Book Antiqua" w:hAnsi="Book Antiqua"/>
          <w:sz w:val="24"/>
          <w:szCs w:val="24"/>
          <w:lang w:val="en-US" w:eastAsia="zh-CN"/>
        </w:rPr>
        <w:t xml:space="preserve">                         </w:t>
      </w:r>
      <w:r w:rsidRPr="00092706">
        <w:rPr>
          <w:rFonts w:ascii="Book Antiqua" w:hAnsi="Book Antiqua"/>
          <w:b/>
          <w:sz w:val="24"/>
          <w:szCs w:val="24"/>
          <w:lang w:val="en-US"/>
        </w:rPr>
        <w:t>Revised:</w:t>
      </w:r>
      <w:r>
        <w:rPr>
          <w:rFonts w:ascii="Book Antiqua" w:hAnsi="Book Antiqua"/>
          <w:b/>
          <w:sz w:val="24"/>
          <w:szCs w:val="24"/>
          <w:lang w:val="en-US"/>
        </w:rPr>
        <w:t xml:space="preserve"> </w:t>
      </w:r>
      <w:r w:rsidRPr="00092706">
        <w:rPr>
          <w:rFonts w:ascii="Book Antiqua" w:hAnsi="Book Antiqua"/>
          <w:sz w:val="24"/>
          <w:szCs w:val="24"/>
          <w:lang w:val="en-US" w:eastAsia="zh-CN"/>
        </w:rPr>
        <w:t xml:space="preserve">November </w:t>
      </w:r>
      <w:r>
        <w:rPr>
          <w:rFonts w:ascii="Book Antiqua" w:hAnsi="Book Antiqua"/>
          <w:sz w:val="24"/>
          <w:szCs w:val="24"/>
          <w:lang w:val="en-US" w:eastAsia="zh-CN"/>
        </w:rPr>
        <w:t>20</w:t>
      </w:r>
      <w:r w:rsidRPr="00092706">
        <w:rPr>
          <w:rFonts w:ascii="Book Antiqua" w:hAnsi="Book Antiqua"/>
          <w:sz w:val="24"/>
          <w:szCs w:val="24"/>
          <w:lang w:val="en-US" w:eastAsia="zh-CN"/>
        </w:rPr>
        <w:t>, 2013</w:t>
      </w:r>
    </w:p>
    <w:p w:rsidR="00C831FA" w:rsidRPr="005065E4" w:rsidRDefault="004C196A" w:rsidP="00C831FA">
      <w:pPr>
        <w:rPr>
          <w:rFonts w:ascii="Book Antiqua" w:hAnsi="Book Antiqua"/>
          <w:sz w:val="24"/>
          <w:szCs w:val="24"/>
        </w:rPr>
      </w:pPr>
      <w:proofErr w:type="spellStart"/>
      <w:r w:rsidRPr="00926557">
        <w:rPr>
          <w:rFonts w:ascii="Book Antiqua" w:hAnsi="Book Antiqua"/>
          <w:b/>
          <w:sz w:val="24"/>
          <w:szCs w:val="24"/>
        </w:rPr>
        <w:t>Accepted</w:t>
      </w:r>
      <w:proofErr w:type="spellEnd"/>
      <w:r w:rsidRPr="00926557">
        <w:rPr>
          <w:rFonts w:ascii="Book Antiqua" w:hAnsi="Book Antiqua"/>
          <w:b/>
          <w:sz w:val="24"/>
          <w:szCs w:val="24"/>
        </w:rPr>
        <w:t>:</w:t>
      </w:r>
      <w:bookmarkStart w:id="2" w:name="OLE_LINK1"/>
      <w:bookmarkStart w:id="3" w:name="OLE_LINK2"/>
      <w:r w:rsidR="00C831FA" w:rsidRPr="00C831FA">
        <w:rPr>
          <w:rFonts w:ascii="Book Antiqua" w:hAnsi="Book Antiqua"/>
          <w:sz w:val="24"/>
          <w:szCs w:val="24"/>
        </w:rPr>
        <w:t xml:space="preserve"> </w:t>
      </w:r>
      <w:proofErr w:type="spellStart"/>
      <w:r w:rsidR="00C831FA" w:rsidRPr="005065E4">
        <w:rPr>
          <w:rFonts w:ascii="Book Antiqua" w:hAnsi="Book Antiqua"/>
          <w:sz w:val="24"/>
          <w:szCs w:val="24"/>
        </w:rPr>
        <w:t>January</w:t>
      </w:r>
      <w:proofErr w:type="spellEnd"/>
      <w:r w:rsidR="00C831FA" w:rsidRPr="005065E4">
        <w:rPr>
          <w:rFonts w:ascii="Book Antiqua" w:hAnsi="Book Antiqua"/>
          <w:sz w:val="24"/>
          <w:szCs w:val="24"/>
        </w:rPr>
        <w:t xml:space="preserve"> 2, 2014</w:t>
      </w:r>
      <w:bookmarkEnd w:id="2"/>
      <w:bookmarkEnd w:id="3"/>
    </w:p>
    <w:p w:rsidR="004C196A" w:rsidRPr="00926557" w:rsidRDefault="004C196A" w:rsidP="00926557">
      <w:pPr>
        <w:spacing w:after="0" w:line="360" w:lineRule="auto"/>
        <w:jc w:val="both"/>
        <w:rPr>
          <w:rFonts w:ascii="Book Antiqua" w:hAnsi="Book Antiqua"/>
          <w:b/>
          <w:sz w:val="24"/>
          <w:szCs w:val="24"/>
        </w:rPr>
      </w:pPr>
      <w:bookmarkStart w:id="4" w:name="_GoBack"/>
      <w:bookmarkEnd w:id="4"/>
    </w:p>
    <w:p w:rsidR="004C196A" w:rsidRPr="00926557" w:rsidRDefault="004C196A" w:rsidP="00926557">
      <w:pPr>
        <w:spacing w:after="0" w:line="360" w:lineRule="auto"/>
        <w:jc w:val="both"/>
        <w:rPr>
          <w:rFonts w:ascii="Book Antiqua" w:hAnsi="Book Antiqua"/>
          <w:b/>
          <w:sz w:val="24"/>
          <w:szCs w:val="24"/>
        </w:rPr>
      </w:pPr>
      <w:proofErr w:type="spellStart"/>
      <w:r w:rsidRPr="00926557">
        <w:rPr>
          <w:rFonts w:ascii="Book Antiqua" w:hAnsi="Book Antiqua"/>
          <w:b/>
          <w:sz w:val="24"/>
          <w:szCs w:val="24"/>
        </w:rPr>
        <w:t>Published</w:t>
      </w:r>
      <w:proofErr w:type="spellEnd"/>
      <w:r w:rsidRPr="00926557">
        <w:rPr>
          <w:rFonts w:ascii="Book Antiqua" w:hAnsi="Book Antiqua"/>
          <w:b/>
          <w:sz w:val="24"/>
          <w:szCs w:val="24"/>
        </w:rPr>
        <w:t xml:space="preserve"> online:</w:t>
      </w:r>
    </w:p>
    <w:p w:rsidR="004C196A" w:rsidRPr="00260125" w:rsidRDefault="004C196A" w:rsidP="00260125">
      <w:pPr>
        <w:spacing w:after="0" w:line="360" w:lineRule="auto"/>
        <w:jc w:val="both"/>
        <w:rPr>
          <w:rFonts w:ascii="Book Antiqua" w:hAnsi="Book Antiqua"/>
          <w:b/>
          <w:sz w:val="24"/>
          <w:szCs w:val="24"/>
          <w:lang w:val="en-US"/>
        </w:rPr>
      </w:pPr>
      <w:r w:rsidRPr="00260125">
        <w:rPr>
          <w:rFonts w:ascii="Book Antiqua" w:hAnsi="Book Antiqua"/>
          <w:sz w:val="24"/>
          <w:szCs w:val="24"/>
          <w:lang w:val="en-US"/>
        </w:rPr>
        <w:br w:type="page"/>
      </w:r>
      <w:r w:rsidRPr="00260125">
        <w:rPr>
          <w:rFonts w:ascii="Book Antiqua" w:hAnsi="Book Antiqua"/>
          <w:b/>
          <w:sz w:val="24"/>
          <w:szCs w:val="24"/>
          <w:lang w:val="en-US"/>
        </w:rPr>
        <w:lastRenderedPageBreak/>
        <w:t>Abstract</w:t>
      </w:r>
    </w:p>
    <w:p w:rsidR="004C196A" w:rsidRPr="00260125" w:rsidRDefault="004C196A" w:rsidP="0030335F">
      <w:pPr>
        <w:spacing w:after="0" w:line="360" w:lineRule="auto"/>
        <w:jc w:val="both"/>
        <w:rPr>
          <w:rFonts w:ascii="Book Antiqua" w:hAnsi="Book Antiqua"/>
          <w:sz w:val="24"/>
          <w:szCs w:val="24"/>
          <w:lang w:val="en-US"/>
        </w:rPr>
      </w:pPr>
      <w:r w:rsidRPr="00260125">
        <w:rPr>
          <w:rFonts w:ascii="Book Antiqua" w:hAnsi="Book Antiqua"/>
          <w:sz w:val="24"/>
          <w:szCs w:val="24"/>
          <w:lang w:val="en-US"/>
        </w:rPr>
        <w:t xml:space="preserve">Results from phase III clinical trials clearly demonstrate the efficacy and safety of </w:t>
      </w:r>
      <w:proofErr w:type="spellStart"/>
      <w:r w:rsidRPr="00260125">
        <w:rPr>
          <w:rFonts w:ascii="Book Antiqua" w:hAnsi="Book Antiqua"/>
          <w:bCs/>
          <w:sz w:val="24"/>
          <w:szCs w:val="24"/>
          <w:lang w:val="en-US"/>
        </w:rPr>
        <w:t>entecavir</w:t>
      </w:r>
      <w:proofErr w:type="spellEnd"/>
      <w:r w:rsidRPr="00260125">
        <w:rPr>
          <w:rFonts w:ascii="Book Antiqua" w:hAnsi="Book Antiqua"/>
          <w:sz w:val="24"/>
          <w:szCs w:val="24"/>
          <w:lang w:val="en-US"/>
        </w:rPr>
        <w:t xml:space="preserve"> and </w:t>
      </w:r>
      <w:proofErr w:type="spellStart"/>
      <w:r w:rsidRPr="00260125">
        <w:rPr>
          <w:rFonts w:ascii="Book Antiqua" w:hAnsi="Book Antiqua"/>
          <w:bCs/>
          <w:sz w:val="24"/>
          <w:szCs w:val="24"/>
          <w:lang w:val="en-US"/>
        </w:rPr>
        <w:t>tenofovir</w:t>
      </w:r>
      <w:proofErr w:type="spellEnd"/>
      <w:r w:rsidRPr="00260125">
        <w:rPr>
          <w:rFonts w:ascii="Book Antiqua" w:hAnsi="Book Antiqua"/>
          <w:sz w:val="24"/>
          <w:szCs w:val="24"/>
          <w:lang w:val="en-US"/>
        </w:rPr>
        <w:t xml:space="preserve"> in the controlled environment of randomized clinical studies. There are several studies with both drugs performed in clinical practice (also called “real life studies”). Despite the pros and cons, studies performed in real life conditions represent everyday practice and add important information about long term treatment effectiveness and safety in this clinical setting. This review shows that patients treated with first line </w:t>
      </w:r>
      <w:proofErr w:type="spellStart"/>
      <w:proofErr w:type="gramStart"/>
      <w:r w:rsidRPr="00260125">
        <w:rPr>
          <w:rFonts w:ascii="Book Antiqua" w:eastAsia="Times New Roman" w:hAnsi="Book Antiqua"/>
          <w:sz w:val="24"/>
          <w:szCs w:val="24"/>
          <w:lang w:val="en-US"/>
        </w:rPr>
        <w:t>nucleos</w:t>
      </w:r>
      <w:proofErr w:type="spellEnd"/>
      <w:r w:rsidRPr="00260125">
        <w:rPr>
          <w:rFonts w:ascii="Book Antiqua" w:eastAsia="Times New Roman" w:hAnsi="Book Antiqua"/>
          <w:sz w:val="24"/>
          <w:szCs w:val="24"/>
          <w:lang w:val="en-US"/>
        </w:rPr>
        <w:t>(</w:t>
      </w:r>
      <w:proofErr w:type="gramEnd"/>
      <w:r w:rsidRPr="00260125">
        <w:rPr>
          <w:rFonts w:ascii="Book Antiqua" w:eastAsia="Times New Roman" w:hAnsi="Book Antiqua"/>
          <w:sz w:val="24"/>
          <w:szCs w:val="24"/>
          <w:lang w:val="en-US"/>
        </w:rPr>
        <w:t>t)ide analogs</w:t>
      </w:r>
      <w:r w:rsidRPr="00260125">
        <w:rPr>
          <w:rFonts w:ascii="Book Antiqua" w:hAnsi="Book Antiqua"/>
          <w:sz w:val="24"/>
          <w:szCs w:val="24"/>
          <w:lang w:val="en-US"/>
        </w:rPr>
        <w:t xml:space="preserve"> at referral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with good clinical follow-up and adherence to international guidelines, can achieve high treatment response rates with a very low rate of adverse events.</w:t>
      </w:r>
    </w:p>
    <w:p w:rsidR="004C196A" w:rsidRPr="00260125" w:rsidRDefault="004C196A" w:rsidP="0030335F">
      <w:pPr>
        <w:spacing w:after="0" w:line="360" w:lineRule="auto"/>
        <w:jc w:val="both"/>
        <w:rPr>
          <w:rFonts w:ascii="Book Antiqua" w:hAnsi="Book Antiqua"/>
          <w:b/>
          <w:sz w:val="24"/>
          <w:szCs w:val="24"/>
          <w:lang w:val="en-US" w:eastAsia="zh-CN"/>
        </w:rPr>
      </w:pPr>
    </w:p>
    <w:p w:rsidR="004C196A" w:rsidRPr="00092706" w:rsidRDefault="004C196A" w:rsidP="0030335F">
      <w:pPr>
        <w:pStyle w:val="a6"/>
        <w:tabs>
          <w:tab w:val="left" w:pos="2895"/>
        </w:tabs>
        <w:spacing w:after="0" w:line="360" w:lineRule="auto"/>
        <w:jc w:val="both"/>
        <w:rPr>
          <w:rFonts w:ascii="Book Antiqua" w:hAnsi="Book Antiqua"/>
          <w:sz w:val="24"/>
          <w:lang w:val="en-US"/>
        </w:rPr>
      </w:pPr>
      <w:r w:rsidRPr="00092706">
        <w:rPr>
          <w:rFonts w:ascii="Book Antiqua" w:hAnsi="Book Antiqua"/>
          <w:sz w:val="24"/>
          <w:lang w:val="en-US"/>
        </w:rPr>
        <w:t xml:space="preserve">© 2013 </w:t>
      </w:r>
      <w:proofErr w:type="spellStart"/>
      <w:r w:rsidRPr="00092706">
        <w:rPr>
          <w:rFonts w:ascii="Book Antiqua" w:hAnsi="Book Antiqua"/>
          <w:sz w:val="24"/>
          <w:lang w:val="en-US"/>
        </w:rPr>
        <w:t>Baishideng</w:t>
      </w:r>
      <w:proofErr w:type="spellEnd"/>
      <w:r w:rsidRPr="00092706">
        <w:rPr>
          <w:rFonts w:ascii="Book Antiqua" w:hAnsi="Book Antiqua"/>
          <w:sz w:val="24"/>
          <w:lang w:val="en-US"/>
        </w:rPr>
        <w:t xml:space="preserve"> Publishing Group Co., Limited. All rights reserved.</w:t>
      </w:r>
    </w:p>
    <w:p w:rsidR="004C196A" w:rsidRDefault="004C196A" w:rsidP="0030335F">
      <w:pPr>
        <w:spacing w:after="0" w:line="360" w:lineRule="auto"/>
        <w:jc w:val="both"/>
        <w:rPr>
          <w:rFonts w:ascii="Book Antiqua" w:hAnsi="Book Antiqua"/>
          <w:b/>
          <w:sz w:val="24"/>
          <w:szCs w:val="24"/>
          <w:lang w:val="en-US" w:eastAsia="zh-CN"/>
        </w:rPr>
      </w:pPr>
    </w:p>
    <w:p w:rsidR="004C196A" w:rsidRPr="00260125" w:rsidRDefault="004C196A" w:rsidP="0030335F">
      <w:pPr>
        <w:spacing w:after="0" w:line="360" w:lineRule="auto"/>
        <w:jc w:val="both"/>
        <w:rPr>
          <w:rFonts w:ascii="Book Antiqua" w:hAnsi="Book Antiqua"/>
          <w:b/>
          <w:bCs/>
          <w:sz w:val="24"/>
          <w:szCs w:val="24"/>
          <w:lang w:val="en-US" w:eastAsia="zh-CN"/>
        </w:rPr>
      </w:pPr>
      <w:r w:rsidRPr="00260125">
        <w:rPr>
          <w:rFonts w:ascii="Book Antiqua" w:hAnsi="Book Antiqua"/>
          <w:b/>
          <w:sz w:val="24"/>
          <w:szCs w:val="24"/>
          <w:lang w:val="en-US"/>
        </w:rPr>
        <w:t>Key</w:t>
      </w:r>
      <w:r>
        <w:rPr>
          <w:rFonts w:ascii="Book Antiqua" w:hAnsi="Book Antiqua"/>
          <w:b/>
          <w:sz w:val="24"/>
          <w:szCs w:val="24"/>
          <w:lang w:val="en-US" w:eastAsia="zh-CN"/>
        </w:rPr>
        <w:t xml:space="preserve"> </w:t>
      </w:r>
      <w:r w:rsidRPr="00260125">
        <w:rPr>
          <w:rFonts w:ascii="Book Antiqua" w:hAnsi="Book Antiqua"/>
          <w:b/>
          <w:sz w:val="24"/>
          <w:szCs w:val="24"/>
          <w:lang w:val="en-US"/>
        </w:rPr>
        <w:t>words:</w:t>
      </w:r>
      <w:r>
        <w:rPr>
          <w:rFonts w:ascii="Book Antiqua" w:hAnsi="Book Antiqua"/>
          <w:b/>
          <w:sz w:val="24"/>
          <w:szCs w:val="24"/>
          <w:lang w:val="en-US" w:eastAsia="zh-CN"/>
        </w:rPr>
        <w:t xml:space="preserve"> </w:t>
      </w:r>
      <w:r w:rsidRPr="00260125">
        <w:rPr>
          <w:rFonts w:ascii="Book Antiqua" w:hAnsi="Book Antiqua"/>
          <w:sz w:val="24"/>
          <w:szCs w:val="24"/>
          <w:lang w:val="en-US" w:eastAsia="zh-CN"/>
        </w:rPr>
        <w:t>H</w:t>
      </w:r>
      <w:r w:rsidRPr="00260125">
        <w:rPr>
          <w:rFonts w:ascii="Book Antiqua" w:hAnsi="Book Antiqua"/>
          <w:sz w:val="24"/>
          <w:szCs w:val="24"/>
          <w:lang w:val="en-US"/>
        </w:rPr>
        <w:t>epatitis B</w:t>
      </w:r>
      <w:r w:rsidRPr="00260125">
        <w:rPr>
          <w:rFonts w:ascii="Book Antiqua" w:hAnsi="Book Antiqua"/>
          <w:sz w:val="24"/>
          <w:szCs w:val="24"/>
          <w:lang w:val="en-US" w:eastAsia="zh-CN"/>
        </w:rPr>
        <w:t>;</w:t>
      </w:r>
      <w:r>
        <w:rPr>
          <w:rFonts w:ascii="Book Antiqua" w:hAnsi="Book Antiqua"/>
          <w:sz w:val="24"/>
          <w:szCs w:val="24"/>
          <w:lang w:val="en-US" w:eastAsia="zh-CN"/>
        </w:rPr>
        <w:t xml:space="preserve"> </w:t>
      </w:r>
      <w:r w:rsidRPr="00260125">
        <w:rPr>
          <w:rFonts w:ascii="Book Antiqua" w:hAnsi="Book Antiqua"/>
          <w:sz w:val="24"/>
          <w:szCs w:val="24"/>
          <w:lang w:val="en-US" w:eastAsia="zh-CN"/>
        </w:rPr>
        <w:t>C</w:t>
      </w:r>
      <w:r w:rsidRPr="00260125">
        <w:rPr>
          <w:rFonts w:ascii="Book Antiqua" w:hAnsi="Book Antiqua"/>
          <w:sz w:val="24"/>
          <w:szCs w:val="24"/>
          <w:lang w:val="en-US"/>
        </w:rPr>
        <w:t>linical practice</w:t>
      </w:r>
      <w:r w:rsidRPr="00260125">
        <w:rPr>
          <w:rFonts w:ascii="Book Antiqua" w:hAnsi="Book Antiqua"/>
          <w:sz w:val="24"/>
          <w:szCs w:val="24"/>
          <w:lang w:val="en-US" w:eastAsia="zh-CN"/>
        </w:rPr>
        <w:t>;</w:t>
      </w:r>
      <w:r>
        <w:rPr>
          <w:rFonts w:ascii="Book Antiqua" w:hAnsi="Book Antiqua"/>
          <w:sz w:val="24"/>
          <w:szCs w:val="24"/>
          <w:lang w:val="en-US" w:eastAsia="zh-CN"/>
        </w:rPr>
        <w:t xml:space="preserve"> </w:t>
      </w:r>
      <w:proofErr w:type="spellStart"/>
      <w:r w:rsidRPr="00260125">
        <w:rPr>
          <w:rFonts w:ascii="Book Antiqua" w:hAnsi="Book Antiqua"/>
          <w:sz w:val="24"/>
          <w:szCs w:val="24"/>
          <w:lang w:val="en-US" w:eastAsia="zh-CN"/>
        </w:rPr>
        <w:t>E</w:t>
      </w:r>
      <w:r w:rsidRPr="00260125">
        <w:rPr>
          <w:rFonts w:ascii="Book Antiqua" w:hAnsi="Book Antiqua"/>
          <w:sz w:val="24"/>
          <w:szCs w:val="24"/>
          <w:lang w:val="en-US"/>
        </w:rPr>
        <w:t>ntecavir</w:t>
      </w:r>
      <w:proofErr w:type="spellEnd"/>
      <w:r w:rsidRPr="00260125">
        <w:rPr>
          <w:rFonts w:ascii="Book Antiqua" w:hAnsi="Book Antiqua"/>
          <w:sz w:val="24"/>
          <w:szCs w:val="24"/>
          <w:lang w:val="en-US" w:eastAsia="zh-CN"/>
        </w:rPr>
        <w:t>;</w:t>
      </w:r>
      <w:r>
        <w:rPr>
          <w:rFonts w:ascii="Book Antiqua" w:hAnsi="Book Antiqua"/>
          <w:sz w:val="24"/>
          <w:szCs w:val="24"/>
          <w:lang w:val="en-US" w:eastAsia="zh-CN"/>
        </w:rPr>
        <w:t xml:space="preserve"> </w:t>
      </w:r>
      <w:proofErr w:type="spellStart"/>
      <w:r w:rsidRPr="00260125">
        <w:rPr>
          <w:rFonts w:ascii="Book Antiqua" w:hAnsi="Book Antiqua"/>
          <w:sz w:val="24"/>
          <w:szCs w:val="24"/>
          <w:lang w:val="en-US" w:eastAsia="zh-CN"/>
        </w:rPr>
        <w:t>T</w:t>
      </w:r>
      <w:r w:rsidRPr="00260125">
        <w:rPr>
          <w:rFonts w:ascii="Book Antiqua" w:hAnsi="Book Antiqua"/>
          <w:sz w:val="24"/>
          <w:szCs w:val="24"/>
          <w:lang w:val="en-US"/>
        </w:rPr>
        <w:t>enofovir</w:t>
      </w:r>
      <w:proofErr w:type="spellEnd"/>
      <w:r w:rsidRPr="00260125">
        <w:rPr>
          <w:rFonts w:ascii="Book Antiqua" w:hAnsi="Book Antiqua"/>
          <w:sz w:val="24"/>
          <w:szCs w:val="24"/>
          <w:lang w:val="en-US" w:eastAsia="zh-CN"/>
        </w:rPr>
        <w:t>;</w:t>
      </w:r>
      <w:r>
        <w:rPr>
          <w:rFonts w:ascii="Book Antiqua" w:hAnsi="Book Antiqua"/>
          <w:sz w:val="24"/>
          <w:szCs w:val="24"/>
          <w:lang w:val="en-US" w:eastAsia="zh-CN"/>
        </w:rPr>
        <w:t xml:space="preserve"> </w:t>
      </w:r>
      <w:r w:rsidRPr="00260125">
        <w:rPr>
          <w:rFonts w:ascii="Book Antiqua" w:hAnsi="Book Antiqua"/>
          <w:sz w:val="24"/>
          <w:szCs w:val="24"/>
          <w:lang w:val="en-US" w:eastAsia="zh-CN"/>
        </w:rPr>
        <w:t>R</w:t>
      </w:r>
      <w:r w:rsidRPr="00260125">
        <w:rPr>
          <w:rFonts w:ascii="Book Antiqua" w:hAnsi="Book Antiqua"/>
          <w:sz w:val="24"/>
          <w:szCs w:val="24"/>
          <w:lang w:val="en-US"/>
        </w:rPr>
        <w:t>eal life</w:t>
      </w:r>
    </w:p>
    <w:p w:rsidR="004C196A" w:rsidRPr="00260125" w:rsidRDefault="004C196A" w:rsidP="00260125">
      <w:pPr>
        <w:spacing w:after="0" w:line="360" w:lineRule="auto"/>
        <w:jc w:val="both"/>
        <w:rPr>
          <w:rFonts w:ascii="Book Antiqua" w:hAnsi="Book Antiqua"/>
          <w:b/>
          <w:bCs/>
          <w:sz w:val="24"/>
          <w:szCs w:val="24"/>
          <w:lang w:val="en-US" w:eastAsia="zh-CN"/>
        </w:rPr>
      </w:pPr>
    </w:p>
    <w:p w:rsidR="004C196A" w:rsidRDefault="004C196A" w:rsidP="00260125">
      <w:pPr>
        <w:spacing w:after="0" w:line="360" w:lineRule="auto"/>
        <w:jc w:val="both"/>
        <w:rPr>
          <w:rFonts w:ascii="Book Antiqua" w:hAnsi="Book Antiqua"/>
          <w:sz w:val="24"/>
          <w:szCs w:val="24"/>
          <w:lang w:val="en-US" w:eastAsia="zh-CN"/>
        </w:rPr>
      </w:pPr>
      <w:r w:rsidRPr="00260125">
        <w:rPr>
          <w:rFonts w:ascii="Book Antiqua" w:hAnsi="Book Antiqua"/>
          <w:b/>
          <w:bCs/>
          <w:sz w:val="24"/>
          <w:szCs w:val="24"/>
          <w:lang w:val="en-US"/>
        </w:rPr>
        <w:t xml:space="preserve">Core </w:t>
      </w:r>
      <w:r w:rsidRPr="00260125">
        <w:rPr>
          <w:rFonts w:ascii="Book Antiqua" w:hAnsi="Book Antiqua"/>
          <w:b/>
          <w:bCs/>
          <w:sz w:val="24"/>
          <w:szCs w:val="24"/>
          <w:lang w:val="en-US" w:eastAsia="zh-CN"/>
        </w:rPr>
        <w:t>t</w:t>
      </w:r>
      <w:r w:rsidRPr="00260125">
        <w:rPr>
          <w:rFonts w:ascii="Book Antiqua" w:hAnsi="Book Antiqua"/>
          <w:b/>
          <w:bCs/>
          <w:sz w:val="24"/>
          <w:szCs w:val="24"/>
          <w:lang w:val="en-US"/>
        </w:rPr>
        <w:t>ip</w:t>
      </w:r>
      <w:r w:rsidRPr="00260125">
        <w:rPr>
          <w:rFonts w:ascii="Book Antiqua" w:hAnsi="Book Antiqua"/>
          <w:b/>
          <w:bCs/>
          <w:sz w:val="24"/>
          <w:szCs w:val="24"/>
          <w:lang w:val="en-US" w:eastAsia="zh-CN"/>
        </w:rPr>
        <w:t>:</w:t>
      </w:r>
      <w:r>
        <w:rPr>
          <w:rFonts w:ascii="Book Antiqua" w:hAnsi="Book Antiqua"/>
          <w:b/>
          <w:bCs/>
          <w:sz w:val="24"/>
          <w:szCs w:val="24"/>
          <w:lang w:val="en-US" w:eastAsia="zh-CN"/>
        </w:rPr>
        <w:t xml:space="preserve"> </w:t>
      </w:r>
      <w:r w:rsidRPr="00260125">
        <w:rPr>
          <w:rFonts w:ascii="Book Antiqua" w:hAnsi="Book Antiqua"/>
          <w:sz w:val="24"/>
          <w:szCs w:val="24"/>
          <w:lang w:val="en-US"/>
        </w:rPr>
        <w:t xml:space="preserve">Patients treated with </w:t>
      </w:r>
      <w:proofErr w:type="spellStart"/>
      <w:r w:rsidRPr="00260125">
        <w:rPr>
          <w:rFonts w:ascii="Book Antiqua" w:hAnsi="Book Antiqua"/>
          <w:sz w:val="24"/>
          <w:szCs w:val="24"/>
          <w:lang w:val="en-US"/>
        </w:rPr>
        <w:t>entecavir</w:t>
      </w:r>
      <w:proofErr w:type="spellEnd"/>
      <w:r w:rsidRPr="00260125">
        <w:rPr>
          <w:rFonts w:ascii="Book Antiqua" w:hAnsi="Book Antiqua"/>
          <w:sz w:val="24"/>
          <w:szCs w:val="24"/>
          <w:lang w:val="en-US"/>
        </w:rPr>
        <w:t xml:space="preserve"> or </w:t>
      </w:r>
      <w:proofErr w:type="spellStart"/>
      <w:r w:rsidRPr="00260125">
        <w:rPr>
          <w:rFonts w:ascii="Book Antiqua" w:hAnsi="Book Antiqua"/>
          <w:sz w:val="24"/>
          <w:szCs w:val="24"/>
          <w:lang w:val="en-US"/>
        </w:rPr>
        <w:t>tenofovir</w:t>
      </w:r>
      <w:proofErr w:type="spellEnd"/>
      <w:r w:rsidRPr="00260125">
        <w:rPr>
          <w:rFonts w:ascii="Book Antiqua" w:hAnsi="Book Antiqua"/>
          <w:sz w:val="24"/>
          <w:szCs w:val="24"/>
          <w:lang w:val="en-US"/>
        </w:rPr>
        <w:t xml:space="preserve"> in routine clinical practice at referral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with good clinical follow-up and adherence to international guidelines, can achieve high treatment response rates with a very low rate of adverse events.</w:t>
      </w:r>
    </w:p>
    <w:p w:rsidR="004C196A" w:rsidRDefault="004C196A" w:rsidP="00260125">
      <w:pPr>
        <w:spacing w:after="0" w:line="360" w:lineRule="auto"/>
        <w:jc w:val="both"/>
        <w:rPr>
          <w:rFonts w:ascii="Book Antiqua" w:hAnsi="Book Antiqua"/>
          <w:sz w:val="24"/>
          <w:szCs w:val="24"/>
          <w:lang w:val="en-US" w:eastAsia="zh-CN"/>
        </w:rPr>
      </w:pPr>
    </w:p>
    <w:p w:rsidR="004C196A" w:rsidRPr="00092706" w:rsidRDefault="004C196A" w:rsidP="00D87156">
      <w:pPr>
        <w:spacing w:after="0" w:line="360" w:lineRule="auto"/>
        <w:jc w:val="both"/>
        <w:rPr>
          <w:rFonts w:ascii="Book Antiqua" w:hAnsi="Book Antiqua"/>
          <w:sz w:val="24"/>
          <w:szCs w:val="24"/>
          <w:lang w:val="en-US" w:eastAsia="zh-CN"/>
        </w:rPr>
      </w:pPr>
      <w:proofErr w:type="spellStart"/>
      <w:proofErr w:type="gramStart"/>
      <w:r w:rsidRPr="00092706">
        <w:rPr>
          <w:rFonts w:ascii="Book Antiqua" w:hAnsi="Book Antiqua"/>
          <w:sz w:val="24"/>
          <w:szCs w:val="24"/>
          <w:lang w:val="en-US"/>
        </w:rPr>
        <w:t>Ridruejo</w:t>
      </w:r>
      <w:proofErr w:type="spellEnd"/>
      <w:r w:rsidRPr="00092706">
        <w:rPr>
          <w:rFonts w:ascii="Book Antiqua" w:hAnsi="Book Antiqua"/>
          <w:sz w:val="24"/>
          <w:szCs w:val="24"/>
          <w:lang w:val="en-US" w:eastAsia="zh-CN"/>
        </w:rPr>
        <w:t xml:space="preserve"> E. </w:t>
      </w:r>
      <w:r w:rsidRPr="00777449">
        <w:rPr>
          <w:rFonts w:ascii="Book Antiqua" w:hAnsi="Book Antiqua"/>
          <w:sz w:val="24"/>
          <w:szCs w:val="24"/>
          <w:lang w:val="en-US"/>
        </w:rPr>
        <w:t xml:space="preserve">Treatment of chronic hepatitis B in clinical practice with </w:t>
      </w:r>
      <w:proofErr w:type="spellStart"/>
      <w:r w:rsidRPr="00777449">
        <w:rPr>
          <w:rFonts w:ascii="Book Antiqua" w:hAnsi="Book Antiqua"/>
          <w:sz w:val="24"/>
          <w:szCs w:val="24"/>
          <w:lang w:val="en-US"/>
        </w:rPr>
        <w:t>entecavir</w:t>
      </w:r>
      <w:proofErr w:type="spellEnd"/>
      <w:r w:rsidRPr="00777449">
        <w:rPr>
          <w:rFonts w:ascii="Book Antiqua" w:hAnsi="Book Antiqua"/>
          <w:sz w:val="24"/>
          <w:szCs w:val="24"/>
          <w:lang w:val="en-US"/>
        </w:rPr>
        <w:t xml:space="preserve"> or </w:t>
      </w:r>
      <w:proofErr w:type="spellStart"/>
      <w:r w:rsidRPr="00777449">
        <w:rPr>
          <w:rFonts w:ascii="Book Antiqua" w:hAnsi="Book Antiqua"/>
          <w:sz w:val="24"/>
          <w:szCs w:val="24"/>
          <w:lang w:val="en-US"/>
        </w:rPr>
        <w:t>tenofovir</w:t>
      </w:r>
      <w:proofErr w:type="spellEnd"/>
      <w:r w:rsidRPr="00777449">
        <w:rPr>
          <w:rFonts w:ascii="Book Antiqua" w:hAnsi="Book Antiqua"/>
          <w:sz w:val="24"/>
          <w:szCs w:val="24"/>
          <w:lang w:val="en-US" w:eastAsia="zh-CN"/>
        </w:rPr>
        <w:t>.</w:t>
      </w:r>
      <w:proofErr w:type="gramEnd"/>
    </w:p>
    <w:p w:rsidR="004C196A" w:rsidRPr="00092706" w:rsidRDefault="004C196A" w:rsidP="00D87156">
      <w:pPr>
        <w:spacing w:after="0" w:line="360" w:lineRule="auto"/>
        <w:jc w:val="both"/>
        <w:rPr>
          <w:rFonts w:ascii="Book Antiqua" w:hAnsi="Book Antiqua"/>
          <w:sz w:val="24"/>
          <w:lang w:val="en-US"/>
        </w:rPr>
      </w:pPr>
      <w:bookmarkStart w:id="5" w:name="OLE_LINK22"/>
      <w:r w:rsidRPr="00092706">
        <w:rPr>
          <w:rFonts w:ascii="Book Antiqua" w:hAnsi="Book Antiqua"/>
          <w:b/>
          <w:sz w:val="24"/>
          <w:lang w:val="en-US"/>
        </w:rPr>
        <w:t>Available from:</w:t>
      </w:r>
      <w:r w:rsidRPr="00092706">
        <w:rPr>
          <w:rFonts w:ascii="Book Antiqua" w:hAnsi="Book Antiqua"/>
          <w:sz w:val="24"/>
          <w:lang w:val="en-US"/>
        </w:rPr>
        <w:t xml:space="preserve"> URL: http://www.wjgnet.com/1007-9327/</w:t>
      </w:r>
    </w:p>
    <w:p w:rsidR="004C196A" w:rsidRPr="00092706" w:rsidRDefault="004C196A" w:rsidP="00D87156">
      <w:pPr>
        <w:spacing w:after="0" w:line="360" w:lineRule="auto"/>
        <w:jc w:val="both"/>
        <w:rPr>
          <w:rFonts w:ascii="Book Antiqua" w:hAnsi="Book Antiqua"/>
          <w:sz w:val="24"/>
          <w:lang w:val="en-US"/>
        </w:rPr>
      </w:pPr>
      <w:r w:rsidRPr="00092706">
        <w:rPr>
          <w:rFonts w:ascii="Book Antiqua" w:hAnsi="Book Antiqua"/>
          <w:b/>
          <w:sz w:val="24"/>
          <w:lang w:val="en-US"/>
        </w:rPr>
        <w:t xml:space="preserve">DOI: </w:t>
      </w:r>
      <w:r w:rsidRPr="00092706">
        <w:rPr>
          <w:rFonts w:ascii="Book Antiqua" w:hAnsi="Book Antiqua"/>
          <w:sz w:val="24"/>
          <w:lang w:val="en-US"/>
        </w:rPr>
        <w:t>http://dx.doi.org/10.3748/</w:t>
      </w:r>
    </w:p>
    <w:bookmarkEnd w:id="5"/>
    <w:p w:rsidR="004C196A" w:rsidRPr="00092706" w:rsidRDefault="004C196A" w:rsidP="00260125">
      <w:pPr>
        <w:spacing w:after="0" w:line="360" w:lineRule="auto"/>
        <w:jc w:val="both"/>
        <w:rPr>
          <w:rFonts w:ascii="Book Antiqua" w:hAnsi="Book Antiqua"/>
          <w:sz w:val="24"/>
          <w:szCs w:val="24"/>
          <w:lang w:val="en-US" w:eastAsia="zh-CN"/>
        </w:rPr>
      </w:pPr>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br w:type="page"/>
      </w:r>
    </w:p>
    <w:p w:rsidR="004C196A" w:rsidRPr="00085839" w:rsidRDefault="004C196A" w:rsidP="00260125">
      <w:pPr>
        <w:spacing w:after="0" w:line="360" w:lineRule="auto"/>
        <w:jc w:val="both"/>
        <w:rPr>
          <w:rFonts w:ascii="Book Antiqua" w:hAnsi="Book Antiqua"/>
          <w:b/>
          <w:sz w:val="24"/>
          <w:szCs w:val="24"/>
          <w:lang w:val="en-US" w:eastAsia="zh-CN"/>
        </w:rPr>
      </w:pPr>
      <w:r w:rsidRPr="00085839">
        <w:rPr>
          <w:rFonts w:ascii="Book Antiqua" w:hAnsi="Book Antiqua"/>
          <w:b/>
          <w:sz w:val="24"/>
          <w:szCs w:val="24"/>
          <w:lang w:val="en-US"/>
        </w:rPr>
        <w:t>INTRODUCTION</w:t>
      </w:r>
    </w:p>
    <w:p w:rsidR="004C196A" w:rsidRPr="00260125" w:rsidRDefault="004C196A" w:rsidP="00260125">
      <w:pPr>
        <w:spacing w:after="0" w:line="360" w:lineRule="auto"/>
        <w:jc w:val="both"/>
        <w:rPr>
          <w:rFonts w:ascii="Book Antiqua" w:hAnsi="Book Antiqua"/>
          <w:bCs/>
          <w:sz w:val="24"/>
          <w:szCs w:val="24"/>
          <w:lang w:val="en-US" w:eastAsia="zh-CN"/>
        </w:rPr>
      </w:pPr>
      <w:r w:rsidRPr="00260125">
        <w:rPr>
          <w:rFonts w:ascii="Book Antiqua" w:hAnsi="Book Antiqua"/>
          <w:sz w:val="24"/>
          <w:szCs w:val="24"/>
          <w:lang w:val="en-US"/>
        </w:rPr>
        <w:t>The hepatitis B virus (HBV) is estimated to have infected more than 2 billion people worldwide, of whom 400 million are chronically infected today and are at an increased risk of liver-related complications, including cirrhosis, liver failure, hepatocellular carcinoma (HCC) and death</w:t>
      </w:r>
      <w:r w:rsidRPr="00260125">
        <w:rPr>
          <w:rFonts w:ascii="Book Antiqua" w:hAnsi="Book Antiqua"/>
          <w:sz w:val="24"/>
          <w:szCs w:val="24"/>
          <w:vertAlign w:val="superscript"/>
          <w:lang w:val="en-US" w:eastAsia="zh-CN"/>
        </w:rPr>
        <w:t>[</w:t>
      </w:r>
      <w:r w:rsidRPr="00260125">
        <w:rPr>
          <w:rFonts w:ascii="Book Antiqua" w:hAnsi="Book Antiqua"/>
          <w:sz w:val="24"/>
          <w:szCs w:val="24"/>
          <w:vertAlign w:val="superscript"/>
          <w:lang w:val="en-US"/>
        </w:rPr>
        <w:t>1,2</w:t>
      </w:r>
      <w:r w:rsidRPr="00260125">
        <w:rPr>
          <w:rFonts w:ascii="Book Antiqua" w:hAnsi="Book Antiqua"/>
          <w:sz w:val="24"/>
          <w:szCs w:val="24"/>
          <w:vertAlign w:val="superscript"/>
          <w:lang w:val="en-US" w:eastAsia="zh-CN"/>
        </w:rPr>
        <w:t>]</w:t>
      </w:r>
      <w:r w:rsidRPr="00260125">
        <w:rPr>
          <w:rFonts w:ascii="Book Antiqua" w:hAnsi="Book Antiqua"/>
          <w:sz w:val="24"/>
          <w:szCs w:val="24"/>
          <w:lang w:val="en-US"/>
        </w:rPr>
        <w:t>. In most regions of America, HBV prevalence is relatively low, with hepatitis B surface antigen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positivity ranging from &lt;</w:t>
      </w:r>
      <w:r>
        <w:rPr>
          <w:rFonts w:ascii="Book Antiqua" w:hAnsi="Book Antiqua"/>
          <w:sz w:val="24"/>
          <w:szCs w:val="24"/>
          <w:lang w:val="en-US" w:eastAsia="zh-CN"/>
        </w:rPr>
        <w:t xml:space="preserve"> </w:t>
      </w:r>
      <w:r w:rsidRPr="00260125">
        <w:rPr>
          <w:rFonts w:ascii="Book Antiqua" w:hAnsi="Book Antiqua"/>
          <w:sz w:val="24"/>
          <w:szCs w:val="24"/>
          <w:lang w:val="en-US"/>
        </w:rPr>
        <w:t>2% to 7% compared with Asia, Africa and the Middle East, where chronic hepatitis B (CHB) prevalence rates reach 5%</w:t>
      </w:r>
      <w:r>
        <w:rPr>
          <w:rFonts w:ascii="Book Antiqua" w:hAnsi="Book Antiqua"/>
          <w:sz w:val="24"/>
          <w:szCs w:val="24"/>
          <w:lang w:val="en-US" w:eastAsia="zh-CN"/>
        </w:rPr>
        <w:t>-</w:t>
      </w:r>
      <w:r w:rsidRPr="00260125">
        <w:rPr>
          <w:rFonts w:ascii="Book Antiqua" w:hAnsi="Book Antiqua"/>
          <w:sz w:val="24"/>
          <w:szCs w:val="24"/>
          <w:lang w:val="en-US"/>
        </w:rPr>
        <w:t>20</w:t>
      </w:r>
      <w:bookmarkStart w:id="6" w:name="OLE_LINK28"/>
      <w:r w:rsidRPr="00260125">
        <w:rPr>
          <w:rFonts w:ascii="Book Antiqua" w:hAnsi="Book Antiqua"/>
          <w:sz w:val="24"/>
          <w:szCs w:val="24"/>
          <w:lang w:val="en-US"/>
        </w:rPr>
        <w:t>%</w:t>
      </w:r>
      <w:bookmarkEnd w:id="6"/>
      <w:r w:rsidRPr="00260125">
        <w:rPr>
          <w:rFonts w:ascii="Book Antiqua" w:hAnsi="Book Antiqua"/>
          <w:sz w:val="24"/>
          <w:szCs w:val="24"/>
          <w:lang w:val="en-US"/>
        </w:rPr>
        <w:t xml:space="preserve"> of the general population</w:t>
      </w:r>
      <w:r w:rsidRPr="00260125">
        <w:rPr>
          <w:rFonts w:ascii="Book Antiqua" w:hAnsi="Book Antiqua"/>
          <w:sz w:val="24"/>
          <w:szCs w:val="24"/>
          <w:vertAlign w:val="superscript"/>
          <w:lang w:val="en-US" w:eastAsia="zh-CN"/>
        </w:rPr>
        <w:t>[</w:t>
      </w:r>
      <w:r w:rsidRPr="00260125">
        <w:rPr>
          <w:rFonts w:ascii="Book Antiqua" w:hAnsi="Book Antiqua"/>
          <w:sz w:val="24"/>
          <w:szCs w:val="24"/>
          <w:vertAlign w:val="superscript"/>
          <w:lang w:val="en-US"/>
        </w:rPr>
        <w:t>2,3</w:t>
      </w:r>
      <w:r w:rsidRPr="00260125">
        <w:rPr>
          <w:rFonts w:ascii="Book Antiqua" w:hAnsi="Book Antiqua"/>
          <w:sz w:val="24"/>
          <w:szCs w:val="24"/>
          <w:vertAlign w:val="superscript"/>
          <w:lang w:val="en-US" w:eastAsia="zh-CN"/>
        </w:rPr>
        <w:t>]</w:t>
      </w:r>
      <w:r w:rsidRPr="00260125">
        <w:rPr>
          <w:rFonts w:ascii="Book Antiqua" w:hAnsi="Book Antiqua"/>
          <w:sz w:val="24"/>
          <w:szCs w:val="24"/>
          <w:lang w:val="en-US"/>
        </w:rPr>
        <w:t>. Indications for treatment have been established by s</w:t>
      </w:r>
      <w:r>
        <w:rPr>
          <w:rFonts w:ascii="Book Antiqua" w:hAnsi="Book Antiqua"/>
          <w:sz w:val="24"/>
          <w:szCs w:val="24"/>
          <w:lang w:val="en-US"/>
        </w:rPr>
        <w:t xml:space="preserve">everal international </w:t>
      </w:r>
      <w:proofErr w:type="gramStart"/>
      <w:r>
        <w:rPr>
          <w:rFonts w:ascii="Book Antiqua" w:hAnsi="Book Antiqua"/>
          <w:sz w:val="24"/>
          <w:szCs w:val="24"/>
          <w:lang w:val="en-US"/>
        </w:rPr>
        <w:t>guidelines</w:t>
      </w:r>
      <w:r w:rsidRPr="00260125">
        <w:rPr>
          <w:rFonts w:ascii="Book Antiqua" w:hAnsi="Book Antiqua"/>
          <w:sz w:val="24"/>
          <w:szCs w:val="24"/>
          <w:vertAlign w:val="superscript"/>
          <w:lang w:val="en-US"/>
        </w:rPr>
        <w:t>[</w:t>
      </w:r>
      <w:proofErr w:type="gramEnd"/>
      <w:r w:rsidRPr="00260125">
        <w:rPr>
          <w:rFonts w:ascii="Book Antiqua" w:hAnsi="Book Antiqua"/>
          <w:sz w:val="24"/>
          <w:szCs w:val="24"/>
          <w:vertAlign w:val="superscript"/>
          <w:lang w:val="en-US"/>
        </w:rPr>
        <w:t>3,4]</w:t>
      </w:r>
      <w:r w:rsidRPr="00260125">
        <w:rPr>
          <w:rFonts w:ascii="Book Antiqua" w:hAnsi="Book Antiqua"/>
          <w:sz w:val="24"/>
          <w:szCs w:val="24"/>
          <w:lang w:val="en-US"/>
        </w:rPr>
        <w:t xml:space="preserve">. </w:t>
      </w:r>
      <w:r w:rsidRPr="00260125">
        <w:rPr>
          <w:rFonts w:ascii="Book Antiqua" w:hAnsi="Book Antiqua"/>
          <w:bCs/>
          <w:sz w:val="24"/>
          <w:szCs w:val="24"/>
          <w:lang w:val="en-US"/>
        </w:rPr>
        <w:t>Treatment end-points are complete viral suppression (undetectable levels of HBV DNA replication), hepatitis B e antigen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clearance and </w:t>
      </w:r>
      <w:proofErr w:type="spellStart"/>
      <w:r w:rsidRPr="00260125">
        <w:rPr>
          <w:rFonts w:ascii="Book Antiqua" w:hAnsi="Book Antiqua"/>
          <w:bCs/>
          <w:sz w:val="24"/>
          <w:szCs w:val="24"/>
          <w:lang w:val="en-US"/>
        </w:rPr>
        <w:t>seroconversion</w:t>
      </w:r>
      <w:proofErr w:type="spellEnd"/>
      <w:r w:rsidRPr="00260125">
        <w:rPr>
          <w:rFonts w:ascii="Book Antiqua" w:hAnsi="Book Antiqua"/>
          <w:bCs/>
          <w:sz w:val="24"/>
          <w:szCs w:val="24"/>
          <w:lang w:val="en-US"/>
        </w:rPr>
        <w:t xml:space="preserve"> in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-positive patients, and if possible </w:t>
      </w:r>
      <w:proofErr w:type="spellStart"/>
      <w:r w:rsidRPr="00260125">
        <w:rPr>
          <w:rFonts w:ascii="Book Antiqua" w:hAnsi="Book Antiqua"/>
          <w:bCs/>
          <w:sz w:val="24"/>
          <w:szCs w:val="24"/>
          <w:lang w:val="en-US"/>
        </w:rPr>
        <w:t>HBsAg</w:t>
      </w:r>
      <w:proofErr w:type="spellEnd"/>
      <w:r w:rsidRPr="00260125">
        <w:rPr>
          <w:rFonts w:ascii="Book Antiqua" w:hAnsi="Book Antiqua"/>
          <w:bCs/>
          <w:sz w:val="24"/>
          <w:szCs w:val="24"/>
          <w:lang w:val="en-US"/>
        </w:rPr>
        <w:t xml:space="preserve"> clearance and </w:t>
      </w:r>
      <w:r>
        <w:rPr>
          <w:rFonts w:ascii="Book Antiqua" w:hAnsi="Book Antiqua"/>
          <w:bCs/>
          <w:sz w:val="24"/>
          <w:szCs w:val="24"/>
          <w:lang w:val="en-US"/>
        </w:rPr>
        <w:t xml:space="preserve">development of </w:t>
      </w:r>
      <w:proofErr w:type="spellStart"/>
      <w:r>
        <w:rPr>
          <w:rFonts w:ascii="Book Antiqua" w:hAnsi="Book Antiqua"/>
          <w:bCs/>
          <w:sz w:val="24"/>
          <w:szCs w:val="24"/>
          <w:lang w:val="en-US"/>
        </w:rPr>
        <w:t>antiHBs</w:t>
      </w:r>
      <w:proofErr w:type="spellEnd"/>
      <w:r>
        <w:rPr>
          <w:rFonts w:ascii="Book Antiqua" w:hAnsi="Book Antiqua"/>
          <w:bCs/>
          <w:sz w:val="24"/>
          <w:szCs w:val="24"/>
          <w:lang w:val="en-US"/>
        </w:rPr>
        <w:t xml:space="preserve"> </w:t>
      </w:r>
      <w:proofErr w:type="gramStart"/>
      <w:r>
        <w:rPr>
          <w:rFonts w:ascii="Book Antiqua" w:hAnsi="Book Antiqua"/>
          <w:bCs/>
          <w:sz w:val="24"/>
          <w:szCs w:val="24"/>
          <w:lang w:val="en-US"/>
        </w:rPr>
        <w:t>antibody</w:t>
      </w:r>
      <w:r w:rsidRPr="00260125">
        <w:rPr>
          <w:rFonts w:ascii="Book Antiqua" w:hAnsi="Book Antiqua"/>
          <w:bCs/>
          <w:sz w:val="24"/>
          <w:szCs w:val="24"/>
          <w:vertAlign w:val="superscript"/>
          <w:lang w:val="en-US"/>
        </w:rPr>
        <w:t>[</w:t>
      </w:r>
      <w:proofErr w:type="gramEnd"/>
      <w:r w:rsidRPr="00260125">
        <w:rPr>
          <w:rFonts w:ascii="Book Antiqua" w:hAnsi="Book Antiqua"/>
          <w:sz w:val="24"/>
          <w:szCs w:val="24"/>
          <w:vertAlign w:val="superscript"/>
          <w:lang w:val="en-US"/>
        </w:rPr>
        <w:t>3,4]</w:t>
      </w:r>
      <w:r w:rsidRPr="00260125">
        <w:rPr>
          <w:rFonts w:ascii="Book Antiqua" w:hAnsi="Book Antiqua"/>
          <w:bCs/>
          <w:sz w:val="24"/>
          <w:szCs w:val="24"/>
          <w:lang w:val="en-US"/>
        </w:rPr>
        <w:t xml:space="preserve">. Patients achieving these serologic end-points may discontinue treatment, after an additional 6-12 </w:t>
      </w:r>
      <w:proofErr w:type="spellStart"/>
      <w:r w:rsidRPr="00260125">
        <w:rPr>
          <w:rFonts w:ascii="Book Antiqua" w:hAnsi="Book Antiqua"/>
          <w:bCs/>
          <w:sz w:val="24"/>
          <w:szCs w:val="24"/>
          <w:lang w:val="en-US"/>
        </w:rPr>
        <w:t>mo</w:t>
      </w:r>
      <w:proofErr w:type="spellEnd"/>
      <w:r w:rsidRPr="00260125">
        <w:rPr>
          <w:rFonts w:ascii="Book Antiqua" w:hAnsi="Book Antiqua"/>
          <w:bCs/>
          <w:sz w:val="24"/>
          <w:szCs w:val="24"/>
          <w:lang w:val="en-US"/>
        </w:rPr>
        <w:t xml:space="preserve"> period of consolidation therapy, according to the cited guidelines. The goal of HBV treatment is to improve survival by preventing disease progression to </w:t>
      </w:r>
      <w:r>
        <w:rPr>
          <w:rFonts w:ascii="Book Antiqua" w:hAnsi="Book Antiqua"/>
          <w:bCs/>
          <w:sz w:val="24"/>
          <w:szCs w:val="24"/>
          <w:lang w:val="en-US"/>
        </w:rPr>
        <w:t xml:space="preserve">decompensated cirrhosis and </w:t>
      </w:r>
      <w:proofErr w:type="gramStart"/>
      <w:r>
        <w:rPr>
          <w:rFonts w:ascii="Book Antiqua" w:hAnsi="Book Antiqua"/>
          <w:bCs/>
          <w:sz w:val="24"/>
          <w:szCs w:val="24"/>
          <w:lang w:val="en-US"/>
        </w:rPr>
        <w:t>HCC</w:t>
      </w:r>
      <w:r w:rsidRPr="00260125">
        <w:rPr>
          <w:rFonts w:ascii="Book Antiqua" w:hAnsi="Book Antiqua"/>
          <w:bCs/>
          <w:sz w:val="24"/>
          <w:szCs w:val="24"/>
          <w:vertAlign w:val="superscript"/>
          <w:lang w:val="en-US"/>
        </w:rPr>
        <w:t>[</w:t>
      </w:r>
      <w:proofErr w:type="gramEnd"/>
      <w:r w:rsidRPr="00260125">
        <w:rPr>
          <w:rFonts w:ascii="Book Antiqua" w:hAnsi="Book Antiqua"/>
          <w:sz w:val="24"/>
          <w:szCs w:val="24"/>
          <w:vertAlign w:val="superscript"/>
          <w:lang w:val="en-US"/>
        </w:rPr>
        <w:t>3,4]</w:t>
      </w:r>
      <w:r>
        <w:rPr>
          <w:rFonts w:ascii="Book Antiqua" w:hAnsi="Book Antiqua"/>
          <w:bCs/>
          <w:sz w:val="24"/>
          <w:szCs w:val="24"/>
          <w:lang w:val="en-US"/>
        </w:rPr>
        <w:t>.</w:t>
      </w:r>
    </w:p>
    <w:p w:rsidR="004C196A" w:rsidRPr="00260125" w:rsidRDefault="004C196A" w:rsidP="00DD35A8">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 xml:space="preserve">Treatment induced suppression of HBV DNA to undetectable levels reduce the risk of disease progression </w:t>
      </w:r>
      <w:r w:rsidRPr="00260125">
        <w:rPr>
          <w:rFonts w:ascii="Book Antiqua" w:eastAsia="Times New Roman" w:hAnsi="Book Antiqua"/>
          <w:sz w:val="24"/>
          <w:szCs w:val="24"/>
          <w:lang w:val="en-US"/>
        </w:rPr>
        <w:t xml:space="preserve">improving liver fibrosis, </w:t>
      </w:r>
      <w:r w:rsidRPr="00260125">
        <w:rPr>
          <w:rFonts w:ascii="Book Antiqua" w:hAnsi="Book Antiqua"/>
          <w:sz w:val="24"/>
          <w:szCs w:val="24"/>
          <w:lang w:val="en-US"/>
        </w:rPr>
        <w:t xml:space="preserve">and can result in </w:t>
      </w:r>
      <w:r w:rsidRPr="00260125">
        <w:rPr>
          <w:rFonts w:ascii="Book Antiqua" w:eastAsia="Times New Roman" w:hAnsi="Book Antiqua"/>
          <w:sz w:val="24"/>
          <w:szCs w:val="24"/>
          <w:lang w:val="en-US"/>
        </w:rPr>
        <w:t>fi</w:t>
      </w:r>
      <w:r>
        <w:rPr>
          <w:rFonts w:ascii="Book Antiqua" w:eastAsia="Times New Roman" w:hAnsi="Book Antiqua"/>
          <w:sz w:val="24"/>
          <w:szCs w:val="24"/>
          <w:lang w:val="en-US"/>
        </w:rPr>
        <w:t>brosis and cirrhosis regression</w:t>
      </w:r>
      <w:r w:rsidRPr="00260125">
        <w:rPr>
          <w:rFonts w:ascii="Book Antiqua" w:eastAsia="Times New Roman" w:hAnsi="Book Antiqua"/>
          <w:sz w:val="24"/>
          <w:szCs w:val="24"/>
          <w:vertAlign w:val="superscript"/>
          <w:lang w:val="en-US"/>
        </w:rPr>
        <w:t>[5,6]</w:t>
      </w:r>
      <w:r w:rsidRPr="00260125">
        <w:rPr>
          <w:rFonts w:ascii="Book Antiqua" w:eastAsia="Times New Roman" w:hAnsi="Book Antiqua"/>
          <w:sz w:val="24"/>
          <w:szCs w:val="24"/>
          <w:lang w:val="en-US"/>
        </w:rPr>
        <w:t xml:space="preserve">. Also, HBV DNA clearance is associated with increased rates of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and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the ultimate goal of HBV therapy. Since HBV DNA is integrated in the host genome, HBV persists in the</w:t>
      </w:r>
      <w:r>
        <w:rPr>
          <w:rFonts w:ascii="Book Antiqua" w:eastAsia="Times New Roman" w:hAnsi="Book Antiqua"/>
          <w:sz w:val="24"/>
          <w:szCs w:val="24"/>
          <w:lang w:val="en-US"/>
        </w:rPr>
        <w:t xml:space="preserve"> covalently closed circular DNA</w:t>
      </w:r>
      <w:r w:rsidRPr="00260125">
        <w:rPr>
          <w:rFonts w:ascii="Book Antiqua" w:eastAsia="Times New Roman" w:hAnsi="Book Antiqua"/>
          <w:sz w:val="24"/>
          <w:szCs w:val="24"/>
          <w:lang w:val="en-US"/>
        </w:rPr>
        <w:t xml:space="preserve"> form in the hepatocyte even if HBV DNA is not detectable in the serum. This HBV persistence may result in reactivation and </w:t>
      </w:r>
      <w:proofErr w:type="spellStart"/>
      <w:r w:rsidRPr="00260125">
        <w:rPr>
          <w:rFonts w:ascii="Book Antiqua" w:eastAsia="Times New Roman" w:hAnsi="Book Antiqua"/>
          <w:sz w:val="24"/>
          <w:szCs w:val="24"/>
          <w:lang w:val="en-US"/>
        </w:rPr>
        <w:t>hepatocarcinogenesis</w:t>
      </w:r>
      <w:proofErr w:type="spellEnd"/>
      <w:r w:rsidRPr="00260125">
        <w:rPr>
          <w:rFonts w:ascii="Book Antiqua" w:eastAsia="Times New Roman" w:hAnsi="Book Antiqua"/>
          <w:sz w:val="24"/>
          <w:szCs w:val="24"/>
          <w:lang w:val="en-US"/>
        </w:rPr>
        <w:t xml:space="preserve">. Long-term treatment </w:t>
      </w:r>
      <w:proofErr w:type="spellStart"/>
      <w:proofErr w:type="gramStart"/>
      <w:r w:rsidRPr="00260125">
        <w:rPr>
          <w:rFonts w:ascii="Book Antiqua" w:eastAsia="Times New Roman" w:hAnsi="Book Antiqua"/>
          <w:sz w:val="24"/>
          <w:szCs w:val="24"/>
          <w:lang w:val="en-US"/>
        </w:rPr>
        <w:t>nucleos</w:t>
      </w:r>
      <w:proofErr w:type="spellEnd"/>
      <w:r w:rsidRPr="00260125">
        <w:rPr>
          <w:rFonts w:ascii="Book Antiqua" w:eastAsia="Times New Roman" w:hAnsi="Book Antiqua"/>
          <w:sz w:val="24"/>
          <w:szCs w:val="24"/>
          <w:lang w:val="en-US"/>
        </w:rPr>
        <w:t>(</w:t>
      </w:r>
      <w:proofErr w:type="gramEnd"/>
      <w:r w:rsidRPr="00260125">
        <w:rPr>
          <w:rFonts w:ascii="Book Antiqua" w:eastAsia="Times New Roman" w:hAnsi="Book Antiqua"/>
          <w:sz w:val="24"/>
          <w:szCs w:val="24"/>
          <w:lang w:val="en-US"/>
        </w:rPr>
        <w:t xml:space="preserve">t)ide analogs (NUC) is required in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negative and positive patients who cannot maintain off-treatment </w:t>
      </w:r>
      <w:proofErr w:type="spellStart"/>
      <w:r w:rsidRPr="00260125">
        <w:rPr>
          <w:rFonts w:ascii="Book Antiqua" w:eastAsia="Times New Roman" w:hAnsi="Book Antiqua"/>
          <w:sz w:val="24"/>
          <w:szCs w:val="24"/>
          <w:lang w:val="en-US"/>
        </w:rPr>
        <w:t>virologic</w:t>
      </w:r>
      <w:proofErr w:type="spellEnd"/>
      <w:r w:rsidRPr="00260125">
        <w:rPr>
          <w:rFonts w:ascii="Book Antiqua" w:eastAsia="Times New Roman" w:hAnsi="Book Antiqua"/>
          <w:sz w:val="24"/>
          <w:szCs w:val="24"/>
          <w:lang w:val="en-US"/>
        </w:rPr>
        <w:t xml:space="preserve"> suppression.</w:t>
      </w:r>
    </w:p>
    <w:p w:rsidR="004C196A" w:rsidRPr="00260125" w:rsidRDefault="004C196A" w:rsidP="006C4042">
      <w:pPr>
        <w:spacing w:after="0" w:line="360" w:lineRule="auto"/>
        <w:ind w:firstLineChars="100" w:firstLine="240"/>
        <w:jc w:val="both"/>
        <w:rPr>
          <w:rFonts w:ascii="Book Antiqua" w:hAnsi="Book Antiqua"/>
          <w:sz w:val="24"/>
          <w:szCs w:val="24"/>
          <w:lang w:val="en-US" w:eastAsia="zh-CN"/>
        </w:rPr>
      </w:pPr>
      <w:proofErr w:type="spellStart"/>
      <w:r w:rsidRPr="00260125">
        <w:rPr>
          <w:rFonts w:ascii="Book Antiqua" w:hAnsi="Book Antiqua"/>
          <w:sz w:val="24"/>
          <w:szCs w:val="24"/>
          <w:lang w:val="en-US"/>
        </w:rPr>
        <w:lastRenderedPageBreak/>
        <w:t>Pegylated</w:t>
      </w:r>
      <w:proofErr w:type="spellEnd"/>
      <w:r w:rsidRPr="00260125">
        <w:rPr>
          <w:rFonts w:ascii="Book Antiqua" w:hAnsi="Book Antiqua"/>
          <w:sz w:val="24"/>
          <w:szCs w:val="24"/>
          <w:lang w:val="en-US"/>
        </w:rPr>
        <w:t xml:space="preserve"> interferon alpha (P</w:t>
      </w:r>
      <w:r w:rsidRPr="00260125">
        <w:rPr>
          <w:rFonts w:ascii="Book Antiqua" w:hAnsi="Book Antiqua"/>
          <w:bCs/>
          <w:sz w:val="24"/>
          <w:szCs w:val="24"/>
          <w:lang w:val="en-US"/>
        </w:rPr>
        <w:t xml:space="preserve">EG-IFN </w:t>
      </w:r>
      <w:r w:rsidRPr="00260125">
        <w:rPr>
          <w:rFonts w:ascii="Book Antiqua" w:hAnsi="Book Antiqua"/>
          <w:sz w:val="24"/>
          <w:szCs w:val="24"/>
          <w:lang w:val="en-US"/>
        </w:rPr>
        <w:t>alpha)</w:t>
      </w:r>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entecavir</w:t>
      </w:r>
      <w:proofErr w:type="spellEnd"/>
      <w:r w:rsidRPr="00260125">
        <w:rPr>
          <w:rFonts w:ascii="Book Antiqua" w:hAnsi="Book Antiqua"/>
          <w:bCs/>
          <w:sz w:val="24"/>
          <w:szCs w:val="24"/>
          <w:lang w:val="en-US"/>
        </w:rPr>
        <w:t xml:space="preserve"> (ETV) and </w:t>
      </w:r>
      <w:bookmarkStart w:id="7" w:name="OLE_LINK29"/>
      <w:proofErr w:type="spellStart"/>
      <w:r w:rsidRPr="00260125">
        <w:rPr>
          <w:rFonts w:ascii="Book Antiqua" w:hAnsi="Book Antiqua"/>
          <w:bCs/>
          <w:sz w:val="24"/>
          <w:szCs w:val="24"/>
          <w:lang w:val="en-US"/>
        </w:rPr>
        <w:t>tenofovir</w:t>
      </w:r>
      <w:bookmarkEnd w:id="7"/>
      <w:proofErr w:type="spellEnd"/>
      <w:r w:rsidRPr="00260125">
        <w:rPr>
          <w:rFonts w:ascii="Book Antiqua" w:hAnsi="Book Antiqua"/>
          <w:bCs/>
          <w:sz w:val="24"/>
          <w:szCs w:val="24"/>
          <w:lang w:val="en-US"/>
        </w:rPr>
        <w:t xml:space="preserve"> (TDF) had been selected </w:t>
      </w:r>
      <w:r w:rsidRPr="00260125">
        <w:rPr>
          <w:rFonts w:ascii="Book Antiqua" w:hAnsi="Book Antiqua"/>
          <w:sz w:val="24"/>
          <w:szCs w:val="24"/>
          <w:lang w:val="en-US"/>
        </w:rPr>
        <w:t>as the first-line therapy</w:t>
      </w:r>
      <w:r w:rsidRPr="00260125">
        <w:rPr>
          <w:rFonts w:ascii="Book Antiqua" w:hAnsi="Book Antiqua"/>
          <w:bCs/>
          <w:sz w:val="24"/>
          <w:szCs w:val="24"/>
          <w:lang w:val="en-US"/>
        </w:rPr>
        <w:t xml:space="preserve"> to initiate treatment in naïve CHB</w:t>
      </w:r>
      <w:r>
        <w:rPr>
          <w:rFonts w:ascii="Book Antiqua" w:hAnsi="Book Antiqua"/>
          <w:bCs/>
          <w:sz w:val="24"/>
          <w:szCs w:val="24"/>
          <w:lang w:val="en-US"/>
        </w:rPr>
        <w:t xml:space="preserve"> infected </w:t>
      </w:r>
      <w:proofErr w:type="gramStart"/>
      <w:r>
        <w:rPr>
          <w:rFonts w:ascii="Book Antiqua" w:hAnsi="Book Antiqua"/>
          <w:bCs/>
          <w:sz w:val="24"/>
          <w:szCs w:val="24"/>
          <w:lang w:val="en-US"/>
        </w:rPr>
        <w:t>patients</w:t>
      </w:r>
      <w:r w:rsidRPr="007C4341">
        <w:rPr>
          <w:rFonts w:ascii="Book Antiqua" w:hAnsi="Book Antiqua"/>
          <w:bCs/>
          <w:sz w:val="24"/>
          <w:szCs w:val="24"/>
          <w:vertAlign w:val="superscript"/>
          <w:lang w:val="en-US" w:eastAsia="zh-CN"/>
        </w:rPr>
        <w:t>[</w:t>
      </w:r>
      <w:proofErr w:type="gramEnd"/>
      <w:r w:rsidRPr="007C4341">
        <w:rPr>
          <w:rFonts w:ascii="Book Antiqua" w:hAnsi="Book Antiqua"/>
          <w:sz w:val="24"/>
          <w:szCs w:val="24"/>
          <w:vertAlign w:val="superscript"/>
          <w:lang w:val="en-US"/>
        </w:rPr>
        <w:t>3,4</w:t>
      </w:r>
      <w:r w:rsidRPr="007C4341">
        <w:rPr>
          <w:rFonts w:ascii="Book Antiqua" w:hAnsi="Book Antiqua"/>
          <w:sz w:val="24"/>
          <w:szCs w:val="24"/>
          <w:vertAlign w:val="superscript"/>
          <w:lang w:val="en-US" w:eastAsia="zh-CN"/>
        </w:rPr>
        <w:t>]</w:t>
      </w:r>
      <w:r w:rsidRPr="00260125">
        <w:rPr>
          <w:rFonts w:ascii="Book Antiqua" w:hAnsi="Book Antiqua"/>
          <w:bCs/>
          <w:sz w:val="24"/>
          <w:szCs w:val="24"/>
          <w:lang w:val="en-US"/>
        </w:rPr>
        <w:t xml:space="preserve">. Other NUCs like lamivudine (LAM), </w:t>
      </w:r>
      <w:proofErr w:type="spellStart"/>
      <w:r w:rsidRPr="00260125">
        <w:rPr>
          <w:rFonts w:ascii="Book Antiqua" w:hAnsi="Book Antiqua"/>
          <w:bCs/>
          <w:sz w:val="24"/>
          <w:szCs w:val="24"/>
          <w:lang w:val="en-US"/>
        </w:rPr>
        <w:t>adefovir</w:t>
      </w:r>
      <w:proofErr w:type="spellEnd"/>
      <w:r w:rsidRPr="00260125">
        <w:rPr>
          <w:rFonts w:ascii="Book Antiqua" w:hAnsi="Book Antiqua"/>
          <w:bCs/>
          <w:sz w:val="24"/>
          <w:szCs w:val="24"/>
          <w:lang w:val="en-US"/>
        </w:rPr>
        <w:t xml:space="preserve"> (ADV) and </w:t>
      </w:r>
      <w:proofErr w:type="spellStart"/>
      <w:r w:rsidRPr="00260125">
        <w:rPr>
          <w:rFonts w:ascii="Book Antiqua" w:hAnsi="Book Antiqua"/>
          <w:bCs/>
          <w:sz w:val="24"/>
          <w:szCs w:val="24"/>
          <w:lang w:val="en-US"/>
        </w:rPr>
        <w:t>telbivudine</w:t>
      </w:r>
      <w:proofErr w:type="spellEnd"/>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LdT</w:t>
      </w:r>
      <w:proofErr w:type="spellEnd"/>
      <w:r w:rsidRPr="00260125">
        <w:rPr>
          <w:rFonts w:ascii="Book Antiqua" w:hAnsi="Book Antiqua"/>
          <w:bCs/>
          <w:sz w:val="24"/>
          <w:szCs w:val="24"/>
          <w:lang w:val="en-US"/>
        </w:rPr>
        <w:t xml:space="preserve">), are no longer recommended as first-line therapy since </w:t>
      </w:r>
      <w:r w:rsidRPr="00260125">
        <w:rPr>
          <w:rFonts w:ascii="Book Antiqua" w:hAnsi="Book Antiqua"/>
          <w:sz w:val="24"/>
          <w:szCs w:val="24"/>
          <w:lang w:val="en-US"/>
        </w:rPr>
        <w:t>long-term therapy success with these drugs is reduced with the emer</w:t>
      </w:r>
      <w:r>
        <w:rPr>
          <w:rFonts w:ascii="Book Antiqua" w:hAnsi="Book Antiqua"/>
          <w:sz w:val="24"/>
          <w:szCs w:val="24"/>
          <w:lang w:val="en-US"/>
        </w:rPr>
        <w:t xml:space="preserve">gence of drug-resistant </w:t>
      </w:r>
      <w:proofErr w:type="gramStart"/>
      <w:r>
        <w:rPr>
          <w:rFonts w:ascii="Book Antiqua" w:hAnsi="Book Antiqua"/>
          <w:sz w:val="24"/>
          <w:szCs w:val="24"/>
          <w:lang w:val="en-US"/>
        </w:rPr>
        <w:t>mutants</w:t>
      </w:r>
      <w:r w:rsidRPr="00260125">
        <w:rPr>
          <w:rFonts w:ascii="Book Antiqua" w:hAnsi="Book Antiqua"/>
          <w:bCs/>
          <w:sz w:val="24"/>
          <w:szCs w:val="24"/>
          <w:vertAlign w:val="superscript"/>
          <w:lang w:val="en-US"/>
        </w:rPr>
        <w:t>[</w:t>
      </w:r>
      <w:proofErr w:type="gramEnd"/>
      <w:r w:rsidRPr="00260125">
        <w:rPr>
          <w:rFonts w:ascii="Book Antiqua" w:hAnsi="Book Antiqua"/>
          <w:sz w:val="24"/>
          <w:szCs w:val="24"/>
          <w:vertAlign w:val="superscript"/>
          <w:lang w:val="en-US"/>
        </w:rPr>
        <w:t>3,4]</w:t>
      </w:r>
      <w:r w:rsidRPr="00260125">
        <w:rPr>
          <w:rFonts w:ascii="Book Antiqua" w:hAnsi="Book Antiqua"/>
          <w:sz w:val="24"/>
          <w:szCs w:val="24"/>
          <w:lang w:val="en-US"/>
        </w:rPr>
        <w:t>. ETV and TDF were approved by different regulatory agencies in most countries between 2005 and 2009 on the basis of phase III clinical trials results.</w:t>
      </w:r>
      <w:r>
        <w:rPr>
          <w:rFonts w:ascii="Book Antiqua" w:hAnsi="Book Antiqua"/>
          <w:sz w:val="24"/>
          <w:szCs w:val="24"/>
          <w:lang w:val="en-US" w:eastAsia="zh-CN"/>
        </w:rPr>
        <w:t xml:space="preserve"> </w:t>
      </w:r>
      <w:r w:rsidRPr="00260125">
        <w:rPr>
          <w:rFonts w:ascii="Book Antiqua" w:hAnsi="Book Antiqua"/>
          <w:sz w:val="24"/>
          <w:szCs w:val="24"/>
          <w:lang w:val="en-US"/>
        </w:rPr>
        <w:t>Since their approval, observational studies have been performed in everyday clinical practice (also known as “real life studies”) with their long term use, adding valuable information to the efficacy and safety profiles of these two drugs. The aim of this</w:t>
      </w:r>
      <w:r>
        <w:rPr>
          <w:rFonts w:ascii="Book Antiqua" w:hAnsi="Book Antiqua"/>
          <w:sz w:val="24"/>
          <w:szCs w:val="24"/>
          <w:lang w:val="en-US" w:eastAsia="zh-CN"/>
        </w:rPr>
        <w:t xml:space="preserve"> </w:t>
      </w:r>
      <w:r w:rsidRPr="00260125">
        <w:rPr>
          <w:rFonts w:ascii="Book Antiqua" w:hAnsi="Book Antiqua"/>
          <w:bCs/>
          <w:sz w:val="24"/>
          <w:szCs w:val="24"/>
          <w:lang w:val="en-US"/>
        </w:rPr>
        <w:t xml:space="preserve">review </w:t>
      </w:r>
      <w:r w:rsidRPr="00260125">
        <w:rPr>
          <w:rFonts w:ascii="Book Antiqua" w:hAnsi="Book Antiqua"/>
          <w:sz w:val="24"/>
          <w:szCs w:val="24"/>
          <w:lang w:val="en-US"/>
        </w:rPr>
        <w:t xml:space="preserve">is to analyze </w:t>
      </w:r>
      <w:r w:rsidRPr="00260125">
        <w:rPr>
          <w:rFonts w:ascii="Book Antiqua" w:hAnsi="Book Antiqua"/>
          <w:bCs/>
          <w:sz w:val="24"/>
          <w:szCs w:val="24"/>
          <w:lang w:val="en-US"/>
        </w:rPr>
        <w:t xml:space="preserve">the currently available data of long term ETV and TDF use in clinical practice as first-line treatments for NUC naïve chronic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posi</w:t>
      </w:r>
      <w:r>
        <w:rPr>
          <w:rFonts w:ascii="Book Antiqua" w:hAnsi="Book Antiqua"/>
          <w:bCs/>
          <w:sz w:val="24"/>
          <w:szCs w:val="24"/>
          <w:lang w:val="en-US"/>
        </w:rPr>
        <w:t>tive and negative HBV patients.</w:t>
      </w:r>
    </w:p>
    <w:p w:rsidR="004C196A" w:rsidRPr="00260125" w:rsidRDefault="004C196A" w:rsidP="00260125">
      <w:pPr>
        <w:spacing w:after="0" w:line="360" w:lineRule="auto"/>
        <w:jc w:val="both"/>
        <w:rPr>
          <w:rFonts w:ascii="Book Antiqua" w:hAnsi="Book Antiqua"/>
          <w:b/>
          <w:bCs/>
          <w:sz w:val="24"/>
          <w:szCs w:val="24"/>
          <w:lang w:val="en-US" w:eastAsia="zh-CN"/>
        </w:rPr>
      </w:pPr>
    </w:p>
    <w:p w:rsidR="004C196A" w:rsidRPr="00260125" w:rsidRDefault="004C196A" w:rsidP="00260125">
      <w:pPr>
        <w:spacing w:after="0" w:line="360" w:lineRule="auto"/>
        <w:jc w:val="both"/>
        <w:rPr>
          <w:rFonts w:ascii="Book Antiqua" w:hAnsi="Book Antiqua"/>
          <w:b/>
          <w:bCs/>
          <w:sz w:val="24"/>
          <w:szCs w:val="24"/>
          <w:lang w:val="en-US"/>
        </w:rPr>
      </w:pPr>
      <w:r w:rsidRPr="00260125">
        <w:rPr>
          <w:rFonts w:ascii="Book Antiqua" w:hAnsi="Book Antiqua"/>
          <w:b/>
          <w:bCs/>
          <w:sz w:val="24"/>
          <w:szCs w:val="24"/>
          <w:lang w:val="en-US"/>
        </w:rPr>
        <w:t>RESULTS FROM CLINICAL TRIALS</w:t>
      </w:r>
    </w:p>
    <w:p w:rsidR="004C196A" w:rsidRPr="00260125" w:rsidRDefault="004C196A" w:rsidP="00260125">
      <w:pPr>
        <w:spacing w:after="0" w:line="360" w:lineRule="auto"/>
        <w:jc w:val="both"/>
        <w:rPr>
          <w:rFonts w:ascii="Book Antiqua" w:hAnsi="Book Antiqua"/>
          <w:bCs/>
          <w:sz w:val="24"/>
          <w:szCs w:val="24"/>
          <w:lang w:val="en-US"/>
        </w:rPr>
      </w:pPr>
      <w:r w:rsidRPr="00260125">
        <w:rPr>
          <w:rFonts w:ascii="Book Antiqua" w:hAnsi="Book Antiqua"/>
          <w:bCs/>
          <w:sz w:val="24"/>
          <w:szCs w:val="24"/>
          <w:lang w:val="en-US"/>
        </w:rPr>
        <w:t>Results from phase III clinical trials (CT) are critical for the approval of new drugs. Their main objective is to demonstrate the efficacy and safety of the drug being evaluated in comparison with the current standard of care, in a controlled setting. These trials are conducted on large patients groups under standardized conditions. “Ideal” young patients without comorbidities and are included, and usually, patients with advanced liver disease are excluded. These strict inclusion/exclusion criteria are developed to facilitate analyzing the results and getting the new drug approved for its use in clinical practice. Also, patients treated within CT are strictly monitored and assist more frequently to clinical consultation and to laboratory monitoring than in routine clinical practice. Once approved, treating physicians use the same drug in “real life” patients, some of them who would have been excluded from these trials.</w:t>
      </w:r>
    </w:p>
    <w:p w:rsidR="004C196A" w:rsidRPr="00260125" w:rsidRDefault="004C196A" w:rsidP="00260125">
      <w:pPr>
        <w:spacing w:after="0" w:line="360" w:lineRule="auto"/>
        <w:jc w:val="both"/>
        <w:rPr>
          <w:rFonts w:ascii="Book Antiqua" w:hAnsi="Book Antiqua"/>
          <w:b/>
          <w:bCs/>
          <w:sz w:val="24"/>
          <w:szCs w:val="24"/>
          <w:lang w:val="en-US" w:eastAsia="zh-CN"/>
        </w:rPr>
      </w:pPr>
    </w:p>
    <w:p w:rsidR="004C196A" w:rsidRPr="00260125" w:rsidRDefault="004C196A" w:rsidP="00260125">
      <w:pPr>
        <w:spacing w:after="0" w:line="360" w:lineRule="auto"/>
        <w:jc w:val="both"/>
        <w:rPr>
          <w:rFonts w:ascii="Book Antiqua" w:hAnsi="Book Antiqua"/>
          <w:b/>
          <w:bCs/>
          <w:i/>
          <w:sz w:val="24"/>
          <w:szCs w:val="24"/>
          <w:lang w:val="en-US"/>
        </w:rPr>
      </w:pPr>
      <w:proofErr w:type="spellStart"/>
      <w:r w:rsidRPr="00260125">
        <w:rPr>
          <w:rFonts w:ascii="Book Antiqua" w:hAnsi="Book Antiqua"/>
          <w:b/>
          <w:bCs/>
          <w:i/>
          <w:sz w:val="24"/>
          <w:szCs w:val="24"/>
          <w:lang w:val="en-US"/>
        </w:rPr>
        <w:t>Entecavir</w:t>
      </w:r>
      <w:proofErr w:type="spellEnd"/>
    </w:p>
    <w:p w:rsidR="004C196A" w:rsidRPr="00260125" w:rsidRDefault="004C196A" w:rsidP="00260125">
      <w:pPr>
        <w:spacing w:after="0" w:line="360" w:lineRule="auto"/>
        <w:jc w:val="both"/>
        <w:rPr>
          <w:rFonts w:ascii="Book Antiqua" w:hAnsi="Book Antiqua"/>
          <w:bCs/>
          <w:sz w:val="24"/>
          <w:szCs w:val="24"/>
          <w:lang w:val="en-US"/>
        </w:rPr>
      </w:pPr>
      <w:proofErr w:type="spellStart"/>
      <w:r w:rsidRPr="00260125">
        <w:rPr>
          <w:rFonts w:ascii="Book Antiqua" w:hAnsi="Book Antiqua"/>
          <w:bCs/>
          <w:sz w:val="24"/>
          <w:szCs w:val="24"/>
          <w:lang w:val="en-US"/>
        </w:rPr>
        <w:lastRenderedPageBreak/>
        <w:t>Entecavir</w:t>
      </w:r>
      <w:proofErr w:type="spellEnd"/>
      <w:r w:rsidRPr="00260125">
        <w:rPr>
          <w:rFonts w:ascii="Book Antiqua" w:hAnsi="Book Antiqua"/>
          <w:bCs/>
          <w:sz w:val="24"/>
          <w:szCs w:val="24"/>
          <w:lang w:val="en-US"/>
        </w:rPr>
        <w:t xml:space="preserve"> is a potent inhibitor of HBV replication, which is commercially available since 2005. In phase III randomized clinical trials (RCT) ETV</w:t>
      </w:r>
      <w:r>
        <w:rPr>
          <w:rFonts w:ascii="Book Antiqua" w:hAnsi="Book Antiqua"/>
          <w:bCs/>
          <w:sz w:val="24"/>
          <w:szCs w:val="24"/>
          <w:lang w:val="en-US"/>
        </w:rPr>
        <w:t xml:space="preserve"> </w:t>
      </w:r>
      <w:r w:rsidRPr="00260125">
        <w:rPr>
          <w:rFonts w:ascii="Book Antiqua" w:hAnsi="Book Antiqua"/>
          <w:bCs/>
          <w:sz w:val="24"/>
          <w:szCs w:val="24"/>
          <w:lang w:val="en-US"/>
        </w:rPr>
        <w:t xml:space="preserve">showed increased </w:t>
      </w:r>
      <w:proofErr w:type="spellStart"/>
      <w:r w:rsidRPr="00260125">
        <w:rPr>
          <w:rFonts w:ascii="Book Antiqua" w:hAnsi="Book Antiqua"/>
          <w:bCs/>
          <w:sz w:val="24"/>
          <w:szCs w:val="24"/>
          <w:lang w:val="en-US"/>
        </w:rPr>
        <w:t>virologic</w:t>
      </w:r>
      <w:proofErr w:type="spellEnd"/>
      <w:r w:rsidRPr="00260125">
        <w:rPr>
          <w:rFonts w:ascii="Book Antiqua" w:hAnsi="Book Antiqua"/>
          <w:bCs/>
          <w:sz w:val="24"/>
          <w:szCs w:val="24"/>
          <w:lang w:val="en-US"/>
        </w:rPr>
        <w:t xml:space="preserve">, biochemical and histologic response rates when compared with LAM. ETV </w:t>
      </w:r>
      <w:r>
        <w:rPr>
          <w:rFonts w:ascii="Book Antiqua" w:hAnsi="Book Antiqua"/>
          <w:bCs/>
          <w:sz w:val="24"/>
          <w:szCs w:val="24"/>
          <w:lang w:val="en-US"/>
        </w:rPr>
        <w:t>at a dose of 0.5 mg/d</w:t>
      </w:r>
      <w:r w:rsidRPr="00260125">
        <w:rPr>
          <w:rFonts w:ascii="Book Antiqua" w:hAnsi="Book Antiqua"/>
          <w:bCs/>
          <w:sz w:val="24"/>
          <w:szCs w:val="24"/>
          <w:lang w:val="en-US"/>
        </w:rPr>
        <w:t xml:space="preserve"> in treatment-naïve patients suppressed HBV DNA to undetectable levels by year 1 in 67%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-positive and in 90%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-negative patients compared with 36% and 72% in the LAM arms, respectively</w:t>
      </w:r>
      <w:r w:rsidRPr="00260125">
        <w:rPr>
          <w:rFonts w:ascii="Book Antiqua" w:hAnsi="Book Antiqua"/>
          <w:bCs/>
          <w:sz w:val="24"/>
          <w:szCs w:val="24"/>
          <w:vertAlign w:val="superscript"/>
          <w:lang w:val="en-US"/>
        </w:rPr>
        <w:t>[7,8]</w:t>
      </w:r>
      <w:r w:rsidRPr="00260125">
        <w:rPr>
          <w:rFonts w:ascii="Book Antiqua" w:hAnsi="Book Antiqua"/>
          <w:bCs/>
          <w:sz w:val="24"/>
          <w:szCs w:val="24"/>
          <w:lang w:val="en-US"/>
        </w:rPr>
        <w:t xml:space="preserve">. Recent reports showed that when administered for 2 to 5 years, resulted in a better HBV DNA suppression and higher </w:t>
      </w:r>
      <w:proofErr w:type="spellStart"/>
      <w:r w:rsidRPr="00260125">
        <w:rPr>
          <w:rFonts w:ascii="Book Antiqua" w:hAnsi="Book Antiqua"/>
          <w:bCs/>
          <w:sz w:val="24"/>
          <w:szCs w:val="24"/>
          <w:lang w:val="en-US"/>
        </w:rPr>
        <w:t>HBeAg</w:t>
      </w:r>
      <w:proofErr w:type="spellEnd"/>
      <w:r>
        <w:rPr>
          <w:rFonts w:ascii="Book Antiqua" w:hAnsi="Book Antiqua"/>
          <w:bCs/>
          <w:sz w:val="24"/>
          <w:szCs w:val="24"/>
          <w:lang w:val="en-US"/>
        </w:rPr>
        <w:t xml:space="preserve"> </w:t>
      </w:r>
      <w:proofErr w:type="spellStart"/>
      <w:r w:rsidRPr="00260125">
        <w:rPr>
          <w:rFonts w:ascii="Book Antiqua" w:hAnsi="Book Antiqua"/>
          <w:bCs/>
          <w:sz w:val="24"/>
          <w:szCs w:val="24"/>
          <w:lang w:val="en-US"/>
        </w:rPr>
        <w:t>seroconversion</w:t>
      </w:r>
      <w:proofErr w:type="spellEnd"/>
      <w:r>
        <w:rPr>
          <w:rFonts w:ascii="Book Antiqua" w:hAnsi="Book Antiqua"/>
          <w:bCs/>
          <w:sz w:val="24"/>
          <w:szCs w:val="24"/>
          <w:lang w:val="en-US"/>
        </w:rPr>
        <w:t xml:space="preserve"> </w:t>
      </w:r>
      <w:proofErr w:type="gramStart"/>
      <w:r>
        <w:rPr>
          <w:rFonts w:ascii="Book Antiqua" w:hAnsi="Book Antiqua"/>
          <w:bCs/>
          <w:sz w:val="24"/>
          <w:szCs w:val="24"/>
          <w:lang w:val="en-US"/>
        </w:rPr>
        <w:t>rates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9-11]</w:t>
      </w:r>
      <w:r w:rsidRPr="00260125">
        <w:rPr>
          <w:rFonts w:ascii="Book Antiqua" w:hAnsi="Book Antiqua"/>
          <w:bCs/>
          <w:sz w:val="24"/>
          <w:szCs w:val="24"/>
          <w:lang w:val="en-US"/>
        </w:rPr>
        <w:t xml:space="preserve">. ETV treatment for 3 years in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-negative and for 5 years in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-positive patients, resulted in 95% and 94% HBV DNA undetectable levels</w:t>
      </w:r>
      <w:r>
        <w:rPr>
          <w:rFonts w:ascii="Book Antiqua" w:hAnsi="Book Antiqua"/>
          <w:bCs/>
          <w:sz w:val="24"/>
          <w:szCs w:val="24"/>
          <w:lang w:val="en-US"/>
        </w:rPr>
        <w:t>, respectively</w:t>
      </w:r>
      <w:r w:rsidRPr="00260125">
        <w:rPr>
          <w:rFonts w:ascii="Book Antiqua" w:hAnsi="Book Antiqua"/>
          <w:bCs/>
          <w:sz w:val="24"/>
          <w:szCs w:val="24"/>
          <w:vertAlign w:val="superscript"/>
          <w:lang w:val="en-US"/>
        </w:rPr>
        <w:t>[10,11]</w:t>
      </w:r>
      <w:r w:rsidRPr="00260125">
        <w:rPr>
          <w:rFonts w:ascii="Book Antiqua" w:hAnsi="Book Antiqua"/>
          <w:bCs/>
          <w:sz w:val="24"/>
          <w:szCs w:val="24"/>
          <w:lang w:val="en-US"/>
        </w:rPr>
        <w:t>. In</w:t>
      </w:r>
      <w:r>
        <w:rPr>
          <w:rFonts w:ascii="Book Antiqua" w:hAnsi="Book Antiqua"/>
          <w:bCs/>
          <w:sz w:val="24"/>
          <w:szCs w:val="24"/>
          <w:lang w:val="en-US" w:eastAsia="zh-CN"/>
        </w:rPr>
        <w:t xml:space="preserve">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-positive patients, treatment for 96 </w:t>
      </w:r>
      <w:proofErr w:type="spellStart"/>
      <w:r w:rsidRPr="00260125">
        <w:rPr>
          <w:rFonts w:ascii="Book Antiqua" w:hAnsi="Book Antiqua"/>
          <w:bCs/>
          <w:sz w:val="24"/>
          <w:szCs w:val="24"/>
          <w:lang w:val="en-US"/>
        </w:rPr>
        <w:t>wk</w:t>
      </w:r>
      <w:proofErr w:type="spellEnd"/>
      <w:r w:rsidRPr="00260125">
        <w:rPr>
          <w:rFonts w:ascii="Book Antiqua" w:hAnsi="Book Antiqua"/>
          <w:bCs/>
          <w:sz w:val="24"/>
          <w:szCs w:val="24"/>
          <w:lang w:val="en-US"/>
        </w:rPr>
        <w:t xml:space="preserve"> resulted in 31%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seroco</w:t>
      </w:r>
      <w:r>
        <w:rPr>
          <w:rFonts w:ascii="Book Antiqua" w:hAnsi="Book Antiqua"/>
          <w:bCs/>
          <w:sz w:val="24"/>
          <w:szCs w:val="24"/>
          <w:lang w:val="en-US"/>
        </w:rPr>
        <w:t>nversion</w:t>
      </w:r>
      <w:proofErr w:type="spellEnd"/>
      <w:r>
        <w:rPr>
          <w:rFonts w:ascii="Book Antiqua" w:hAnsi="Book Antiqua"/>
          <w:bCs/>
          <w:sz w:val="24"/>
          <w:szCs w:val="24"/>
          <w:lang w:val="en-US"/>
        </w:rPr>
        <w:t xml:space="preserve"> </w:t>
      </w:r>
      <w:proofErr w:type="gramStart"/>
      <w:r>
        <w:rPr>
          <w:rFonts w:ascii="Book Antiqua" w:hAnsi="Book Antiqua"/>
          <w:bCs/>
          <w:sz w:val="24"/>
          <w:szCs w:val="24"/>
          <w:lang w:val="en-US"/>
        </w:rPr>
        <w:t>rates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9]</w:t>
      </w:r>
      <w:r w:rsidRPr="00260125">
        <w:rPr>
          <w:rFonts w:ascii="Book Antiqua" w:hAnsi="Book Antiqua"/>
          <w:bCs/>
          <w:sz w:val="24"/>
          <w:szCs w:val="24"/>
          <w:lang w:val="en-US"/>
        </w:rPr>
        <w:t xml:space="preserve">. In the ETV-901 study, continuing treatment in those patients who remained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positive at week 96 resulted in 23%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seroconversion</w:t>
      </w:r>
      <w:proofErr w:type="spellEnd"/>
      <w:r w:rsidRPr="00260125">
        <w:rPr>
          <w:rFonts w:ascii="Book Antiqua" w:hAnsi="Book Antiqua"/>
          <w:bCs/>
          <w:sz w:val="24"/>
          <w:szCs w:val="24"/>
          <w:lang w:val="en-US"/>
        </w:rPr>
        <w:t xml:space="preserve"> rates and 1.4% </w:t>
      </w:r>
      <w:proofErr w:type="spellStart"/>
      <w:r w:rsidRPr="00260125">
        <w:rPr>
          <w:rFonts w:ascii="Book Antiqua" w:hAnsi="Book Antiqua"/>
          <w:bCs/>
          <w:sz w:val="24"/>
          <w:szCs w:val="24"/>
          <w:lang w:val="en-US"/>
        </w:rPr>
        <w:t>HBsAg</w:t>
      </w:r>
      <w:proofErr w:type="spellEnd"/>
      <w:r>
        <w:rPr>
          <w:rFonts w:ascii="Book Antiqua" w:hAnsi="Book Antiqua"/>
          <w:bCs/>
          <w:sz w:val="24"/>
          <w:szCs w:val="24"/>
          <w:lang w:val="en-US"/>
        </w:rPr>
        <w:t xml:space="preserve"> </w:t>
      </w:r>
      <w:proofErr w:type="gramStart"/>
      <w:r w:rsidRPr="00260125">
        <w:rPr>
          <w:rFonts w:ascii="Book Antiqua" w:hAnsi="Book Antiqua"/>
          <w:bCs/>
          <w:sz w:val="24"/>
          <w:szCs w:val="24"/>
          <w:lang w:val="en-US"/>
        </w:rPr>
        <w:t>loss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11]</w:t>
      </w:r>
      <w:r w:rsidRPr="00260125">
        <w:rPr>
          <w:rFonts w:ascii="Book Antiqua" w:hAnsi="Book Antiqua"/>
          <w:bCs/>
          <w:sz w:val="24"/>
          <w:szCs w:val="24"/>
          <w:lang w:val="en-US"/>
        </w:rPr>
        <w:t>.</w:t>
      </w:r>
    </w:p>
    <w:p w:rsidR="004C196A" w:rsidRPr="00260125" w:rsidRDefault="004C196A" w:rsidP="00E82807">
      <w:pPr>
        <w:spacing w:after="0" w:line="360" w:lineRule="auto"/>
        <w:ind w:firstLineChars="100" w:firstLine="240"/>
        <w:jc w:val="both"/>
        <w:rPr>
          <w:rFonts w:ascii="Book Antiqua" w:hAnsi="Book Antiqua"/>
          <w:sz w:val="24"/>
          <w:szCs w:val="24"/>
          <w:lang w:val="en-US"/>
        </w:rPr>
      </w:pPr>
      <w:r w:rsidRPr="00260125">
        <w:rPr>
          <w:rFonts w:ascii="Book Antiqua" w:hAnsi="Book Antiqua"/>
          <w:bCs/>
          <w:sz w:val="24"/>
          <w:szCs w:val="24"/>
          <w:lang w:val="en-US"/>
        </w:rPr>
        <w:t xml:space="preserve">ETV has a high genetic barrier to resistance and a strong resistance profile, and has a very favorable safety profile. Recently reported results of more than 6 years of therapy showed that in NUC naïve patients the cumulative probability of genotypic resistance to </w:t>
      </w:r>
      <w:proofErr w:type="spellStart"/>
      <w:r w:rsidRPr="00260125">
        <w:rPr>
          <w:rFonts w:ascii="Book Antiqua" w:hAnsi="Book Antiqua"/>
          <w:bCs/>
          <w:sz w:val="24"/>
          <w:szCs w:val="24"/>
          <w:lang w:val="en-US"/>
        </w:rPr>
        <w:t>entecavir</w:t>
      </w:r>
      <w:proofErr w:type="spellEnd"/>
      <w:r w:rsidRPr="00260125">
        <w:rPr>
          <w:rFonts w:ascii="Book Antiqua" w:hAnsi="Book Antiqua"/>
          <w:bCs/>
          <w:sz w:val="24"/>
          <w:szCs w:val="24"/>
          <w:lang w:val="en-US"/>
        </w:rPr>
        <w:t xml:space="preserve"> was very low (1.2%) and that treatment was well tolerated</w:t>
      </w:r>
      <w:r w:rsidRPr="00260125">
        <w:rPr>
          <w:rFonts w:ascii="Book Antiqua" w:hAnsi="Book Antiqua"/>
          <w:bCs/>
          <w:sz w:val="24"/>
          <w:szCs w:val="24"/>
          <w:vertAlign w:val="superscript"/>
          <w:lang w:val="en-US"/>
        </w:rPr>
        <w:t>[12,13]</w:t>
      </w:r>
      <w:r w:rsidRPr="00260125">
        <w:rPr>
          <w:rFonts w:ascii="Book Antiqua" w:hAnsi="Book Antiqua"/>
          <w:bCs/>
          <w:sz w:val="24"/>
          <w:szCs w:val="24"/>
          <w:lang w:val="en-US"/>
        </w:rPr>
        <w:t xml:space="preserve">. Also, </w:t>
      </w:r>
      <w:r w:rsidRPr="00260125">
        <w:rPr>
          <w:rFonts w:ascii="Book Antiqua" w:hAnsi="Book Antiqua"/>
          <w:sz w:val="24"/>
          <w:szCs w:val="24"/>
          <w:lang w:val="en-US"/>
        </w:rPr>
        <w:t xml:space="preserve">analysis of liver biopsies from the two phase III </w:t>
      </w:r>
      <w:proofErr w:type="spellStart"/>
      <w:r w:rsidRPr="00260125">
        <w:rPr>
          <w:rFonts w:ascii="Book Antiqua" w:hAnsi="Book Antiqua"/>
          <w:sz w:val="24"/>
          <w:szCs w:val="24"/>
          <w:lang w:val="en-US"/>
        </w:rPr>
        <w:t>entecavir</w:t>
      </w:r>
      <w:proofErr w:type="spellEnd"/>
      <w:r w:rsidRPr="00260125">
        <w:rPr>
          <w:rFonts w:ascii="Book Antiqua" w:hAnsi="Book Antiqua"/>
          <w:sz w:val="24"/>
          <w:szCs w:val="24"/>
          <w:lang w:val="en-US"/>
        </w:rPr>
        <w:t xml:space="preserve"> studies (ETV-022 and ETV-027) and the open-label rollover study (ETV-901) </w:t>
      </w:r>
      <w:r w:rsidRPr="00260125">
        <w:rPr>
          <w:rFonts w:ascii="Book Antiqua" w:hAnsi="Book Antiqua"/>
          <w:bCs/>
          <w:sz w:val="24"/>
          <w:szCs w:val="24"/>
          <w:lang w:val="en-US"/>
        </w:rPr>
        <w:t>have shown that ETV treatment can improve fibrosis of the liver and can cause fibrosis and cirrho</w:t>
      </w:r>
      <w:r>
        <w:rPr>
          <w:rFonts w:ascii="Book Antiqua" w:hAnsi="Book Antiqua"/>
          <w:bCs/>
          <w:sz w:val="24"/>
          <w:szCs w:val="24"/>
          <w:lang w:val="en-US"/>
        </w:rPr>
        <w:t xml:space="preserve">sis </w:t>
      </w:r>
      <w:proofErr w:type="gramStart"/>
      <w:r>
        <w:rPr>
          <w:rFonts w:ascii="Book Antiqua" w:hAnsi="Book Antiqua"/>
          <w:bCs/>
          <w:sz w:val="24"/>
          <w:szCs w:val="24"/>
          <w:lang w:val="en-US"/>
        </w:rPr>
        <w:t>regression</w:t>
      </w:r>
      <w:r w:rsidRPr="00260125">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w:t>
      </w:r>
      <w:r w:rsidRPr="00260125">
        <w:rPr>
          <w:rFonts w:ascii="Book Antiqua" w:hAnsi="Book Antiqua"/>
          <w:bCs/>
          <w:sz w:val="24"/>
          <w:szCs w:val="24"/>
          <w:lang w:val="en-US"/>
        </w:rPr>
        <w:t>.</w:t>
      </w:r>
      <w:r>
        <w:rPr>
          <w:rFonts w:ascii="Book Antiqua" w:hAnsi="Book Antiqua"/>
          <w:bCs/>
          <w:sz w:val="24"/>
          <w:szCs w:val="24"/>
          <w:lang w:val="en-US" w:eastAsia="zh-CN"/>
        </w:rPr>
        <w:t xml:space="preserve"> </w:t>
      </w:r>
      <w:r w:rsidRPr="00260125">
        <w:rPr>
          <w:rFonts w:ascii="Book Antiqua" w:hAnsi="Book Antiqua"/>
          <w:bCs/>
          <w:sz w:val="24"/>
          <w:szCs w:val="24"/>
          <w:lang w:val="en-US"/>
        </w:rPr>
        <w:t>P</w:t>
      </w:r>
      <w:r w:rsidRPr="00260125">
        <w:rPr>
          <w:rFonts w:ascii="Book Antiqua" w:hAnsi="Book Antiqua"/>
          <w:sz w:val="24"/>
          <w:szCs w:val="24"/>
          <w:lang w:val="en-US"/>
        </w:rPr>
        <w:t>atients receiving treatment for at least 3 years had ≥</w:t>
      </w:r>
      <w:r>
        <w:rPr>
          <w:rFonts w:ascii="Book Antiqua" w:hAnsi="Book Antiqua"/>
          <w:sz w:val="24"/>
          <w:szCs w:val="24"/>
          <w:lang w:val="en-US" w:eastAsia="zh-CN"/>
        </w:rPr>
        <w:t xml:space="preserve"> </w:t>
      </w:r>
      <w:r w:rsidRPr="00260125">
        <w:rPr>
          <w:rFonts w:ascii="Book Antiqua" w:hAnsi="Book Antiqua"/>
          <w:sz w:val="24"/>
          <w:szCs w:val="24"/>
          <w:lang w:val="en-US"/>
        </w:rPr>
        <w:t xml:space="preserve">2 point decrease in the </w:t>
      </w:r>
      <w:proofErr w:type="spellStart"/>
      <w:r w:rsidRPr="00260125">
        <w:rPr>
          <w:rFonts w:ascii="Book Antiqua" w:hAnsi="Book Antiqua"/>
          <w:sz w:val="24"/>
          <w:szCs w:val="24"/>
          <w:lang w:val="en-US"/>
        </w:rPr>
        <w:t>Knodell</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necroinflammatory</w:t>
      </w:r>
      <w:proofErr w:type="spellEnd"/>
      <w:r w:rsidRPr="00260125">
        <w:rPr>
          <w:rFonts w:ascii="Book Antiqua" w:hAnsi="Book Antiqua"/>
          <w:sz w:val="24"/>
          <w:szCs w:val="24"/>
          <w:lang w:val="en-US"/>
        </w:rPr>
        <w:t xml:space="preserve"> score and no worsening of the </w:t>
      </w:r>
      <w:proofErr w:type="spellStart"/>
      <w:r w:rsidRPr="00260125">
        <w:rPr>
          <w:rFonts w:ascii="Book Antiqua" w:hAnsi="Book Antiqua"/>
          <w:sz w:val="24"/>
          <w:szCs w:val="24"/>
          <w:lang w:val="en-US"/>
        </w:rPr>
        <w:t>Knodell</w:t>
      </w:r>
      <w:proofErr w:type="spellEnd"/>
      <w:r w:rsidRPr="00260125">
        <w:rPr>
          <w:rFonts w:ascii="Book Antiqua" w:hAnsi="Book Antiqua"/>
          <w:sz w:val="24"/>
          <w:szCs w:val="24"/>
          <w:lang w:val="en-US"/>
        </w:rPr>
        <w:t xml:space="preserve"> fibrosis score in 96% of the cases, and ≥</w:t>
      </w:r>
      <w:r>
        <w:rPr>
          <w:rFonts w:ascii="Book Antiqua" w:hAnsi="Book Antiqua"/>
          <w:sz w:val="24"/>
          <w:szCs w:val="24"/>
          <w:lang w:val="en-US" w:eastAsia="zh-CN"/>
        </w:rPr>
        <w:t xml:space="preserve"> </w:t>
      </w:r>
      <w:r w:rsidRPr="00260125">
        <w:rPr>
          <w:rFonts w:ascii="Book Antiqua" w:hAnsi="Book Antiqua"/>
          <w:sz w:val="24"/>
          <w:szCs w:val="24"/>
          <w:lang w:val="en-US"/>
        </w:rPr>
        <w:t xml:space="preserve">1-point improvement in the </w:t>
      </w:r>
      <w:proofErr w:type="spellStart"/>
      <w:r w:rsidRPr="00260125">
        <w:rPr>
          <w:rFonts w:ascii="Book Antiqua" w:hAnsi="Book Antiqua"/>
          <w:sz w:val="24"/>
          <w:szCs w:val="24"/>
          <w:lang w:val="en-US"/>
        </w:rPr>
        <w:t>Ishak</w:t>
      </w:r>
      <w:proofErr w:type="spellEnd"/>
      <w:r w:rsidRPr="00260125">
        <w:rPr>
          <w:rFonts w:ascii="Book Antiqua" w:hAnsi="Book Antiqua"/>
          <w:sz w:val="24"/>
          <w:szCs w:val="24"/>
          <w:lang w:val="en-US"/>
        </w:rPr>
        <w:t xml:space="preserve"> fibrosis score in 8</w:t>
      </w:r>
      <w:r>
        <w:rPr>
          <w:rFonts w:ascii="Book Antiqua" w:hAnsi="Book Antiqua"/>
          <w:sz w:val="24"/>
          <w:szCs w:val="24"/>
          <w:lang w:val="en-US"/>
        </w:rPr>
        <w:t>8% of the cases</w:t>
      </w:r>
      <w:r w:rsidRPr="00260125">
        <w:rPr>
          <w:rFonts w:ascii="Book Antiqua" w:hAnsi="Book Antiqua"/>
          <w:bCs/>
          <w:sz w:val="24"/>
          <w:szCs w:val="24"/>
          <w:vertAlign w:val="superscript"/>
          <w:lang w:val="en-US"/>
        </w:rPr>
        <w:t>[</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Reversal of advanced fibrosis/biopsy-proven cirrhosis was demonstrated in nine of 10 patients with baseline </w:t>
      </w:r>
      <w:proofErr w:type="spellStart"/>
      <w:r w:rsidRPr="00260125">
        <w:rPr>
          <w:rFonts w:ascii="Book Antiqua" w:hAnsi="Book Antiqua"/>
          <w:sz w:val="24"/>
          <w:szCs w:val="24"/>
          <w:lang w:val="en-US"/>
        </w:rPr>
        <w:t>Ishak</w:t>
      </w:r>
      <w:proofErr w:type="spellEnd"/>
      <w:r w:rsidRPr="00260125">
        <w:rPr>
          <w:rFonts w:ascii="Book Antiqua" w:hAnsi="Book Antiqua"/>
          <w:sz w:val="24"/>
          <w:szCs w:val="24"/>
          <w:lang w:val="en-US"/>
        </w:rPr>
        <w:t xml:space="preserve"> fibrosis scores of 4–6 who underwent serial liver biopsies up to year 6.</w:t>
      </w:r>
    </w:p>
    <w:p w:rsidR="004C196A" w:rsidRPr="00260125" w:rsidRDefault="004C196A" w:rsidP="00260125">
      <w:pPr>
        <w:spacing w:after="0" w:line="360" w:lineRule="auto"/>
        <w:jc w:val="both"/>
        <w:rPr>
          <w:rFonts w:ascii="Book Antiqua" w:hAnsi="Book Antiqua"/>
          <w:b/>
          <w:sz w:val="24"/>
          <w:szCs w:val="24"/>
          <w:lang w:val="en-US" w:eastAsia="zh-CN"/>
        </w:rPr>
      </w:pPr>
    </w:p>
    <w:p w:rsidR="004C196A" w:rsidRPr="00260125" w:rsidRDefault="004C196A" w:rsidP="00260125">
      <w:pPr>
        <w:spacing w:after="0" w:line="360" w:lineRule="auto"/>
        <w:jc w:val="both"/>
        <w:rPr>
          <w:rFonts w:ascii="Book Antiqua" w:hAnsi="Book Antiqua"/>
          <w:b/>
          <w:i/>
          <w:sz w:val="24"/>
          <w:szCs w:val="24"/>
          <w:lang w:val="en-US"/>
        </w:rPr>
      </w:pPr>
      <w:proofErr w:type="spellStart"/>
      <w:r w:rsidRPr="00260125">
        <w:rPr>
          <w:rFonts w:ascii="Book Antiqua" w:hAnsi="Book Antiqua"/>
          <w:b/>
          <w:i/>
          <w:sz w:val="24"/>
          <w:szCs w:val="24"/>
          <w:lang w:val="en-US"/>
        </w:rPr>
        <w:t>Tenofovir</w:t>
      </w:r>
      <w:proofErr w:type="spellEnd"/>
    </w:p>
    <w:p w:rsidR="004C196A" w:rsidRPr="00260125" w:rsidRDefault="004C196A" w:rsidP="00260125">
      <w:pPr>
        <w:spacing w:after="0" w:line="360" w:lineRule="auto"/>
        <w:jc w:val="both"/>
        <w:rPr>
          <w:rFonts w:ascii="Book Antiqua" w:hAnsi="Book Antiqua"/>
          <w:sz w:val="24"/>
          <w:szCs w:val="24"/>
          <w:lang w:val="en-US"/>
        </w:rPr>
      </w:pPr>
      <w:proofErr w:type="spellStart"/>
      <w:r w:rsidRPr="00260125">
        <w:rPr>
          <w:rFonts w:ascii="Book Antiqua" w:hAnsi="Book Antiqua"/>
          <w:bCs/>
          <w:sz w:val="24"/>
          <w:szCs w:val="24"/>
          <w:lang w:val="en-US"/>
        </w:rPr>
        <w:lastRenderedPageBreak/>
        <w:t>Tenofovir</w:t>
      </w:r>
      <w:proofErr w:type="spellEnd"/>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disoproxil</w:t>
      </w:r>
      <w:proofErr w:type="spellEnd"/>
      <w:r w:rsidRPr="00260125">
        <w:rPr>
          <w:rFonts w:ascii="Book Antiqua" w:hAnsi="Book Antiqua"/>
          <w:bCs/>
          <w:sz w:val="24"/>
          <w:szCs w:val="24"/>
          <w:lang w:val="en-US"/>
        </w:rPr>
        <w:t xml:space="preserve"> </w:t>
      </w:r>
      <w:proofErr w:type="spellStart"/>
      <w:r w:rsidRPr="00260125">
        <w:rPr>
          <w:rFonts w:ascii="Book Antiqua" w:hAnsi="Book Antiqua"/>
          <w:bCs/>
          <w:sz w:val="24"/>
          <w:szCs w:val="24"/>
          <w:lang w:val="en-US"/>
        </w:rPr>
        <w:t>fumarate</w:t>
      </w:r>
      <w:proofErr w:type="spellEnd"/>
      <w:r w:rsidRPr="00260125">
        <w:rPr>
          <w:rFonts w:ascii="Book Antiqua" w:hAnsi="Book Antiqua"/>
          <w:bCs/>
          <w:sz w:val="24"/>
          <w:szCs w:val="24"/>
          <w:lang w:val="en-US"/>
        </w:rPr>
        <w:t xml:space="preserve"> (TDF) is also a potent inhibitor of HBV replication, which is commercially available since 2008. In phase III RCT TDF showed increased </w:t>
      </w:r>
      <w:proofErr w:type="spellStart"/>
      <w:r w:rsidRPr="00260125">
        <w:rPr>
          <w:rFonts w:ascii="Book Antiqua" w:hAnsi="Book Antiqua"/>
          <w:bCs/>
          <w:sz w:val="24"/>
          <w:szCs w:val="24"/>
          <w:lang w:val="en-US"/>
        </w:rPr>
        <w:t>virologic</w:t>
      </w:r>
      <w:proofErr w:type="spellEnd"/>
      <w:r w:rsidRPr="00260125">
        <w:rPr>
          <w:rFonts w:ascii="Book Antiqua" w:hAnsi="Book Antiqua"/>
          <w:bCs/>
          <w:sz w:val="24"/>
          <w:szCs w:val="24"/>
          <w:lang w:val="en-US"/>
        </w:rPr>
        <w:t xml:space="preserve"> and biochemical response rates when compared with ADV. TDF at a dose of 300 mg/d in treatment-naive patients suppressed HBV DNA to undetectable levels by year 1 in 76%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-positive and in 93%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-negative patients compared with 13% and 63</w:t>
      </w:r>
      <w:r>
        <w:rPr>
          <w:rFonts w:ascii="Book Antiqua" w:hAnsi="Book Antiqua"/>
          <w:bCs/>
          <w:sz w:val="24"/>
          <w:szCs w:val="24"/>
          <w:lang w:val="en-US"/>
        </w:rPr>
        <w:t>% in the ADV arms, respectively</w:t>
      </w:r>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4</w:t>
      </w:r>
      <w:r w:rsidRPr="00260125">
        <w:rPr>
          <w:rFonts w:ascii="Book Antiqua" w:hAnsi="Book Antiqua"/>
          <w:bCs/>
          <w:sz w:val="24"/>
          <w:szCs w:val="24"/>
          <w:vertAlign w:val="superscript"/>
          <w:lang w:val="en-US"/>
        </w:rPr>
        <w:t>]</w:t>
      </w:r>
      <w:r w:rsidRPr="00260125">
        <w:rPr>
          <w:rFonts w:ascii="Book Antiqua" w:hAnsi="Book Antiqua"/>
          <w:bCs/>
          <w:sz w:val="24"/>
          <w:szCs w:val="24"/>
          <w:lang w:val="en-US"/>
        </w:rPr>
        <w:t>. As previously shown with ETV, extending treatment with TDF is associated with increasing HBV DNA suppression and hi</w:t>
      </w:r>
      <w:r>
        <w:rPr>
          <w:rFonts w:ascii="Book Antiqua" w:hAnsi="Book Antiqua"/>
          <w:bCs/>
          <w:sz w:val="24"/>
          <w:szCs w:val="24"/>
          <w:lang w:val="en-US"/>
        </w:rPr>
        <w:t xml:space="preserve">gher </w:t>
      </w:r>
      <w:proofErr w:type="spellStart"/>
      <w:r>
        <w:rPr>
          <w:rFonts w:ascii="Book Antiqua" w:hAnsi="Book Antiqua"/>
          <w:bCs/>
          <w:sz w:val="24"/>
          <w:szCs w:val="24"/>
          <w:lang w:val="en-US"/>
        </w:rPr>
        <w:t>HBeAg</w:t>
      </w:r>
      <w:proofErr w:type="spellEnd"/>
      <w:r>
        <w:rPr>
          <w:rFonts w:ascii="Book Antiqua" w:hAnsi="Book Antiqua"/>
          <w:bCs/>
          <w:sz w:val="24"/>
          <w:szCs w:val="24"/>
          <w:lang w:val="en-US"/>
        </w:rPr>
        <w:t xml:space="preserve"> </w:t>
      </w:r>
      <w:proofErr w:type="spellStart"/>
      <w:r>
        <w:rPr>
          <w:rFonts w:ascii="Book Antiqua" w:hAnsi="Book Antiqua"/>
          <w:bCs/>
          <w:sz w:val="24"/>
          <w:szCs w:val="24"/>
          <w:lang w:val="en-US"/>
        </w:rPr>
        <w:t>seroconversion</w:t>
      </w:r>
      <w:proofErr w:type="spellEnd"/>
      <w:r>
        <w:rPr>
          <w:rFonts w:ascii="Book Antiqua" w:hAnsi="Book Antiqua"/>
          <w:bCs/>
          <w:sz w:val="24"/>
          <w:szCs w:val="24"/>
          <w:lang w:val="en-US"/>
        </w:rPr>
        <w:t xml:space="preserve"> </w:t>
      </w:r>
      <w:proofErr w:type="gramStart"/>
      <w:r>
        <w:rPr>
          <w:rFonts w:ascii="Book Antiqua" w:hAnsi="Book Antiqua"/>
          <w:bCs/>
          <w:sz w:val="24"/>
          <w:szCs w:val="24"/>
          <w:lang w:val="en-US"/>
        </w:rPr>
        <w:t>rates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7</w:t>
      </w:r>
      <w:r w:rsidRPr="00260125">
        <w:rPr>
          <w:rFonts w:ascii="Book Antiqua" w:hAnsi="Book Antiqua"/>
          <w:bCs/>
          <w:sz w:val="24"/>
          <w:szCs w:val="24"/>
          <w:vertAlign w:val="superscript"/>
          <w:lang w:val="en-US"/>
        </w:rPr>
        <w:t>]</w:t>
      </w:r>
      <w:r w:rsidRPr="00260125">
        <w:rPr>
          <w:rFonts w:ascii="Book Antiqua" w:hAnsi="Book Antiqua"/>
          <w:bCs/>
          <w:sz w:val="24"/>
          <w:szCs w:val="24"/>
          <w:lang w:val="en-US"/>
        </w:rPr>
        <w:t xml:space="preserve">. After </w:t>
      </w:r>
      <w:r w:rsidRPr="00260125">
        <w:rPr>
          <w:rFonts w:ascii="Book Antiqua" w:hAnsi="Book Antiqua"/>
          <w:sz w:val="24"/>
          <w:szCs w:val="24"/>
          <w:lang w:val="en-US"/>
        </w:rPr>
        <w:t xml:space="preserve">4 years of treatment, 96%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and 99%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patients achieved undetectable HBV DNA</w:t>
      </w:r>
      <w:r>
        <w:rPr>
          <w:rFonts w:ascii="Book Antiqua" w:hAnsi="Book Antiqua"/>
          <w:sz w:val="24"/>
          <w:szCs w:val="24"/>
          <w:lang w:val="en-US"/>
        </w:rPr>
        <w:t xml:space="preserve"> </w:t>
      </w:r>
      <w:proofErr w:type="gramStart"/>
      <w:r>
        <w:rPr>
          <w:rFonts w:ascii="Book Antiqua" w:hAnsi="Book Antiqua"/>
          <w:sz w:val="24"/>
          <w:szCs w:val="24"/>
          <w:lang w:val="en-US"/>
        </w:rPr>
        <w:t>levels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7</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In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loss occurred in 41% of patients and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in 29%; the cumulative pr</w:t>
      </w:r>
      <w:r>
        <w:rPr>
          <w:rFonts w:ascii="Book Antiqua" w:hAnsi="Book Antiqua"/>
          <w:sz w:val="24"/>
          <w:szCs w:val="24"/>
          <w:lang w:val="en-US"/>
        </w:rPr>
        <w:t xml:space="preserve">obability of </w:t>
      </w:r>
      <w:proofErr w:type="spellStart"/>
      <w:r>
        <w:rPr>
          <w:rFonts w:ascii="Book Antiqua" w:hAnsi="Book Antiqua"/>
          <w:sz w:val="24"/>
          <w:szCs w:val="24"/>
          <w:lang w:val="en-US"/>
        </w:rPr>
        <w:t>HBsAg</w:t>
      </w:r>
      <w:proofErr w:type="spellEnd"/>
      <w:r>
        <w:rPr>
          <w:rFonts w:ascii="Book Antiqua" w:hAnsi="Book Antiqua"/>
          <w:sz w:val="24"/>
          <w:szCs w:val="24"/>
          <w:lang w:val="en-US"/>
        </w:rPr>
        <w:t xml:space="preserve"> loss was 11</w:t>
      </w:r>
      <w:proofErr w:type="gramStart"/>
      <w:r>
        <w:rPr>
          <w:rFonts w:ascii="Book Antiqua" w:hAnsi="Book Antiqua"/>
          <w:sz w:val="24"/>
          <w:szCs w:val="24"/>
          <w:lang w:val="en-US"/>
        </w:rPr>
        <w:t>%</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6</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Longer treatment with TDF is associated with higher HBV DNA </w:t>
      </w:r>
      <w:proofErr w:type="spellStart"/>
      <w:r w:rsidRPr="00260125">
        <w:rPr>
          <w:rFonts w:ascii="Book Antiqua" w:hAnsi="Book Antiqua"/>
          <w:sz w:val="24"/>
          <w:szCs w:val="24"/>
          <w:lang w:val="en-US"/>
        </w:rPr>
        <w:t>negativization</w:t>
      </w:r>
      <w:proofErr w:type="spellEnd"/>
      <w:r w:rsidRPr="00260125">
        <w:rPr>
          <w:rFonts w:ascii="Book Antiqua" w:hAnsi="Book Antiqua"/>
          <w:sz w:val="24"/>
          <w:szCs w:val="24"/>
          <w:lang w:val="en-US"/>
        </w:rPr>
        <w:t xml:space="preserve"> rates (98%-99%), and higher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and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negativization</w:t>
      </w:r>
      <w:proofErr w:type="spellEnd"/>
      <w:r w:rsidRPr="00260125">
        <w:rPr>
          <w:rFonts w:ascii="Book Antiqua" w:hAnsi="Book Antiqua"/>
          <w:sz w:val="24"/>
          <w:szCs w:val="24"/>
          <w:lang w:val="en-US"/>
        </w:rPr>
        <w:t xml:space="preserve"> and </w:t>
      </w:r>
      <w:proofErr w:type="spellStart"/>
      <w:r w:rsidRPr="00260125">
        <w:rPr>
          <w:rFonts w:ascii="Book Antiqua" w:hAnsi="Book Antiqua"/>
          <w:sz w:val="24"/>
          <w:szCs w:val="24"/>
          <w:lang w:val="en-US"/>
        </w:rPr>
        <w:t>seroconversion</w:t>
      </w:r>
      <w:proofErr w:type="spellEnd"/>
      <w:r>
        <w:rPr>
          <w:rFonts w:ascii="Book Antiqua" w:hAnsi="Book Antiqua"/>
          <w:sz w:val="24"/>
          <w:szCs w:val="24"/>
          <w:lang w:val="en-US"/>
        </w:rPr>
        <w:t xml:space="preserve"> </w:t>
      </w:r>
      <w:proofErr w:type="gramStart"/>
      <w:r w:rsidRPr="00260125">
        <w:rPr>
          <w:rFonts w:ascii="Book Antiqua" w:hAnsi="Book Antiqua"/>
          <w:sz w:val="24"/>
          <w:szCs w:val="24"/>
          <w:lang w:val="en-US"/>
        </w:rPr>
        <w:t>ra</w:t>
      </w:r>
      <w:r>
        <w:rPr>
          <w:rFonts w:ascii="Book Antiqua" w:hAnsi="Book Antiqua"/>
          <w:sz w:val="24"/>
          <w:szCs w:val="24"/>
          <w:lang w:val="en-US"/>
        </w:rPr>
        <w:t>tes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8</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p>
    <w:p w:rsidR="004C196A" w:rsidRPr="00260125" w:rsidRDefault="004C196A" w:rsidP="00E2177A">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As with ETV, long-term treatment with TDF has been associated with histologic improvement. Sustained viral suppression with TDF treatment over 5 years was associated with histological improvement in 87% of the patients and 51% fibrosis regression; 74% of patients with</w:t>
      </w:r>
      <w:r>
        <w:rPr>
          <w:rFonts w:ascii="Book Antiqua" w:hAnsi="Book Antiqua"/>
          <w:sz w:val="24"/>
          <w:szCs w:val="24"/>
          <w:lang w:val="en-US"/>
        </w:rPr>
        <w:t xml:space="preserve"> </w:t>
      </w:r>
      <w:r w:rsidRPr="00260125">
        <w:rPr>
          <w:rFonts w:ascii="Book Antiqua" w:hAnsi="Book Antiqua"/>
          <w:sz w:val="24"/>
          <w:szCs w:val="24"/>
          <w:lang w:val="en-US"/>
        </w:rPr>
        <w:t>cirrhosis</w:t>
      </w:r>
      <w:r>
        <w:rPr>
          <w:rFonts w:ascii="Book Antiqua" w:hAnsi="Book Antiqua"/>
          <w:sz w:val="24"/>
          <w:szCs w:val="24"/>
          <w:lang w:val="en-US"/>
        </w:rPr>
        <w:t xml:space="preserve"> </w:t>
      </w:r>
      <w:r w:rsidRPr="00260125">
        <w:rPr>
          <w:rFonts w:ascii="Book Antiqua" w:hAnsi="Book Antiqua"/>
          <w:sz w:val="24"/>
          <w:szCs w:val="24"/>
          <w:lang w:val="en-US"/>
        </w:rPr>
        <w:t>(</w:t>
      </w:r>
      <w:proofErr w:type="spellStart"/>
      <w:r w:rsidRPr="00260125">
        <w:rPr>
          <w:rFonts w:ascii="Book Antiqua" w:hAnsi="Book Antiqua"/>
          <w:sz w:val="24"/>
          <w:szCs w:val="24"/>
          <w:lang w:val="en-US"/>
        </w:rPr>
        <w:t>Ishak</w:t>
      </w:r>
      <w:proofErr w:type="spellEnd"/>
      <w:r w:rsidRPr="00260125">
        <w:rPr>
          <w:rFonts w:ascii="Book Antiqua" w:hAnsi="Book Antiqua"/>
          <w:sz w:val="24"/>
          <w:szCs w:val="24"/>
          <w:lang w:val="en-US"/>
        </w:rPr>
        <w:t xml:space="preserve"> score 5 or 6) at baseline no longer had</w:t>
      </w:r>
      <w:r>
        <w:rPr>
          <w:rFonts w:ascii="Book Antiqua" w:hAnsi="Book Antiqua"/>
          <w:sz w:val="24"/>
          <w:szCs w:val="24"/>
          <w:lang w:val="en-US"/>
        </w:rPr>
        <w:t xml:space="preserve"> </w:t>
      </w:r>
      <w:r w:rsidRPr="00260125">
        <w:rPr>
          <w:rFonts w:ascii="Book Antiqua" w:hAnsi="Book Antiqua"/>
          <w:sz w:val="24"/>
          <w:szCs w:val="24"/>
          <w:lang w:val="en-US"/>
        </w:rPr>
        <w:t>cirrhosis</w:t>
      </w:r>
      <w:r w:rsidRPr="00260125">
        <w:rPr>
          <w:rFonts w:ascii="Book Antiqua" w:hAnsi="Book Antiqua"/>
          <w:bCs/>
          <w:sz w:val="24"/>
          <w:szCs w:val="24"/>
          <w:vertAlign w:val="superscript"/>
          <w:lang w:val="en-US"/>
        </w:rPr>
        <w:t>[6]</w:t>
      </w:r>
      <w:r w:rsidRPr="00260125">
        <w:rPr>
          <w:rFonts w:ascii="Book Antiqua" w:hAnsi="Book Antiqua"/>
          <w:sz w:val="24"/>
          <w:szCs w:val="24"/>
          <w:lang w:val="en-US"/>
        </w:rPr>
        <w:t>. TDF was well toler</w:t>
      </w:r>
      <w:r>
        <w:rPr>
          <w:rFonts w:ascii="Book Antiqua" w:hAnsi="Book Antiqua"/>
          <w:sz w:val="24"/>
          <w:szCs w:val="24"/>
          <w:lang w:val="en-US"/>
        </w:rPr>
        <w:t xml:space="preserve">ated over this treatment </w:t>
      </w:r>
      <w:proofErr w:type="gramStart"/>
      <w:r>
        <w:rPr>
          <w:rFonts w:ascii="Book Antiqua" w:hAnsi="Book Antiqua"/>
          <w:sz w:val="24"/>
          <w:szCs w:val="24"/>
          <w:lang w:val="en-US"/>
        </w:rPr>
        <w:t>period</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-1</w:t>
      </w:r>
      <w:r>
        <w:rPr>
          <w:rFonts w:ascii="Book Antiqua" w:hAnsi="Book Antiqua"/>
          <w:bCs/>
          <w:sz w:val="24"/>
          <w:szCs w:val="24"/>
          <w:vertAlign w:val="superscript"/>
          <w:lang w:val="en-US"/>
        </w:rPr>
        <w:t>8</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and no resistance with long term treatment has been reported to </w:t>
      </w:r>
      <w:r w:rsidRPr="00697EED">
        <w:rPr>
          <w:rFonts w:ascii="Book Antiqua" w:hAnsi="Book Antiqua"/>
          <w:sz w:val="24"/>
          <w:szCs w:val="24"/>
          <w:lang w:val="en-US"/>
        </w:rPr>
        <w:t>date</w:t>
      </w:r>
      <w:r w:rsidRPr="00697EED">
        <w:rPr>
          <w:rFonts w:ascii="Book Antiqua" w:hAnsi="Book Antiqua"/>
          <w:bCs/>
          <w:sz w:val="24"/>
          <w:szCs w:val="24"/>
          <w:vertAlign w:val="superscript"/>
          <w:lang w:val="en-US"/>
        </w:rPr>
        <w:t>[19,</w:t>
      </w:r>
      <w:r w:rsidRPr="00697EED">
        <w:rPr>
          <w:rFonts w:ascii="Book Antiqua" w:hAnsi="Book Antiqua"/>
          <w:bCs/>
          <w:sz w:val="24"/>
          <w:szCs w:val="24"/>
          <w:vertAlign w:val="superscript"/>
          <w:lang w:val="en-US" w:eastAsia="zh-CN"/>
        </w:rPr>
        <w:t>20</w:t>
      </w:r>
      <w:r w:rsidRPr="00697EED">
        <w:rPr>
          <w:rFonts w:ascii="Book Antiqua" w:hAnsi="Book Antiqua"/>
          <w:bCs/>
          <w:sz w:val="24"/>
          <w:szCs w:val="24"/>
          <w:vertAlign w:val="superscript"/>
          <w:lang w:val="en-US"/>
        </w:rPr>
        <w:t>]</w:t>
      </w:r>
      <w:r w:rsidRPr="00697EED">
        <w:rPr>
          <w:rFonts w:ascii="Book Antiqua" w:hAnsi="Book Antiqua"/>
          <w:sz w:val="24"/>
          <w:szCs w:val="24"/>
          <w:lang w:val="en-US"/>
        </w:rPr>
        <w:t>.</w:t>
      </w:r>
    </w:p>
    <w:p w:rsidR="004C196A" w:rsidRPr="00260125" w:rsidRDefault="004C196A" w:rsidP="00260125">
      <w:pPr>
        <w:spacing w:after="0" w:line="360" w:lineRule="auto"/>
        <w:jc w:val="both"/>
        <w:rPr>
          <w:rFonts w:ascii="Book Antiqua" w:hAnsi="Book Antiqua"/>
          <w:b/>
          <w:bCs/>
          <w:sz w:val="24"/>
          <w:szCs w:val="24"/>
          <w:lang w:val="en-US" w:eastAsia="zh-CN"/>
        </w:rPr>
      </w:pPr>
    </w:p>
    <w:p w:rsidR="004C196A" w:rsidRPr="00260125" w:rsidRDefault="004C196A" w:rsidP="00260125">
      <w:pPr>
        <w:spacing w:after="0" w:line="360" w:lineRule="auto"/>
        <w:jc w:val="both"/>
        <w:rPr>
          <w:rFonts w:ascii="Book Antiqua" w:hAnsi="Book Antiqua"/>
          <w:b/>
          <w:bCs/>
          <w:sz w:val="24"/>
          <w:szCs w:val="24"/>
          <w:lang w:val="en-US"/>
        </w:rPr>
      </w:pPr>
      <w:r w:rsidRPr="00260125">
        <w:rPr>
          <w:rFonts w:ascii="Book Antiqua" w:hAnsi="Book Antiqua"/>
          <w:b/>
          <w:bCs/>
          <w:sz w:val="24"/>
          <w:szCs w:val="24"/>
          <w:lang w:val="en-US"/>
        </w:rPr>
        <w:t>RESULTS FROM CLINICAL PRACTICE STUDIES</w:t>
      </w:r>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t xml:space="preserve">Results from phase III RCT clearly demonstrate the efficacy and safety of ETV and TDF in the controlled environment of randomized clinical studies. There are several studies with both drugs performed in clinical practice (also called “real life studies”). Some had been published in full text in peer review journals, and some had been only presented at the liver meetings organized by the American Association for the Study of Liver Diseases and the European Association for the Study of Liver. These studies contain a heterogeneous mixture of patients treated </w:t>
      </w:r>
      <w:r w:rsidRPr="00260125">
        <w:rPr>
          <w:rFonts w:ascii="Book Antiqua" w:hAnsi="Book Antiqua"/>
          <w:sz w:val="24"/>
          <w:szCs w:val="24"/>
          <w:lang w:val="en-US"/>
        </w:rPr>
        <w:lastRenderedPageBreak/>
        <w:t>for different periods of time who are differentiated from those in clinical trials as based on a number of criteria and may,</w:t>
      </w:r>
      <w:r>
        <w:rPr>
          <w:rFonts w:ascii="Book Antiqua" w:hAnsi="Book Antiqua"/>
          <w:sz w:val="24"/>
          <w:szCs w:val="24"/>
          <w:lang w:val="en-US"/>
        </w:rPr>
        <w:t xml:space="preserve"> </w:t>
      </w:r>
      <w:r w:rsidRPr="00260125">
        <w:rPr>
          <w:rFonts w:ascii="Book Antiqua" w:hAnsi="Book Antiqua"/>
          <w:sz w:val="24"/>
          <w:szCs w:val="24"/>
          <w:lang w:val="en-US"/>
        </w:rPr>
        <w:t>therefore, be more reflective of the treatment population and the real efficacy and safety of the drug (Table 1)</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w:t>
      </w:r>
      <w:r w:rsidRPr="00260125">
        <w:rPr>
          <w:rFonts w:ascii="Book Antiqua" w:hAnsi="Book Antiqua"/>
          <w:sz w:val="24"/>
          <w:szCs w:val="24"/>
          <w:lang w:val="en-US"/>
        </w:rPr>
        <w:t>. Results from these studies are discussed in the following section and summarized in Table 2.</w:t>
      </w:r>
    </w:p>
    <w:p w:rsidR="004C196A" w:rsidRDefault="004C196A" w:rsidP="00260125">
      <w:pPr>
        <w:spacing w:after="0" w:line="360" w:lineRule="auto"/>
        <w:jc w:val="both"/>
        <w:rPr>
          <w:rFonts w:ascii="Book Antiqua" w:hAnsi="Book Antiqua"/>
          <w:b/>
          <w:i/>
          <w:sz w:val="24"/>
          <w:szCs w:val="24"/>
          <w:lang w:val="en-US" w:eastAsia="zh-CN"/>
        </w:rPr>
      </w:pPr>
    </w:p>
    <w:p w:rsidR="004C196A" w:rsidRPr="00260125" w:rsidRDefault="004C196A" w:rsidP="00260125">
      <w:pPr>
        <w:spacing w:after="0" w:line="360" w:lineRule="auto"/>
        <w:jc w:val="both"/>
        <w:rPr>
          <w:rFonts w:ascii="Book Antiqua" w:hAnsi="Book Antiqua"/>
          <w:b/>
          <w:i/>
          <w:sz w:val="24"/>
          <w:szCs w:val="24"/>
          <w:lang w:val="en-US"/>
        </w:rPr>
      </w:pPr>
      <w:proofErr w:type="spellStart"/>
      <w:r w:rsidRPr="00260125">
        <w:rPr>
          <w:rFonts w:ascii="Book Antiqua" w:hAnsi="Book Antiqua"/>
          <w:b/>
          <w:i/>
          <w:sz w:val="24"/>
          <w:szCs w:val="24"/>
          <w:lang w:val="en-US"/>
        </w:rPr>
        <w:t>Entecavir</w:t>
      </w:r>
      <w:proofErr w:type="spellEnd"/>
    </w:p>
    <w:p w:rsidR="004C196A" w:rsidRPr="00260125" w:rsidRDefault="004C196A" w:rsidP="00260125">
      <w:pPr>
        <w:spacing w:after="0" w:line="360" w:lineRule="auto"/>
        <w:jc w:val="both"/>
        <w:rPr>
          <w:rFonts w:ascii="Book Antiqua" w:hAnsi="Book Antiqua"/>
          <w:sz w:val="24"/>
          <w:szCs w:val="24"/>
          <w:lang w:val="en-US" w:eastAsia="zh-CN"/>
        </w:rPr>
      </w:pPr>
      <w:r w:rsidRPr="00260125">
        <w:rPr>
          <w:rFonts w:ascii="Book Antiqua" w:hAnsi="Book Antiqua"/>
          <w:sz w:val="24"/>
          <w:szCs w:val="24"/>
          <w:lang w:val="en-US"/>
        </w:rPr>
        <w:t xml:space="preserve">There are several studies of ETV treatment in clinical practice from different regions of the world. Most of them are from Europe and Asia, and a minority from America and Oceania. The </w:t>
      </w:r>
      <w:proofErr w:type="spellStart"/>
      <w:r w:rsidRPr="00260125">
        <w:rPr>
          <w:rFonts w:ascii="Book Antiqua" w:hAnsi="Book Antiqua"/>
          <w:sz w:val="24"/>
          <w:szCs w:val="24"/>
          <w:lang w:val="en-US"/>
        </w:rPr>
        <w:t>Oriente</w:t>
      </w:r>
      <w:proofErr w:type="spellEnd"/>
      <w:r w:rsidRPr="00260125">
        <w:rPr>
          <w:rFonts w:ascii="Book Antiqua" w:hAnsi="Book Antiqua"/>
          <w:sz w:val="24"/>
          <w:szCs w:val="24"/>
          <w:lang w:val="en-US"/>
        </w:rPr>
        <w:t xml:space="preserve"> study analyzed the results from 190 NUC-naïve patients treated for a year in 25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xml:space="preserve"> in Spain. The cohort was 73% male, 84% Caucasian, 30%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and 34% of the patients who underwent biopsy had advanced fibrosis/cirrhosis.</w:t>
      </w:r>
      <w:r>
        <w:rPr>
          <w:rFonts w:ascii="Book Antiqua" w:hAnsi="Book Antiqua"/>
          <w:sz w:val="24"/>
          <w:szCs w:val="24"/>
          <w:lang w:val="en-US" w:eastAsia="zh-CN"/>
        </w:rPr>
        <w:t xml:space="preserve"> </w:t>
      </w:r>
      <w:r w:rsidRPr="00260125">
        <w:rPr>
          <w:rFonts w:ascii="Book Antiqua" w:hAnsi="Book Antiqua"/>
          <w:sz w:val="24"/>
          <w:szCs w:val="24"/>
          <w:lang w:val="en-US"/>
        </w:rPr>
        <w:t xml:space="preserve">At week 48, 83% of the patients (61%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-positive; 92%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achieved a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26% of the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-positive patients lost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and 22% achieved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to </w:t>
      </w:r>
      <w:proofErr w:type="spellStart"/>
      <w:r w:rsidRPr="00260125">
        <w:rPr>
          <w:rFonts w:ascii="Book Antiqua" w:hAnsi="Book Antiqua"/>
          <w:sz w:val="24"/>
          <w:szCs w:val="24"/>
          <w:lang w:val="en-US"/>
        </w:rPr>
        <w:t>antiHBe</w:t>
      </w:r>
      <w:proofErr w:type="spellEnd"/>
      <w:r w:rsidRPr="00260125">
        <w:rPr>
          <w:rFonts w:ascii="Book Antiqua" w:hAnsi="Book Antiqua"/>
          <w:sz w:val="24"/>
          <w:szCs w:val="24"/>
          <w:lang w:val="en-US"/>
        </w:rPr>
        <w:t xml:space="preserve"> and 2% showed </w:t>
      </w:r>
      <w:proofErr w:type="spellStart"/>
      <w:r w:rsidRPr="00260125">
        <w:rPr>
          <w:rFonts w:ascii="Book Antiqua" w:hAnsi="Book Antiqua"/>
          <w:sz w:val="24"/>
          <w:szCs w:val="24"/>
          <w:lang w:val="en-US"/>
        </w:rPr>
        <w:t>HBsAg</w:t>
      </w:r>
      <w:proofErr w:type="spellEnd"/>
      <w:r>
        <w:rPr>
          <w:rFonts w:ascii="Book Antiqua" w:hAnsi="Book Antiqua"/>
          <w:sz w:val="24"/>
          <w:szCs w:val="24"/>
          <w:lang w:val="en-US"/>
        </w:rPr>
        <w:t xml:space="preserve"> </w:t>
      </w:r>
      <w:proofErr w:type="gramStart"/>
      <w:r w:rsidRPr="00260125">
        <w:rPr>
          <w:rFonts w:ascii="Book Antiqua" w:hAnsi="Book Antiqua"/>
          <w:sz w:val="24"/>
          <w:szCs w:val="24"/>
          <w:lang w:val="en-US"/>
        </w:rPr>
        <w:t>clearance</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22</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The European network of excellence for Vigilance against Viral Resistance (VIRGIL) performed a </w:t>
      </w:r>
      <w:proofErr w:type="spellStart"/>
      <w:r w:rsidRPr="00260125">
        <w:rPr>
          <w:rFonts w:ascii="Book Antiqua" w:hAnsi="Book Antiqua"/>
          <w:sz w:val="24"/>
          <w:szCs w:val="24"/>
          <w:lang w:val="en-US"/>
        </w:rPr>
        <w:t>multicentre</w:t>
      </w:r>
      <w:proofErr w:type="spellEnd"/>
      <w:r w:rsidRPr="00260125">
        <w:rPr>
          <w:rFonts w:ascii="Book Antiqua" w:hAnsi="Book Antiqua"/>
          <w:sz w:val="24"/>
          <w:szCs w:val="24"/>
          <w:lang w:val="en-US"/>
        </w:rPr>
        <w:t xml:space="preserve"> cohort study at over 10 European referral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xml:space="preserve"> between 2005 and 2010 including 243 NU</w:t>
      </w:r>
      <w:r>
        <w:rPr>
          <w:rFonts w:ascii="Book Antiqua" w:hAnsi="Book Antiqua"/>
          <w:sz w:val="24"/>
          <w:szCs w:val="24"/>
          <w:lang w:val="en-US"/>
        </w:rPr>
        <w:t xml:space="preserve">C-naïve </w:t>
      </w:r>
      <w:proofErr w:type="gramStart"/>
      <w:r>
        <w:rPr>
          <w:rFonts w:ascii="Book Antiqua" w:hAnsi="Book Antiqua"/>
          <w:sz w:val="24"/>
          <w:szCs w:val="24"/>
          <w:lang w:val="en-US"/>
        </w:rPr>
        <w:t>patients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23</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At week 144, 90%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and 99%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patients achieved a </w:t>
      </w:r>
      <w:proofErr w:type="spellStart"/>
      <w:r w:rsidRPr="00260125">
        <w:rPr>
          <w:rFonts w:ascii="Book Antiqua" w:hAnsi="Book Antiqua"/>
          <w:sz w:val="24"/>
          <w:szCs w:val="24"/>
          <w:lang w:val="en-US"/>
        </w:rPr>
        <w:t>virologic</w:t>
      </w:r>
      <w:proofErr w:type="spellEnd"/>
      <w:r w:rsidRPr="00260125">
        <w:rPr>
          <w:rFonts w:ascii="Book Antiqua" w:hAnsi="Book Antiqua"/>
          <w:sz w:val="24"/>
          <w:szCs w:val="24"/>
          <w:lang w:val="en-US"/>
        </w:rPr>
        <w:t xml:space="preserve"> response, and 34% of the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-positive patients lost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In a single-</w:t>
      </w:r>
      <w:proofErr w:type="spellStart"/>
      <w:r w:rsidRPr="00260125">
        <w:rPr>
          <w:rFonts w:ascii="Book Antiqua" w:hAnsi="Book Antiqua"/>
          <w:sz w:val="24"/>
          <w:szCs w:val="24"/>
          <w:lang w:val="en-US"/>
        </w:rPr>
        <w:t>centre</w:t>
      </w:r>
      <w:proofErr w:type="spellEnd"/>
      <w:r w:rsidRPr="00260125">
        <w:rPr>
          <w:rFonts w:ascii="Book Antiqua" w:hAnsi="Book Antiqua"/>
          <w:sz w:val="24"/>
          <w:szCs w:val="24"/>
          <w:lang w:val="en-US"/>
        </w:rPr>
        <w:t xml:space="preserve"> cohort study from the King’s College in the U</w:t>
      </w:r>
      <w:r>
        <w:rPr>
          <w:rFonts w:ascii="Book Antiqua" w:hAnsi="Book Antiqua"/>
          <w:sz w:val="24"/>
          <w:szCs w:val="24"/>
          <w:lang w:val="en-US" w:eastAsia="zh-CN"/>
        </w:rPr>
        <w:t xml:space="preserve">nited </w:t>
      </w:r>
      <w:r w:rsidRPr="00260125">
        <w:rPr>
          <w:rFonts w:ascii="Book Antiqua" w:hAnsi="Book Antiqua"/>
          <w:sz w:val="24"/>
          <w:szCs w:val="24"/>
          <w:lang w:val="en-US"/>
        </w:rPr>
        <w:t>K</w:t>
      </w:r>
      <w:r>
        <w:rPr>
          <w:rFonts w:ascii="Book Antiqua" w:hAnsi="Book Antiqua"/>
          <w:sz w:val="24"/>
          <w:szCs w:val="24"/>
          <w:lang w:val="en-US" w:eastAsia="zh-CN"/>
        </w:rPr>
        <w:t>ingdom</w:t>
      </w:r>
      <w:r w:rsidRPr="00260125">
        <w:rPr>
          <w:rFonts w:ascii="Book Antiqua" w:hAnsi="Book Antiqua"/>
          <w:sz w:val="24"/>
          <w:szCs w:val="24"/>
          <w:lang w:val="en-US"/>
        </w:rPr>
        <w:t xml:space="preserve"> 3 treatment strategies were compared. One hundred and fifty four patients were treated with ETV monotherapy for a median of 28 </w:t>
      </w:r>
      <w:proofErr w:type="spellStart"/>
      <w:r w:rsidRPr="00260125">
        <w:rPr>
          <w:rFonts w:ascii="Book Antiqua" w:hAnsi="Book Antiqua"/>
          <w:sz w:val="24"/>
          <w:szCs w:val="24"/>
          <w:lang w:val="en-US"/>
        </w:rPr>
        <w:t>mo</w:t>
      </w:r>
      <w:proofErr w:type="spellEnd"/>
      <w:r w:rsidRPr="00260125">
        <w:rPr>
          <w:rFonts w:ascii="Book Antiqua" w:hAnsi="Book Antiqua"/>
          <w:sz w:val="24"/>
          <w:szCs w:val="24"/>
          <w:lang w:val="en-US"/>
        </w:rPr>
        <w:t>: 76% of patients achieved HBV DNA undet</w:t>
      </w:r>
      <w:r>
        <w:rPr>
          <w:rFonts w:ascii="Book Antiqua" w:hAnsi="Book Antiqua"/>
          <w:sz w:val="24"/>
          <w:szCs w:val="24"/>
          <w:lang w:val="en-US"/>
        </w:rPr>
        <w:t xml:space="preserve">ectable levels, 8% of the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w:t>
      </w:r>
      <w:r w:rsidRPr="00260125">
        <w:rPr>
          <w:rFonts w:ascii="Book Antiqua" w:hAnsi="Book Antiqua"/>
          <w:sz w:val="24"/>
          <w:szCs w:val="24"/>
          <w:lang w:val="en-US"/>
        </w:rPr>
        <w:t>positive patients cle</w:t>
      </w:r>
      <w:r>
        <w:rPr>
          <w:rFonts w:ascii="Book Antiqua" w:hAnsi="Book Antiqua"/>
          <w:sz w:val="24"/>
          <w:szCs w:val="24"/>
          <w:lang w:val="en-US"/>
        </w:rPr>
        <w:t xml:space="preserve">ared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and 1% cleared </w:t>
      </w:r>
      <w:proofErr w:type="spellStart"/>
      <w:proofErr w:type="gramStart"/>
      <w:r>
        <w:rPr>
          <w:rFonts w:ascii="Book Antiqua" w:hAnsi="Book Antiqua"/>
          <w:sz w:val="24"/>
          <w:szCs w:val="24"/>
          <w:lang w:val="en-US"/>
        </w:rPr>
        <w:t>HBsAg</w:t>
      </w:r>
      <w:proofErr w:type="spellEnd"/>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24</w:t>
      </w:r>
      <w:r w:rsidRPr="00260125">
        <w:rPr>
          <w:rFonts w:ascii="Book Antiqua" w:hAnsi="Book Antiqua"/>
          <w:bCs/>
          <w:sz w:val="24"/>
          <w:szCs w:val="24"/>
          <w:vertAlign w:val="superscript"/>
          <w:lang w:val="en-US"/>
        </w:rPr>
        <w:t>]</w:t>
      </w:r>
      <w:r>
        <w:rPr>
          <w:rFonts w:ascii="Book Antiqua" w:hAnsi="Book Antiqua"/>
          <w:sz w:val="24"/>
          <w:szCs w:val="24"/>
          <w:lang w:val="en-US"/>
        </w:rPr>
        <w:t>.</w:t>
      </w:r>
    </w:p>
    <w:p w:rsidR="004C196A" w:rsidRPr="00260125" w:rsidRDefault="004C196A" w:rsidP="007902F6">
      <w:pPr>
        <w:spacing w:after="0" w:line="360" w:lineRule="auto"/>
        <w:ind w:firstLineChars="100" w:firstLine="240"/>
        <w:jc w:val="both"/>
        <w:rPr>
          <w:rFonts w:ascii="Book Antiqua" w:hAnsi="Book Antiqua"/>
          <w:sz w:val="24"/>
          <w:szCs w:val="24"/>
          <w:lang w:val="en-US" w:eastAsia="zh-CN"/>
        </w:rPr>
      </w:pPr>
      <w:r w:rsidRPr="00260125">
        <w:rPr>
          <w:rFonts w:ascii="Book Antiqua" w:hAnsi="Book Antiqua"/>
          <w:sz w:val="24"/>
          <w:szCs w:val="24"/>
          <w:lang w:val="en-US"/>
        </w:rPr>
        <w:t xml:space="preserve">A retrospective/prospective, </w:t>
      </w:r>
      <w:proofErr w:type="spellStart"/>
      <w:r w:rsidRPr="00260125">
        <w:rPr>
          <w:rFonts w:ascii="Book Antiqua" w:hAnsi="Book Antiqua"/>
          <w:sz w:val="24"/>
          <w:szCs w:val="24"/>
          <w:lang w:val="en-US"/>
        </w:rPr>
        <w:t>multicentre</w:t>
      </w:r>
      <w:proofErr w:type="spellEnd"/>
      <w:r w:rsidRPr="00260125">
        <w:rPr>
          <w:rFonts w:ascii="Book Antiqua" w:hAnsi="Book Antiqua"/>
          <w:sz w:val="24"/>
          <w:szCs w:val="24"/>
          <w:lang w:val="en-US"/>
        </w:rPr>
        <w:t xml:space="preserve"> study was conducted at 19 Italian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xml:space="preserve"> and included 418 consecutive NUC-</w:t>
      </w:r>
      <w:r>
        <w:rPr>
          <w:rFonts w:ascii="Book Antiqua" w:hAnsi="Book Antiqua"/>
          <w:sz w:val="24"/>
          <w:szCs w:val="24"/>
          <w:lang w:val="en-US"/>
        </w:rPr>
        <w:t xml:space="preserve">naïve patients treated with </w:t>
      </w:r>
      <w:proofErr w:type="gramStart"/>
      <w:r>
        <w:rPr>
          <w:rFonts w:ascii="Book Antiqua" w:hAnsi="Book Antiqua"/>
          <w:sz w:val="24"/>
          <w:szCs w:val="24"/>
          <w:lang w:val="en-US"/>
        </w:rPr>
        <w:t>ETV</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25</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In their last evaluation, 100%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and 99%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patients achieved HBV DNA undetectable levels after 60 </w:t>
      </w:r>
      <w:proofErr w:type="spellStart"/>
      <w:r w:rsidRPr="00260125">
        <w:rPr>
          <w:rFonts w:ascii="Book Antiqua" w:hAnsi="Book Antiqua"/>
          <w:sz w:val="24"/>
          <w:szCs w:val="24"/>
          <w:lang w:val="en-US"/>
        </w:rPr>
        <w:t>mo</w:t>
      </w:r>
      <w:proofErr w:type="spellEnd"/>
      <w:r>
        <w:rPr>
          <w:rFonts w:ascii="Book Antiqua" w:hAnsi="Book Antiqua"/>
          <w:sz w:val="24"/>
          <w:szCs w:val="24"/>
          <w:lang w:val="en-US"/>
        </w:rPr>
        <w:t xml:space="preserve"> of treatment. </w:t>
      </w:r>
      <w:r w:rsidRPr="00260125">
        <w:rPr>
          <w:rFonts w:ascii="Book Antiqua" w:hAnsi="Book Antiqua"/>
          <w:sz w:val="24"/>
          <w:szCs w:val="24"/>
          <w:lang w:val="en-US"/>
        </w:rPr>
        <w:t xml:space="preserve">In </w:t>
      </w:r>
      <w:proofErr w:type="spellStart"/>
      <w:r w:rsidRPr="00260125">
        <w:rPr>
          <w:rFonts w:ascii="Book Antiqua" w:hAnsi="Book Antiqua"/>
          <w:sz w:val="24"/>
          <w:szCs w:val="24"/>
          <w:lang w:val="en-US"/>
        </w:rPr>
        <w:lastRenderedPageBreak/>
        <w:t>HBeAg</w:t>
      </w:r>
      <w:proofErr w:type="spellEnd"/>
      <w:r w:rsidRPr="00260125">
        <w:rPr>
          <w:rFonts w:ascii="Book Antiqua" w:hAnsi="Book Antiqua"/>
          <w:sz w:val="24"/>
          <w:szCs w:val="24"/>
          <w:lang w:val="en-US"/>
        </w:rPr>
        <w:t xml:space="preserve"> positive patients,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occurred in 31 patients (cumulative rate of 55%) and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loss in 15 patients (cumulative rate of 34%). One patient developed resistance to ETV (L180M, M204V, S202G) over the treatment period and wa</w:t>
      </w:r>
      <w:r>
        <w:rPr>
          <w:rFonts w:ascii="Book Antiqua" w:hAnsi="Book Antiqua"/>
          <w:sz w:val="24"/>
          <w:szCs w:val="24"/>
          <w:lang w:val="en-US"/>
        </w:rPr>
        <w:t xml:space="preserve">s successfully treated with </w:t>
      </w:r>
      <w:proofErr w:type="gramStart"/>
      <w:r>
        <w:rPr>
          <w:rFonts w:ascii="Book Antiqua" w:hAnsi="Book Antiqua"/>
          <w:sz w:val="24"/>
          <w:szCs w:val="24"/>
          <w:lang w:val="en-US"/>
        </w:rPr>
        <w:t>TDF</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25</w:t>
      </w:r>
      <w:r w:rsidRPr="00260125">
        <w:rPr>
          <w:rFonts w:ascii="Book Antiqua" w:hAnsi="Book Antiqua"/>
          <w:bCs/>
          <w:sz w:val="24"/>
          <w:szCs w:val="24"/>
          <w:vertAlign w:val="superscript"/>
          <w:lang w:val="en-US"/>
        </w:rPr>
        <w:t>]</w:t>
      </w:r>
      <w:r>
        <w:rPr>
          <w:rFonts w:ascii="Book Antiqua" w:hAnsi="Book Antiqua"/>
          <w:sz w:val="24"/>
          <w:szCs w:val="24"/>
          <w:lang w:val="en-US"/>
        </w:rPr>
        <w:t>.</w:t>
      </w:r>
    </w:p>
    <w:p w:rsidR="004C196A" w:rsidRPr="00260125" w:rsidRDefault="004C196A" w:rsidP="00DB71A9">
      <w:pPr>
        <w:spacing w:after="0" w:line="360" w:lineRule="auto"/>
        <w:ind w:firstLineChars="100" w:firstLine="240"/>
        <w:jc w:val="both"/>
        <w:rPr>
          <w:rFonts w:ascii="Book Antiqua" w:hAnsi="Book Antiqua"/>
          <w:sz w:val="24"/>
          <w:szCs w:val="24"/>
          <w:lang w:val="en-US" w:eastAsia="zh-CN"/>
        </w:rPr>
      </w:pPr>
      <w:r w:rsidRPr="00260125">
        <w:rPr>
          <w:rFonts w:ascii="Book Antiqua" w:hAnsi="Book Antiqua"/>
          <w:sz w:val="24"/>
          <w:szCs w:val="24"/>
          <w:lang w:val="en-US"/>
        </w:rPr>
        <w:t xml:space="preserve">A single </w:t>
      </w:r>
      <w:proofErr w:type="spellStart"/>
      <w:r w:rsidRPr="00260125">
        <w:rPr>
          <w:rFonts w:ascii="Book Antiqua" w:hAnsi="Book Antiqua"/>
          <w:sz w:val="24"/>
          <w:szCs w:val="24"/>
          <w:lang w:val="en-US"/>
        </w:rPr>
        <w:t>centre</w:t>
      </w:r>
      <w:proofErr w:type="spellEnd"/>
      <w:r w:rsidRPr="00260125">
        <w:rPr>
          <w:rFonts w:ascii="Book Antiqua" w:hAnsi="Book Antiqua"/>
          <w:sz w:val="24"/>
          <w:szCs w:val="24"/>
          <w:lang w:val="en-US"/>
        </w:rPr>
        <w:t xml:space="preserve"> study from Italy included 100 patients, 85 of whom were NUC-naïve treated with ETV for 36 mo. Overall, 94% of the patients achieved HBV DNA </w:t>
      </w:r>
      <w:proofErr w:type="spellStart"/>
      <w:r w:rsidRPr="00260125">
        <w:rPr>
          <w:rFonts w:ascii="Book Antiqua" w:hAnsi="Book Antiqua"/>
          <w:sz w:val="24"/>
          <w:szCs w:val="24"/>
          <w:lang w:val="en-US"/>
        </w:rPr>
        <w:t>negativization</w:t>
      </w:r>
      <w:proofErr w:type="spellEnd"/>
      <w:r w:rsidRPr="00260125">
        <w:rPr>
          <w:rFonts w:ascii="Book Antiqua" w:hAnsi="Book Antiqua"/>
          <w:sz w:val="24"/>
          <w:szCs w:val="24"/>
          <w:lang w:val="en-US"/>
        </w:rPr>
        <w:t xml:space="preserve">, 33%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clea</w:t>
      </w:r>
      <w:r>
        <w:rPr>
          <w:rFonts w:ascii="Book Antiqua" w:hAnsi="Book Antiqua"/>
          <w:sz w:val="24"/>
          <w:szCs w:val="24"/>
          <w:lang w:val="en-US"/>
        </w:rPr>
        <w:t xml:space="preserve">red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and 15% cleared </w:t>
      </w:r>
      <w:proofErr w:type="spellStart"/>
      <w:proofErr w:type="gramStart"/>
      <w:r>
        <w:rPr>
          <w:rFonts w:ascii="Book Antiqua" w:hAnsi="Book Antiqua"/>
          <w:sz w:val="24"/>
          <w:szCs w:val="24"/>
          <w:lang w:val="en-US"/>
        </w:rPr>
        <w:t>HBsAg</w:t>
      </w:r>
      <w:proofErr w:type="spellEnd"/>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26</w:t>
      </w:r>
      <w:r w:rsidRPr="00260125">
        <w:rPr>
          <w:rFonts w:ascii="Book Antiqua" w:hAnsi="Book Antiqua"/>
          <w:bCs/>
          <w:sz w:val="24"/>
          <w:szCs w:val="24"/>
          <w:vertAlign w:val="superscript"/>
          <w:lang w:val="en-US"/>
        </w:rPr>
        <w:t>]</w:t>
      </w:r>
      <w:r>
        <w:rPr>
          <w:rFonts w:ascii="Book Antiqua" w:hAnsi="Book Antiqua"/>
          <w:sz w:val="24"/>
          <w:szCs w:val="24"/>
          <w:lang w:val="en-US"/>
        </w:rPr>
        <w:t xml:space="preserve">. </w:t>
      </w:r>
      <w:r w:rsidRPr="00260125">
        <w:rPr>
          <w:rFonts w:ascii="Book Antiqua" w:hAnsi="Book Antiqua"/>
          <w:sz w:val="24"/>
          <w:szCs w:val="24"/>
          <w:lang w:val="en-US"/>
        </w:rPr>
        <w:t xml:space="preserve">Another </w:t>
      </w:r>
      <w:proofErr w:type="spellStart"/>
      <w:r w:rsidRPr="00260125">
        <w:rPr>
          <w:rFonts w:ascii="Book Antiqua" w:hAnsi="Book Antiqua"/>
          <w:sz w:val="24"/>
          <w:szCs w:val="24"/>
          <w:lang w:val="en-US"/>
        </w:rPr>
        <w:t>multicentre</w:t>
      </w:r>
      <w:proofErr w:type="spellEnd"/>
      <w:r w:rsidRPr="00260125">
        <w:rPr>
          <w:rFonts w:ascii="Book Antiqua" w:hAnsi="Book Antiqua"/>
          <w:sz w:val="24"/>
          <w:szCs w:val="24"/>
          <w:lang w:val="en-US"/>
        </w:rPr>
        <w:t xml:space="preserve"> study from Italy included 300 patients, 287 being NUC-naïve treated for 24 </w:t>
      </w:r>
      <w:proofErr w:type="gramStart"/>
      <w:r w:rsidRPr="00260125">
        <w:rPr>
          <w:rFonts w:ascii="Book Antiqua" w:hAnsi="Book Antiqua"/>
          <w:sz w:val="24"/>
          <w:szCs w:val="24"/>
          <w:lang w:val="en-US"/>
        </w:rPr>
        <w:t>mo</w:t>
      </w:r>
      <w:proofErr w:type="gramEnd"/>
      <w:r>
        <w:rPr>
          <w:rFonts w:ascii="Book Antiqua" w:hAnsi="Book Antiqua"/>
          <w:sz w:val="24"/>
          <w:szCs w:val="24"/>
          <w:lang w:val="en-US"/>
        </w:rPr>
        <w:t xml:space="preserve">. </w:t>
      </w:r>
      <w:r w:rsidRPr="00260125">
        <w:rPr>
          <w:rFonts w:ascii="Book Antiqua" w:hAnsi="Book Antiqua"/>
          <w:sz w:val="24"/>
          <w:szCs w:val="24"/>
          <w:lang w:val="en-US"/>
        </w:rPr>
        <w:t xml:space="preserve">At the end of follow up, cumulative rates of undetectable HBV DNA was 89%, 39 patients were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and 17 achieved negative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with </w:t>
      </w:r>
      <w:proofErr w:type="spellStart"/>
      <w:r w:rsidRPr="00260125">
        <w:rPr>
          <w:rFonts w:ascii="Book Antiqua" w:hAnsi="Book Antiqua"/>
          <w:sz w:val="24"/>
          <w:szCs w:val="24"/>
          <w:lang w:val="en-US"/>
        </w:rPr>
        <w:t>antiHBe</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in 15 cases (38.4%), and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r>
        <w:rPr>
          <w:rFonts w:ascii="Book Antiqua" w:hAnsi="Book Antiqua"/>
          <w:sz w:val="24"/>
          <w:szCs w:val="24"/>
          <w:lang w:val="en-US"/>
        </w:rPr>
        <w:t>loss was observed in 5 patients</w:t>
      </w:r>
      <w:r>
        <w:rPr>
          <w:rFonts w:ascii="Book Antiqua" w:hAnsi="Book Antiqua"/>
          <w:bCs/>
          <w:sz w:val="24"/>
          <w:szCs w:val="24"/>
          <w:vertAlign w:val="superscript"/>
          <w:lang w:val="en-US"/>
        </w:rPr>
        <w:t>[27</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Unfortunately, both studies presented their overall results, including both NUC-naïve </w:t>
      </w:r>
      <w:r>
        <w:rPr>
          <w:rFonts w:ascii="Book Antiqua" w:hAnsi="Book Antiqua"/>
          <w:sz w:val="24"/>
          <w:szCs w:val="24"/>
          <w:lang w:val="en-US"/>
        </w:rPr>
        <w:t>and NUC-experienced patients.</w:t>
      </w:r>
    </w:p>
    <w:p w:rsidR="004C196A" w:rsidRPr="00260125" w:rsidRDefault="004C196A" w:rsidP="008C1B1D">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 xml:space="preserve">The results from a previously reported </w:t>
      </w:r>
      <w:proofErr w:type="spellStart"/>
      <w:r w:rsidRPr="00260125">
        <w:rPr>
          <w:rFonts w:ascii="Book Antiqua" w:hAnsi="Book Antiqua"/>
          <w:sz w:val="24"/>
          <w:szCs w:val="24"/>
          <w:lang w:val="en-US"/>
        </w:rPr>
        <w:t>multicentre</w:t>
      </w:r>
      <w:proofErr w:type="spellEnd"/>
      <w:r w:rsidRPr="00260125">
        <w:rPr>
          <w:rFonts w:ascii="Book Antiqua" w:hAnsi="Book Antiqua"/>
          <w:sz w:val="24"/>
          <w:szCs w:val="24"/>
          <w:lang w:val="en-US"/>
        </w:rPr>
        <w:t xml:space="preserve"> study performed in </w:t>
      </w:r>
      <w:r>
        <w:rPr>
          <w:rFonts w:ascii="Book Antiqua" w:hAnsi="Book Antiqua"/>
          <w:sz w:val="24"/>
          <w:szCs w:val="24"/>
          <w:lang w:val="en-US"/>
        </w:rPr>
        <w:t xml:space="preserve">Argentina were recently </w:t>
      </w:r>
      <w:proofErr w:type="gramStart"/>
      <w:r>
        <w:rPr>
          <w:rFonts w:ascii="Book Antiqua" w:hAnsi="Book Antiqua"/>
          <w:sz w:val="24"/>
          <w:szCs w:val="24"/>
          <w:lang w:val="en-US"/>
        </w:rPr>
        <w:t>updated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21</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8</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w:t>
      </w:r>
      <w:r w:rsidRPr="00260125">
        <w:rPr>
          <w:rFonts w:ascii="Book Antiqua" w:hAnsi="Book Antiqua"/>
          <w:bCs/>
          <w:sz w:val="24"/>
          <w:szCs w:val="24"/>
          <w:lang w:val="en-US"/>
        </w:rPr>
        <w:t xml:space="preserve">One hundred and sixty nine consecutive patients were treated with ETV for a median 181 wk. Overall, 156 (92%) patients became HBV DNA undetectable, 92 (88%)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positive and 64 (98%) of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negative patients. cumulative clearance of HBV DNA by week 192 and 240 was 100% in both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positive and negative </w:t>
      </w:r>
      <w:proofErr w:type="spellStart"/>
      <w:r w:rsidRPr="00260125">
        <w:rPr>
          <w:rFonts w:ascii="Book Antiqua" w:hAnsi="Book Antiqua"/>
          <w:bCs/>
          <w:sz w:val="24"/>
          <w:szCs w:val="24"/>
          <w:lang w:val="en-US"/>
        </w:rPr>
        <w:t>patients.Seventy</w:t>
      </w:r>
      <w:proofErr w:type="spellEnd"/>
      <w:r w:rsidRPr="00260125">
        <w:rPr>
          <w:rFonts w:ascii="Book Antiqua" w:hAnsi="Book Antiqua"/>
          <w:bCs/>
          <w:sz w:val="24"/>
          <w:szCs w:val="24"/>
          <w:lang w:val="en-US"/>
        </w:rPr>
        <w:t xml:space="preserve"> four (71%) patients cleared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23 (14%) patients cleared </w:t>
      </w:r>
      <w:proofErr w:type="spellStart"/>
      <w:r w:rsidRPr="00260125">
        <w:rPr>
          <w:rFonts w:ascii="Book Antiqua" w:hAnsi="Book Antiqua"/>
          <w:bCs/>
          <w:sz w:val="24"/>
          <w:szCs w:val="24"/>
          <w:lang w:val="en-US"/>
        </w:rPr>
        <w:t>HBsAg</w:t>
      </w:r>
      <w:proofErr w:type="spellEnd"/>
      <w:r w:rsidRPr="00260125">
        <w:rPr>
          <w:rFonts w:ascii="Book Antiqua" w:hAnsi="Book Antiqua"/>
          <w:bCs/>
          <w:sz w:val="24"/>
          <w:szCs w:val="24"/>
          <w:lang w:val="en-US"/>
        </w:rPr>
        <w:t xml:space="preserve"> (19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positive and 4 </w:t>
      </w:r>
      <w:proofErr w:type="spellStart"/>
      <w:r w:rsidRPr="00260125">
        <w:rPr>
          <w:rFonts w:ascii="Book Antiqua" w:hAnsi="Book Antiqua"/>
          <w:bCs/>
          <w:sz w:val="24"/>
          <w:szCs w:val="24"/>
          <w:lang w:val="en-US"/>
        </w:rPr>
        <w:t>HBeAg</w:t>
      </w:r>
      <w:proofErr w:type="spellEnd"/>
      <w:r w:rsidRPr="00260125">
        <w:rPr>
          <w:rFonts w:ascii="Book Antiqua" w:hAnsi="Book Antiqua"/>
          <w:bCs/>
          <w:sz w:val="24"/>
          <w:szCs w:val="24"/>
          <w:lang w:val="en-US"/>
        </w:rPr>
        <w:t xml:space="preserve"> negative, </w:t>
      </w:r>
      <w:r w:rsidRPr="008C1B1D">
        <w:rPr>
          <w:rFonts w:ascii="Book Antiqua" w:hAnsi="Book Antiqua"/>
          <w:bCs/>
          <w:i/>
          <w:sz w:val="24"/>
          <w:szCs w:val="24"/>
          <w:lang w:val="en-US" w:eastAsia="zh-CN"/>
        </w:rPr>
        <w:t>P</w:t>
      </w:r>
      <w:r>
        <w:rPr>
          <w:rFonts w:ascii="Book Antiqua" w:hAnsi="Book Antiqua"/>
          <w:bCs/>
          <w:sz w:val="24"/>
          <w:szCs w:val="24"/>
          <w:lang w:val="en-US" w:eastAsia="zh-CN"/>
        </w:rPr>
        <w:t xml:space="preserve"> =</w:t>
      </w:r>
      <w:r w:rsidRPr="00260125">
        <w:rPr>
          <w:rFonts w:ascii="Book Antiqua" w:hAnsi="Book Antiqua"/>
          <w:bCs/>
          <w:sz w:val="24"/>
          <w:szCs w:val="24"/>
          <w:lang w:val="en-US"/>
        </w:rPr>
        <w:t xml:space="preserve"> 0.025), and 22 (13%) patients developed protective titers of </w:t>
      </w:r>
      <w:proofErr w:type="spellStart"/>
      <w:r w:rsidRPr="00260125">
        <w:rPr>
          <w:rFonts w:ascii="Book Antiqua" w:hAnsi="Book Antiqua"/>
          <w:bCs/>
          <w:sz w:val="24"/>
          <w:szCs w:val="24"/>
          <w:lang w:val="en-US"/>
        </w:rPr>
        <w:t>antiHBs</w:t>
      </w:r>
      <w:proofErr w:type="spellEnd"/>
      <w:r w:rsidRPr="00260125">
        <w:rPr>
          <w:rFonts w:ascii="Book Antiqua" w:hAnsi="Book Antiqua"/>
          <w:bCs/>
          <w:sz w:val="24"/>
          <w:szCs w:val="24"/>
          <w:lang w:val="en-US"/>
        </w:rPr>
        <w:t xml:space="preserve">. </w:t>
      </w:r>
      <w:r w:rsidRPr="00260125">
        <w:rPr>
          <w:rFonts w:ascii="Book Antiqua" w:hAnsi="Book Antiqua"/>
          <w:sz w:val="24"/>
          <w:szCs w:val="24"/>
          <w:lang w:val="en-US"/>
        </w:rPr>
        <w:t xml:space="preserve">One patient developed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breakthrough due to ETV resistance (M204V, S202G) over the treatment </w:t>
      </w:r>
      <w:proofErr w:type="gramStart"/>
      <w:r w:rsidRPr="00260125">
        <w:rPr>
          <w:rFonts w:ascii="Book Antiqua" w:hAnsi="Book Antiqua"/>
          <w:sz w:val="24"/>
          <w:szCs w:val="24"/>
          <w:lang w:val="en-US"/>
        </w:rPr>
        <w:t>period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29</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r>
        <w:rPr>
          <w:rFonts w:ascii="Book Antiqua" w:hAnsi="Book Antiqua"/>
          <w:sz w:val="24"/>
          <w:szCs w:val="24"/>
          <w:lang w:val="en-US"/>
        </w:rPr>
        <w:t xml:space="preserve"> </w:t>
      </w:r>
      <w:r w:rsidRPr="00260125">
        <w:rPr>
          <w:rFonts w:ascii="Book Antiqua" w:hAnsi="Book Antiqua"/>
          <w:sz w:val="24"/>
          <w:szCs w:val="24"/>
          <w:lang w:val="en-US"/>
        </w:rPr>
        <w:t xml:space="preserve">In a follow up study, post-treatment outcomes of patient from this study were evaluated in clinical </w:t>
      </w:r>
      <w:proofErr w:type="gramStart"/>
      <w:r w:rsidRPr="00260125">
        <w:rPr>
          <w:rFonts w:ascii="Book Antiqua" w:hAnsi="Book Antiqua"/>
          <w:sz w:val="24"/>
          <w:szCs w:val="24"/>
          <w:lang w:val="en-US"/>
        </w:rPr>
        <w:t>practice</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30</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w:t>
      </w:r>
      <w:r>
        <w:rPr>
          <w:rFonts w:ascii="Book Antiqua" w:hAnsi="Book Antiqua"/>
          <w:sz w:val="24"/>
          <w:szCs w:val="24"/>
          <w:lang w:val="en-US" w:eastAsia="zh-CN"/>
        </w:rPr>
        <w:t>Thirty-five</w:t>
      </w:r>
      <w:r w:rsidRPr="00260125">
        <w:rPr>
          <w:rFonts w:ascii="Book Antiqua" w:eastAsia="Times New Roman" w:hAnsi="Book Antiqua"/>
          <w:sz w:val="24"/>
          <w:szCs w:val="24"/>
          <w:lang w:val="en-US" w:eastAsia="es-ES"/>
        </w:rPr>
        <w:t xml:space="preserve"> patients (20%) discontinued ETV treatment due to sustained </w:t>
      </w:r>
      <w:proofErr w:type="spellStart"/>
      <w:r w:rsidRPr="00260125">
        <w:rPr>
          <w:rFonts w:ascii="Book Antiqua" w:eastAsia="Times New Roman" w:hAnsi="Book Antiqua"/>
          <w:sz w:val="24"/>
          <w:szCs w:val="24"/>
          <w:lang w:val="en-US" w:eastAsia="es-ES"/>
        </w:rPr>
        <w:t>virological</w:t>
      </w:r>
      <w:proofErr w:type="spellEnd"/>
      <w:r w:rsidRPr="00260125">
        <w:rPr>
          <w:rFonts w:ascii="Book Antiqua" w:eastAsia="Times New Roman" w:hAnsi="Book Antiqua"/>
          <w:sz w:val="24"/>
          <w:szCs w:val="24"/>
          <w:lang w:val="en-US" w:eastAsia="es-ES"/>
        </w:rPr>
        <w:t xml:space="preserve"> response; 33 of these patients developed </w:t>
      </w:r>
      <w:proofErr w:type="spellStart"/>
      <w:r w:rsidRPr="00260125">
        <w:rPr>
          <w:rFonts w:ascii="Book Antiqua" w:eastAsia="Times New Roman" w:hAnsi="Book Antiqua"/>
          <w:sz w:val="24"/>
          <w:szCs w:val="24"/>
          <w:lang w:val="en-US" w:eastAsia="es-ES"/>
        </w:rPr>
        <w:t>HBeAg</w:t>
      </w:r>
      <w:proofErr w:type="spellEnd"/>
      <w:r w:rsidRPr="00260125">
        <w:rPr>
          <w:rFonts w:ascii="Book Antiqua" w:eastAsia="Times New Roman" w:hAnsi="Book Antiqua"/>
          <w:sz w:val="24"/>
          <w:szCs w:val="24"/>
          <w:lang w:val="en-US" w:eastAsia="es-ES"/>
        </w:rPr>
        <w:t xml:space="preserve"> </w:t>
      </w:r>
      <w:proofErr w:type="spellStart"/>
      <w:r w:rsidRPr="00260125">
        <w:rPr>
          <w:rFonts w:ascii="Book Antiqua" w:eastAsia="Times New Roman" w:hAnsi="Book Antiqua"/>
          <w:sz w:val="24"/>
          <w:szCs w:val="24"/>
          <w:lang w:val="en-US" w:eastAsia="es-ES"/>
        </w:rPr>
        <w:t>seroconversion</w:t>
      </w:r>
      <w:proofErr w:type="spellEnd"/>
      <w:r w:rsidRPr="00260125">
        <w:rPr>
          <w:rFonts w:ascii="Book Antiqua" w:eastAsia="Times New Roman" w:hAnsi="Book Antiqua"/>
          <w:sz w:val="24"/>
          <w:szCs w:val="24"/>
          <w:lang w:val="en-US" w:eastAsia="es-ES"/>
        </w:rPr>
        <w:t xml:space="preserve"> and 18 </w:t>
      </w:r>
      <w:proofErr w:type="spellStart"/>
      <w:r w:rsidRPr="00260125">
        <w:rPr>
          <w:rFonts w:ascii="Book Antiqua" w:eastAsia="Times New Roman" w:hAnsi="Book Antiqua"/>
          <w:sz w:val="24"/>
          <w:szCs w:val="24"/>
          <w:lang w:val="en-US" w:eastAsia="es-ES"/>
        </w:rPr>
        <w:t>HBsAg</w:t>
      </w:r>
      <w:proofErr w:type="spellEnd"/>
      <w:r w:rsidRPr="00260125">
        <w:rPr>
          <w:rFonts w:ascii="Book Antiqua" w:eastAsia="Times New Roman" w:hAnsi="Book Antiqua"/>
          <w:sz w:val="24"/>
          <w:szCs w:val="24"/>
          <w:lang w:val="en-US" w:eastAsia="es-ES"/>
        </w:rPr>
        <w:t xml:space="preserve"> </w:t>
      </w:r>
      <w:proofErr w:type="spellStart"/>
      <w:r w:rsidRPr="00260125">
        <w:rPr>
          <w:rFonts w:ascii="Book Antiqua" w:eastAsia="Times New Roman" w:hAnsi="Book Antiqua"/>
          <w:sz w:val="24"/>
          <w:szCs w:val="24"/>
          <w:lang w:val="en-US" w:eastAsia="es-ES"/>
        </w:rPr>
        <w:t>seroconversion</w:t>
      </w:r>
      <w:proofErr w:type="spellEnd"/>
      <w:r w:rsidRPr="00260125">
        <w:rPr>
          <w:rFonts w:ascii="Book Antiqua" w:eastAsia="Times New Roman" w:hAnsi="Book Antiqua"/>
          <w:sz w:val="24"/>
          <w:szCs w:val="24"/>
          <w:lang w:val="en-US" w:eastAsia="es-ES"/>
        </w:rPr>
        <w:t xml:space="preserve">. Nine patients (26%), all </w:t>
      </w:r>
      <w:proofErr w:type="spellStart"/>
      <w:r w:rsidRPr="00260125">
        <w:rPr>
          <w:rFonts w:ascii="Book Antiqua" w:eastAsia="Times New Roman" w:hAnsi="Book Antiqua"/>
          <w:sz w:val="24"/>
          <w:szCs w:val="24"/>
          <w:lang w:val="en-US" w:eastAsia="es-ES"/>
        </w:rPr>
        <w:t>HBeAg</w:t>
      </w:r>
      <w:proofErr w:type="spellEnd"/>
      <w:r w:rsidRPr="00260125">
        <w:rPr>
          <w:rFonts w:ascii="Book Antiqua" w:eastAsia="Times New Roman" w:hAnsi="Book Antiqua"/>
          <w:sz w:val="24"/>
          <w:szCs w:val="24"/>
          <w:lang w:val="en-US" w:eastAsia="es-ES"/>
        </w:rPr>
        <w:t xml:space="preserve"> positive at baseline, developed </w:t>
      </w:r>
      <w:proofErr w:type="spellStart"/>
      <w:r w:rsidRPr="00260125">
        <w:rPr>
          <w:rFonts w:ascii="Book Antiqua" w:eastAsia="Times New Roman" w:hAnsi="Book Antiqua"/>
          <w:sz w:val="24"/>
          <w:szCs w:val="24"/>
          <w:lang w:val="en-US" w:eastAsia="es-ES"/>
        </w:rPr>
        <w:t>virological</w:t>
      </w:r>
      <w:proofErr w:type="spellEnd"/>
      <w:r w:rsidRPr="00260125">
        <w:rPr>
          <w:rFonts w:ascii="Book Antiqua" w:eastAsia="Times New Roman" w:hAnsi="Book Antiqua"/>
          <w:sz w:val="24"/>
          <w:szCs w:val="24"/>
          <w:lang w:val="en-US" w:eastAsia="es-ES"/>
        </w:rPr>
        <w:t xml:space="preserve"> relapse after a median 48 </w:t>
      </w:r>
      <w:proofErr w:type="spellStart"/>
      <w:r w:rsidRPr="00260125">
        <w:rPr>
          <w:rFonts w:ascii="Book Antiqua" w:eastAsia="Times New Roman" w:hAnsi="Book Antiqua"/>
          <w:sz w:val="24"/>
          <w:szCs w:val="24"/>
          <w:lang w:val="en-US" w:eastAsia="es-ES"/>
        </w:rPr>
        <w:t>wk</w:t>
      </w:r>
      <w:proofErr w:type="spellEnd"/>
      <w:r w:rsidRPr="00260125">
        <w:rPr>
          <w:rFonts w:ascii="Book Antiqua" w:eastAsia="Times New Roman" w:hAnsi="Book Antiqua"/>
          <w:sz w:val="24"/>
          <w:szCs w:val="24"/>
          <w:lang w:val="en-US" w:eastAsia="es-ES"/>
        </w:rPr>
        <w:t xml:space="preserve"> off treatment, 3 of them showed </w:t>
      </w:r>
      <w:proofErr w:type="spellStart"/>
      <w:r w:rsidRPr="00260125">
        <w:rPr>
          <w:rFonts w:ascii="Book Antiqua" w:eastAsia="Times New Roman" w:hAnsi="Book Antiqua"/>
          <w:sz w:val="24"/>
          <w:szCs w:val="24"/>
          <w:lang w:val="en-US" w:eastAsia="es-ES"/>
        </w:rPr>
        <w:t>HBeAg</w:t>
      </w:r>
      <w:proofErr w:type="spellEnd"/>
      <w:r w:rsidRPr="00260125">
        <w:rPr>
          <w:rFonts w:ascii="Book Antiqua" w:eastAsia="Times New Roman" w:hAnsi="Book Antiqua"/>
          <w:sz w:val="24"/>
          <w:szCs w:val="24"/>
          <w:lang w:val="en-US" w:eastAsia="es-ES"/>
        </w:rPr>
        <w:t xml:space="preserve"> reversion and 4 lost </w:t>
      </w:r>
      <w:proofErr w:type="spellStart"/>
      <w:r w:rsidRPr="00260125">
        <w:rPr>
          <w:rFonts w:ascii="Book Antiqua" w:eastAsia="Times New Roman" w:hAnsi="Book Antiqua"/>
          <w:sz w:val="24"/>
          <w:szCs w:val="24"/>
          <w:lang w:val="en-US" w:eastAsia="es-ES"/>
        </w:rPr>
        <w:t>antiHBe</w:t>
      </w:r>
      <w:proofErr w:type="spellEnd"/>
      <w:r w:rsidRPr="00260125">
        <w:rPr>
          <w:rFonts w:ascii="Book Antiqua" w:eastAsia="Times New Roman" w:hAnsi="Book Antiqua"/>
          <w:sz w:val="24"/>
          <w:szCs w:val="24"/>
          <w:lang w:val="en-US" w:eastAsia="es-ES"/>
        </w:rPr>
        <w:t>. No patient wit</w:t>
      </w:r>
      <w:r>
        <w:rPr>
          <w:rFonts w:ascii="Book Antiqua" w:eastAsia="Times New Roman" w:hAnsi="Book Antiqua"/>
          <w:sz w:val="24"/>
          <w:szCs w:val="24"/>
          <w:lang w:val="en-US" w:eastAsia="es-ES"/>
        </w:rPr>
        <w:t xml:space="preserve">h </w:t>
      </w:r>
      <w:proofErr w:type="spellStart"/>
      <w:r>
        <w:rPr>
          <w:rFonts w:ascii="Book Antiqua" w:eastAsia="Times New Roman" w:hAnsi="Book Antiqua"/>
          <w:sz w:val="24"/>
          <w:szCs w:val="24"/>
          <w:lang w:val="en-US" w:eastAsia="es-ES"/>
        </w:rPr>
        <w:t>HBsAg</w:t>
      </w:r>
      <w:proofErr w:type="spellEnd"/>
      <w:r>
        <w:rPr>
          <w:rFonts w:ascii="Book Antiqua" w:eastAsia="Times New Roman" w:hAnsi="Book Antiqua"/>
          <w:sz w:val="24"/>
          <w:szCs w:val="24"/>
          <w:lang w:val="en-US" w:eastAsia="es-ES"/>
        </w:rPr>
        <w:t xml:space="preserve"> </w:t>
      </w:r>
      <w:proofErr w:type="spellStart"/>
      <w:r>
        <w:rPr>
          <w:rFonts w:ascii="Book Antiqua" w:eastAsia="Times New Roman" w:hAnsi="Book Antiqua"/>
          <w:sz w:val="24"/>
          <w:szCs w:val="24"/>
          <w:lang w:val="en-US" w:eastAsia="es-ES"/>
        </w:rPr>
        <w:t>seroconversion</w:t>
      </w:r>
      <w:proofErr w:type="spellEnd"/>
      <w:r>
        <w:rPr>
          <w:rFonts w:ascii="Book Antiqua" w:eastAsia="Times New Roman" w:hAnsi="Book Antiqua"/>
          <w:sz w:val="24"/>
          <w:szCs w:val="24"/>
          <w:lang w:val="en-US" w:eastAsia="es-ES"/>
        </w:rPr>
        <w:t xml:space="preserve"> </w:t>
      </w:r>
      <w:proofErr w:type="gramStart"/>
      <w:r>
        <w:rPr>
          <w:rFonts w:ascii="Book Antiqua" w:eastAsia="Times New Roman" w:hAnsi="Book Antiqua"/>
          <w:sz w:val="24"/>
          <w:szCs w:val="24"/>
          <w:lang w:val="en-US" w:eastAsia="es-ES"/>
        </w:rPr>
        <w:t>relapsed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30</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eastAsia="es-ES"/>
        </w:rPr>
        <w:t>.</w:t>
      </w:r>
      <w:r w:rsidRPr="00260125">
        <w:rPr>
          <w:rFonts w:ascii="Book Antiqua" w:hAnsi="Book Antiqua"/>
          <w:sz w:val="24"/>
          <w:szCs w:val="24"/>
          <w:lang w:val="en-US"/>
        </w:rPr>
        <w:t xml:space="preserve"> </w:t>
      </w:r>
      <w:r w:rsidRPr="00260125">
        <w:rPr>
          <w:rFonts w:ascii="Book Antiqua" w:hAnsi="Book Antiqua"/>
          <w:sz w:val="24"/>
          <w:szCs w:val="24"/>
          <w:lang w:val="en-US"/>
        </w:rPr>
        <w:lastRenderedPageBreak/>
        <w:t xml:space="preserve">These results confirmed that ETV, after 12 </w:t>
      </w:r>
      <w:proofErr w:type="spellStart"/>
      <w:r w:rsidRPr="00260125">
        <w:rPr>
          <w:rFonts w:ascii="Book Antiqua" w:hAnsi="Book Antiqua"/>
          <w:sz w:val="24"/>
          <w:szCs w:val="24"/>
          <w:lang w:val="en-US"/>
        </w:rPr>
        <w:t>mo</w:t>
      </w:r>
      <w:proofErr w:type="spellEnd"/>
      <w:r w:rsidRPr="00260125">
        <w:rPr>
          <w:rFonts w:ascii="Book Antiqua" w:hAnsi="Book Antiqua"/>
          <w:sz w:val="24"/>
          <w:szCs w:val="24"/>
          <w:lang w:val="en-US"/>
        </w:rPr>
        <w:t xml:space="preserve"> consolidation therapy, can be discontinued in real life. Patients have to be followed since there is still a risk of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relapse.</w:t>
      </w:r>
    </w:p>
    <w:p w:rsidR="004C196A" w:rsidRPr="00260125" w:rsidRDefault="004C196A" w:rsidP="00080A98">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A single-</w:t>
      </w:r>
      <w:proofErr w:type="spellStart"/>
      <w:r w:rsidRPr="00260125">
        <w:rPr>
          <w:rFonts w:ascii="Book Antiqua" w:hAnsi="Book Antiqua"/>
          <w:sz w:val="24"/>
          <w:szCs w:val="24"/>
          <w:lang w:val="en-US"/>
        </w:rPr>
        <w:t>centre</w:t>
      </w:r>
      <w:proofErr w:type="spellEnd"/>
      <w:r w:rsidRPr="00260125">
        <w:rPr>
          <w:rFonts w:ascii="Book Antiqua" w:hAnsi="Book Antiqua"/>
          <w:sz w:val="24"/>
          <w:szCs w:val="24"/>
          <w:lang w:val="en-US"/>
        </w:rPr>
        <w:t xml:space="preserve"> prospectively followed cohort from Hong Kong analyzed 222 NUC-naïve patients receiving ETV (</w:t>
      </w:r>
      <w:r>
        <w:rPr>
          <w:rFonts w:ascii="Book Antiqua" w:hAnsi="Book Antiqua"/>
          <w:sz w:val="24"/>
          <w:szCs w:val="24"/>
          <w:lang w:val="en-US"/>
        </w:rPr>
        <w:t xml:space="preserve">0.5 mg daily) for up to 4 </w:t>
      </w:r>
      <w:proofErr w:type="gramStart"/>
      <w:r>
        <w:rPr>
          <w:rFonts w:ascii="Book Antiqua" w:hAnsi="Book Antiqua"/>
          <w:sz w:val="24"/>
          <w:szCs w:val="24"/>
          <w:lang w:val="en-US"/>
        </w:rPr>
        <w:t>years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3</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,3</w:t>
      </w:r>
      <w:r>
        <w:rPr>
          <w:rFonts w:ascii="Book Antiqua" w:hAnsi="Book Antiqua"/>
          <w:bCs/>
          <w:sz w:val="24"/>
          <w:szCs w:val="24"/>
          <w:vertAlign w:val="superscript"/>
          <w:lang w:val="en-US"/>
        </w:rPr>
        <w:t>2</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The cumulative rate of patients achieving HBV DNA undetectable levels was 90% by year 4.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occurred in 53%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and of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developed only in one patient (0.5%). Only one case of resistance (rt180M, rt204V, and rt184S/C/G/A) was reported in this cohort, representing a 0.6% cumulati</w:t>
      </w:r>
      <w:r>
        <w:rPr>
          <w:rFonts w:ascii="Book Antiqua" w:hAnsi="Book Antiqua"/>
          <w:sz w:val="24"/>
          <w:szCs w:val="24"/>
          <w:lang w:val="en-US"/>
        </w:rPr>
        <w:t>ve resistance rate up to year 4</w:t>
      </w:r>
      <w:r>
        <w:rPr>
          <w:rFonts w:ascii="Book Antiqua" w:hAnsi="Book Antiqua"/>
          <w:bCs/>
          <w:sz w:val="24"/>
          <w:szCs w:val="24"/>
          <w:vertAlign w:val="superscript"/>
          <w:lang w:val="en-US"/>
        </w:rPr>
        <w:t>[32</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This low rate, by comparison with previously mentioned results, probably evidences the less frequent occurrence of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loss (mainly if not exclusively reported in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in genotypes B and C (the most frequent in Asia) compared with genotypes A and </w:t>
      </w:r>
      <w:r>
        <w:rPr>
          <w:rFonts w:ascii="Book Antiqua" w:hAnsi="Book Antiqua"/>
          <w:sz w:val="24"/>
          <w:szCs w:val="24"/>
          <w:lang w:val="en-US"/>
        </w:rPr>
        <w:t>D (the most frequent in Europe)</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p>
    <w:p w:rsidR="004C196A" w:rsidRPr="00260125" w:rsidRDefault="004C196A" w:rsidP="00080A98">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A retrospective analysis from Japan</w:t>
      </w:r>
      <w:r>
        <w:rPr>
          <w:rFonts w:ascii="Book Antiqua" w:hAnsi="Book Antiqua"/>
          <w:sz w:val="24"/>
          <w:szCs w:val="24"/>
          <w:lang w:val="en-US"/>
        </w:rPr>
        <w:t xml:space="preserve"> </w:t>
      </w:r>
      <w:r w:rsidRPr="00260125">
        <w:rPr>
          <w:rFonts w:ascii="Book Antiqua" w:hAnsi="Book Antiqua"/>
          <w:sz w:val="24"/>
          <w:szCs w:val="24"/>
          <w:lang w:val="en-US"/>
        </w:rPr>
        <w:t xml:space="preserve">included 474 patients who received ETV treatment </w:t>
      </w:r>
      <w:r>
        <w:rPr>
          <w:rFonts w:ascii="Book Antiqua" w:hAnsi="Book Antiqua"/>
          <w:sz w:val="24"/>
          <w:szCs w:val="24"/>
          <w:lang w:val="en-US"/>
        </w:rPr>
        <w:t xml:space="preserve">for up to 4 </w:t>
      </w:r>
      <w:proofErr w:type="gramStart"/>
      <w:r>
        <w:rPr>
          <w:rFonts w:ascii="Book Antiqua" w:hAnsi="Book Antiqua"/>
          <w:sz w:val="24"/>
          <w:szCs w:val="24"/>
          <w:lang w:val="en-US"/>
        </w:rPr>
        <w:t>years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33</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The cumulative rate of patients achieving HBV DNA undetectable levels was 96% by year 4.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occurred in 42% of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and of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also developed only in one patient (0.2%). In this cohort, 5 patients showed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breakthrough during the treatment period, including 2 patients who de</w:t>
      </w:r>
      <w:r>
        <w:rPr>
          <w:rFonts w:ascii="Book Antiqua" w:hAnsi="Book Antiqua"/>
          <w:sz w:val="24"/>
          <w:szCs w:val="24"/>
          <w:lang w:val="en-US"/>
        </w:rPr>
        <w:t xml:space="preserve">veloped ETV-resistant </w:t>
      </w:r>
      <w:proofErr w:type="gramStart"/>
      <w:r>
        <w:rPr>
          <w:rFonts w:ascii="Book Antiqua" w:hAnsi="Book Antiqua"/>
          <w:sz w:val="24"/>
          <w:szCs w:val="24"/>
          <w:lang w:val="en-US"/>
        </w:rPr>
        <w:t>mutations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33</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r>
        <w:rPr>
          <w:rFonts w:ascii="Book Antiqua" w:hAnsi="Book Antiqua"/>
          <w:sz w:val="24"/>
          <w:szCs w:val="24"/>
          <w:lang w:val="en-US"/>
        </w:rPr>
        <w:t xml:space="preserve"> </w:t>
      </w:r>
      <w:r w:rsidRPr="00260125">
        <w:rPr>
          <w:rFonts w:ascii="Book Antiqua" w:hAnsi="Book Antiqua"/>
          <w:sz w:val="24"/>
          <w:szCs w:val="24"/>
          <w:lang w:val="en-US"/>
        </w:rPr>
        <w:t>Two hundred and thirty NUC-naïve patients treated for up to 5 years were ret</w:t>
      </w:r>
      <w:r>
        <w:rPr>
          <w:rFonts w:ascii="Book Antiqua" w:hAnsi="Book Antiqua"/>
          <w:sz w:val="24"/>
          <w:szCs w:val="24"/>
          <w:lang w:val="en-US"/>
        </w:rPr>
        <w:t xml:space="preserve">rospectively evaluated in </w:t>
      </w:r>
      <w:proofErr w:type="gramStart"/>
      <w:r>
        <w:rPr>
          <w:rFonts w:ascii="Book Antiqua" w:hAnsi="Book Antiqua"/>
          <w:sz w:val="24"/>
          <w:szCs w:val="24"/>
          <w:lang w:val="en-US"/>
        </w:rPr>
        <w:t>China</w:t>
      </w:r>
      <w:r w:rsidRPr="00080A98">
        <w:rPr>
          <w:rFonts w:ascii="Book Antiqua" w:hAnsi="Book Antiqua"/>
          <w:sz w:val="24"/>
          <w:szCs w:val="24"/>
          <w:vertAlign w:val="superscript"/>
          <w:lang w:val="en-US" w:eastAsia="zh-CN"/>
        </w:rPr>
        <w:t>[</w:t>
      </w:r>
      <w:proofErr w:type="gramEnd"/>
      <w:r w:rsidRPr="00080A98">
        <w:rPr>
          <w:rFonts w:ascii="Book Antiqua" w:hAnsi="Book Antiqua"/>
          <w:sz w:val="24"/>
          <w:szCs w:val="24"/>
          <w:vertAlign w:val="superscript"/>
          <w:lang w:val="en-US"/>
        </w:rPr>
        <w:t>3</w:t>
      </w:r>
      <w:r>
        <w:rPr>
          <w:rFonts w:ascii="Book Antiqua" w:hAnsi="Book Antiqua"/>
          <w:sz w:val="24"/>
          <w:szCs w:val="24"/>
          <w:vertAlign w:val="superscript"/>
          <w:lang w:val="en-US"/>
        </w:rPr>
        <w:t>4</w:t>
      </w:r>
      <w:r w:rsidRPr="00080A98">
        <w:rPr>
          <w:rFonts w:ascii="Book Antiqua" w:hAnsi="Book Antiqua"/>
          <w:sz w:val="24"/>
          <w:szCs w:val="24"/>
          <w:vertAlign w:val="superscript"/>
          <w:lang w:val="en-US" w:eastAsia="zh-CN"/>
        </w:rPr>
        <w:t>]</w:t>
      </w:r>
      <w:r>
        <w:rPr>
          <w:rFonts w:ascii="Book Antiqua" w:hAnsi="Book Antiqua"/>
          <w:sz w:val="24"/>
          <w:szCs w:val="24"/>
          <w:lang w:val="en-US"/>
        </w:rPr>
        <w:t xml:space="preserve">. </w:t>
      </w:r>
      <w:r w:rsidRPr="00260125">
        <w:rPr>
          <w:rFonts w:ascii="Book Antiqua" w:hAnsi="Book Antiqua" w:cs="AdvGulliv-R"/>
          <w:sz w:val="24"/>
          <w:szCs w:val="24"/>
          <w:lang w:val="en-US"/>
        </w:rPr>
        <w:t xml:space="preserve">Incremental increases were observed in undetectable HBV DNA rates, with 100% being undetectable at 5 years of treatment. Fifteen percent achieved </w:t>
      </w:r>
      <w:proofErr w:type="spellStart"/>
      <w:r w:rsidRPr="00260125">
        <w:rPr>
          <w:rFonts w:ascii="Book Antiqua" w:hAnsi="Book Antiqua" w:cs="AdvGulliv-R"/>
          <w:sz w:val="24"/>
          <w:szCs w:val="24"/>
          <w:lang w:val="en-US"/>
        </w:rPr>
        <w:t>HBeAg</w:t>
      </w:r>
      <w:proofErr w:type="spellEnd"/>
      <w:r w:rsidRPr="00260125">
        <w:rPr>
          <w:rFonts w:ascii="Book Antiqua" w:hAnsi="Book Antiqua" w:cs="AdvGulliv-R"/>
          <w:sz w:val="24"/>
          <w:szCs w:val="24"/>
          <w:lang w:val="en-US"/>
        </w:rPr>
        <w:t>/</w:t>
      </w:r>
      <w:proofErr w:type="spellStart"/>
      <w:r w:rsidRPr="00260125">
        <w:rPr>
          <w:rFonts w:ascii="Book Antiqua" w:hAnsi="Book Antiqua" w:cs="AdvGulliv-R"/>
          <w:sz w:val="24"/>
          <w:szCs w:val="24"/>
          <w:lang w:val="en-US"/>
        </w:rPr>
        <w:t>antiHBe</w:t>
      </w:r>
      <w:proofErr w:type="spellEnd"/>
      <w:r w:rsidRPr="00260125">
        <w:rPr>
          <w:rFonts w:ascii="Book Antiqua" w:hAnsi="Book Antiqua" w:cs="AdvGulliv-R"/>
          <w:sz w:val="24"/>
          <w:szCs w:val="24"/>
          <w:lang w:val="en-US"/>
        </w:rPr>
        <w:t xml:space="preserve"> </w:t>
      </w:r>
      <w:proofErr w:type="spellStart"/>
      <w:r w:rsidRPr="00260125">
        <w:rPr>
          <w:rFonts w:ascii="Book Antiqua" w:hAnsi="Book Antiqua" w:cs="AdvGulliv-R"/>
          <w:sz w:val="24"/>
          <w:szCs w:val="24"/>
          <w:lang w:val="en-US"/>
        </w:rPr>
        <w:t>seroconversion</w:t>
      </w:r>
      <w:proofErr w:type="spellEnd"/>
      <w:r w:rsidRPr="00260125">
        <w:rPr>
          <w:rFonts w:ascii="Book Antiqua" w:hAnsi="Book Antiqua" w:cs="AdvGulliv-R"/>
          <w:sz w:val="24"/>
          <w:szCs w:val="24"/>
          <w:lang w:val="en-US"/>
        </w:rPr>
        <w:t xml:space="preserve">, and only one patient cleared </w:t>
      </w:r>
      <w:proofErr w:type="spellStart"/>
      <w:r w:rsidRPr="00260125">
        <w:rPr>
          <w:rFonts w:ascii="Book Antiqua" w:hAnsi="Book Antiqua" w:cs="AdvGulliv-R"/>
          <w:sz w:val="24"/>
          <w:szCs w:val="24"/>
          <w:lang w:val="en-US"/>
        </w:rPr>
        <w:t>HBsAg</w:t>
      </w:r>
      <w:proofErr w:type="spellEnd"/>
      <w:r w:rsidRPr="00260125">
        <w:rPr>
          <w:rFonts w:ascii="Book Antiqua" w:hAnsi="Book Antiqua" w:cs="AdvGulliv-R"/>
          <w:sz w:val="24"/>
          <w:szCs w:val="24"/>
          <w:lang w:val="en-US"/>
        </w:rPr>
        <w:t xml:space="preserve"> (0.4%). Only one patient developed ETV resistance mutations (rtL180M + rtT184A + rtM204V), and was subsequently treated w</w:t>
      </w:r>
      <w:r>
        <w:rPr>
          <w:rFonts w:ascii="Book Antiqua" w:hAnsi="Book Antiqua" w:cs="AdvGulliv-R"/>
          <w:sz w:val="24"/>
          <w:szCs w:val="24"/>
          <w:lang w:val="en-US"/>
        </w:rPr>
        <w:t xml:space="preserve">ith ETV+ADV combination </w:t>
      </w:r>
      <w:proofErr w:type="gramStart"/>
      <w:r>
        <w:rPr>
          <w:rFonts w:ascii="Book Antiqua" w:hAnsi="Book Antiqua" w:cs="AdvGulliv-R"/>
          <w:sz w:val="24"/>
          <w:szCs w:val="24"/>
          <w:lang w:val="en-US"/>
        </w:rPr>
        <w:t>therapy</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34</w:t>
      </w:r>
      <w:r w:rsidRPr="00260125">
        <w:rPr>
          <w:rFonts w:ascii="Book Antiqua" w:hAnsi="Book Antiqua"/>
          <w:bCs/>
          <w:sz w:val="24"/>
          <w:szCs w:val="24"/>
          <w:vertAlign w:val="superscript"/>
          <w:lang w:val="en-US"/>
        </w:rPr>
        <w:t>]</w:t>
      </w:r>
      <w:r w:rsidRPr="00260125">
        <w:rPr>
          <w:rFonts w:ascii="Book Antiqua" w:hAnsi="Book Antiqua" w:cs="AdvGulliv-R"/>
          <w:sz w:val="24"/>
          <w:szCs w:val="24"/>
          <w:lang w:val="en-US"/>
        </w:rPr>
        <w:t>.</w:t>
      </w:r>
    </w:p>
    <w:p w:rsidR="004C196A" w:rsidRPr="00260125" w:rsidRDefault="004C196A" w:rsidP="00EE4043">
      <w:pPr>
        <w:autoSpaceDE w:val="0"/>
        <w:autoSpaceDN w:val="0"/>
        <w:adjustRightInd w:val="0"/>
        <w:spacing w:after="0" w:line="360" w:lineRule="auto"/>
        <w:ind w:firstLineChars="100" w:firstLine="240"/>
        <w:jc w:val="both"/>
        <w:rPr>
          <w:rFonts w:ascii="Book Antiqua" w:eastAsia="Times New Roman" w:hAnsi="Book Antiqua"/>
          <w:sz w:val="24"/>
          <w:szCs w:val="24"/>
          <w:lang w:val="en-US"/>
        </w:rPr>
      </w:pPr>
      <w:r w:rsidRPr="004C45C0">
        <w:rPr>
          <w:rFonts w:ascii="Book Antiqua" w:hAnsi="Book Antiqua" w:cs="AdvGulliv-R"/>
          <w:sz w:val="24"/>
          <w:szCs w:val="24"/>
          <w:lang w:val="en-US"/>
        </w:rPr>
        <w:t xml:space="preserve">In a sub-study of the REALM (Randomized, Observational Study of </w:t>
      </w:r>
      <w:proofErr w:type="spellStart"/>
      <w:r w:rsidRPr="004C45C0">
        <w:rPr>
          <w:rFonts w:ascii="Book Antiqua" w:hAnsi="Book Antiqua" w:cs="AdvGulliv-R"/>
          <w:sz w:val="24"/>
          <w:szCs w:val="24"/>
          <w:lang w:val="en-US"/>
        </w:rPr>
        <w:t>Entecavir</w:t>
      </w:r>
      <w:proofErr w:type="spellEnd"/>
      <w:r w:rsidRPr="004C45C0">
        <w:rPr>
          <w:rFonts w:ascii="Book Antiqua" w:hAnsi="Book Antiqua" w:cs="AdvGulliv-R"/>
          <w:sz w:val="24"/>
          <w:szCs w:val="24"/>
          <w:lang w:val="en-US"/>
        </w:rPr>
        <w:t xml:space="preserve"> to Assess Long-term Outcomes Associated with Nucleoside/Nucleotide </w:t>
      </w:r>
      <w:r w:rsidRPr="004C45C0">
        <w:rPr>
          <w:rFonts w:ascii="Book Antiqua" w:hAnsi="Book Antiqua" w:cs="AdvGulliv-R"/>
          <w:sz w:val="24"/>
          <w:szCs w:val="24"/>
          <w:lang w:val="en-US"/>
        </w:rPr>
        <w:lastRenderedPageBreak/>
        <w:t>Monotherapy for Patients with Chro</w:t>
      </w:r>
      <w:r w:rsidRPr="00260125">
        <w:rPr>
          <w:rFonts w:ascii="Book Antiqua" w:hAnsi="Book Antiqua" w:cs="AdvGulliv-R"/>
          <w:sz w:val="24"/>
          <w:szCs w:val="24"/>
          <w:lang w:val="en-US"/>
        </w:rPr>
        <w:t xml:space="preserve">nic HBV Infection) trial, 1768 NUC-naïve patients were treated with ETV in a ‘real-world’ clinical practice setting in </w:t>
      </w:r>
      <w:proofErr w:type="gramStart"/>
      <w:r>
        <w:rPr>
          <w:rFonts w:ascii="Book Antiqua" w:hAnsi="Book Antiqua" w:cs="AdvGulliv-R"/>
          <w:sz w:val="24"/>
          <w:szCs w:val="24"/>
          <w:lang w:val="en-US"/>
        </w:rPr>
        <w:t>China</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35</w:t>
      </w:r>
      <w:r w:rsidRPr="00260125">
        <w:rPr>
          <w:rFonts w:ascii="Book Antiqua" w:hAnsi="Book Antiqua"/>
          <w:bCs/>
          <w:sz w:val="24"/>
          <w:szCs w:val="24"/>
          <w:vertAlign w:val="superscript"/>
          <w:lang w:val="en-US"/>
        </w:rPr>
        <w:t>]</w:t>
      </w:r>
      <w:r w:rsidRPr="00260125">
        <w:rPr>
          <w:rFonts w:ascii="Book Antiqua" w:hAnsi="Book Antiqua" w:cs="AdvGulliv-R"/>
          <w:sz w:val="24"/>
          <w:szCs w:val="24"/>
          <w:lang w:val="en-US"/>
        </w:rPr>
        <w:t xml:space="preserve">. The preliminary results of the </w:t>
      </w:r>
      <w:proofErr w:type="spellStart"/>
      <w:r w:rsidRPr="00260125">
        <w:rPr>
          <w:rFonts w:ascii="Book Antiqua" w:hAnsi="Book Antiqua" w:cs="AdvGulliv-R"/>
          <w:sz w:val="24"/>
          <w:szCs w:val="24"/>
          <w:lang w:val="en-US"/>
        </w:rPr>
        <w:t>virologic</w:t>
      </w:r>
      <w:proofErr w:type="spellEnd"/>
      <w:r w:rsidRPr="00260125">
        <w:rPr>
          <w:rFonts w:ascii="Book Antiqua" w:hAnsi="Book Antiqua" w:cs="AdvGulliv-R"/>
          <w:sz w:val="24"/>
          <w:szCs w:val="24"/>
          <w:lang w:val="en-US"/>
        </w:rPr>
        <w:t xml:space="preserve"> efficacy and limited safety data were recently presented. At </w:t>
      </w:r>
      <w:r>
        <w:rPr>
          <w:rFonts w:ascii="Book Antiqua" w:hAnsi="Book Antiqua" w:cs="AdvGulliv-R"/>
          <w:sz w:val="24"/>
          <w:szCs w:val="24"/>
          <w:lang w:val="en-US" w:eastAsia="zh-CN"/>
        </w:rPr>
        <w:t>w</w:t>
      </w:r>
      <w:r w:rsidRPr="00260125">
        <w:rPr>
          <w:rFonts w:ascii="Book Antiqua" w:hAnsi="Book Antiqua" w:cs="AdvGulliv-R"/>
          <w:sz w:val="24"/>
          <w:szCs w:val="24"/>
          <w:lang w:val="en-US"/>
        </w:rPr>
        <w:t xml:space="preserve">eek 144, 84% of ETV-treated patients had HBV DNA undetectable levels. Unfortunately </w:t>
      </w:r>
      <w:proofErr w:type="spellStart"/>
      <w:r w:rsidRPr="00260125">
        <w:rPr>
          <w:rFonts w:ascii="Book Antiqua" w:hAnsi="Book Antiqua" w:cs="AdvGulliv-R"/>
          <w:sz w:val="24"/>
          <w:szCs w:val="24"/>
          <w:lang w:val="en-US"/>
        </w:rPr>
        <w:t>HBeAg</w:t>
      </w:r>
      <w:proofErr w:type="spellEnd"/>
      <w:r w:rsidRPr="00260125">
        <w:rPr>
          <w:rFonts w:ascii="Book Antiqua" w:hAnsi="Book Antiqua" w:cs="AdvGulliv-R"/>
          <w:sz w:val="24"/>
          <w:szCs w:val="24"/>
          <w:lang w:val="en-US"/>
        </w:rPr>
        <w:t xml:space="preserve"> and </w:t>
      </w:r>
      <w:proofErr w:type="spellStart"/>
      <w:r w:rsidRPr="00260125">
        <w:rPr>
          <w:rFonts w:ascii="Book Antiqua" w:hAnsi="Book Antiqua" w:cs="AdvGulliv-R"/>
          <w:sz w:val="24"/>
          <w:szCs w:val="24"/>
          <w:lang w:val="en-US"/>
        </w:rPr>
        <w:t>HBsAg</w:t>
      </w:r>
      <w:proofErr w:type="spellEnd"/>
      <w:r w:rsidRPr="00260125">
        <w:rPr>
          <w:rFonts w:ascii="Book Antiqua" w:hAnsi="Book Antiqua" w:cs="AdvGulliv-R"/>
          <w:sz w:val="24"/>
          <w:szCs w:val="24"/>
          <w:lang w:val="en-US"/>
        </w:rPr>
        <w:t xml:space="preserve"> clearance rates were not reported. Importantly, in this large cohort of patients prospectively followed, ETV demonstrated to be very safe with none serious adverse events reported.</w:t>
      </w:r>
      <w:r>
        <w:rPr>
          <w:rFonts w:ascii="Book Antiqua" w:hAnsi="Book Antiqua" w:cs="AdvGulliv-R"/>
          <w:sz w:val="24"/>
          <w:szCs w:val="24"/>
          <w:lang w:val="en-US" w:eastAsia="zh-CN"/>
        </w:rPr>
        <w:t xml:space="preserve"> </w:t>
      </w:r>
      <w:r w:rsidRPr="00260125">
        <w:rPr>
          <w:rFonts w:ascii="Book Antiqua" w:eastAsia="Times New Roman" w:hAnsi="Book Antiqua"/>
          <w:sz w:val="24"/>
          <w:szCs w:val="24"/>
          <w:lang w:val="en-US"/>
        </w:rPr>
        <w:t xml:space="preserve">In Taiwan 98 patients were treated with ETV, in a study </w:t>
      </w:r>
      <w:r>
        <w:rPr>
          <w:rFonts w:ascii="Book Antiqua" w:eastAsia="Times New Roman" w:hAnsi="Book Antiqua"/>
          <w:sz w:val="24"/>
          <w:szCs w:val="24"/>
          <w:lang w:val="en-US"/>
        </w:rPr>
        <w:t xml:space="preserve">comparing its efficacy with </w:t>
      </w:r>
      <w:proofErr w:type="spellStart"/>
      <w:proofErr w:type="gramStart"/>
      <w:r>
        <w:rPr>
          <w:rFonts w:ascii="Book Antiqua" w:eastAsia="Times New Roman" w:hAnsi="Book Antiqua"/>
          <w:sz w:val="24"/>
          <w:szCs w:val="24"/>
          <w:lang w:val="en-US"/>
        </w:rPr>
        <w:t>LdT</w:t>
      </w:r>
      <w:proofErr w:type="spellEnd"/>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36</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Short term treatment, up to 48 </w:t>
      </w:r>
      <w:proofErr w:type="spellStart"/>
      <w:r w:rsidRPr="00260125">
        <w:rPr>
          <w:rFonts w:ascii="Book Antiqua" w:eastAsia="Times New Roman" w:hAnsi="Book Antiqua"/>
          <w:sz w:val="24"/>
          <w:szCs w:val="24"/>
          <w:lang w:val="en-US"/>
        </w:rPr>
        <w:t>wk</w:t>
      </w:r>
      <w:proofErr w:type="spellEnd"/>
      <w:r w:rsidRPr="00260125">
        <w:rPr>
          <w:rFonts w:ascii="Book Antiqua" w:eastAsia="Times New Roman" w:hAnsi="Book Antiqua"/>
          <w:sz w:val="24"/>
          <w:szCs w:val="24"/>
          <w:lang w:val="en-US"/>
        </w:rPr>
        <w:t xml:space="preserve">, showed 95%HBV DNA undetectable rate and 27%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rate. None of the patients achieved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clearance. No resistance was reported. In the </w:t>
      </w:r>
      <w:r w:rsidRPr="00260125">
        <w:rPr>
          <w:rFonts w:ascii="Book Antiqua" w:hAnsi="Book Antiqua" w:cs="Times-Roman"/>
          <w:sz w:val="24"/>
          <w:szCs w:val="24"/>
          <w:lang w:val="en-US"/>
        </w:rPr>
        <w:t xml:space="preserve">real-world study </w:t>
      </w:r>
      <w:r w:rsidRPr="00260125">
        <w:rPr>
          <w:rFonts w:ascii="Book Antiqua" w:eastAsia="Times New Roman" w:hAnsi="Book Antiqua"/>
          <w:sz w:val="24"/>
          <w:szCs w:val="24"/>
          <w:lang w:val="en-US"/>
        </w:rPr>
        <w:t xml:space="preserve">“Taiwan Retrospective study of </w:t>
      </w:r>
      <w:proofErr w:type="spellStart"/>
      <w:r w:rsidRPr="00260125">
        <w:rPr>
          <w:rFonts w:ascii="Book Antiqua" w:eastAsia="Times New Roman" w:hAnsi="Book Antiqua"/>
          <w:sz w:val="24"/>
          <w:szCs w:val="24"/>
          <w:lang w:val="en-US"/>
        </w:rPr>
        <w:t>Entecavir</w:t>
      </w:r>
      <w:proofErr w:type="spellEnd"/>
      <w:r w:rsidRPr="00260125">
        <w:rPr>
          <w:rFonts w:ascii="Book Antiqua" w:eastAsia="Times New Roman" w:hAnsi="Book Antiqua"/>
          <w:sz w:val="24"/>
          <w:szCs w:val="24"/>
          <w:lang w:val="en-US"/>
        </w:rPr>
        <w:t xml:space="preserve"> Treatment: a Multi-center E Antigen positive Treatment-Naïve Trial of Chronic Hepatitis B” (TREATMENTCHB), 248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positive</w:t>
      </w:r>
      <w:r w:rsidRPr="00260125">
        <w:rPr>
          <w:rFonts w:ascii="Book Antiqua" w:hAnsi="Book Antiqua" w:cs="Times-Roman"/>
          <w:sz w:val="24"/>
          <w:szCs w:val="24"/>
          <w:lang w:val="en-US"/>
        </w:rPr>
        <w:t xml:space="preserve"> patients</w:t>
      </w:r>
      <w:r>
        <w:rPr>
          <w:rFonts w:ascii="Book Antiqua" w:eastAsia="Times New Roman" w:hAnsi="Book Antiqua"/>
          <w:sz w:val="24"/>
          <w:szCs w:val="24"/>
          <w:lang w:val="en-US"/>
        </w:rPr>
        <w:t xml:space="preserve"> were treated with </w:t>
      </w:r>
      <w:proofErr w:type="gramStart"/>
      <w:r>
        <w:rPr>
          <w:rFonts w:ascii="Book Antiqua" w:eastAsia="Times New Roman" w:hAnsi="Book Antiqua"/>
          <w:sz w:val="24"/>
          <w:szCs w:val="24"/>
          <w:lang w:val="en-US"/>
        </w:rPr>
        <w:t>ETV</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37</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w:t>
      </w:r>
      <w:r w:rsidRPr="00260125">
        <w:rPr>
          <w:rFonts w:ascii="Book Antiqua" w:hAnsi="Book Antiqua" w:cs="Times-Roman"/>
          <w:sz w:val="24"/>
          <w:szCs w:val="24"/>
          <w:lang w:val="en-US"/>
        </w:rPr>
        <w:t xml:space="preserve">Undetectable serum HBV DNA levels were achieved in 52% (111/213), 79% (101/128), and 82% (33/40) of patients at 1, 2, and 3 years of treatment, respectively. Of 248 patients, 99 (40%) achieved </w:t>
      </w:r>
      <w:proofErr w:type="spellStart"/>
      <w:r w:rsidRPr="00260125">
        <w:rPr>
          <w:rFonts w:ascii="Book Antiqua" w:hAnsi="Book Antiqua" w:cs="Times-Roman"/>
          <w:sz w:val="24"/>
          <w:szCs w:val="24"/>
          <w:lang w:val="en-US"/>
        </w:rPr>
        <w:t>HBeAg</w:t>
      </w:r>
      <w:proofErr w:type="spellEnd"/>
      <w:r w:rsidRPr="00260125">
        <w:rPr>
          <w:rFonts w:ascii="Book Antiqua" w:hAnsi="Book Antiqua" w:cs="Times-Roman"/>
          <w:sz w:val="24"/>
          <w:szCs w:val="24"/>
          <w:lang w:val="en-US"/>
        </w:rPr>
        <w:t xml:space="preserve"> loss at the time of data analysis. The rate of </w:t>
      </w:r>
      <w:proofErr w:type="spellStart"/>
      <w:r w:rsidRPr="00260125">
        <w:rPr>
          <w:rFonts w:ascii="Book Antiqua" w:hAnsi="Book Antiqua" w:cs="Times-Roman"/>
          <w:sz w:val="24"/>
          <w:szCs w:val="24"/>
          <w:lang w:val="en-US"/>
        </w:rPr>
        <w:t>HBeAg</w:t>
      </w:r>
      <w:proofErr w:type="spellEnd"/>
      <w:r w:rsidRPr="00260125">
        <w:rPr>
          <w:rFonts w:ascii="Book Antiqua" w:hAnsi="Book Antiqua" w:cs="Times-Roman"/>
          <w:sz w:val="24"/>
          <w:szCs w:val="24"/>
          <w:lang w:val="en-US"/>
        </w:rPr>
        <w:t xml:space="preserve"> </w:t>
      </w:r>
      <w:proofErr w:type="spellStart"/>
      <w:r w:rsidRPr="00260125">
        <w:rPr>
          <w:rFonts w:ascii="Book Antiqua" w:hAnsi="Book Antiqua" w:cs="Times-Roman"/>
          <w:sz w:val="24"/>
          <w:szCs w:val="24"/>
          <w:lang w:val="en-US"/>
        </w:rPr>
        <w:t>seroconversion</w:t>
      </w:r>
      <w:proofErr w:type="spellEnd"/>
      <w:r w:rsidRPr="00260125">
        <w:rPr>
          <w:rFonts w:ascii="Book Antiqua" w:hAnsi="Book Antiqua" w:cs="Times-Roman"/>
          <w:sz w:val="24"/>
          <w:szCs w:val="24"/>
          <w:lang w:val="en-US"/>
        </w:rPr>
        <w:t xml:space="preserve"> was 28% (64/231; 17 missing data of </w:t>
      </w:r>
      <w:proofErr w:type="spellStart"/>
      <w:r w:rsidRPr="00260125">
        <w:rPr>
          <w:rFonts w:ascii="Book Antiqua" w:hAnsi="Book Antiqua" w:cs="Times-Roman"/>
          <w:sz w:val="24"/>
          <w:szCs w:val="24"/>
          <w:lang w:val="en-US"/>
        </w:rPr>
        <w:t>antiHBe</w:t>
      </w:r>
      <w:proofErr w:type="spellEnd"/>
      <w:r w:rsidRPr="00260125">
        <w:rPr>
          <w:rFonts w:ascii="Book Antiqua" w:hAnsi="Book Antiqua" w:cs="Times-Roman"/>
          <w:sz w:val="24"/>
          <w:szCs w:val="24"/>
          <w:lang w:val="en-US"/>
        </w:rPr>
        <w:t xml:space="preserve"> antibody). The cumulative rates of </w:t>
      </w:r>
      <w:proofErr w:type="spellStart"/>
      <w:r w:rsidRPr="00260125">
        <w:rPr>
          <w:rFonts w:ascii="Book Antiqua" w:hAnsi="Book Antiqua" w:cs="Times-Roman"/>
          <w:sz w:val="24"/>
          <w:szCs w:val="24"/>
          <w:lang w:val="en-US"/>
        </w:rPr>
        <w:t>HBeAg</w:t>
      </w:r>
      <w:proofErr w:type="spellEnd"/>
      <w:r w:rsidRPr="00260125">
        <w:rPr>
          <w:rFonts w:ascii="Book Antiqua" w:hAnsi="Book Antiqua" w:cs="Times-Roman"/>
          <w:sz w:val="24"/>
          <w:szCs w:val="24"/>
          <w:lang w:val="en-US"/>
        </w:rPr>
        <w:t xml:space="preserve"> loss were 20%, 38%, and 49% at years 1, 2, and 3 of treatment, respectively. </w:t>
      </w:r>
      <w:proofErr w:type="spellStart"/>
      <w:r w:rsidRPr="00260125">
        <w:rPr>
          <w:rFonts w:ascii="Book Antiqua" w:hAnsi="Book Antiqua" w:cs="Times-Roman"/>
          <w:sz w:val="24"/>
          <w:szCs w:val="24"/>
          <w:lang w:val="en-US"/>
        </w:rPr>
        <w:t>HB</w:t>
      </w:r>
      <w:r>
        <w:rPr>
          <w:rFonts w:ascii="Book Antiqua" w:hAnsi="Book Antiqua" w:cs="Times-Roman"/>
          <w:sz w:val="24"/>
          <w:szCs w:val="24"/>
          <w:lang w:val="en-US"/>
        </w:rPr>
        <w:t>sAg</w:t>
      </w:r>
      <w:proofErr w:type="spellEnd"/>
      <w:r>
        <w:rPr>
          <w:rFonts w:ascii="Book Antiqua" w:hAnsi="Book Antiqua" w:cs="Times-Roman"/>
          <w:sz w:val="24"/>
          <w:szCs w:val="24"/>
          <w:lang w:val="en-US"/>
        </w:rPr>
        <w:t xml:space="preserve"> loss rate were not </w:t>
      </w:r>
      <w:proofErr w:type="gramStart"/>
      <w:r>
        <w:rPr>
          <w:rFonts w:ascii="Book Antiqua" w:hAnsi="Book Antiqua" w:cs="Times-Roman"/>
          <w:sz w:val="24"/>
          <w:szCs w:val="24"/>
          <w:lang w:val="en-US"/>
        </w:rPr>
        <w:t>reported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37</w:t>
      </w:r>
      <w:r w:rsidRPr="00260125">
        <w:rPr>
          <w:rFonts w:ascii="Book Antiqua" w:hAnsi="Book Antiqua"/>
          <w:bCs/>
          <w:sz w:val="24"/>
          <w:szCs w:val="24"/>
          <w:vertAlign w:val="superscript"/>
          <w:lang w:val="en-US"/>
        </w:rPr>
        <w:t>]</w:t>
      </w:r>
      <w:r w:rsidRPr="00260125">
        <w:rPr>
          <w:rFonts w:ascii="Book Antiqua" w:hAnsi="Book Antiqua" w:cs="Times-Roman"/>
          <w:sz w:val="24"/>
          <w:szCs w:val="24"/>
          <w:lang w:val="en-US"/>
        </w:rPr>
        <w:t>.</w:t>
      </w:r>
    </w:p>
    <w:p w:rsidR="004C196A" w:rsidRPr="00E1007A" w:rsidRDefault="004C196A" w:rsidP="00545061">
      <w:pPr>
        <w:spacing w:after="0" w:line="360" w:lineRule="auto"/>
        <w:ind w:firstLineChars="100" w:firstLine="240"/>
        <w:jc w:val="both"/>
        <w:rPr>
          <w:rFonts w:ascii="Book Antiqua" w:hAnsi="Book Antiqua"/>
          <w:sz w:val="24"/>
          <w:szCs w:val="24"/>
          <w:lang w:val="en-US" w:eastAsia="zh-CN"/>
        </w:rPr>
      </w:pPr>
      <w:r w:rsidRPr="00260125">
        <w:rPr>
          <w:rFonts w:ascii="Book Antiqua" w:eastAsia="Times New Roman" w:hAnsi="Book Antiqua"/>
          <w:sz w:val="24"/>
          <w:szCs w:val="24"/>
          <w:lang w:val="en-US"/>
        </w:rPr>
        <w:t xml:space="preserve">A retrospective cohort study was performed including 333 consecutive treatment-naïve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positive patients treated with oral NUC monotherapy with LAM, ADV, ETV, or TDF for up to 12 </w:t>
      </w:r>
      <w:proofErr w:type="spellStart"/>
      <w:r w:rsidRPr="00260125">
        <w:rPr>
          <w:rFonts w:ascii="Book Antiqua" w:eastAsia="Times New Roman" w:hAnsi="Book Antiqua"/>
          <w:sz w:val="24"/>
          <w:szCs w:val="24"/>
          <w:lang w:val="en-US"/>
        </w:rPr>
        <w:t>mo</w:t>
      </w:r>
      <w:proofErr w:type="spellEnd"/>
      <w:r w:rsidRPr="00260125">
        <w:rPr>
          <w:rFonts w:ascii="Book Antiqua" w:eastAsia="Times New Roman" w:hAnsi="Book Antiqua"/>
          <w:sz w:val="24"/>
          <w:szCs w:val="24"/>
          <w:lang w:val="en-US"/>
        </w:rPr>
        <w:t xml:space="preserve"> at three gastroenterology clinics in the U</w:t>
      </w:r>
      <w:r>
        <w:rPr>
          <w:rFonts w:ascii="Book Antiqua" w:hAnsi="Book Antiqua"/>
          <w:sz w:val="24"/>
          <w:szCs w:val="24"/>
          <w:lang w:val="en-US" w:eastAsia="zh-CN"/>
        </w:rPr>
        <w:t xml:space="preserve">nited </w:t>
      </w:r>
      <w:r w:rsidRPr="00260125">
        <w:rPr>
          <w:rFonts w:ascii="Book Antiqua" w:eastAsia="Times New Roman" w:hAnsi="Book Antiqua"/>
          <w:sz w:val="24"/>
          <w:szCs w:val="24"/>
          <w:lang w:val="en-US"/>
        </w:rPr>
        <w:t>S</w:t>
      </w:r>
      <w:r>
        <w:rPr>
          <w:rFonts w:ascii="Book Antiqua" w:hAnsi="Book Antiqua"/>
          <w:sz w:val="24"/>
          <w:szCs w:val="24"/>
          <w:lang w:val="en-US" w:eastAsia="zh-CN"/>
        </w:rPr>
        <w:t>tates</w:t>
      </w:r>
      <w:r w:rsidRPr="00260125">
        <w:rPr>
          <w:rFonts w:ascii="Book Antiqua" w:eastAsia="Times New Roman" w:hAnsi="Book Antiqua"/>
          <w:sz w:val="24"/>
          <w:szCs w:val="24"/>
          <w:lang w:val="en-US"/>
        </w:rPr>
        <w:t xml:space="preserve">, where 96% of the cohort were </w:t>
      </w:r>
      <w:proofErr w:type="gramStart"/>
      <w:r w:rsidRPr="00260125">
        <w:rPr>
          <w:rFonts w:ascii="Book Antiqua" w:eastAsia="Times New Roman" w:hAnsi="Book Antiqua"/>
          <w:sz w:val="24"/>
          <w:szCs w:val="24"/>
          <w:lang w:val="en-US"/>
        </w:rPr>
        <w:t>Asians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3</w:t>
      </w:r>
      <w:r>
        <w:rPr>
          <w:rFonts w:ascii="Book Antiqua" w:hAnsi="Book Antiqua"/>
          <w:bCs/>
          <w:sz w:val="24"/>
          <w:szCs w:val="24"/>
          <w:vertAlign w:val="superscript"/>
          <w:lang w:val="en-US"/>
        </w:rPr>
        <w:t>8</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One hundred and sixty nine of them received treatment with ETV. At the time of evaluation 44% achieved HBV DNA undetectable levels and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rate was only 8%. In the entire cohort, a total of 118 patients switched therapy during the course of treatment: 38 switched to combination therapy and 80 switched to alternative monotherapy. The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rates improved with time being 21% at </w:t>
      </w:r>
      <w:r w:rsidRPr="00260125">
        <w:rPr>
          <w:rFonts w:ascii="Book Antiqua" w:eastAsia="Times New Roman" w:hAnsi="Book Antiqua"/>
          <w:sz w:val="24"/>
          <w:szCs w:val="24"/>
          <w:lang w:val="en-US"/>
        </w:rPr>
        <w:lastRenderedPageBreak/>
        <w:t xml:space="preserve">year 2, 28% at year 3, 38% at year 4, and 38% at year 5. There is no data about ETV patients treated outcome. A subgroup of this study, those </w:t>
      </w:r>
      <w:r>
        <w:rPr>
          <w:rFonts w:ascii="Book Antiqua" w:eastAsia="Times New Roman" w:hAnsi="Book Antiqua"/>
          <w:sz w:val="24"/>
          <w:szCs w:val="24"/>
          <w:lang w:val="en-US"/>
        </w:rPr>
        <w:t xml:space="preserve">receiving only ETV was </w:t>
      </w:r>
      <w:proofErr w:type="gramStart"/>
      <w:r>
        <w:rPr>
          <w:rFonts w:ascii="Book Antiqua" w:eastAsia="Times New Roman" w:hAnsi="Book Antiqua"/>
          <w:sz w:val="24"/>
          <w:szCs w:val="24"/>
          <w:lang w:val="en-US"/>
        </w:rPr>
        <w:t>reported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39</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One and hundred thirty six patients received treatment for up to 36 mo. </w:t>
      </w:r>
      <w:proofErr w:type="gramStart"/>
      <w:r w:rsidRPr="00260125">
        <w:rPr>
          <w:rFonts w:ascii="Book Antiqua" w:eastAsia="Times New Roman" w:hAnsi="Book Antiqua"/>
          <w:sz w:val="24"/>
          <w:szCs w:val="24"/>
          <w:lang w:val="en-US"/>
        </w:rPr>
        <w:t>Complete</w:t>
      </w:r>
      <w:proofErr w:type="gramEnd"/>
      <w:r w:rsidRPr="00260125">
        <w:rPr>
          <w:rFonts w:ascii="Book Antiqua" w:eastAsia="Times New Roman" w:hAnsi="Book Antiqua"/>
          <w:sz w:val="24"/>
          <w:szCs w:val="24"/>
          <w:lang w:val="en-US"/>
        </w:rPr>
        <w:t xml:space="preserve"> viral suppression rates at months 24 and 36 were 66 and 85%, respectively. The cumulative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rates were 20% at month 24 and 30% at month 36. No patients achieved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loss or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in this study. The results from this study suggest that, unlike the majority of the studies reported, achieving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in real-life settings appears to be much more difficult than in registration trial settings. In this case, it might be related to lower ALT levels. Also, the low rate of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loss in this predominately Asian cohort may be associated with the predominance of HBV genotypes B</w:t>
      </w:r>
      <w:r>
        <w:rPr>
          <w:rFonts w:ascii="Book Antiqua" w:eastAsia="Times New Roman" w:hAnsi="Book Antiqua"/>
          <w:sz w:val="24"/>
          <w:szCs w:val="24"/>
          <w:lang w:val="en-US"/>
        </w:rPr>
        <w:t xml:space="preserve"> and C as previously mentioned.</w:t>
      </w:r>
    </w:p>
    <w:p w:rsidR="004C196A" w:rsidRPr="00260125" w:rsidRDefault="004C196A" w:rsidP="00E1007A">
      <w:pPr>
        <w:spacing w:after="0" w:line="360" w:lineRule="auto"/>
        <w:ind w:firstLineChars="100" w:firstLine="240"/>
        <w:jc w:val="both"/>
        <w:rPr>
          <w:rFonts w:ascii="Book Antiqua" w:eastAsia="Times New Roman" w:hAnsi="Book Antiqua"/>
          <w:sz w:val="24"/>
          <w:szCs w:val="24"/>
          <w:lang w:val="en-US"/>
        </w:rPr>
      </w:pPr>
      <w:r w:rsidRPr="00260125">
        <w:rPr>
          <w:rFonts w:ascii="Book Antiqua" w:eastAsia="Times New Roman" w:hAnsi="Book Antiqua"/>
          <w:sz w:val="24"/>
          <w:szCs w:val="24"/>
          <w:lang w:val="en-US"/>
        </w:rPr>
        <w:t>A study from Australia included 163 NUC-naïve patients treat</w:t>
      </w:r>
      <w:r>
        <w:rPr>
          <w:rFonts w:ascii="Book Antiqua" w:eastAsia="Times New Roman" w:hAnsi="Book Antiqua"/>
          <w:sz w:val="24"/>
          <w:szCs w:val="24"/>
          <w:lang w:val="en-US"/>
        </w:rPr>
        <w:t xml:space="preserve">ed with ETV for up to 36 </w:t>
      </w:r>
      <w:proofErr w:type="spellStart"/>
      <w:proofErr w:type="gramStart"/>
      <w:r>
        <w:rPr>
          <w:rFonts w:ascii="Book Antiqua" w:eastAsia="Times New Roman" w:hAnsi="Book Antiqua"/>
          <w:sz w:val="24"/>
          <w:szCs w:val="24"/>
          <w:lang w:val="en-US"/>
        </w:rPr>
        <w:t>mo</w:t>
      </w:r>
      <w:proofErr w:type="spellEnd"/>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It showed that 134 patients (82%) achieved complete </w:t>
      </w:r>
      <w:proofErr w:type="spellStart"/>
      <w:r w:rsidRPr="00260125">
        <w:rPr>
          <w:rFonts w:ascii="Book Antiqua" w:eastAsia="Times New Roman" w:hAnsi="Book Antiqua"/>
          <w:sz w:val="24"/>
          <w:szCs w:val="24"/>
          <w:lang w:val="en-US"/>
        </w:rPr>
        <w:t>virological</w:t>
      </w:r>
      <w:proofErr w:type="spellEnd"/>
      <w:r w:rsidRPr="00260125">
        <w:rPr>
          <w:rFonts w:ascii="Book Antiqua" w:eastAsia="Times New Roman" w:hAnsi="Book Antiqua"/>
          <w:sz w:val="24"/>
          <w:szCs w:val="24"/>
          <w:lang w:val="en-US"/>
        </w:rPr>
        <w:t xml:space="preserve"> suppression (HBV DNA levels &lt;</w:t>
      </w:r>
      <w:r>
        <w:rPr>
          <w:rFonts w:ascii="Book Antiqua" w:hAnsi="Book Antiqua"/>
          <w:sz w:val="24"/>
          <w:szCs w:val="24"/>
          <w:lang w:val="en-US" w:eastAsia="zh-CN"/>
        </w:rPr>
        <w:t xml:space="preserve"> </w:t>
      </w:r>
      <w:r w:rsidRPr="00260125">
        <w:rPr>
          <w:rFonts w:ascii="Book Antiqua" w:eastAsia="Times New Roman" w:hAnsi="Book Antiqua"/>
          <w:sz w:val="24"/>
          <w:szCs w:val="24"/>
          <w:lang w:val="en-US"/>
        </w:rPr>
        <w:t>12 IU/m</w:t>
      </w:r>
      <w:r>
        <w:rPr>
          <w:rFonts w:ascii="Book Antiqua" w:hAnsi="Book Antiqua"/>
          <w:sz w:val="24"/>
          <w:szCs w:val="24"/>
          <w:lang w:val="en-US" w:eastAsia="zh-CN"/>
        </w:rPr>
        <w:t>L</w:t>
      </w:r>
      <w:r w:rsidRPr="00260125">
        <w:rPr>
          <w:rFonts w:ascii="Book Antiqua" w:eastAsia="Times New Roman" w:hAnsi="Book Antiqua"/>
          <w:sz w:val="24"/>
          <w:szCs w:val="24"/>
          <w:lang w:val="en-US"/>
        </w:rPr>
        <w:t xml:space="preserve">). Authors reported that the annual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positive to negative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rate was 14%; after 36 </w:t>
      </w:r>
      <w:proofErr w:type="spellStart"/>
      <w:proofErr w:type="gramStart"/>
      <w:r w:rsidRPr="00260125">
        <w:rPr>
          <w:rFonts w:ascii="Book Antiqua" w:eastAsia="Times New Roman" w:hAnsi="Book Antiqua"/>
          <w:sz w:val="24"/>
          <w:szCs w:val="24"/>
          <w:lang w:val="en-US"/>
        </w:rPr>
        <w:t>mo</w:t>
      </w:r>
      <w:proofErr w:type="spellEnd"/>
      <w:proofErr w:type="gramEnd"/>
      <w:r w:rsidRPr="00260125">
        <w:rPr>
          <w:rFonts w:ascii="Book Antiqua" w:eastAsia="Times New Roman" w:hAnsi="Book Antiqua"/>
          <w:sz w:val="24"/>
          <w:szCs w:val="24"/>
          <w:lang w:val="en-US"/>
        </w:rPr>
        <w:t xml:space="preserve"> 66 patients (43%) achieved this serologic endpoint. In this cohort only one patient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negative) cleared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In a recent review also from Australia showed similar results: 81%</w:t>
      </w:r>
      <w:r>
        <w:rPr>
          <w:rFonts w:ascii="Book Antiqua" w:eastAsia="Times New Roman" w:hAnsi="Book Antiqua"/>
          <w:sz w:val="24"/>
          <w:szCs w:val="24"/>
          <w:lang w:val="en-US"/>
        </w:rPr>
        <w:t xml:space="preserve">-89% HBV DNA suppression </w:t>
      </w:r>
      <w:proofErr w:type="gramStart"/>
      <w:r>
        <w:rPr>
          <w:rFonts w:ascii="Book Antiqua" w:eastAsia="Times New Roman" w:hAnsi="Book Antiqua"/>
          <w:sz w:val="24"/>
          <w:szCs w:val="24"/>
          <w:lang w:val="en-US"/>
        </w:rPr>
        <w:t>rates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Unfortunately they do not report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and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clearance rates.</w:t>
      </w:r>
    </w:p>
    <w:p w:rsidR="004C196A" w:rsidRPr="00CE739A" w:rsidRDefault="004C196A" w:rsidP="00D4529A">
      <w:pPr>
        <w:spacing w:after="0" w:line="360" w:lineRule="auto"/>
        <w:ind w:firstLineChars="100" w:firstLine="240"/>
        <w:jc w:val="both"/>
        <w:rPr>
          <w:rFonts w:ascii="Book Antiqua" w:hAnsi="Book Antiqua"/>
          <w:sz w:val="24"/>
          <w:szCs w:val="24"/>
          <w:lang w:val="en-US" w:eastAsia="zh-CN"/>
        </w:rPr>
      </w:pPr>
      <w:r w:rsidRPr="00260125">
        <w:rPr>
          <w:rFonts w:ascii="Book Antiqua" w:eastAsia="Times New Roman" w:hAnsi="Book Antiqua"/>
          <w:sz w:val="24"/>
          <w:szCs w:val="24"/>
          <w:lang w:val="en-US"/>
        </w:rPr>
        <w:t xml:space="preserve">Results from these 13 studies, including 4434 patients, showed that ETV is as effective in clinical practice as in clinical trials. Extending treatment duration is associated with increasing rates of HBV DNA complete suppression, </w:t>
      </w:r>
      <w:proofErr w:type="spellStart"/>
      <w:r w:rsidRPr="00260125">
        <w:rPr>
          <w:rFonts w:ascii="Book Antiqua" w:eastAsia="Times New Roman" w:hAnsi="Book Antiqua"/>
          <w:sz w:val="24"/>
          <w:szCs w:val="24"/>
          <w:lang w:val="en-US"/>
        </w:rPr>
        <w:t>HBeAg</w:t>
      </w:r>
      <w:proofErr w:type="spellEnd"/>
      <w:r w:rsidRPr="00260125">
        <w:rPr>
          <w:rFonts w:ascii="Book Antiqua" w:eastAsia="Times New Roman" w:hAnsi="Book Antiqua"/>
          <w:sz w:val="24"/>
          <w:szCs w:val="24"/>
          <w:lang w:val="en-US"/>
        </w:rPr>
        <w:t xml:space="preserve"> </w:t>
      </w:r>
      <w:proofErr w:type="spellStart"/>
      <w:r w:rsidRPr="00260125">
        <w:rPr>
          <w:rFonts w:ascii="Book Antiqua" w:eastAsia="Times New Roman" w:hAnsi="Book Antiqua"/>
          <w:sz w:val="24"/>
          <w:szCs w:val="24"/>
          <w:lang w:val="en-US"/>
        </w:rPr>
        <w:t>seroconversion</w:t>
      </w:r>
      <w:proofErr w:type="spellEnd"/>
      <w:r w:rsidRPr="00260125">
        <w:rPr>
          <w:rFonts w:ascii="Book Antiqua" w:eastAsia="Times New Roman" w:hAnsi="Book Antiqua"/>
          <w:sz w:val="24"/>
          <w:szCs w:val="24"/>
          <w:lang w:val="en-US"/>
        </w:rPr>
        <w:t xml:space="preserve"> and </w:t>
      </w:r>
      <w:proofErr w:type="spellStart"/>
      <w:r w:rsidRPr="00260125">
        <w:rPr>
          <w:rFonts w:ascii="Book Antiqua" w:eastAsia="Times New Roman" w:hAnsi="Book Antiqua"/>
          <w:sz w:val="24"/>
          <w:szCs w:val="24"/>
          <w:lang w:val="en-US"/>
        </w:rPr>
        <w:t>HBsAg</w:t>
      </w:r>
      <w:proofErr w:type="spellEnd"/>
      <w:r w:rsidRPr="00260125">
        <w:rPr>
          <w:rFonts w:ascii="Book Antiqua" w:eastAsia="Times New Roman" w:hAnsi="Book Antiqua"/>
          <w:sz w:val="24"/>
          <w:szCs w:val="24"/>
          <w:lang w:val="en-US"/>
        </w:rPr>
        <w:t xml:space="preserve"> loss. Different response rates between studies, mainly regarding serological response, may be associated with particular </w:t>
      </w:r>
      <w:proofErr w:type="spellStart"/>
      <w:r w:rsidRPr="00260125">
        <w:rPr>
          <w:rFonts w:ascii="Book Antiqua" w:eastAsia="Times New Roman" w:hAnsi="Book Antiqua"/>
          <w:sz w:val="24"/>
          <w:szCs w:val="24"/>
          <w:lang w:val="en-US"/>
        </w:rPr>
        <w:t>virological</w:t>
      </w:r>
      <w:proofErr w:type="spellEnd"/>
      <w:r w:rsidRPr="00260125">
        <w:rPr>
          <w:rFonts w:ascii="Book Antiqua" w:eastAsia="Times New Roman" w:hAnsi="Book Antiqua"/>
          <w:sz w:val="24"/>
          <w:szCs w:val="24"/>
          <w:lang w:val="en-US"/>
        </w:rPr>
        <w:t xml:space="preserve"> and host fac</w:t>
      </w:r>
      <w:r>
        <w:rPr>
          <w:rFonts w:ascii="Book Antiqua" w:eastAsia="Times New Roman" w:hAnsi="Book Antiqua"/>
          <w:sz w:val="24"/>
          <w:szCs w:val="24"/>
          <w:lang w:val="en-US"/>
        </w:rPr>
        <w:t>tors of each geographic region.</w:t>
      </w:r>
    </w:p>
    <w:p w:rsidR="004C196A" w:rsidRDefault="004C196A" w:rsidP="00260125">
      <w:pPr>
        <w:spacing w:after="0" w:line="360" w:lineRule="auto"/>
        <w:jc w:val="both"/>
        <w:rPr>
          <w:rFonts w:ascii="Book Antiqua" w:hAnsi="Book Antiqua"/>
          <w:b/>
          <w:i/>
          <w:sz w:val="24"/>
          <w:szCs w:val="24"/>
          <w:lang w:val="en-US" w:eastAsia="zh-CN"/>
        </w:rPr>
      </w:pPr>
    </w:p>
    <w:p w:rsidR="004C196A" w:rsidRPr="00260125" w:rsidRDefault="004C196A" w:rsidP="00260125">
      <w:pPr>
        <w:spacing w:after="0" w:line="360" w:lineRule="auto"/>
        <w:jc w:val="both"/>
        <w:rPr>
          <w:rFonts w:ascii="Book Antiqua" w:hAnsi="Book Antiqua"/>
          <w:b/>
          <w:i/>
          <w:sz w:val="24"/>
          <w:szCs w:val="24"/>
          <w:lang w:val="en-US"/>
        </w:rPr>
      </w:pPr>
      <w:proofErr w:type="spellStart"/>
      <w:r w:rsidRPr="00260125">
        <w:rPr>
          <w:rFonts w:ascii="Book Antiqua" w:hAnsi="Book Antiqua"/>
          <w:b/>
          <w:i/>
          <w:sz w:val="24"/>
          <w:szCs w:val="24"/>
          <w:lang w:val="en-US"/>
        </w:rPr>
        <w:t>Tenofovir</w:t>
      </w:r>
      <w:proofErr w:type="spellEnd"/>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lastRenderedPageBreak/>
        <w:t>There are fewer studies published with TDF than with ETV. Also, the population included in these studies tended to be heterogeneous, patients were treated for different periods of time (generally for shorter periods of time than with ETV) (Table 3), and may also be more reflective of the treatment population and the real efficacy and safety of th</w:t>
      </w:r>
      <w:r>
        <w:rPr>
          <w:rFonts w:ascii="Book Antiqua" w:hAnsi="Book Antiqua"/>
          <w:sz w:val="24"/>
          <w:szCs w:val="24"/>
          <w:lang w:val="en-US"/>
        </w:rPr>
        <w:t xml:space="preserve">e </w:t>
      </w:r>
      <w:proofErr w:type="gramStart"/>
      <w:r>
        <w:rPr>
          <w:rFonts w:ascii="Book Antiqua" w:hAnsi="Book Antiqua"/>
          <w:sz w:val="24"/>
          <w:szCs w:val="24"/>
          <w:lang w:val="en-US"/>
        </w:rPr>
        <w:t>drug</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22]</w:t>
      </w:r>
      <w:r w:rsidRPr="00260125">
        <w:rPr>
          <w:rFonts w:ascii="Book Antiqua" w:hAnsi="Book Antiqua"/>
          <w:sz w:val="24"/>
          <w:szCs w:val="24"/>
          <w:lang w:val="en-US"/>
        </w:rPr>
        <w:t>. Results from these studies are discussed in the following section and summarized in Table 4.</w:t>
      </w:r>
    </w:p>
    <w:p w:rsidR="004C196A" w:rsidRPr="00260125" w:rsidRDefault="004C196A" w:rsidP="00CE739A">
      <w:pPr>
        <w:spacing w:after="0" w:line="360" w:lineRule="auto"/>
        <w:ind w:firstLineChars="100" w:firstLine="240"/>
        <w:jc w:val="both"/>
        <w:rPr>
          <w:rFonts w:ascii="Book Antiqua" w:hAnsi="Book Antiqua" w:cs="AdvPSPH-R"/>
          <w:sz w:val="24"/>
          <w:szCs w:val="24"/>
          <w:lang w:val="en-US" w:eastAsia="zh-CN"/>
        </w:rPr>
      </w:pPr>
      <w:r w:rsidRPr="00260125">
        <w:rPr>
          <w:rFonts w:ascii="Book Antiqua" w:hAnsi="Book Antiqua"/>
          <w:sz w:val="24"/>
          <w:szCs w:val="24"/>
          <w:lang w:val="en-US"/>
        </w:rPr>
        <w:t xml:space="preserve">The </w:t>
      </w:r>
      <w:r w:rsidRPr="00260125">
        <w:rPr>
          <w:rFonts w:ascii="Book Antiqua" w:hAnsi="Book Antiqua" w:cs="AdvPSPH-I"/>
          <w:sz w:val="24"/>
          <w:szCs w:val="24"/>
          <w:lang w:val="en-US"/>
        </w:rPr>
        <w:t>King</w:t>
      </w:r>
      <w:r w:rsidRPr="00260125">
        <w:rPr>
          <w:rFonts w:ascii="Book Antiqua" w:hAnsi="Book Antiqua" w:cs="AdvPSMP1"/>
          <w:sz w:val="24"/>
          <w:szCs w:val="24"/>
          <w:lang w:val="en-US"/>
        </w:rPr>
        <w:t>’</w:t>
      </w:r>
      <w:r w:rsidRPr="00260125">
        <w:rPr>
          <w:rFonts w:ascii="Book Antiqua" w:hAnsi="Book Antiqua" w:cs="AdvPSPH-I"/>
          <w:sz w:val="24"/>
          <w:szCs w:val="24"/>
          <w:lang w:val="en-US"/>
        </w:rPr>
        <w:t xml:space="preserve">s College </w:t>
      </w:r>
      <w:proofErr w:type="spellStart"/>
      <w:r w:rsidRPr="00260125">
        <w:rPr>
          <w:rFonts w:ascii="Book Antiqua" w:hAnsi="Book Antiqua" w:cs="AdvPSPH-I"/>
          <w:sz w:val="24"/>
          <w:szCs w:val="24"/>
          <w:lang w:val="en-US"/>
        </w:rPr>
        <w:t>Cohortfrom</w:t>
      </w:r>
      <w:proofErr w:type="spellEnd"/>
      <w:r w:rsidRPr="00260125">
        <w:rPr>
          <w:rFonts w:ascii="Book Antiqua" w:hAnsi="Book Antiqua" w:cs="AdvPSPH-I"/>
          <w:sz w:val="24"/>
          <w:szCs w:val="24"/>
          <w:lang w:val="en-US"/>
        </w:rPr>
        <w:t xml:space="preserve"> London </w:t>
      </w:r>
      <w:r w:rsidRPr="00260125">
        <w:rPr>
          <w:rFonts w:ascii="Book Antiqua" w:hAnsi="Book Antiqua" w:cs="AdvPSPH-R"/>
          <w:sz w:val="24"/>
          <w:szCs w:val="24"/>
          <w:lang w:val="en-US"/>
        </w:rPr>
        <w:t>(already discussed in the ETV section) included 60</w:t>
      </w:r>
      <w:r>
        <w:rPr>
          <w:rFonts w:ascii="Book Antiqua" w:hAnsi="Book Antiqua" w:cs="AdvPSPH-R"/>
          <w:sz w:val="24"/>
          <w:szCs w:val="24"/>
          <w:lang w:val="en-US"/>
        </w:rPr>
        <w:t xml:space="preserve"> </w:t>
      </w:r>
      <w:r w:rsidRPr="00260125">
        <w:rPr>
          <w:rFonts w:ascii="Book Antiqua" w:hAnsi="Book Antiqua" w:cs="AdvPSPH-R"/>
          <w:sz w:val="24"/>
          <w:szCs w:val="24"/>
          <w:lang w:val="en-US"/>
        </w:rPr>
        <w:t>patients receiving firs</w:t>
      </w:r>
      <w:r>
        <w:rPr>
          <w:rFonts w:ascii="Book Antiqua" w:hAnsi="Book Antiqua" w:cs="AdvPSPH-R"/>
          <w:sz w:val="24"/>
          <w:szCs w:val="24"/>
          <w:lang w:val="en-US"/>
        </w:rPr>
        <w:t xml:space="preserve">t-line TDF </w:t>
      </w:r>
      <w:proofErr w:type="gramStart"/>
      <w:r>
        <w:rPr>
          <w:rFonts w:ascii="Book Antiqua" w:hAnsi="Book Antiqua" w:cs="AdvPSPH-R"/>
          <w:sz w:val="24"/>
          <w:szCs w:val="24"/>
          <w:lang w:val="en-US"/>
        </w:rPr>
        <w:t>treatment</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4</w:t>
      </w:r>
      <w:r w:rsidRPr="00260125">
        <w:rPr>
          <w:rFonts w:ascii="Book Antiqua" w:hAnsi="Book Antiqua"/>
          <w:bCs/>
          <w:sz w:val="24"/>
          <w:szCs w:val="24"/>
          <w:vertAlign w:val="superscript"/>
          <w:lang w:val="en-US"/>
        </w:rPr>
        <w:t>]</w:t>
      </w:r>
      <w:r w:rsidRPr="00260125">
        <w:rPr>
          <w:rFonts w:ascii="Book Antiqua" w:hAnsi="Book Antiqua" w:cs="AdvPSPH-R"/>
          <w:sz w:val="24"/>
          <w:szCs w:val="24"/>
          <w:lang w:val="en-US"/>
        </w:rPr>
        <w:t xml:space="preserve">. Since TDF was approved after ETV, these patients received a shorter duration of treatment at the time of the analysis (9 </w:t>
      </w:r>
      <w:proofErr w:type="spellStart"/>
      <w:r w:rsidRPr="00260125">
        <w:rPr>
          <w:rFonts w:ascii="Book Antiqua" w:hAnsi="Book Antiqua" w:cs="AdvPSPH-R"/>
          <w:sz w:val="24"/>
          <w:szCs w:val="24"/>
          <w:lang w:val="en-US"/>
        </w:rPr>
        <w:t>mo</w:t>
      </w:r>
      <w:proofErr w:type="spellEnd"/>
      <w:r w:rsidRPr="00260125">
        <w:rPr>
          <w:rFonts w:ascii="Book Antiqua" w:hAnsi="Book Antiqua" w:cs="AdvPSPH-R"/>
          <w:sz w:val="24"/>
          <w:szCs w:val="24"/>
          <w:lang w:val="en-US"/>
        </w:rPr>
        <w:t xml:space="preserve"> compared with 28 </w:t>
      </w:r>
      <w:proofErr w:type="spellStart"/>
      <w:r w:rsidRPr="00260125">
        <w:rPr>
          <w:rFonts w:ascii="Book Antiqua" w:hAnsi="Book Antiqua" w:cs="AdvPSPH-R"/>
          <w:sz w:val="24"/>
          <w:szCs w:val="24"/>
          <w:lang w:val="en-US"/>
        </w:rPr>
        <w:t>mo</w:t>
      </w:r>
      <w:proofErr w:type="spellEnd"/>
      <w:r w:rsidRPr="00260125">
        <w:rPr>
          <w:rFonts w:ascii="Book Antiqua" w:hAnsi="Book Antiqua" w:cs="AdvPSPH-R"/>
          <w:sz w:val="24"/>
          <w:szCs w:val="24"/>
          <w:lang w:val="en-US"/>
        </w:rPr>
        <w:t xml:space="preserve">). At 12 </w:t>
      </w:r>
      <w:proofErr w:type="spellStart"/>
      <w:r w:rsidRPr="00260125">
        <w:rPr>
          <w:rFonts w:ascii="Book Antiqua" w:hAnsi="Book Antiqua" w:cs="AdvPSPH-R"/>
          <w:sz w:val="24"/>
          <w:szCs w:val="24"/>
          <w:lang w:val="en-US"/>
        </w:rPr>
        <w:t>mo</w:t>
      </w:r>
      <w:proofErr w:type="spellEnd"/>
      <w:r w:rsidRPr="00260125">
        <w:rPr>
          <w:rFonts w:ascii="Book Antiqua" w:hAnsi="Book Antiqua" w:cs="AdvPSPH-R"/>
          <w:sz w:val="24"/>
          <w:szCs w:val="24"/>
          <w:lang w:val="en-US"/>
        </w:rPr>
        <w:t xml:space="preserve"> of treatment, 76% of TDF treated patients cleared HBV DNA, 7% achieved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seroconversion</w:t>
      </w:r>
      <w:proofErr w:type="spellEnd"/>
      <w:r w:rsidRPr="00260125">
        <w:rPr>
          <w:rFonts w:ascii="Book Antiqua" w:hAnsi="Book Antiqua" w:cs="AdvPSPH-R"/>
          <w:sz w:val="24"/>
          <w:szCs w:val="24"/>
          <w:lang w:val="en-US"/>
        </w:rPr>
        <w:t xml:space="preserve"> and no patient cleared </w:t>
      </w:r>
      <w:proofErr w:type="spellStart"/>
      <w:r w:rsidRPr="00260125">
        <w:rPr>
          <w:rFonts w:ascii="Book Antiqua" w:hAnsi="Book Antiqua" w:cs="AdvPSPH-R"/>
          <w:sz w:val="24"/>
          <w:szCs w:val="24"/>
          <w:lang w:val="en-US"/>
        </w:rPr>
        <w:t>HBsAg</w:t>
      </w:r>
      <w:proofErr w:type="spellEnd"/>
      <w:r w:rsidRPr="00260125">
        <w:rPr>
          <w:rFonts w:ascii="Book Antiqua" w:hAnsi="Book Antiqua" w:cs="AdvPSPH-R"/>
          <w:sz w:val="24"/>
          <w:szCs w:val="24"/>
          <w:lang w:val="en-US"/>
        </w:rPr>
        <w:t xml:space="preserve">. In another previously mentioned study, </w:t>
      </w:r>
      <w:r w:rsidRPr="00260125">
        <w:rPr>
          <w:rFonts w:ascii="Book Antiqua" w:eastAsia="Times New Roman" w:hAnsi="Book Antiqua"/>
          <w:sz w:val="24"/>
          <w:szCs w:val="24"/>
          <w:lang w:val="en-US"/>
        </w:rPr>
        <w:t xml:space="preserve">333 consecutive treatment-naïve </w:t>
      </w:r>
      <w:r>
        <w:rPr>
          <w:rFonts w:ascii="Book Antiqua" w:eastAsia="Times New Roman" w:hAnsi="Book Antiqua"/>
          <w:sz w:val="24"/>
          <w:szCs w:val="24"/>
          <w:lang w:val="en-US"/>
        </w:rPr>
        <w:t>CHB</w:t>
      </w:r>
      <w:r w:rsidRPr="00260125">
        <w:rPr>
          <w:rFonts w:ascii="Book Antiqua" w:eastAsia="Times New Roman" w:hAnsi="Book Antiqua"/>
          <w:sz w:val="24"/>
          <w:szCs w:val="24"/>
          <w:lang w:val="en-US"/>
        </w:rPr>
        <w:t xml:space="preserve"> patients treated with oral NUC monotherapy with LAM, ADV, ETV, or TDF for up to 12 </w:t>
      </w:r>
      <w:proofErr w:type="spellStart"/>
      <w:r w:rsidRPr="00260125">
        <w:rPr>
          <w:rFonts w:ascii="Book Antiqua" w:eastAsia="Times New Roman" w:hAnsi="Book Antiqua"/>
          <w:sz w:val="24"/>
          <w:szCs w:val="24"/>
          <w:lang w:val="en-US"/>
        </w:rPr>
        <w:t>mo</w:t>
      </w:r>
      <w:proofErr w:type="spellEnd"/>
      <w:r w:rsidRPr="00260125">
        <w:rPr>
          <w:rFonts w:ascii="Book Antiqua" w:eastAsia="Times New Roman" w:hAnsi="Book Antiqua"/>
          <w:sz w:val="24"/>
          <w:szCs w:val="24"/>
          <w:lang w:val="en-US"/>
        </w:rPr>
        <w:t xml:space="preserve"> were evaluated at three gastroenterology clinics</w:t>
      </w:r>
      <w:r>
        <w:rPr>
          <w:rFonts w:ascii="Book Antiqua" w:eastAsia="Times New Roman" w:hAnsi="Book Antiqua"/>
          <w:sz w:val="24"/>
          <w:szCs w:val="24"/>
          <w:lang w:val="en-US"/>
        </w:rPr>
        <w:t xml:space="preserve"> in the U</w:t>
      </w:r>
      <w:r>
        <w:rPr>
          <w:rFonts w:ascii="Book Antiqua" w:hAnsi="Book Antiqua"/>
          <w:sz w:val="24"/>
          <w:szCs w:val="24"/>
          <w:lang w:val="en-US" w:eastAsia="zh-CN"/>
        </w:rPr>
        <w:t xml:space="preserve">nited </w:t>
      </w:r>
      <w:proofErr w:type="gramStart"/>
      <w:r>
        <w:rPr>
          <w:rFonts w:ascii="Book Antiqua" w:eastAsia="Times New Roman" w:hAnsi="Book Antiqua"/>
          <w:sz w:val="24"/>
          <w:szCs w:val="24"/>
          <w:lang w:val="en-US"/>
        </w:rPr>
        <w:t>S</w:t>
      </w:r>
      <w:r>
        <w:rPr>
          <w:rFonts w:ascii="Book Antiqua" w:hAnsi="Book Antiqua"/>
          <w:sz w:val="24"/>
          <w:szCs w:val="24"/>
          <w:lang w:val="en-US" w:eastAsia="zh-CN"/>
        </w:rPr>
        <w:t>tates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38</w:t>
      </w:r>
      <w:r w:rsidRPr="00260125">
        <w:rPr>
          <w:rFonts w:ascii="Book Antiqua" w:hAnsi="Book Antiqua"/>
          <w:bCs/>
          <w:sz w:val="24"/>
          <w:szCs w:val="24"/>
          <w:vertAlign w:val="superscript"/>
          <w:lang w:val="en-US"/>
        </w:rPr>
        <w:t>]</w:t>
      </w:r>
      <w:r w:rsidRPr="00260125">
        <w:rPr>
          <w:rFonts w:ascii="Book Antiqua" w:eastAsia="Times New Roman" w:hAnsi="Book Antiqua"/>
          <w:sz w:val="24"/>
          <w:szCs w:val="24"/>
          <w:lang w:val="en-US"/>
        </w:rPr>
        <w:t xml:space="preserve">. Twenty eight of them received treatment with TDF. </w:t>
      </w:r>
      <w:r w:rsidRPr="00260125">
        <w:rPr>
          <w:rFonts w:ascii="Book Antiqua" w:hAnsi="Book Antiqua" w:cs="AdvPSPH-R"/>
          <w:sz w:val="24"/>
          <w:szCs w:val="24"/>
          <w:lang w:val="en-US"/>
        </w:rPr>
        <w:t xml:space="preserve">At 12 </w:t>
      </w:r>
      <w:proofErr w:type="spellStart"/>
      <w:r w:rsidRPr="00260125">
        <w:rPr>
          <w:rFonts w:ascii="Book Antiqua" w:hAnsi="Book Antiqua" w:cs="AdvPSPH-R"/>
          <w:sz w:val="24"/>
          <w:szCs w:val="24"/>
          <w:lang w:val="en-US"/>
        </w:rPr>
        <w:t>mo</w:t>
      </w:r>
      <w:proofErr w:type="spellEnd"/>
      <w:r w:rsidRPr="00260125">
        <w:rPr>
          <w:rFonts w:ascii="Book Antiqua" w:hAnsi="Book Antiqua" w:cs="AdvPSPH-R"/>
          <w:sz w:val="24"/>
          <w:szCs w:val="24"/>
          <w:lang w:val="en-US"/>
        </w:rPr>
        <w:t xml:space="preserve"> of treatment, 82% of TDF treated patients cleared HBV DNA, 5% achieved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seroconversio</w:t>
      </w:r>
      <w:r>
        <w:rPr>
          <w:rFonts w:ascii="Book Antiqua" w:hAnsi="Book Antiqua" w:cs="AdvPSPH-R"/>
          <w:sz w:val="24"/>
          <w:szCs w:val="24"/>
          <w:lang w:val="en-US"/>
        </w:rPr>
        <w:t>n</w:t>
      </w:r>
      <w:proofErr w:type="spellEnd"/>
      <w:r>
        <w:rPr>
          <w:rFonts w:ascii="Book Antiqua" w:hAnsi="Book Antiqua" w:cs="AdvPSPH-R"/>
          <w:sz w:val="24"/>
          <w:szCs w:val="24"/>
          <w:lang w:val="en-US"/>
        </w:rPr>
        <w:t xml:space="preserve"> and no patient cleared </w:t>
      </w:r>
      <w:proofErr w:type="spellStart"/>
      <w:r>
        <w:rPr>
          <w:rFonts w:ascii="Book Antiqua" w:hAnsi="Book Antiqua" w:cs="AdvPSPH-R"/>
          <w:sz w:val="24"/>
          <w:szCs w:val="24"/>
          <w:lang w:val="en-US"/>
        </w:rPr>
        <w:t>HBsAg</w:t>
      </w:r>
      <w:proofErr w:type="spellEnd"/>
      <w:r>
        <w:rPr>
          <w:rFonts w:ascii="Book Antiqua" w:hAnsi="Book Antiqua" w:cs="AdvPSPH-R"/>
          <w:sz w:val="24"/>
          <w:szCs w:val="24"/>
          <w:lang w:val="en-US"/>
        </w:rPr>
        <w:t>.</w:t>
      </w:r>
    </w:p>
    <w:p w:rsidR="004C196A" w:rsidRPr="00260125" w:rsidRDefault="004C196A" w:rsidP="00F413C4">
      <w:pPr>
        <w:spacing w:after="0" w:line="360" w:lineRule="auto"/>
        <w:ind w:firstLineChars="100" w:firstLine="240"/>
        <w:jc w:val="both"/>
        <w:rPr>
          <w:rFonts w:ascii="Book Antiqua" w:hAnsi="Book Antiqua" w:cs="AdvPSPH-I"/>
          <w:sz w:val="24"/>
          <w:szCs w:val="24"/>
          <w:lang w:val="en-US"/>
        </w:rPr>
      </w:pPr>
      <w:r w:rsidRPr="00260125">
        <w:rPr>
          <w:rFonts w:ascii="Book Antiqua" w:hAnsi="Book Antiqua" w:cs="AdvPSPH-R"/>
          <w:sz w:val="24"/>
          <w:szCs w:val="24"/>
          <w:lang w:val="en-US"/>
        </w:rPr>
        <w:t>Two large studies evaluating TDF use in clinical practice were</w:t>
      </w:r>
      <w:r>
        <w:rPr>
          <w:rFonts w:ascii="Book Antiqua" w:hAnsi="Book Antiqua" w:cs="AdvPSPH-R"/>
          <w:sz w:val="24"/>
          <w:szCs w:val="24"/>
          <w:lang w:val="en-US"/>
        </w:rPr>
        <w:t xml:space="preserve"> recently </w:t>
      </w:r>
      <w:proofErr w:type="gramStart"/>
      <w:r>
        <w:rPr>
          <w:rFonts w:ascii="Book Antiqua" w:hAnsi="Book Antiqua" w:cs="AdvPSPH-R"/>
          <w:sz w:val="24"/>
          <w:szCs w:val="24"/>
          <w:lang w:val="en-US"/>
        </w:rPr>
        <w:t>reported</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2</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3</w:t>
      </w:r>
      <w:r w:rsidRPr="00260125">
        <w:rPr>
          <w:rFonts w:ascii="Book Antiqua" w:hAnsi="Book Antiqua"/>
          <w:bCs/>
          <w:sz w:val="24"/>
          <w:szCs w:val="24"/>
          <w:vertAlign w:val="superscript"/>
          <w:lang w:val="en-US"/>
        </w:rPr>
        <w:t>]</w:t>
      </w:r>
      <w:r w:rsidRPr="00260125">
        <w:rPr>
          <w:rFonts w:ascii="Book Antiqua" w:hAnsi="Book Antiqua" w:cs="AdvPSPH-R"/>
          <w:sz w:val="24"/>
          <w:szCs w:val="24"/>
          <w:lang w:val="en-US"/>
        </w:rPr>
        <w:t xml:space="preserve">. A </w:t>
      </w:r>
      <w:proofErr w:type="spellStart"/>
      <w:r w:rsidRPr="00260125">
        <w:rPr>
          <w:rFonts w:ascii="Book Antiqua" w:hAnsi="Book Antiqua" w:cs="AdvPSPH-R"/>
          <w:sz w:val="24"/>
          <w:szCs w:val="24"/>
          <w:lang w:val="en-US"/>
        </w:rPr>
        <w:t>multicentre</w:t>
      </w:r>
      <w:proofErr w:type="spellEnd"/>
      <w:r w:rsidRPr="00260125">
        <w:rPr>
          <w:rFonts w:ascii="Book Antiqua" w:hAnsi="Book Antiqua" w:cs="AdvPSPH-R"/>
          <w:sz w:val="24"/>
          <w:szCs w:val="24"/>
          <w:lang w:val="en-US"/>
        </w:rPr>
        <w:t xml:space="preserve"> cohort study conducted at 19 European </w:t>
      </w:r>
      <w:proofErr w:type="spellStart"/>
      <w:r w:rsidRPr="00260125">
        <w:rPr>
          <w:rFonts w:ascii="Book Antiqua" w:hAnsi="Book Antiqua" w:cs="AdvPSPH-R"/>
          <w:sz w:val="24"/>
          <w:szCs w:val="24"/>
          <w:lang w:val="en-US"/>
        </w:rPr>
        <w:t>centres</w:t>
      </w:r>
      <w:proofErr w:type="spellEnd"/>
      <w:r w:rsidRPr="00260125">
        <w:rPr>
          <w:rFonts w:ascii="Book Antiqua" w:hAnsi="Book Antiqua" w:cs="AdvPSPH-R"/>
          <w:sz w:val="24"/>
          <w:szCs w:val="24"/>
          <w:lang w:val="en-US"/>
        </w:rPr>
        <w:t xml:space="preserve"> retrospectively and prospectively monitored 302 NUC-naïve patients followed for a median of 33 </w:t>
      </w:r>
      <w:proofErr w:type="spellStart"/>
      <w:r w:rsidRPr="00260125">
        <w:rPr>
          <w:rFonts w:ascii="Book Antiqua" w:hAnsi="Book Antiqua" w:cs="AdvPSPH-R"/>
          <w:sz w:val="24"/>
          <w:szCs w:val="24"/>
          <w:lang w:val="en-US"/>
        </w:rPr>
        <w:t>mo</w:t>
      </w:r>
      <w:proofErr w:type="spellEnd"/>
      <w:r w:rsidRPr="00260125">
        <w:rPr>
          <w:rFonts w:ascii="Book Antiqua" w:hAnsi="Book Antiqua" w:cs="AdvPSPH-R"/>
          <w:sz w:val="24"/>
          <w:szCs w:val="24"/>
          <w:lang w:val="en-US"/>
        </w:rPr>
        <w:t xml:space="preserve"> and the 3 years follow up study was </w:t>
      </w:r>
      <w:proofErr w:type="gramStart"/>
      <w:r>
        <w:rPr>
          <w:rFonts w:ascii="Book Antiqua" w:hAnsi="Book Antiqua" w:cs="AdvPSPH-R"/>
          <w:sz w:val="24"/>
          <w:szCs w:val="24"/>
          <w:lang w:val="en-US"/>
        </w:rPr>
        <w:t>presented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42</w:t>
      </w:r>
      <w:r w:rsidRPr="00260125">
        <w:rPr>
          <w:rFonts w:ascii="Book Antiqua" w:hAnsi="Book Antiqua"/>
          <w:bCs/>
          <w:sz w:val="24"/>
          <w:szCs w:val="24"/>
          <w:vertAlign w:val="superscript"/>
          <w:lang w:val="en-US"/>
        </w:rPr>
        <w:t>]</w:t>
      </w:r>
      <w:r w:rsidRPr="00260125">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Virological</w:t>
      </w:r>
      <w:proofErr w:type="spellEnd"/>
      <w:r w:rsidRPr="00260125">
        <w:rPr>
          <w:rFonts w:ascii="Book Antiqua" w:hAnsi="Book Antiqua" w:cs="AdvPSPH-R"/>
          <w:sz w:val="24"/>
          <w:szCs w:val="24"/>
          <w:lang w:val="en-US"/>
        </w:rPr>
        <w:t xml:space="preserve"> response rates increased over time from 84% at year 1 to 95% at year 3 in the overall population, from 66% to 86% in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positive patients and from 74% to 98% in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negative ones. The cumulative probability of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seroconversion</w:t>
      </w:r>
      <w:proofErr w:type="spellEnd"/>
      <w:r w:rsidRPr="00260125">
        <w:rPr>
          <w:rFonts w:ascii="Book Antiqua" w:hAnsi="Book Antiqua" w:cs="AdvPSPH-R"/>
          <w:sz w:val="24"/>
          <w:szCs w:val="24"/>
          <w:lang w:val="en-US"/>
        </w:rPr>
        <w:t xml:space="preserve"> steadily increased to 36% at year 3, with 8 patients (13%) clearing </w:t>
      </w:r>
      <w:proofErr w:type="spellStart"/>
      <w:r w:rsidRPr="00260125">
        <w:rPr>
          <w:rFonts w:ascii="Book Antiqua" w:hAnsi="Book Antiqua" w:cs="AdvPSPH-R"/>
          <w:sz w:val="24"/>
          <w:szCs w:val="24"/>
          <w:lang w:val="en-US"/>
        </w:rPr>
        <w:t>HBsAg</w:t>
      </w:r>
      <w:proofErr w:type="spellEnd"/>
      <w:r w:rsidRPr="00260125">
        <w:rPr>
          <w:rFonts w:ascii="Book Antiqua" w:hAnsi="Book Antiqua" w:cs="AdvPSPH-R"/>
          <w:sz w:val="24"/>
          <w:szCs w:val="24"/>
          <w:lang w:val="en-US"/>
        </w:rPr>
        <w:t>, and 5 of these stopping TDF successfully.</w:t>
      </w:r>
      <w:r>
        <w:rPr>
          <w:rFonts w:ascii="Book Antiqua" w:hAnsi="Book Antiqua" w:cs="AdvPSPH-R"/>
          <w:sz w:val="24"/>
          <w:szCs w:val="24"/>
          <w:lang w:val="en-US" w:eastAsia="zh-CN"/>
        </w:rPr>
        <w:t xml:space="preserve"> </w:t>
      </w:r>
      <w:proofErr w:type="spellStart"/>
      <w:r w:rsidRPr="00260125">
        <w:rPr>
          <w:rFonts w:ascii="Book Antiqua" w:hAnsi="Book Antiqua" w:cs="AdvPSPH-R"/>
          <w:sz w:val="24"/>
          <w:szCs w:val="24"/>
          <w:lang w:val="en-US"/>
        </w:rPr>
        <w:t>Virologic</w:t>
      </w:r>
      <w:proofErr w:type="spellEnd"/>
      <w:r w:rsidRPr="00260125">
        <w:rPr>
          <w:rFonts w:ascii="Book Antiqua" w:hAnsi="Book Antiqua" w:cs="AdvPSPH-R"/>
          <w:sz w:val="24"/>
          <w:szCs w:val="24"/>
          <w:lang w:val="en-US"/>
        </w:rPr>
        <w:t xml:space="preserve"> breakthrough was reported in 2% of patients, with no potentially resistance-associated mutations identified to date. A prospective observational study including 400 TDF-naïve patients was performed in Germany and the 2 year data is available (GEMINIS </w:t>
      </w:r>
      <w:r w:rsidRPr="00260125">
        <w:rPr>
          <w:rFonts w:ascii="Book Antiqua" w:hAnsi="Book Antiqua" w:cs="AdvPSPH-R"/>
          <w:sz w:val="24"/>
          <w:szCs w:val="24"/>
          <w:lang w:val="en-US"/>
        </w:rPr>
        <w:lastRenderedPageBreak/>
        <w:t>study</w:t>
      </w:r>
      <w:proofErr w:type="gramStart"/>
      <w:r w:rsidRPr="00260125">
        <w:rPr>
          <w:rFonts w:ascii="Book Antiqua" w:hAnsi="Book Antiqua" w:cs="AdvPSPH-R"/>
          <w:sz w:val="24"/>
          <w:szCs w:val="24"/>
          <w:lang w:val="en-US"/>
        </w:rPr>
        <w: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43</w:t>
      </w:r>
      <w:r>
        <w:rPr>
          <w:rFonts w:ascii="Book Antiqua" w:hAnsi="Book Antiqua"/>
          <w:bCs/>
          <w:sz w:val="24"/>
          <w:szCs w:val="24"/>
          <w:vertAlign w:val="superscript"/>
          <w:lang w:val="en-US" w:eastAsia="zh-CN"/>
        </w:rPr>
        <w:t>,44</w:t>
      </w:r>
      <w:r w:rsidRPr="00260125">
        <w:rPr>
          <w:rFonts w:ascii="Book Antiqua" w:hAnsi="Book Antiqua"/>
          <w:bCs/>
          <w:sz w:val="24"/>
          <w:szCs w:val="24"/>
          <w:vertAlign w:val="superscript"/>
          <w:lang w:val="en-US"/>
        </w:rPr>
        <w:t>]</w:t>
      </w:r>
      <w:r>
        <w:rPr>
          <w:rFonts w:ascii="Book Antiqua" w:hAnsi="Book Antiqua" w:cs="AdvPSPH-R"/>
          <w:sz w:val="24"/>
          <w:szCs w:val="24"/>
          <w:lang w:val="en-US"/>
        </w:rPr>
        <w:t>. Forty</w:t>
      </w:r>
      <w:r>
        <w:rPr>
          <w:rFonts w:ascii="Book Antiqua" w:hAnsi="Book Antiqua" w:cs="AdvPSPH-R"/>
          <w:sz w:val="24"/>
          <w:szCs w:val="24"/>
          <w:lang w:val="en-US" w:eastAsia="zh-CN"/>
        </w:rPr>
        <w:t>-</w:t>
      </w:r>
      <w:r w:rsidRPr="00260125">
        <w:rPr>
          <w:rFonts w:ascii="Book Antiqua" w:hAnsi="Book Antiqua" w:cs="AdvPSPH-R"/>
          <w:sz w:val="24"/>
          <w:szCs w:val="24"/>
          <w:lang w:val="en-US"/>
        </w:rPr>
        <w:t>six percent of the patients (</w:t>
      </w:r>
      <w:r w:rsidRPr="00F413C4">
        <w:rPr>
          <w:rFonts w:ascii="Book Antiqua" w:hAnsi="Book Antiqua" w:cs="AdvPSPH-R"/>
          <w:i/>
          <w:sz w:val="24"/>
          <w:szCs w:val="24"/>
          <w:lang w:val="en-US"/>
        </w:rPr>
        <w:t>n</w:t>
      </w:r>
      <w:r w:rsidRPr="00696BBE">
        <w:rPr>
          <w:rFonts w:ascii="Book Antiqua" w:hAnsi="Book Antiqua" w:cs="AdvPSPH-R"/>
          <w:sz w:val="24"/>
          <w:szCs w:val="24"/>
          <w:lang w:val="en-US" w:eastAsia="zh-CN"/>
        </w:rPr>
        <w:t xml:space="preserve"> </w:t>
      </w:r>
      <w:r w:rsidRPr="00260125">
        <w:rPr>
          <w:rFonts w:ascii="Book Antiqua" w:hAnsi="Book Antiqua" w:cs="AdvPSPH-R"/>
          <w:sz w:val="24"/>
          <w:szCs w:val="24"/>
          <w:lang w:val="en-US"/>
        </w:rPr>
        <w:t>=</w:t>
      </w:r>
      <w:r>
        <w:rPr>
          <w:rFonts w:ascii="Book Antiqua" w:hAnsi="Book Antiqua" w:cs="AdvPSPH-R"/>
          <w:sz w:val="24"/>
          <w:szCs w:val="24"/>
          <w:lang w:val="en-US" w:eastAsia="zh-CN"/>
        </w:rPr>
        <w:t xml:space="preserve"> </w:t>
      </w:r>
      <w:r w:rsidRPr="00260125">
        <w:rPr>
          <w:rFonts w:ascii="Book Antiqua" w:hAnsi="Book Antiqua" w:cs="AdvPSPH-R"/>
          <w:sz w:val="24"/>
          <w:szCs w:val="24"/>
          <w:lang w:val="en-US"/>
        </w:rPr>
        <w:t xml:space="preserve">184) were NUC-naïve. At the time of evaluation, overall 92% of NUC-naïve achieved HBV DNA undetectable levels, 81% in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positive and 91% in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negative patients; 20% achieved </w:t>
      </w:r>
      <w:proofErr w:type="spellStart"/>
      <w:r w:rsidRPr="00260125">
        <w:rPr>
          <w:rFonts w:ascii="Book Antiqua" w:hAnsi="Book Antiqua" w:cs="AdvPSPH-R"/>
          <w:sz w:val="24"/>
          <w:szCs w:val="24"/>
          <w:lang w:val="en-US"/>
        </w:rPr>
        <w:t>HBeAg</w:t>
      </w:r>
      <w:proofErr w:type="spellEnd"/>
      <w:r>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seroconversion</w:t>
      </w:r>
      <w:proofErr w:type="spellEnd"/>
      <w:r w:rsidRPr="00260125">
        <w:rPr>
          <w:rFonts w:ascii="Book Antiqua" w:hAnsi="Book Antiqua" w:cs="AdvPSPH-R"/>
          <w:sz w:val="24"/>
          <w:szCs w:val="24"/>
          <w:lang w:val="en-US"/>
        </w:rPr>
        <w:t>, and</w:t>
      </w:r>
      <w:r>
        <w:rPr>
          <w:rFonts w:ascii="Book Antiqua" w:hAnsi="Book Antiqua" w:cs="AdvPSPH-R"/>
          <w:sz w:val="24"/>
          <w:szCs w:val="24"/>
          <w:lang w:val="en-US"/>
        </w:rPr>
        <w:t xml:space="preserve"> </w:t>
      </w:r>
      <w:r w:rsidRPr="00260125">
        <w:rPr>
          <w:rFonts w:ascii="Book Antiqua" w:hAnsi="Book Antiqua" w:cs="AdvPSPH-R"/>
          <w:sz w:val="24"/>
          <w:szCs w:val="24"/>
          <w:lang w:val="en-US"/>
        </w:rPr>
        <w:t xml:space="preserve">5% loss </w:t>
      </w:r>
      <w:proofErr w:type="spellStart"/>
      <w:r w:rsidRPr="00260125">
        <w:rPr>
          <w:rFonts w:ascii="Book Antiqua" w:hAnsi="Book Antiqua" w:cs="AdvPSPH-R"/>
          <w:sz w:val="24"/>
          <w:szCs w:val="24"/>
          <w:lang w:val="en-US"/>
        </w:rPr>
        <w:t>HBsAg</w:t>
      </w:r>
      <w:proofErr w:type="spellEnd"/>
      <w:r w:rsidRPr="00260125">
        <w:rPr>
          <w:rFonts w:ascii="Book Antiqua" w:hAnsi="Book Antiqua" w:cs="AdvPSPH-R"/>
          <w:sz w:val="24"/>
          <w:szCs w:val="24"/>
          <w:lang w:val="en-US"/>
        </w:rPr>
        <w:t xml:space="preserve"> in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positive patients. </w:t>
      </w:r>
      <w:r w:rsidRPr="00260125">
        <w:rPr>
          <w:rFonts w:ascii="Book Antiqua" w:hAnsi="Book Antiqua" w:cs="AdvPSPH-I"/>
          <w:sz w:val="24"/>
          <w:szCs w:val="24"/>
          <w:lang w:val="en-US"/>
        </w:rPr>
        <w:t xml:space="preserve">No </w:t>
      </w:r>
      <w:proofErr w:type="spellStart"/>
      <w:r w:rsidRPr="00260125">
        <w:rPr>
          <w:rFonts w:ascii="Book Antiqua" w:hAnsi="Book Antiqua" w:cs="AdvPSPH-I"/>
          <w:sz w:val="24"/>
          <w:szCs w:val="24"/>
          <w:lang w:val="en-US"/>
        </w:rPr>
        <w:t>virologic</w:t>
      </w:r>
      <w:proofErr w:type="spellEnd"/>
      <w:r w:rsidRPr="00260125">
        <w:rPr>
          <w:rFonts w:ascii="Book Antiqua" w:hAnsi="Book Antiqua" w:cs="AdvPSPH-I"/>
          <w:sz w:val="24"/>
          <w:szCs w:val="24"/>
          <w:lang w:val="en-US"/>
        </w:rPr>
        <w:t xml:space="preserve"> breakthrough and no resistance have been reported to date.</w:t>
      </w:r>
    </w:p>
    <w:p w:rsidR="004C196A" w:rsidRPr="00260125" w:rsidRDefault="004C196A" w:rsidP="00260125">
      <w:pPr>
        <w:spacing w:after="0" w:line="360" w:lineRule="auto"/>
        <w:jc w:val="both"/>
        <w:rPr>
          <w:rFonts w:ascii="Book Antiqua" w:hAnsi="Book Antiqua"/>
          <w:b/>
          <w:sz w:val="24"/>
          <w:szCs w:val="24"/>
          <w:lang w:val="en-US" w:eastAsia="zh-CN"/>
        </w:rPr>
      </w:pPr>
    </w:p>
    <w:p w:rsidR="004C196A" w:rsidRPr="00260125" w:rsidRDefault="004C196A" w:rsidP="00260125">
      <w:pPr>
        <w:spacing w:after="0" w:line="360" w:lineRule="auto"/>
        <w:jc w:val="both"/>
        <w:rPr>
          <w:rFonts w:ascii="Book Antiqua" w:hAnsi="Book Antiqua"/>
          <w:b/>
          <w:sz w:val="24"/>
          <w:szCs w:val="24"/>
          <w:lang w:val="en-US"/>
        </w:rPr>
      </w:pPr>
      <w:r w:rsidRPr="00260125">
        <w:rPr>
          <w:rFonts w:ascii="Book Antiqua" w:hAnsi="Book Antiqua"/>
          <w:b/>
          <w:sz w:val="24"/>
          <w:szCs w:val="24"/>
          <w:lang w:val="en-US"/>
        </w:rPr>
        <w:t>SAFETY AND TOLERABILITY IN CLINICAL PRACTICE</w:t>
      </w:r>
    </w:p>
    <w:p w:rsidR="004C196A" w:rsidRPr="00260125" w:rsidRDefault="004C196A" w:rsidP="00260125">
      <w:pPr>
        <w:spacing w:after="0" w:line="360" w:lineRule="auto"/>
        <w:jc w:val="both"/>
        <w:rPr>
          <w:rFonts w:ascii="Book Antiqua" w:hAnsi="Book Antiqua"/>
          <w:b/>
          <w:i/>
          <w:sz w:val="24"/>
          <w:szCs w:val="24"/>
          <w:lang w:val="en-US"/>
        </w:rPr>
      </w:pPr>
      <w:proofErr w:type="spellStart"/>
      <w:r w:rsidRPr="00260125">
        <w:rPr>
          <w:rFonts w:ascii="Book Antiqua" w:hAnsi="Book Antiqua"/>
          <w:b/>
          <w:i/>
          <w:sz w:val="24"/>
          <w:szCs w:val="24"/>
          <w:lang w:val="en-US"/>
        </w:rPr>
        <w:t>Entecavir</w:t>
      </w:r>
      <w:proofErr w:type="spellEnd"/>
    </w:p>
    <w:p w:rsidR="004C196A" w:rsidRPr="00260125" w:rsidRDefault="004C196A" w:rsidP="00260125">
      <w:pPr>
        <w:spacing w:after="0" w:line="360" w:lineRule="auto"/>
        <w:jc w:val="both"/>
        <w:rPr>
          <w:rFonts w:ascii="Book Antiqua" w:eastAsia="ArialUnicodeMS" w:hAnsi="Book Antiqua" w:cs="ArialUnicodeMS"/>
          <w:sz w:val="24"/>
          <w:szCs w:val="24"/>
          <w:lang w:val="en-US"/>
        </w:rPr>
      </w:pPr>
      <w:r w:rsidRPr="00260125">
        <w:rPr>
          <w:rFonts w:ascii="Book Antiqua" w:eastAsia="ArialUnicodeMS" w:hAnsi="Book Antiqua" w:cs="ArialUnicodeMS"/>
          <w:sz w:val="24"/>
          <w:szCs w:val="24"/>
          <w:lang w:val="en-US"/>
        </w:rPr>
        <w:t>ETV should be administered on an empty stomach (at least 2 h after a meal and 2 h before the next meal) and is generally well tolerated. The most commonly reported treatment related adverse events in phase III clinical trials were headache, fatigue, dizziness, and nausea at comparable rates to LAM</w:t>
      </w:r>
      <w:r w:rsidRPr="00260125">
        <w:rPr>
          <w:rFonts w:ascii="Book Antiqua" w:hAnsi="Book Antiqua"/>
          <w:bCs/>
          <w:sz w:val="24"/>
          <w:szCs w:val="24"/>
          <w:vertAlign w:val="superscript"/>
          <w:lang w:val="en-US"/>
        </w:rPr>
        <w:t>[7,8]</w:t>
      </w:r>
      <w:r w:rsidRPr="00260125">
        <w:rPr>
          <w:rFonts w:ascii="Book Antiqua" w:eastAsia="ArialUnicodeMS" w:hAnsi="Book Antiqua" w:cs="ArialUnicodeMS"/>
          <w:sz w:val="24"/>
          <w:szCs w:val="24"/>
          <w:lang w:val="en-US"/>
        </w:rPr>
        <w:t>. In the ETV-901 rollover study 1051 patients were enrolled from 10 prior Phase II/III studies and were treated with ETV</w:t>
      </w:r>
      <w:r>
        <w:rPr>
          <w:rFonts w:ascii="Book Antiqua" w:eastAsia="ArialUnicodeMS" w:hAnsi="Book Antiqua" w:cs="ArialUnicodeMS"/>
          <w:sz w:val="24"/>
          <w:szCs w:val="24"/>
          <w:lang w:val="en-US"/>
        </w:rPr>
        <w:t xml:space="preserve"> for at least a 5 year </w:t>
      </w:r>
      <w:proofErr w:type="gramStart"/>
      <w:r>
        <w:rPr>
          <w:rFonts w:ascii="Book Antiqua" w:eastAsia="ArialUnicodeMS" w:hAnsi="Book Antiqua" w:cs="ArialUnicodeMS"/>
          <w:sz w:val="24"/>
          <w:szCs w:val="24"/>
          <w:lang w:val="en-US"/>
        </w:rPr>
        <w:t>period</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13]</w:t>
      </w:r>
      <w:r w:rsidRPr="00260125">
        <w:rPr>
          <w:rFonts w:ascii="Book Antiqua" w:eastAsia="ArialUnicodeMS" w:hAnsi="Book Antiqua" w:cs="ArialUnicodeMS"/>
          <w:sz w:val="24"/>
          <w:szCs w:val="24"/>
          <w:lang w:val="en-US"/>
        </w:rPr>
        <w:t>. Most of the reported adverse events (AEs) were mild to moderate, 19% were grade 3</w:t>
      </w:r>
      <w:r>
        <w:rPr>
          <w:rFonts w:ascii="Book Antiqua" w:hAnsi="Book Antiqua" w:cs="ArialUnicodeMS"/>
          <w:sz w:val="24"/>
          <w:szCs w:val="24"/>
          <w:lang w:val="en-US" w:eastAsia="zh-CN"/>
        </w:rPr>
        <w:t>-</w:t>
      </w:r>
      <w:r w:rsidRPr="00260125">
        <w:rPr>
          <w:rFonts w:ascii="Book Antiqua" w:eastAsia="ArialUnicodeMS" w:hAnsi="Book Antiqua" w:cs="ArialUnicodeMS"/>
          <w:sz w:val="24"/>
          <w:szCs w:val="24"/>
          <w:lang w:val="en-US"/>
        </w:rPr>
        <w:t xml:space="preserve">4 events, with only 4% of them possibly related to ETV. These grade 3-4 AEs were </w:t>
      </w:r>
      <w:proofErr w:type="spellStart"/>
      <w:r w:rsidRPr="00260125">
        <w:rPr>
          <w:rFonts w:ascii="Book Antiqua" w:eastAsia="ArialUnicodeMS" w:hAnsi="Book Antiqua" w:cs="ArialUnicodeMS"/>
          <w:sz w:val="24"/>
          <w:szCs w:val="24"/>
          <w:lang w:val="en-US"/>
        </w:rPr>
        <w:t>myalgias</w:t>
      </w:r>
      <w:proofErr w:type="spellEnd"/>
      <w:r w:rsidRPr="00260125">
        <w:rPr>
          <w:rFonts w:ascii="Book Antiqua" w:eastAsia="ArialUnicodeMS" w:hAnsi="Book Antiqua" w:cs="ArialUnicodeMS"/>
          <w:sz w:val="24"/>
          <w:szCs w:val="24"/>
          <w:lang w:val="en-US"/>
        </w:rPr>
        <w:t xml:space="preserve"> (5%), neuropathy (</w:t>
      </w:r>
      <w:proofErr w:type="spellStart"/>
      <w:r w:rsidRPr="00260125">
        <w:rPr>
          <w:rFonts w:ascii="Book Antiqua" w:eastAsia="ArialUnicodeMS" w:hAnsi="Book Antiqua" w:cs="ArialUnicodeMS"/>
          <w:sz w:val="24"/>
          <w:szCs w:val="24"/>
          <w:lang w:val="en-US"/>
        </w:rPr>
        <w:t>hypoparesthesia</w:t>
      </w:r>
      <w:proofErr w:type="spellEnd"/>
      <w:r w:rsidRPr="00260125">
        <w:rPr>
          <w:rFonts w:ascii="Book Antiqua" w:eastAsia="ArialUnicodeMS" w:hAnsi="Book Antiqua" w:cs="ArialUnicodeMS"/>
          <w:sz w:val="24"/>
          <w:szCs w:val="24"/>
          <w:lang w:val="en-US"/>
        </w:rPr>
        <w:t xml:space="preserve"> and </w:t>
      </w:r>
      <w:proofErr w:type="spellStart"/>
      <w:r w:rsidRPr="00260125">
        <w:rPr>
          <w:rFonts w:ascii="Book Antiqua" w:eastAsia="ArialUnicodeMS" w:hAnsi="Book Antiqua" w:cs="ArialUnicodeMS"/>
          <w:sz w:val="24"/>
          <w:szCs w:val="24"/>
          <w:lang w:val="en-US"/>
        </w:rPr>
        <w:t>hyperparesthesia</w:t>
      </w:r>
      <w:proofErr w:type="spellEnd"/>
      <w:r w:rsidRPr="00260125">
        <w:rPr>
          <w:rFonts w:ascii="Book Antiqua" w:eastAsia="ArialUnicodeMS" w:hAnsi="Book Antiqua" w:cs="ArialUnicodeMS"/>
          <w:sz w:val="24"/>
          <w:szCs w:val="24"/>
          <w:lang w:val="en-US"/>
        </w:rPr>
        <w:t>, polyneuropathy) (4%), increased lipase (2%), increased serum creatinine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 increased serum lactate or decreased serum bicarbonate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 hypophosphatemia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 muscular weakness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 pancreatitis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 and creatinine phosphokinase elevation (&lt;</w:t>
      </w:r>
      <w:r>
        <w:rPr>
          <w:rFonts w:ascii="Book Antiqua" w:hAnsi="Book Antiqua" w:cs="ArialUnicodeMS"/>
          <w:sz w:val="24"/>
          <w:szCs w:val="24"/>
          <w:lang w:val="en-US" w:eastAsia="zh-CN"/>
        </w:rPr>
        <w:t xml:space="preserve"> </w:t>
      </w:r>
      <w:r>
        <w:rPr>
          <w:rFonts w:ascii="Book Antiqua" w:eastAsia="ArialUnicodeMS" w:hAnsi="Book Antiqua" w:cs="ArialUnicodeMS"/>
          <w:sz w:val="24"/>
          <w:szCs w:val="24"/>
          <w:lang w:val="en-US"/>
        </w:rPr>
        <w:t>1%)</w:t>
      </w:r>
      <w:r w:rsidRPr="00260125">
        <w:rPr>
          <w:rFonts w:ascii="Book Antiqua" w:hAnsi="Book Antiqua"/>
          <w:bCs/>
          <w:sz w:val="24"/>
          <w:szCs w:val="24"/>
          <w:vertAlign w:val="superscript"/>
          <w:lang w:val="en-US"/>
        </w:rPr>
        <w:t>[</w:t>
      </w:r>
      <w:r>
        <w:rPr>
          <w:rFonts w:ascii="Book Antiqua" w:hAnsi="Book Antiqua"/>
          <w:bCs/>
          <w:sz w:val="24"/>
          <w:szCs w:val="24"/>
          <w:vertAlign w:val="superscript"/>
          <w:lang w:val="en-US" w:eastAsia="zh-CN"/>
        </w:rPr>
        <w:t>45,</w:t>
      </w:r>
      <w:r w:rsidRPr="00260125">
        <w:rPr>
          <w:rFonts w:ascii="Book Antiqua" w:hAnsi="Book Antiqua"/>
          <w:bCs/>
          <w:sz w:val="24"/>
          <w:szCs w:val="24"/>
          <w:vertAlign w:val="superscript"/>
          <w:lang w:val="en-US"/>
        </w:rPr>
        <w:t>46]</w:t>
      </w:r>
      <w:r w:rsidRPr="00260125">
        <w:rPr>
          <w:rFonts w:ascii="Book Antiqua" w:eastAsia="ArialUnicodeMS" w:hAnsi="Book Antiqua" w:cs="ArialUnicodeMS"/>
          <w:sz w:val="24"/>
          <w:szCs w:val="24"/>
          <w:lang w:val="en-US"/>
        </w:rPr>
        <w:t>. It was reported an overall discontinuation rate due to AEs was extremely low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1%).</w:t>
      </w:r>
    </w:p>
    <w:p w:rsidR="004C196A" w:rsidRPr="00260125" w:rsidRDefault="004C196A" w:rsidP="000D0397">
      <w:pPr>
        <w:spacing w:after="0" w:line="360" w:lineRule="auto"/>
        <w:ind w:firstLineChars="100" w:firstLine="240"/>
        <w:jc w:val="both"/>
        <w:rPr>
          <w:rFonts w:ascii="Book Antiqua" w:eastAsia="ArialUnicodeMS" w:hAnsi="Book Antiqua" w:cs="ArialUnicodeMS"/>
          <w:sz w:val="24"/>
          <w:szCs w:val="24"/>
          <w:lang w:val="en-US"/>
        </w:rPr>
      </w:pPr>
      <w:r w:rsidRPr="00260125">
        <w:rPr>
          <w:rFonts w:ascii="Book Antiqua" w:eastAsia="ArialUnicodeMS" w:hAnsi="Book Antiqua" w:cs="ArialUnicodeMS"/>
          <w:sz w:val="24"/>
          <w:szCs w:val="24"/>
          <w:lang w:val="en-US"/>
        </w:rPr>
        <w:t xml:space="preserve">Are these results from phase III trials applicable to treatment in real life settings? After reviewing the experience from these </w:t>
      </w:r>
      <w:r w:rsidRPr="00260125">
        <w:rPr>
          <w:rFonts w:ascii="Book Antiqua" w:eastAsia="Times New Roman" w:hAnsi="Book Antiqua"/>
          <w:sz w:val="24"/>
          <w:szCs w:val="24"/>
          <w:lang w:val="en-US"/>
        </w:rPr>
        <w:t>studies (including 4434 patients), it seems that ETV</w:t>
      </w:r>
      <w:r w:rsidRPr="00260125">
        <w:rPr>
          <w:rFonts w:ascii="Book Antiqua" w:eastAsia="ArialUnicodeMS" w:hAnsi="Book Antiqua" w:cs="ArialUnicodeMS"/>
          <w:sz w:val="24"/>
          <w:szCs w:val="24"/>
          <w:lang w:val="en-US"/>
        </w:rPr>
        <w:t xml:space="preserve"> Safety profile in clinical practice is consistent with those of Phase III studies, in that no major safety issues or serious side effects have been reported to date</w:t>
      </w:r>
      <w:r>
        <w:rPr>
          <w:rFonts w:ascii="Book Antiqua" w:hAnsi="Book Antiqua"/>
          <w:bCs/>
          <w:sz w:val="24"/>
          <w:szCs w:val="24"/>
          <w:vertAlign w:val="superscript"/>
          <w:lang w:val="en-US"/>
        </w:rPr>
        <w:t>[21</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5</w:t>
      </w:r>
      <w:r w:rsidRPr="00260125">
        <w:rPr>
          <w:rFonts w:ascii="Book Antiqua" w:hAnsi="Book Antiqua"/>
          <w:bCs/>
          <w:sz w:val="24"/>
          <w:szCs w:val="24"/>
          <w:vertAlign w:val="superscript"/>
          <w:lang w:val="en-US"/>
        </w:rPr>
        <w:t>,</w:t>
      </w:r>
      <w:r>
        <w:rPr>
          <w:rFonts w:ascii="Book Antiqua" w:hAnsi="Book Antiqua"/>
          <w:bCs/>
          <w:sz w:val="24"/>
          <w:szCs w:val="24"/>
          <w:vertAlign w:val="superscript"/>
          <w:lang w:val="en-US"/>
        </w:rPr>
        <w:t>29</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4</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xml:space="preserve">. As a controlled trial, patients have been carefully selected in order to be able to be included. Excluded patients usually have advanced liver diseases or comorbidities. The later commonly require administration of </w:t>
      </w:r>
      <w:r w:rsidRPr="00260125">
        <w:rPr>
          <w:rFonts w:ascii="Book Antiqua" w:eastAsia="ArialUnicodeMS" w:hAnsi="Book Antiqua" w:cs="ArialUnicodeMS"/>
          <w:sz w:val="24"/>
          <w:szCs w:val="24"/>
          <w:lang w:val="en-US"/>
        </w:rPr>
        <w:lastRenderedPageBreak/>
        <w:t xml:space="preserve">concomitant medications. The addition of different medications may have an important impact upon study drug pharmacokinetics, efficacy and safety. The strict inclusion criteria of these studies, did not allow testing unexpected adverse events due to drug to drug interactions, nor potential toxicity in patients with advance liver disease. For this reason, studies reporting results in “real life” are necessary to add information to controlled clinical trials </w:t>
      </w:r>
      <w:proofErr w:type="gramStart"/>
      <w:r w:rsidRPr="00260125">
        <w:rPr>
          <w:rFonts w:ascii="Book Antiqua" w:eastAsia="ArialUnicodeMS" w:hAnsi="Book Antiqua" w:cs="ArialUnicodeMS"/>
          <w:sz w:val="24"/>
          <w:szCs w:val="24"/>
          <w:lang w:val="en-US"/>
        </w:rPr>
        <w:t>reports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44</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w:t>
      </w:r>
    </w:p>
    <w:p w:rsidR="004C196A" w:rsidRPr="00260125" w:rsidRDefault="004C196A" w:rsidP="00AA4C10">
      <w:pPr>
        <w:spacing w:after="0" w:line="360" w:lineRule="auto"/>
        <w:ind w:firstLineChars="100" w:firstLine="240"/>
        <w:jc w:val="both"/>
        <w:rPr>
          <w:rFonts w:ascii="Book Antiqua" w:eastAsia="ArialUnicodeMS" w:hAnsi="Book Antiqua" w:cs="ArialUnicodeMS"/>
          <w:sz w:val="24"/>
          <w:szCs w:val="24"/>
          <w:lang w:val="en-US"/>
        </w:rPr>
      </w:pPr>
      <w:r w:rsidRPr="00260125">
        <w:rPr>
          <w:rFonts w:ascii="Book Antiqua" w:eastAsia="ArialUnicodeMS" w:hAnsi="Book Antiqua" w:cs="ArialUnicodeMS"/>
          <w:sz w:val="24"/>
          <w:szCs w:val="24"/>
          <w:lang w:val="en-US"/>
        </w:rPr>
        <w:t>There are some safety concerns when using the newer NUCs in CHB cirrhotic patients. Lactic acidosis (LA) with ETV was first reported in 2009. Five of 16 HBV cirrhotic patients treated with EVT developed lactic acidosis. One of the patients died, and the other 4 recovered after treatment discontinuation. A significant correlation between the MELD score and the development of lactic acidosis was observed (</w:t>
      </w:r>
      <w:r w:rsidRPr="00260125">
        <w:rPr>
          <w:rFonts w:ascii="Book Antiqua" w:eastAsia="ArialUnicodeMS" w:hAnsi="Book Antiqua" w:cs="ArialUnicodeMS"/>
          <w:i/>
          <w:sz w:val="24"/>
          <w:szCs w:val="24"/>
          <w:lang w:val="en-US"/>
        </w:rPr>
        <w:t>P</w:t>
      </w:r>
      <w:r w:rsidRPr="00BE2326">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0.002). The single components of the MELD score-bilirubin, INR, and creatinine-correlated as well with the development of lactic acidosis (</w:t>
      </w:r>
      <w:r w:rsidRPr="00260125">
        <w:rPr>
          <w:rFonts w:ascii="Book Antiqua" w:eastAsia="ArialUnicodeMS" w:hAnsi="Book Antiqua" w:cs="ArialUnicodeMS"/>
          <w:i/>
          <w:sz w:val="24"/>
          <w:szCs w:val="24"/>
          <w:lang w:val="en-US"/>
        </w:rPr>
        <w:t>P</w:t>
      </w:r>
      <w:r w:rsidRPr="00CF6CF9">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 xml:space="preserve">0.003, </w:t>
      </w:r>
      <w:r w:rsidRPr="00260125">
        <w:rPr>
          <w:rFonts w:ascii="Book Antiqua" w:eastAsia="ArialUnicodeMS" w:hAnsi="Book Antiqua" w:cs="ArialUnicodeMS"/>
          <w:i/>
          <w:sz w:val="24"/>
          <w:szCs w:val="24"/>
          <w:lang w:val="en-US"/>
        </w:rPr>
        <w:t>P</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 xml:space="preserve">0.003, and </w:t>
      </w:r>
      <w:r w:rsidRPr="00260125">
        <w:rPr>
          <w:rFonts w:ascii="Book Antiqua" w:eastAsia="ArialUnicodeMS" w:hAnsi="Book Antiqua" w:cs="ArialUnicodeMS"/>
          <w:i/>
          <w:sz w:val="24"/>
          <w:szCs w:val="24"/>
          <w:lang w:val="en-US"/>
        </w:rPr>
        <w:t>P</w:t>
      </w:r>
      <w:r w:rsidRPr="00CF6CF9">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0.008, respectively). LA developed in patients with more severe liv</w:t>
      </w:r>
      <w:r>
        <w:rPr>
          <w:rFonts w:ascii="Book Antiqua" w:eastAsia="ArialUnicodeMS" w:hAnsi="Book Antiqua" w:cs="ArialUnicodeMS"/>
          <w:sz w:val="24"/>
          <w:szCs w:val="24"/>
          <w:lang w:val="en-US"/>
        </w:rPr>
        <w:t>er dysfunction (MELD score &gt;</w:t>
      </w:r>
      <w:r>
        <w:rPr>
          <w:rFonts w:ascii="Book Antiqua" w:hAnsi="Book Antiqua" w:cs="ArialUnicodeMS"/>
          <w:sz w:val="24"/>
          <w:szCs w:val="24"/>
          <w:lang w:val="en-US" w:eastAsia="zh-CN"/>
        </w:rPr>
        <w:t xml:space="preserve"> </w:t>
      </w:r>
      <w:r>
        <w:rPr>
          <w:rFonts w:ascii="Book Antiqua" w:eastAsia="ArialUnicodeMS" w:hAnsi="Book Antiqua" w:cs="ArialUnicodeMS"/>
          <w:sz w:val="24"/>
          <w:szCs w:val="24"/>
          <w:lang w:val="en-US"/>
        </w:rPr>
        <w:t>20</w:t>
      </w:r>
      <w:proofErr w:type="gramStart"/>
      <w:r>
        <w:rPr>
          <w:rFonts w:ascii="Book Antiqua" w:eastAsia="ArialUnicodeMS" w:hAnsi="Book Antiqua" w:cs="ArialUnicodeMS"/>
          <w:sz w:val="24"/>
          <w:szCs w:val="24"/>
          <w:lang w:val="en-US"/>
        </w:rPr>
        <w: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45</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There were no cases of LA reported in the ETV 901 study or in the clinical practice studies, considering that 8% to 49</w:t>
      </w:r>
      <w:bookmarkStart w:id="8" w:name="OLE_LINK32"/>
      <w:bookmarkStart w:id="9" w:name="OLE_LINK33"/>
      <w:r w:rsidRPr="00260125">
        <w:rPr>
          <w:rFonts w:ascii="Book Antiqua" w:eastAsia="ArialUnicodeMS" w:hAnsi="Book Antiqua" w:cs="ArialUnicodeMS"/>
          <w:sz w:val="24"/>
          <w:szCs w:val="24"/>
          <w:lang w:val="en-US"/>
        </w:rPr>
        <w:t>%</w:t>
      </w:r>
      <w:bookmarkEnd w:id="8"/>
      <w:bookmarkEnd w:id="9"/>
      <w:r w:rsidRPr="00260125">
        <w:rPr>
          <w:rFonts w:ascii="Book Antiqua" w:eastAsia="ArialUnicodeMS" w:hAnsi="Book Antiqua" w:cs="ArialUnicodeMS"/>
          <w:sz w:val="24"/>
          <w:szCs w:val="24"/>
          <w:lang w:val="en-US"/>
        </w:rPr>
        <w:t xml:space="preserve"> of pa</w:t>
      </w:r>
      <w:r>
        <w:rPr>
          <w:rFonts w:ascii="Book Antiqua" w:eastAsia="ArialUnicodeMS" w:hAnsi="Book Antiqua" w:cs="ArialUnicodeMS"/>
          <w:sz w:val="24"/>
          <w:szCs w:val="24"/>
          <w:lang w:val="en-US"/>
        </w:rPr>
        <w:t xml:space="preserve">tients included were </w:t>
      </w:r>
      <w:proofErr w:type="spellStart"/>
      <w:proofErr w:type="gramStart"/>
      <w:r>
        <w:rPr>
          <w:rFonts w:ascii="Book Antiqua" w:eastAsia="ArialUnicodeMS" w:hAnsi="Book Antiqua" w:cs="ArialUnicodeMS"/>
          <w:sz w:val="24"/>
          <w:szCs w:val="24"/>
          <w:lang w:val="en-US"/>
        </w:rPr>
        <w:t>cirrhotics</w:t>
      </w:r>
      <w:proofErr w:type="spellEnd"/>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22</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6</w:t>
      </w:r>
      <w:r w:rsidRPr="00260125">
        <w:rPr>
          <w:rFonts w:ascii="Book Antiqua" w:hAnsi="Book Antiqua"/>
          <w:bCs/>
          <w:sz w:val="24"/>
          <w:szCs w:val="24"/>
          <w:vertAlign w:val="superscript"/>
          <w:lang w:val="en-US"/>
        </w:rPr>
        <w:t>,3</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A recent study using ETV and/or</w:t>
      </w:r>
      <w:r>
        <w:rPr>
          <w:rFonts w:ascii="Book Antiqua" w:eastAsia="ArialUnicodeMS" w:hAnsi="Book Antiqua" w:cs="ArialUnicodeMS"/>
          <w:sz w:val="24"/>
          <w:szCs w:val="24"/>
          <w:lang w:val="en-US"/>
        </w:rPr>
        <w:t xml:space="preserve"> </w:t>
      </w:r>
      <w:r w:rsidRPr="00260125">
        <w:rPr>
          <w:rFonts w:ascii="Book Antiqua" w:eastAsia="ArialUnicodeMS" w:hAnsi="Book Antiqua" w:cs="ArialUnicodeMS"/>
          <w:sz w:val="24"/>
          <w:szCs w:val="24"/>
          <w:lang w:val="en-US"/>
        </w:rPr>
        <w:t>TDF</w:t>
      </w:r>
      <w:r>
        <w:rPr>
          <w:rFonts w:ascii="Book Antiqua" w:eastAsia="ArialUnicodeMS" w:hAnsi="Book Antiqua" w:cs="ArialUnicodeMS"/>
          <w:sz w:val="24"/>
          <w:szCs w:val="24"/>
          <w:lang w:val="en-US"/>
        </w:rPr>
        <w:t xml:space="preserve"> </w:t>
      </w:r>
      <w:r w:rsidRPr="00260125">
        <w:rPr>
          <w:rFonts w:ascii="Book Antiqua" w:eastAsia="ArialUnicodeMS" w:hAnsi="Book Antiqua" w:cs="ArialUnicodeMS"/>
          <w:sz w:val="24"/>
          <w:szCs w:val="24"/>
          <w:lang w:val="en-US"/>
        </w:rPr>
        <w:t>in compensated or decompensated HBV cirrhotic patients in</w:t>
      </w:r>
      <w:r>
        <w:rPr>
          <w:rFonts w:ascii="Book Antiqua" w:eastAsia="ArialUnicodeMS" w:hAnsi="Book Antiqua" w:cs="ArialUnicodeMS"/>
          <w:sz w:val="24"/>
          <w:szCs w:val="24"/>
          <w:lang w:val="en-US"/>
        </w:rPr>
        <w:t xml:space="preserve"> </w:t>
      </w:r>
      <w:r w:rsidRPr="00260125">
        <w:rPr>
          <w:rFonts w:ascii="Book Antiqua" w:eastAsia="ArialUnicodeMS" w:hAnsi="Book Antiqua" w:cs="ArialUnicodeMS"/>
          <w:sz w:val="24"/>
          <w:szCs w:val="24"/>
          <w:lang w:val="en-US"/>
        </w:rPr>
        <w:t>real-life</w:t>
      </w:r>
      <w:r>
        <w:rPr>
          <w:rFonts w:ascii="Book Antiqua" w:eastAsia="ArialUnicodeMS" w:hAnsi="Book Antiqua" w:cs="ArialUnicodeMS"/>
          <w:sz w:val="24"/>
          <w:szCs w:val="24"/>
          <w:lang w:val="en-US"/>
        </w:rPr>
        <w:t xml:space="preserve"> </w:t>
      </w:r>
      <w:r w:rsidRPr="00260125">
        <w:rPr>
          <w:rFonts w:ascii="Book Antiqua" w:eastAsia="ArialUnicodeMS" w:hAnsi="Book Antiqua" w:cs="ArialUnicodeMS"/>
          <w:sz w:val="24"/>
          <w:szCs w:val="24"/>
          <w:lang w:val="en-US"/>
        </w:rPr>
        <w:t xml:space="preserve">clinical practice, demonstrated that both drugs can be safely used in this </w:t>
      </w:r>
      <w:r>
        <w:rPr>
          <w:rFonts w:ascii="Book Antiqua" w:eastAsia="ArialUnicodeMS" w:hAnsi="Book Antiqua" w:cs="ArialUnicodeMS"/>
          <w:sz w:val="24"/>
          <w:szCs w:val="24"/>
          <w:lang w:val="en-US"/>
        </w:rPr>
        <w:t xml:space="preserve">subgroup of high risk </w:t>
      </w:r>
      <w:proofErr w:type="gramStart"/>
      <w:r>
        <w:rPr>
          <w:rFonts w:ascii="Book Antiqua" w:eastAsia="ArialUnicodeMS" w:hAnsi="Book Antiqua" w:cs="ArialUnicodeMS"/>
          <w:sz w:val="24"/>
          <w:szCs w:val="24"/>
          <w:lang w:val="en-US"/>
        </w:rPr>
        <w:t>patients</w:t>
      </w:r>
      <w:r w:rsidRPr="00C44CFC">
        <w:rPr>
          <w:rFonts w:ascii="Book Antiqua" w:hAnsi="Book Antiqua" w:cs="ArialUnicodeMS"/>
          <w:sz w:val="24"/>
          <w:szCs w:val="24"/>
          <w:vertAlign w:val="superscript"/>
          <w:lang w:val="en-US" w:eastAsia="zh-CN"/>
        </w:rPr>
        <w:t>[</w:t>
      </w:r>
      <w:proofErr w:type="gramEnd"/>
      <w:r w:rsidRPr="00C44CFC">
        <w:rPr>
          <w:rFonts w:ascii="Book Antiqua" w:eastAsia="ArialUnicodeMS" w:hAnsi="Book Antiqua" w:cs="ArialUnicodeMS"/>
          <w:sz w:val="24"/>
          <w:szCs w:val="24"/>
          <w:vertAlign w:val="superscript"/>
          <w:lang w:val="en-US"/>
        </w:rPr>
        <w:t>4</w:t>
      </w:r>
      <w:r>
        <w:rPr>
          <w:rFonts w:ascii="Book Antiqua" w:eastAsia="ArialUnicodeMS" w:hAnsi="Book Antiqua" w:cs="ArialUnicodeMS"/>
          <w:sz w:val="24"/>
          <w:szCs w:val="24"/>
          <w:vertAlign w:val="superscript"/>
          <w:lang w:val="en-US"/>
        </w:rPr>
        <w:t>6</w:t>
      </w:r>
      <w:r w:rsidRPr="00C44CFC">
        <w:rPr>
          <w:rFonts w:ascii="Book Antiqua" w:hAnsi="Book Antiqua" w:cs="ArialUnicodeMS"/>
          <w:sz w:val="24"/>
          <w:szCs w:val="24"/>
          <w:vertAlign w:val="superscript"/>
          <w:lang w:val="en-US" w:eastAsia="zh-CN"/>
        </w:rPr>
        <w:t>]</w:t>
      </w:r>
      <w:r w:rsidRPr="00260125">
        <w:rPr>
          <w:rFonts w:ascii="Book Antiqua" w:eastAsia="ArialUnicodeMS" w:hAnsi="Book Antiqua" w:cs="ArialUnicodeMS"/>
          <w:sz w:val="24"/>
          <w:szCs w:val="24"/>
          <w:lang w:val="en-US"/>
        </w:rPr>
        <w:t>. Safety of ETV in decompensated HBV cirrhotic patients was c</w:t>
      </w:r>
      <w:r>
        <w:rPr>
          <w:rFonts w:ascii="Book Antiqua" w:eastAsia="ArialUnicodeMS" w:hAnsi="Book Antiqua" w:cs="ArialUnicodeMS"/>
          <w:sz w:val="24"/>
          <w:szCs w:val="24"/>
          <w:lang w:val="en-US"/>
        </w:rPr>
        <w:t xml:space="preserve">onfirmed in an open label </w:t>
      </w:r>
      <w:proofErr w:type="gramStart"/>
      <w:r>
        <w:rPr>
          <w:rFonts w:ascii="Book Antiqua" w:eastAsia="ArialUnicodeMS" w:hAnsi="Book Antiqua" w:cs="ArialUnicodeMS"/>
          <w:sz w:val="24"/>
          <w:szCs w:val="24"/>
          <w:lang w:val="en-US"/>
        </w:rPr>
        <w:t>study</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47</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This data suggested that ETV</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can be used, but should be applied cautiously, in patients with severe decompensated liver disease.</w:t>
      </w:r>
      <w:r>
        <w:rPr>
          <w:rFonts w:ascii="Book Antiqua" w:hAnsi="Book Antiqua" w:cs="ArialUnicodeMS"/>
          <w:sz w:val="24"/>
          <w:szCs w:val="24"/>
          <w:lang w:val="en-US" w:eastAsia="zh-CN"/>
        </w:rPr>
        <w:t xml:space="preserve"> </w:t>
      </w:r>
      <w:r>
        <w:rPr>
          <w:rFonts w:ascii="Book Antiqua" w:eastAsia="ArialUnicodeMS" w:hAnsi="Book Antiqua" w:cs="ArialUnicodeMS"/>
          <w:sz w:val="24"/>
          <w:szCs w:val="24"/>
          <w:lang w:val="en-US"/>
        </w:rPr>
        <w:t>As per reported NUCs pre</w:t>
      </w:r>
      <w:r w:rsidRPr="00260125">
        <w:rPr>
          <w:rFonts w:ascii="Book Antiqua" w:eastAsia="ArialUnicodeMS" w:hAnsi="Book Antiqua" w:cs="ArialUnicodeMS"/>
          <w:sz w:val="24"/>
          <w:szCs w:val="24"/>
          <w:lang w:val="en-US"/>
        </w:rPr>
        <w:t>clinical data, a usual concern with the long term administration is their potential carcinogenicity. After a 5 year period of ETV administration, only 3 cases of the novo non liver neoplasms were identified: two gastric an</w:t>
      </w:r>
      <w:r>
        <w:rPr>
          <w:rFonts w:ascii="Book Antiqua" w:eastAsia="ArialUnicodeMS" w:hAnsi="Book Antiqua" w:cs="ArialUnicodeMS"/>
          <w:sz w:val="24"/>
          <w:szCs w:val="24"/>
          <w:lang w:val="en-US"/>
        </w:rPr>
        <w:t xml:space="preserve">d one pancreatic </w:t>
      </w:r>
      <w:proofErr w:type="gramStart"/>
      <w:r>
        <w:rPr>
          <w:rFonts w:ascii="Book Antiqua" w:eastAsia="ArialUnicodeMS" w:hAnsi="Book Antiqua" w:cs="ArialUnicodeMS"/>
          <w:sz w:val="24"/>
          <w:szCs w:val="24"/>
          <w:lang w:val="en-US"/>
        </w:rPr>
        <w:t>adenocarcinoma</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13,44</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However, to date, there is no evidence for the occurrence of cancers as a result of ETV treatment in patients. A global phase IV study (the REALM study), which preliminary results were</w:t>
      </w:r>
      <w:r>
        <w:rPr>
          <w:rFonts w:ascii="Book Antiqua" w:eastAsia="ArialUnicodeMS" w:hAnsi="Book Antiqua" w:cs="ArialUnicodeMS"/>
          <w:sz w:val="24"/>
          <w:szCs w:val="24"/>
          <w:lang w:val="en-US"/>
        </w:rPr>
        <w:t xml:space="preserve"> </w:t>
      </w:r>
      <w:r>
        <w:rPr>
          <w:rFonts w:ascii="Book Antiqua" w:eastAsia="ArialUnicodeMS" w:hAnsi="Book Antiqua" w:cs="ArialUnicodeMS"/>
          <w:sz w:val="24"/>
          <w:szCs w:val="24"/>
          <w:lang w:val="en-US"/>
        </w:rPr>
        <w:lastRenderedPageBreak/>
        <w:t xml:space="preserve">discussed </w:t>
      </w:r>
      <w:proofErr w:type="gramStart"/>
      <w:r>
        <w:rPr>
          <w:rFonts w:ascii="Book Antiqua" w:eastAsia="ArialUnicodeMS" w:hAnsi="Book Antiqua" w:cs="ArialUnicodeMS"/>
          <w:sz w:val="24"/>
          <w:szCs w:val="24"/>
          <w:lang w:val="en-US"/>
        </w:rPr>
        <w:t>above</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35</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is continuing to address this safety concern in patients treated with ETV during a 10-year follow-up period.</w:t>
      </w:r>
    </w:p>
    <w:p w:rsidR="004C196A" w:rsidRDefault="004C196A" w:rsidP="00260125">
      <w:pPr>
        <w:spacing w:after="0" w:line="360" w:lineRule="auto"/>
        <w:jc w:val="both"/>
        <w:rPr>
          <w:rFonts w:ascii="Book Antiqua" w:hAnsi="Book Antiqua" w:cs="ArialUnicodeMS"/>
          <w:b/>
          <w:i/>
          <w:sz w:val="24"/>
          <w:szCs w:val="24"/>
          <w:lang w:val="en-US" w:eastAsia="zh-CN"/>
        </w:rPr>
      </w:pPr>
    </w:p>
    <w:p w:rsidR="004C196A" w:rsidRPr="0003606B" w:rsidRDefault="004C196A" w:rsidP="00260125">
      <w:pPr>
        <w:spacing w:after="0" w:line="360" w:lineRule="auto"/>
        <w:jc w:val="both"/>
        <w:rPr>
          <w:rFonts w:ascii="Book Antiqua" w:hAnsi="Book Antiqua" w:cs="ArialUnicodeMS"/>
          <w:b/>
          <w:i/>
          <w:sz w:val="24"/>
          <w:szCs w:val="24"/>
          <w:lang w:val="en-US" w:eastAsia="zh-CN"/>
        </w:rPr>
      </w:pPr>
      <w:proofErr w:type="spellStart"/>
      <w:r>
        <w:rPr>
          <w:rFonts w:ascii="Book Antiqua" w:eastAsia="ArialUnicodeMS" w:hAnsi="Book Antiqua" w:cs="ArialUnicodeMS"/>
          <w:b/>
          <w:i/>
          <w:sz w:val="24"/>
          <w:szCs w:val="24"/>
          <w:lang w:val="en-US"/>
        </w:rPr>
        <w:t>Tenofovir</w:t>
      </w:r>
      <w:proofErr w:type="spellEnd"/>
    </w:p>
    <w:p w:rsidR="004C196A" w:rsidRPr="0003606B" w:rsidRDefault="004C196A" w:rsidP="00260125">
      <w:pPr>
        <w:spacing w:after="0" w:line="360" w:lineRule="auto"/>
        <w:jc w:val="both"/>
        <w:rPr>
          <w:rFonts w:ascii="Book Antiqua" w:hAnsi="Book Antiqua" w:cs="ArialUnicodeMS"/>
          <w:sz w:val="24"/>
          <w:szCs w:val="24"/>
          <w:lang w:val="en-US" w:eastAsia="zh-CN"/>
        </w:rPr>
      </w:pPr>
      <w:r w:rsidRPr="00260125">
        <w:rPr>
          <w:rFonts w:ascii="Book Antiqua" w:eastAsia="ArialUnicodeMS" w:hAnsi="Book Antiqua" w:cs="ArialUnicodeMS"/>
          <w:sz w:val="24"/>
          <w:szCs w:val="24"/>
          <w:lang w:val="en-US"/>
        </w:rPr>
        <w:t>In phase III trials the overall incidence of AEs was comparable in patients</w:t>
      </w:r>
      <w:r>
        <w:rPr>
          <w:rFonts w:ascii="Book Antiqua" w:eastAsia="ArialUnicodeMS" w:hAnsi="Book Antiqua" w:cs="ArialUnicodeMS"/>
          <w:sz w:val="24"/>
          <w:szCs w:val="24"/>
          <w:lang w:val="en-US"/>
        </w:rPr>
        <w:t xml:space="preserve"> receiving TDF </w:t>
      </w:r>
      <w:r w:rsidRPr="0003606B">
        <w:rPr>
          <w:rFonts w:ascii="Book Antiqua" w:eastAsia="ArialUnicodeMS" w:hAnsi="Book Antiqua" w:cs="ArialUnicodeMS"/>
          <w:i/>
          <w:sz w:val="24"/>
          <w:szCs w:val="24"/>
          <w:lang w:val="en-US"/>
        </w:rPr>
        <w:t>vs</w:t>
      </w:r>
      <w:r>
        <w:rPr>
          <w:rFonts w:ascii="Book Antiqua" w:eastAsia="ArialUnicodeMS" w:hAnsi="Book Antiqua" w:cs="ArialUnicodeMS"/>
          <w:i/>
          <w:sz w:val="24"/>
          <w:szCs w:val="24"/>
          <w:lang w:val="en-US"/>
        </w:rPr>
        <w:t xml:space="preserve"> </w:t>
      </w:r>
      <w:proofErr w:type="gramStart"/>
      <w:r>
        <w:rPr>
          <w:rFonts w:ascii="Book Antiqua" w:eastAsia="ArialUnicodeMS" w:hAnsi="Book Antiqua" w:cs="ArialUnicodeMS"/>
          <w:sz w:val="24"/>
          <w:szCs w:val="24"/>
          <w:lang w:val="en-US"/>
        </w:rPr>
        <w:t>ADV</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14</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xml:space="preserve">. The most common AEs in both studies included headache, </w:t>
      </w:r>
      <w:proofErr w:type="spellStart"/>
      <w:r w:rsidRPr="00260125">
        <w:rPr>
          <w:rFonts w:ascii="Book Antiqua" w:eastAsia="ArialUnicodeMS" w:hAnsi="Book Antiqua" w:cs="ArialUnicodeMS"/>
          <w:sz w:val="24"/>
          <w:szCs w:val="24"/>
          <w:lang w:val="en-US"/>
        </w:rPr>
        <w:t>nasopharyngitis</w:t>
      </w:r>
      <w:proofErr w:type="spellEnd"/>
      <w:r w:rsidRPr="00260125">
        <w:rPr>
          <w:rFonts w:ascii="Book Antiqua" w:eastAsia="ArialUnicodeMS" w:hAnsi="Book Antiqua" w:cs="ArialUnicodeMS"/>
          <w:sz w:val="24"/>
          <w:szCs w:val="24"/>
          <w:lang w:val="en-US"/>
        </w:rPr>
        <w:t>, back pain, nausea, and fatigue. Nephrotoxicity may be a potential concern with TDF, based on evidence from post-marketing surveillance of patients receiving TDF for HIV infection, but so far the problem appears to be less evident</w:t>
      </w:r>
      <w:r>
        <w:rPr>
          <w:rFonts w:ascii="Book Antiqua" w:eastAsia="ArialUnicodeMS" w:hAnsi="Book Antiqua" w:cs="ArialUnicodeMS"/>
          <w:sz w:val="24"/>
          <w:szCs w:val="24"/>
          <w:lang w:val="en-US"/>
        </w:rPr>
        <w:t xml:space="preserve"> in patients with HBV </w:t>
      </w:r>
      <w:proofErr w:type="gramStart"/>
      <w:r>
        <w:rPr>
          <w:rFonts w:ascii="Book Antiqua" w:eastAsia="ArialUnicodeMS" w:hAnsi="Book Antiqua" w:cs="ArialUnicodeMS"/>
          <w:sz w:val="24"/>
          <w:szCs w:val="24"/>
          <w:lang w:val="en-US"/>
        </w:rPr>
        <w:t>infection</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22</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3</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Results from the long term follow up of phase III studi</w:t>
      </w:r>
      <w:r>
        <w:rPr>
          <w:rFonts w:ascii="Book Antiqua" w:eastAsia="ArialUnicodeMS" w:hAnsi="Book Antiqua" w:cs="ArialUnicodeMS"/>
          <w:sz w:val="24"/>
          <w:szCs w:val="24"/>
          <w:lang w:val="en-US"/>
        </w:rPr>
        <w:t xml:space="preserve">es have been recently </w:t>
      </w:r>
      <w:proofErr w:type="gramStart"/>
      <w:r>
        <w:rPr>
          <w:rFonts w:ascii="Book Antiqua" w:eastAsia="ArialUnicodeMS" w:hAnsi="Book Antiqua" w:cs="ArialUnicodeMS"/>
          <w:sz w:val="24"/>
          <w:szCs w:val="24"/>
          <w:lang w:val="en-US"/>
        </w:rPr>
        <w:t>presented</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At year 6, less than 2% of patients discontinued TDF due to an adverse event, and less than 1.5% experienced a confirmed renal event (≥</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0.5 mg/</w:t>
      </w:r>
      <w:proofErr w:type="spellStart"/>
      <w:r w:rsidRPr="00260125">
        <w:rPr>
          <w:rFonts w:ascii="Book Antiqua" w:eastAsia="ArialUnicodeMS" w:hAnsi="Book Antiqua" w:cs="ArialUnicodeMS"/>
          <w:sz w:val="24"/>
          <w:szCs w:val="24"/>
          <w:lang w:val="en-US"/>
        </w:rPr>
        <w:t>dL</w:t>
      </w:r>
      <w:proofErr w:type="spellEnd"/>
      <w:r w:rsidRPr="00260125">
        <w:rPr>
          <w:rFonts w:ascii="Book Antiqua" w:eastAsia="ArialUnicodeMS" w:hAnsi="Book Antiqua" w:cs="ArialUnicodeMS"/>
          <w:sz w:val="24"/>
          <w:szCs w:val="24"/>
          <w:lang w:val="en-US"/>
        </w:rPr>
        <w:t xml:space="preserve"> increase in serum creatinine from baseline, phosphorus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2 mg/</w:t>
      </w:r>
      <w:proofErr w:type="spellStart"/>
      <w:r w:rsidRPr="00260125">
        <w:rPr>
          <w:rFonts w:ascii="Book Antiqua" w:eastAsia="ArialUnicodeMS" w:hAnsi="Book Antiqua" w:cs="ArialUnicodeMS"/>
          <w:sz w:val="24"/>
          <w:szCs w:val="24"/>
          <w:lang w:val="en-US"/>
        </w:rPr>
        <w:t>dL</w:t>
      </w:r>
      <w:proofErr w:type="spellEnd"/>
      <w:r w:rsidRPr="00260125">
        <w:rPr>
          <w:rFonts w:ascii="Book Antiqua" w:eastAsia="ArialUnicodeMS" w:hAnsi="Book Antiqua" w:cs="ArialUnicodeMS"/>
          <w:sz w:val="24"/>
          <w:szCs w:val="24"/>
          <w:lang w:val="en-US"/>
        </w:rPr>
        <w:t xml:space="preserve">, or </w:t>
      </w:r>
      <w:proofErr w:type="spellStart"/>
      <w:r w:rsidRPr="00260125">
        <w:rPr>
          <w:rFonts w:ascii="Book Antiqua" w:eastAsia="ArialUnicodeMS" w:hAnsi="Book Antiqua" w:cs="ArialUnicodeMS"/>
          <w:sz w:val="24"/>
          <w:szCs w:val="24"/>
          <w:lang w:val="en-US"/>
        </w:rPr>
        <w:t>CrCL</w:t>
      </w:r>
      <w:proofErr w:type="spellEnd"/>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50 mL/min)</w:t>
      </w:r>
      <w:r w:rsidRPr="00260125">
        <w:rPr>
          <w:rFonts w:ascii="Book Antiqua" w:hAnsi="Book Antiqua"/>
          <w:bCs/>
          <w:sz w:val="24"/>
          <w:szCs w:val="24"/>
          <w:vertAlign w:val="superscript"/>
          <w:lang w:val="en-US"/>
        </w:rPr>
        <w:t>[21]</w:t>
      </w:r>
      <w:r w:rsidRPr="00260125">
        <w:rPr>
          <w:rFonts w:ascii="Book Antiqua" w:eastAsia="ArialUnicodeMS" w:hAnsi="Book Antiqua" w:cs="ArialUnicodeMS"/>
          <w:sz w:val="24"/>
          <w:szCs w:val="24"/>
          <w:lang w:val="en-US"/>
        </w:rPr>
        <w:t xml:space="preserve">. The use of </w:t>
      </w:r>
      <w:proofErr w:type="spellStart"/>
      <w:r w:rsidRPr="00260125">
        <w:rPr>
          <w:rFonts w:ascii="Book Antiqua" w:eastAsia="ArialUnicodeMS" w:hAnsi="Book Antiqua" w:cs="ArialUnicodeMS"/>
          <w:sz w:val="24"/>
          <w:szCs w:val="24"/>
          <w:lang w:val="en-US"/>
        </w:rPr>
        <w:t>tenofovir</w:t>
      </w:r>
      <w:proofErr w:type="spellEnd"/>
      <w:r w:rsidRPr="00260125">
        <w:rPr>
          <w:rFonts w:ascii="Book Antiqua" w:eastAsia="ArialUnicodeMS" w:hAnsi="Book Antiqua" w:cs="ArialUnicodeMS"/>
          <w:sz w:val="24"/>
          <w:szCs w:val="24"/>
          <w:lang w:val="en-US"/>
        </w:rPr>
        <w:t xml:space="preserve"> has been associated with greater loss of bone mineral density during the early months of therapy in HIV </w:t>
      </w:r>
      <w:proofErr w:type="spellStart"/>
      <w:r w:rsidRPr="00260125">
        <w:rPr>
          <w:rFonts w:ascii="Book Antiqua" w:eastAsia="ArialUnicodeMS" w:hAnsi="Book Antiqua" w:cs="ArialUnicodeMS"/>
          <w:sz w:val="24"/>
          <w:szCs w:val="24"/>
          <w:lang w:val="en-US"/>
        </w:rPr>
        <w:t>monoinfected</w:t>
      </w:r>
      <w:proofErr w:type="spellEnd"/>
      <w:r w:rsidRPr="00260125">
        <w:rPr>
          <w:rFonts w:ascii="Book Antiqua" w:eastAsia="ArialUnicodeMS" w:hAnsi="Book Antiqua" w:cs="ArialUnicodeMS"/>
          <w:sz w:val="24"/>
          <w:szCs w:val="24"/>
          <w:lang w:val="en-US"/>
        </w:rPr>
        <w:t xml:space="preserve"> patients, although no HBV </w:t>
      </w:r>
      <w:proofErr w:type="spellStart"/>
      <w:r w:rsidRPr="00260125">
        <w:rPr>
          <w:rFonts w:ascii="Book Antiqua" w:eastAsia="ArialUnicodeMS" w:hAnsi="Book Antiqua" w:cs="ArialUnicodeMS"/>
          <w:sz w:val="24"/>
          <w:szCs w:val="24"/>
          <w:lang w:val="en-US"/>
        </w:rPr>
        <w:t>monoinfected</w:t>
      </w:r>
      <w:proofErr w:type="spellEnd"/>
      <w:r w:rsidRPr="00260125">
        <w:rPr>
          <w:rFonts w:ascii="Book Antiqua" w:eastAsia="ArialUnicodeMS" w:hAnsi="Book Antiqua" w:cs="ArialUnicodeMS"/>
          <w:sz w:val="24"/>
          <w:szCs w:val="24"/>
          <w:lang w:val="en-US"/>
        </w:rPr>
        <w:t xml:space="preserve"> patient experienced bone fractures in these </w:t>
      </w:r>
      <w:proofErr w:type="gramStart"/>
      <w:r w:rsidRPr="00260125">
        <w:rPr>
          <w:rFonts w:ascii="Book Antiqua" w:eastAsia="ArialUnicodeMS" w:hAnsi="Book Antiqua" w:cs="ArialUnicodeMS"/>
          <w:sz w:val="24"/>
          <w:szCs w:val="24"/>
          <w:lang w:val="en-US"/>
        </w:rPr>
        <w:t>studies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16</w:t>
      </w:r>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Bone mineral density (BMD) remained stable from year 4 through year 6, for either hip o</w:t>
      </w:r>
      <w:r>
        <w:rPr>
          <w:rFonts w:ascii="Book Antiqua" w:eastAsia="ArialUnicodeMS" w:hAnsi="Book Antiqua" w:cs="ArialUnicodeMS"/>
          <w:sz w:val="24"/>
          <w:szCs w:val="24"/>
          <w:lang w:val="en-US"/>
        </w:rPr>
        <w:t xml:space="preserve">r lumbar </w:t>
      </w:r>
      <w:proofErr w:type="gramStart"/>
      <w:r>
        <w:rPr>
          <w:rFonts w:ascii="Book Antiqua" w:eastAsia="ArialUnicodeMS" w:hAnsi="Book Antiqua" w:cs="ArialUnicodeMS"/>
          <w:sz w:val="24"/>
          <w:szCs w:val="24"/>
          <w:lang w:val="en-US"/>
        </w:rPr>
        <w:t>spine</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2</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xml:space="preserve">. Recent data suggests that in HBV </w:t>
      </w:r>
      <w:proofErr w:type="spellStart"/>
      <w:r w:rsidRPr="00260125">
        <w:rPr>
          <w:rFonts w:ascii="Book Antiqua" w:eastAsia="ArialUnicodeMS" w:hAnsi="Book Antiqua" w:cs="ArialUnicodeMS"/>
          <w:sz w:val="24"/>
          <w:szCs w:val="24"/>
          <w:lang w:val="en-US"/>
        </w:rPr>
        <w:t>monoinfected</w:t>
      </w:r>
      <w:proofErr w:type="spellEnd"/>
      <w:r w:rsidRPr="00260125">
        <w:rPr>
          <w:rFonts w:ascii="Book Antiqua" w:eastAsia="ArialUnicodeMS" w:hAnsi="Book Antiqua" w:cs="ArialUnicodeMS"/>
          <w:sz w:val="24"/>
          <w:szCs w:val="24"/>
          <w:lang w:val="en-US"/>
        </w:rPr>
        <w:t xml:space="preserve"> patients, bone mineral loss might be related to vitamin D def</w:t>
      </w:r>
      <w:r>
        <w:rPr>
          <w:rFonts w:ascii="Book Antiqua" w:eastAsia="ArialUnicodeMS" w:hAnsi="Book Antiqua" w:cs="ArialUnicodeMS"/>
          <w:sz w:val="24"/>
          <w:szCs w:val="24"/>
          <w:lang w:val="en-US"/>
        </w:rPr>
        <w:t xml:space="preserve">iciency and no to TDF </w:t>
      </w:r>
      <w:proofErr w:type="gramStart"/>
      <w:r>
        <w:rPr>
          <w:rFonts w:ascii="Book Antiqua" w:eastAsia="ArialUnicodeMS" w:hAnsi="Book Antiqua" w:cs="ArialUnicodeMS"/>
          <w:sz w:val="24"/>
          <w:szCs w:val="24"/>
          <w:lang w:val="en-US"/>
        </w:rPr>
        <w:t>treatment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48</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Nevertheless, bone mineral density should be periodically evaluated in HBV patients taking</w:t>
      </w:r>
      <w:r>
        <w:rPr>
          <w:rFonts w:ascii="Book Antiqua" w:eastAsia="ArialUnicodeMS" w:hAnsi="Book Antiqua" w:cs="ArialUnicodeMS"/>
          <w:sz w:val="24"/>
          <w:szCs w:val="24"/>
          <w:lang w:val="en-US"/>
        </w:rPr>
        <w:t xml:space="preserve"> </w:t>
      </w:r>
      <w:proofErr w:type="gramStart"/>
      <w:r>
        <w:rPr>
          <w:rFonts w:ascii="Book Antiqua" w:eastAsia="ArialUnicodeMS" w:hAnsi="Book Antiqua" w:cs="ArialUnicodeMS"/>
          <w:sz w:val="24"/>
          <w:szCs w:val="24"/>
          <w:lang w:val="en-US"/>
        </w:rPr>
        <w:t>TDF</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44</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 xml:space="preserve">.Safety data collected from the European cohort study concerning TDF were generally consistent with the long </w:t>
      </w:r>
      <w:r>
        <w:rPr>
          <w:rFonts w:ascii="Book Antiqua" w:eastAsia="ArialUnicodeMS" w:hAnsi="Book Antiqua" w:cs="ArialUnicodeMS"/>
          <w:sz w:val="24"/>
          <w:szCs w:val="24"/>
          <w:lang w:val="en-US"/>
        </w:rPr>
        <w:t>term clinical study safety data</w:t>
      </w:r>
      <w:r w:rsidRPr="00260125">
        <w:rPr>
          <w:rFonts w:ascii="Book Antiqua" w:hAnsi="Book Antiqua"/>
          <w:bCs/>
          <w:sz w:val="24"/>
          <w:szCs w:val="24"/>
          <w:vertAlign w:val="superscript"/>
          <w:lang w:val="en-US"/>
        </w:rPr>
        <w:t>[4</w:t>
      </w:r>
      <w:r>
        <w:rPr>
          <w:rFonts w:ascii="Book Antiqua" w:hAnsi="Book Antiqua"/>
          <w:bCs/>
          <w:sz w:val="24"/>
          <w:szCs w:val="24"/>
          <w:vertAlign w:val="superscript"/>
          <w:lang w:val="en-US"/>
        </w:rPr>
        <w:t>2</w:t>
      </w:r>
      <w:r w:rsidRPr="00260125">
        <w:rPr>
          <w:rFonts w:ascii="Book Antiqua" w:hAnsi="Book Antiqua"/>
          <w:bCs/>
          <w:sz w:val="24"/>
          <w:szCs w:val="24"/>
          <w:vertAlign w:val="superscript"/>
          <w:lang w:val="en-US"/>
        </w:rPr>
        <w:t>]</w:t>
      </w:r>
      <w:r>
        <w:rPr>
          <w:rFonts w:ascii="Book Antiqua" w:eastAsia="ArialUnicodeMS" w:hAnsi="Book Antiqua" w:cs="ArialUnicodeMS"/>
          <w:sz w:val="24"/>
          <w:szCs w:val="24"/>
          <w:lang w:val="en-US"/>
        </w:rPr>
        <w:t>.</w:t>
      </w:r>
    </w:p>
    <w:p w:rsidR="004C196A" w:rsidRPr="00260125" w:rsidRDefault="004C196A" w:rsidP="0003606B">
      <w:pPr>
        <w:spacing w:after="0" w:line="360" w:lineRule="auto"/>
        <w:ind w:firstLineChars="100" w:firstLine="240"/>
        <w:jc w:val="both"/>
        <w:rPr>
          <w:rFonts w:ascii="Book Antiqua" w:hAnsi="Book Antiqua"/>
          <w:sz w:val="24"/>
          <w:szCs w:val="24"/>
          <w:lang w:val="en-US" w:eastAsia="zh-CN"/>
        </w:rPr>
      </w:pPr>
      <w:r w:rsidRPr="00260125">
        <w:rPr>
          <w:rFonts w:ascii="Book Antiqua" w:eastAsia="ArialUnicodeMS" w:hAnsi="Book Antiqua" w:cs="ArialUnicodeMS"/>
          <w:sz w:val="24"/>
          <w:szCs w:val="24"/>
          <w:lang w:val="en-US"/>
        </w:rPr>
        <w:t xml:space="preserve">Median serum creatinine, </w:t>
      </w:r>
      <w:proofErr w:type="spellStart"/>
      <w:r w:rsidRPr="00260125">
        <w:rPr>
          <w:rFonts w:ascii="Book Antiqua" w:eastAsia="ArialUnicodeMS" w:hAnsi="Book Antiqua" w:cs="ArialUnicodeMS"/>
          <w:sz w:val="24"/>
          <w:szCs w:val="24"/>
          <w:lang w:val="en-US"/>
        </w:rPr>
        <w:t>eGFR</w:t>
      </w:r>
      <w:proofErr w:type="spellEnd"/>
      <w:r w:rsidRPr="00260125">
        <w:rPr>
          <w:rFonts w:ascii="Book Antiqua" w:eastAsia="ArialUnicodeMS" w:hAnsi="Book Antiqua" w:cs="ArialUnicodeMS"/>
          <w:sz w:val="24"/>
          <w:szCs w:val="24"/>
          <w:lang w:val="en-US"/>
        </w:rPr>
        <w:t xml:space="preserve"> and phosphorus blood levels remained unchanged over time. Approximately 2% of the patients showed &gt;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0.5 mg/</w:t>
      </w:r>
      <w:proofErr w:type="spellStart"/>
      <w:r w:rsidRPr="00260125">
        <w:rPr>
          <w:rFonts w:ascii="Book Antiqua" w:eastAsia="ArialUnicodeMS" w:hAnsi="Book Antiqua" w:cs="ArialUnicodeMS"/>
          <w:sz w:val="24"/>
          <w:szCs w:val="24"/>
          <w:lang w:val="en-US"/>
        </w:rPr>
        <w:t>d</w:t>
      </w:r>
      <w:r w:rsidRPr="00260125">
        <w:rPr>
          <w:rFonts w:ascii="Book Antiqua" w:hAnsi="Book Antiqua" w:cs="ArialUnicodeMS"/>
          <w:sz w:val="24"/>
          <w:szCs w:val="24"/>
          <w:lang w:val="en-US" w:eastAsia="zh-CN"/>
        </w:rPr>
        <w:t>L</w:t>
      </w:r>
      <w:proofErr w:type="spellEnd"/>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increase of serum creatinine or &lt;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2 mg/</w:t>
      </w:r>
      <w:proofErr w:type="spellStart"/>
      <w:r w:rsidRPr="00260125">
        <w:rPr>
          <w:rFonts w:ascii="Book Antiqua" w:eastAsia="ArialUnicodeMS" w:hAnsi="Book Antiqua" w:cs="ArialUnicodeMS"/>
          <w:sz w:val="24"/>
          <w:szCs w:val="24"/>
          <w:lang w:val="en-US"/>
        </w:rPr>
        <w:t>d</w:t>
      </w:r>
      <w:r w:rsidRPr="00260125">
        <w:rPr>
          <w:rFonts w:ascii="Book Antiqua" w:hAnsi="Book Antiqua" w:cs="ArialUnicodeMS"/>
          <w:sz w:val="24"/>
          <w:szCs w:val="24"/>
          <w:lang w:val="en-US" w:eastAsia="zh-CN"/>
        </w:rPr>
        <w:t>L</w:t>
      </w:r>
      <w:proofErr w:type="spellEnd"/>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 xml:space="preserve">phosphorus or proteinuria. The proportion of patients with </w:t>
      </w:r>
      <w:proofErr w:type="spellStart"/>
      <w:r w:rsidRPr="00260125">
        <w:rPr>
          <w:rFonts w:ascii="Book Antiqua" w:eastAsia="ArialUnicodeMS" w:hAnsi="Book Antiqua" w:cs="ArialUnicodeMS"/>
          <w:sz w:val="24"/>
          <w:szCs w:val="24"/>
          <w:lang w:val="en-US"/>
        </w:rPr>
        <w:t>eGFR</w:t>
      </w:r>
      <w:proofErr w:type="spellEnd"/>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&lt;</w:t>
      </w:r>
      <w:r>
        <w:rPr>
          <w:rFonts w:ascii="Book Antiqua" w:hAnsi="Book Antiqua" w:cs="ArialUnicodeMS"/>
          <w:sz w:val="24"/>
          <w:szCs w:val="24"/>
          <w:lang w:val="en-US" w:eastAsia="zh-CN"/>
        </w:rPr>
        <w:t xml:space="preserve"> </w:t>
      </w:r>
      <w:r w:rsidRPr="00260125">
        <w:rPr>
          <w:rFonts w:ascii="Book Antiqua" w:eastAsia="ArialUnicodeMS" w:hAnsi="Book Antiqua" w:cs="ArialUnicodeMS"/>
          <w:sz w:val="24"/>
          <w:szCs w:val="24"/>
          <w:lang w:val="en-US"/>
        </w:rPr>
        <w:t>50 m</w:t>
      </w:r>
      <w:r w:rsidRPr="00260125">
        <w:rPr>
          <w:rFonts w:ascii="Book Antiqua" w:hAnsi="Book Antiqua" w:cs="ArialUnicodeMS"/>
          <w:sz w:val="24"/>
          <w:szCs w:val="24"/>
          <w:lang w:val="en-US" w:eastAsia="zh-CN"/>
        </w:rPr>
        <w:t>L</w:t>
      </w:r>
      <w:r w:rsidRPr="00260125">
        <w:rPr>
          <w:rFonts w:ascii="Book Antiqua" w:eastAsia="ArialUnicodeMS" w:hAnsi="Book Antiqua" w:cs="ArialUnicodeMS"/>
          <w:sz w:val="24"/>
          <w:szCs w:val="24"/>
          <w:lang w:val="en-US"/>
        </w:rPr>
        <w:t xml:space="preserve">/min by MDRD increased from 3% at baseline to 6% at the end of the study. TmPO4/GFR ratio, a marker of urinary phosphate reabsorption, was reduced in near 20% of the patients at baseline and in </w:t>
      </w:r>
      <w:r w:rsidRPr="00260125">
        <w:rPr>
          <w:rFonts w:ascii="Book Antiqua" w:eastAsia="ArialUnicodeMS" w:hAnsi="Book Antiqua" w:cs="ArialUnicodeMS"/>
          <w:sz w:val="24"/>
          <w:szCs w:val="24"/>
          <w:lang w:val="en-US"/>
        </w:rPr>
        <w:lastRenderedPageBreak/>
        <w:t xml:space="preserve">near 30% during follow-up. TDF was </w:t>
      </w:r>
      <w:proofErr w:type="spellStart"/>
      <w:r w:rsidRPr="00260125">
        <w:rPr>
          <w:rFonts w:ascii="Book Antiqua" w:eastAsia="ArialUnicodeMS" w:hAnsi="Book Antiqua" w:cs="ArialUnicodeMS"/>
          <w:sz w:val="24"/>
          <w:szCs w:val="24"/>
          <w:lang w:val="en-US"/>
        </w:rPr>
        <w:t>downdosed</w:t>
      </w:r>
      <w:proofErr w:type="spellEnd"/>
      <w:r w:rsidRPr="00260125">
        <w:rPr>
          <w:rFonts w:ascii="Book Antiqua" w:eastAsia="ArialUnicodeMS" w:hAnsi="Book Antiqua" w:cs="ArialUnicodeMS"/>
          <w:sz w:val="24"/>
          <w:szCs w:val="24"/>
          <w:lang w:val="en-US"/>
        </w:rPr>
        <w:t xml:space="preserve"> to 300 mg/48 h in 10 patients (3%, decline of </w:t>
      </w:r>
      <w:proofErr w:type="spellStart"/>
      <w:r w:rsidRPr="00260125">
        <w:rPr>
          <w:rFonts w:ascii="Book Antiqua" w:eastAsia="ArialUnicodeMS" w:hAnsi="Book Antiqua" w:cs="ArialUnicodeMS"/>
          <w:sz w:val="24"/>
          <w:szCs w:val="24"/>
          <w:lang w:val="en-US"/>
        </w:rPr>
        <w:t>eGFR</w:t>
      </w:r>
      <w:proofErr w:type="spellEnd"/>
      <w:r w:rsidRPr="00260125">
        <w:rPr>
          <w:rFonts w:ascii="Book Antiqua" w:eastAsia="ArialUnicodeMS" w:hAnsi="Book Antiqua" w:cs="ArialUnicodeMS"/>
          <w:sz w:val="24"/>
          <w:szCs w:val="24"/>
          <w:lang w:val="en-US"/>
        </w:rPr>
        <w:t xml:space="preserve"> in all) and discontinued in additional 9 patients (3%, renal-related events in 2 cases). Overall, 5% stopped TDF (</w:t>
      </w:r>
      <w:proofErr w:type="spellStart"/>
      <w:r w:rsidRPr="00260125">
        <w:rPr>
          <w:rFonts w:ascii="Book Antiqua" w:eastAsia="ArialUnicodeMS" w:hAnsi="Book Antiqua" w:cs="ArialUnicodeMS"/>
          <w:sz w:val="24"/>
          <w:szCs w:val="24"/>
          <w:lang w:val="en-US"/>
        </w:rPr>
        <w:t>HBsAg</w:t>
      </w:r>
      <w:proofErr w:type="spellEnd"/>
      <w:r w:rsidRPr="00260125">
        <w:rPr>
          <w:rFonts w:ascii="Book Antiqua" w:eastAsia="ArialUnicodeMS" w:hAnsi="Book Antiqua" w:cs="ArialUnicodeMS"/>
          <w:sz w:val="24"/>
          <w:szCs w:val="24"/>
          <w:lang w:val="en-US"/>
        </w:rPr>
        <w:t xml:space="preserve"> loss in 5, adverse </w:t>
      </w:r>
      <w:r>
        <w:rPr>
          <w:rFonts w:ascii="Book Antiqua" w:eastAsia="ArialUnicodeMS" w:hAnsi="Book Antiqua" w:cs="ArialUnicodeMS"/>
          <w:sz w:val="24"/>
          <w:szCs w:val="24"/>
          <w:lang w:val="en-US"/>
        </w:rPr>
        <w:t>events in the remaining 11</w:t>
      </w:r>
      <w:proofErr w:type="gramStart"/>
      <w:r>
        <w:rPr>
          <w:rFonts w:ascii="Book Antiqua" w:eastAsia="ArialUnicodeMS" w:hAnsi="Book Antiqua" w:cs="ArialUnicodeMS"/>
          <w:sz w:val="24"/>
          <w:szCs w:val="24"/>
          <w:lang w:val="en-US"/>
        </w:rPr>
        <w: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42</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w:t>
      </w:r>
      <w:r>
        <w:rPr>
          <w:rFonts w:ascii="Book Antiqua" w:eastAsia="ArialUnicodeMS" w:hAnsi="Book Antiqua" w:cs="ArialUnicodeMS"/>
          <w:sz w:val="24"/>
          <w:szCs w:val="24"/>
          <w:lang w:val="en-US"/>
        </w:rPr>
        <w:t xml:space="preserve"> </w:t>
      </w:r>
      <w:r w:rsidRPr="00260125">
        <w:rPr>
          <w:rFonts w:ascii="Book Antiqua" w:hAnsi="Book Antiqua"/>
          <w:sz w:val="24"/>
          <w:szCs w:val="24"/>
          <w:lang w:val="en-US"/>
        </w:rPr>
        <w:t xml:space="preserve">In the GEMINIS study serum creatinine clearance and phosphorous levels remained stable. No frequent AEs were reported. </w:t>
      </w:r>
      <w:r>
        <w:rPr>
          <w:rFonts w:ascii="Book Antiqua" w:hAnsi="Book Antiqua"/>
          <w:sz w:val="24"/>
          <w:szCs w:val="24"/>
          <w:lang w:val="en-US" w:eastAsia="zh-CN"/>
        </w:rPr>
        <w:t>Four</w:t>
      </w:r>
      <w:r w:rsidRPr="00260125">
        <w:rPr>
          <w:rFonts w:ascii="Book Antiqua" w:hAnsi="Book Antiqua"/>
          <w:sz w:val="24"/>
          <w:szCs w:val="24"/>
          <w:lang w:val="en-US"/>
        </w:rPr>
        <w:t xml:space="preserve"> renal events were detected, all in NUC-experienced patients (prior long-term LAM +/− ADV therapy)</w:t>
      </w:r>
      <w:r>
        <w:rPr>
          <w:rFonts w:ascii="Book Antiqua" w:hAnsi="Book Antiqua"/>
          <w:sz w:val="24"/>
          <w:szCs w:val="24"/>
          <w:lang w:val="en-US"/>
        </w:rPr>
        <w:t xml:space="preserve"> </w:t>
      </w:r>
      <w:r w:rsidRPr="00260125">
        <w:rPr>
          <w:rFonts w:ascii="Book Antiqua" w:hAnsi="Book Antiqua"/>
          <w:sz w:val="24"/>
          <w:szCs w:val="24"/>
          <w:lang w:val="en-US"/>
        </w:rPr>
        <w:t>with comorbidities: diabetes (2 patients), renal insufficiency (2 patients), and cirrhosis (1 patient</w:t>
      </w:r>
      <w:proofErr w:type="gramStart"/>
      <w:r w:rsidRPr="00260125">
        <w:rPr>
          <w:rFonts w:ascii="Book Antiqua" w:hAnsi="Book Antiqua"/>
          <w:sz w:val="24"/>
          <w:szCs w:val="24"/>
          <w:lang w:val="en-US"/>
        </w:rPr>
        <w: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43</w:t>
      </w:r>
      <w:r w:rsidRPr="00260125">
        <w:rPr>
          <w:rFonts w:ascii="Book Antiqua" w:hAnsi="Book Antiqua"/>
          <w:bCs/>
          <w:sz w:val="24"/>
          <w:szCs w:val="24"/>
          <w:vertAlign w:val="superscript"/>
          <w:lang w:val="en-US"/>
        </w:rPr>
        <w:t>]</w:t>
      </w:r>
      <w:r>
        <w:rPr>
          <w:rFonts w:ascii="Book Antiqua" w:hAnsi="Book Antiqua"/>
          <w:sz w:val="24"/>
          <w:szCs w:val="24"/>
          <w:lang w:val="en-US"/>
        </w:rPr>
        <w:t>.</w:t>
      </w:r>
    </w:p>
    <w:p w:rsidR="004C196A" w:rsidRPr="00260125" w:rsidRDefault="004C196A" w:rsidP="00937DBF">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 xml:space="preserve">A French </w:t>
      </w:r>
      <w:proofErr w:type="spellStart"/>
      <w:r w:rsidRPr="00260125">
        <w:rPr>
          <w:rFonts w:ascii="Book Antiqua" w:hAnsi="Book Antiqua"/>
          <w:sz w:val="24"/>
          <w:szCs w:val="24"/>
          <w:lang w:val="en-US"/>
        </w:rPr>
        <w:t>multicentre</w:t>
      </w:r>
      <w:proofErr w:type="spellEnd"/>
      <w:r w:rsidRPr="00260125">
        <w:rPr>
          <w:rFonts w:ascii="Book Antiqua" w:hAnsi="Book Antiqua"/>
          <w:sz w:val="24"/>
          <w:szCs w:val="24"/>
          <w:lang w:val="en-US"/>
        </w:rPr>
        <w:t xml:space="preserve"> prospective cohort (</w:t>
      </w:r>
      <w:proofErr w:type="spellStart"/>
      <w:r w:rsidRPr="00260125">
        <w:rPr>
          <w:rFonts w:ascii="Book Antiqua" w:hAnsi="Book Antiqua"/>
          <w:sz w:val="24"/>
          <w:szCs w:val="24"/>
          <w:lang w:val="en-US"/>
        </w:rPr>
        <w:t>Vireal</w:t>
      </w:r>
      <w:proofErr w:type="spellEnd"/>
      <w:r w:rsidRPr="00260125">
        <w:rPr>
          <w:rFonts w:ascii="Book Antiqua" w:hAnsi="Book Antiqua"/>
          <w:sz w:val="24"/>
          <w:szCs w:val="24"/>
          <w:lang w:val="en-US"/>
        </w:rPr>
        <w:t xml:space="preserve"> study) evaluated the tolerance of TDF treatment in a real life cohort, including elde</w:t>
      </w:r>
      <w:r>
        <w:rPr>
          <w:rFonts w:ascii="Book Antiqua" w:hAnsi="Book Antiqua"/>
          <w:sz w:val="24"/>
          <w:szCs w:val="24"/>
          <w:lang w:val="en-US"/>
        </w:rPr>
        <w:t xml:space="preserve">rly patients with </w:t>
      </w:r>
      <w:proofErr w:type="gramStart"/>
      <w:r>
        <w:rPr>
          <w:rFonts w:ascii="Book Antiqua" w:hAnsi="Book Antiqua"/>
          <w:sz w:val="24"/>
          <w:szCs w:val="24"/>
          <w:lang w:val="en-US"/>
        </w:rPr>
        <w:t>comorbidities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49</w:t>
      </w:r>
      <w:r w:rsidRPr="00260125">
        <w:rPr>
          <w:rFonts w:ascii="Book Antiqua" w:hAnsi="Book Antiqua"/>
          <w:bCs/>
          <w:sz w:val="24"/>
          <w:szCs w:val="24"/>
          <w:vertAlign w:val="superscript"/>
          <w:lang w:val="en-US"/>
        </w:rPr>
        <w:t>]</w:t>
      </w:r>
      <w:r>
        <w:rPr>
          <w:rFonts w:ascii="Book Antiqua" w:hAnsi="Book Antiqua"/>
          <w:sz w:val="24"/>
          <w:szCs w:val="24"/>
          <w:lang w:val="en-US"/>
        </w:rPr>
        <w:t xml:space="preserve">. </w:t>
      </w:r>
      <w:r w:rsidRPr="00260125">
        <w:rPr>
          <w:rFonts w:ascii="Book Antiqua" w:hAnsi="Book Antiqua"/>
          <w:sz w:val="24"/>
          <w:szCs w:val="24"/>
          <w:lang w:val="en-US"/>
        </w:rPr>
        <w:t xml:space="preserve">Unfortunately, 58% of the 441 HBV patients treated were NUC-experienced or resistant and was not included in the review of the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discussed above. The 2-year data reported no major safety issues. Forty-eight elderly patients were subsequently analyzed: mean age 71</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6 years, 73% male, 87%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-negative, 58% advanced fibrosis and 79% treatment experienced. Although 82% of elderly had prior GFR &lt;</w:t>
      </w:r>
      <w:r>
        <w:rPr>
          <w:rFonts w:ascii="Book Antiqua" w:hAnsi="Book Antiqua"/>
          <w:sz w:val="24"/>
          <w:szCs w:val="24"/>
          <w:lang w:val="en-US" w:eastAsia="zh-CN"/>
        </w:rPr>
        <w:t xml:space="preserve"> </w:t>
      </w:r>
      <w:r w:rsidRPr="00260125">
        <w:rPr>
          <w:rFonts w:ascii="Book Antiqua" w:hAnsi="Book Antiqua"/>
          <w:sz w:val="24"/>
          <w:szCs w:val="24"/>
          <w:lang w:val="en-US"/>
        </w:rPr>
        <w:t>90</w:t>
      </w:r>
      <w:r>
        <w:rPr>
          <w:rFonts w:ascii="Book Antiqua" w:hAnsi="Book Antiqua"/>
          <w:sz w:val="24"/>
          <w:szCs w:val="24"/>
          <w:lang w:val="en-US" w:eastAsia="zh-CN"/>
        </w:rPr>
        <w:t xml:space="preserve"> </w:t>
      </w:r>
      <w:r w:rsidRPr="00260125">
        <w:rPr>
          <w:rFonts w:ascii="Book Antiqua" w:hAnsi="Book Antiqua"/>
          <w:sz w:val="24"/>
          <w:szCs w:val="24"/>
          <w:lang w:val="en-US"/>
        </w:rPr>
        <w:t>mL/min (estimated by CKD-EPI formula), GFR remained stable or improved in 91%. The mean GFR was 73, 69 and 70</w:t>
      </w:r>
      <w:r>
        <w:rPr>
          <w:rFonts w:ascii="Book Antiqua" w:hAnsi="Book Antiqua"/>
          <w:sz w:val="24"/>
          <w:szCs w:val="24"/>
          <w:lang w:val="en-US" w:eastAsia="zh-CN"/>
        </w:rPr>
        <w:t xml:space="preserve"> </w:t>
      </w:r>
      <w:r w:rsidRPr="00260125">
        <w:rPr>
          <w:rFonts w:ascii="Book Antiqua" w:hAnsi="Book Antiqua"/>
          <w:sz w:val="24"/>
          <w:szCs w:val="24"/>
          <w:lang w:val="en-US"/>
        </w:rPr>
        <w:t xml:space="preserve">mL/min at baseline, 1 and 2 years. This study showed that TDF safety and tolerance were similar in elderly and younger </w:t>
      </w:r>
      <w:proofErr w:type="gramStart"/>
      <w:r w:rsidRPr="00260125">
        <w:rPr>
          <w:rFonts w:ascii="Book Antiqua" w:hAnsi="Book Antiqua"/>
          <w:sz w:val="24"/>
          <w:szCs w:val="24"/>
          <w:lang w:val="en-US"/>
        </w:rPr>
        <w:t>patients</w:t>
      </w:r>
      <w:r w:rsidRPr="00260125">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49</w:t>
      </w:r>
      <w:r w:rsidRPr="00260125">
        <w:rPr>
          <w:rFonts w:ascii="Book Antiqua" w:hAnsi="Book Antiqua"/>
          <w:bCs/>
          <w:sz w:val="24"/>
          <w:szCs w:val="24"/>
          <w:vertAlign w:val="superscript"/>
          <w:lang w:val="en-US"/>
        </w:rPr>
        <w:t>]</w:t>
      </w:r>
      <w:r w:rsidRPr="00260125">
        <w:rPr>
          <w:rFonts w:ascii="Book Antiqua" w:hAnsi="Book Antiqua"/>
          <w:sz w:val="24"/>
          <w:szCs w:val="24"/>
          <w:lang w:val="en-US"/>
        </w:rPr>
        <w:t>. Also, TDF can be safely used in patients with mild renal impairment. A prospective, randomized, double-blind trial of</w:t>
      </w:r>
      <w:r>
        <w:rPr>
          <w:rFonts w:ascii="Book Antiqua" w:hAnsi="Book Antiqua"/>
          <w:sz w:val="24"/>
          <w:szCs w:val="24"/>
          <w:lang w:val="en-US"/>
        </w:rPr>
        <w:t xml:space="preserve"> TDF </w:t>
      </w:r>
      <w:r w:rsidRPr="004A5DCD">
        <w:rPr>
          <w:rFonts w:ascii="Book Antiqua" w:hAnsi="Book Antiqua"/>
          <w:i/>
          <w:sz w:val="24"/>
          <w:szCs w:val="24"/>
          <w:lang w:val="en-US"/>
        </w:rPr>
        <w:t>vs</w:t>
      </w:r>
      <w:r>
        <w:rPr>
          <w:rFonts w:ascii="Book Antiqua" w:hAnsi="Book Antiqua"/>
          <w:i/>
          <w:sz w:val="24"/>
          <w:szCs w:val="24"/>
          <w:lang w:val="en-US"/>
        </w:rPr>
        <w:t xml:space="preserve"> </w:t>
      </w:r>
      <w:proofErr w:type="spellStart"/>
      <w:r w:rsidRPr="00260125">
        <w:rPr>
          <w:rFonts w:ascii="Book Antiqua" w:hAnsi="Book Antiqua"/>
          <w:sz w:val="24"/>
          <w:szCs w:val="24"/>
          <w:lang w:val="en-US"/>
        </w:rPr>
        <w:t>emtricitabine</w:t>
      </w:r>
      <w:proofErr w:type="spellEnd"/>
      <w:r w:rsidRPr="00260125">
        <w:rPr>
          <w:rFonts w:ascii="Book Antiqua" w:hAnsi="Book Antiqua"/>
          <w:sz w:val="24"/>
          <w:szCs w:val="24"/>
          <w:lang w:val="en-US"/>
        </w:rPr>
        <w:t xml:space="preserve"> (FTC)/TDF combination in LAM-resistant patients compared mild renal impairment (MRI; </w:t>
      </w:r>
      <w:proofErr w:type="spellStart"/>
      <w:r w:rsidRPr="00260125">
        <w:rPr>
          <w:rFonts w:ascii="Book Antiqua" w:hAnsi="Book Antiqua"/>
          <w:sz w:val="24"/>
          <w:szCs w:val="24"/>
          <w:lang w:val="en-US"/>
        </w:rPr>
        <w:t>CrCL</w:t>
      </w:r>
      <w:proofErr w:type="spellEnd"/>
      <w:r w:rsidRPr="00260125">
        <w:rPr>
          <w:rFonts w:ascii="Book Antiqua" w:hAnsi="Book Antiqua"/>
          <w:sz w:val="24"/>
          <w:szCs w:val="24"/>
          <w:lang w:val="en-US"/>
        </w:rPr>
        <w:t xml:space="preserve"> 50</w:t>
      </w:r>
      <w:r>
        <w:rPr>
          <w:rFonts w:ascii="Book Antiqua" w:hAnsi="Book Antiqua"/>
          <w:sz w:val="24"/>
          <w:szCs w:val="24"/>
          <w:lang w:val="en-US" w:eastAsia="zh-CN"/>
        </w:rPr>
        <w:t xml:space="preserve"> </w:t>
      </w:r>
      <w:r w:rsidRPr="00070946">
        <w:rPr>
          <w:rFonts w:ascii="Book Antiqua" w:hAnsi="Book Antiqua"/>
          <w:sz w:val="24"/>
          <w:szCs w:val="24"/>
          <w:u w:val="single"/>
          <w:lang w:val="en-US"/>
        </w:rPr>
        <w:t>&lt;</w:t>
      </w:r>
      <w:r>
        <w:rPr>
          <w:rFonts w:ascii="Book Antiqua" w:hAnsi="Book Antiqua"/>
          <w:sz w:val="24"/>
          <w:szCs w:val="24"/>
          <w:lang w:val="en-US" w:eastAsia="zh-CN"/>
        </w:rPr>
        <w:t xml:space="preserve"> </w:t>
      </w:r>
      <w:r w:rsidRPr="00260125">
        <w:rPr>
          <w:rFonts w:ascii="Book Antiqua" w:hAnsi="Book Antiqua"/>
          <w:sz w:val="24"/>
          <w:szCs w:val="24"/>
          <w:lang w:val="en-US"/>
        </w:rPr>
        <w:t xml:space="preserve">80 mL/min by </w:t>
      </w:r>
      <w:proofErr w:type="spellStart"/>
      <w:r w:rsidRPr="00260125">
        <w:rPr>
          <w:rFonts w:ascii="Book Antiqua" w:hAnsi="Book Antiqua"/>
          <w:sz w:val="24"/>
          <w:szCs w:val="24"/>
          <w:lang w:val="en-US"/>
        </w:rPr>
        <w:t>Cockroft-Gault</w:t>
      </w:r>
      <w:proofErr w:type="spellEnd"/>
      <w:r w:rsidRPr="00260125">
        <w:rPr>
          <w:rFonts w:ascii="Book Antiqua" w:hAnsi="Book Antiqua"/>
          <w:sz w:val="24"/>
          <w:szCs w:val="24"/>
          <w:lang w:val="en-US"/>
        </w:rPr>
        <w:t xml:space="preserve">) patients (74/280; 26%) and normal renal function (NRF; </w:t>
      </w:r>
      <w:proofErr w:type="spellStart"/>
      <w:r w:rsidRPr="00260125">
        <w:rPr>
          <w:rFonts w:ascii="Book Antiqua" w:hAnsi="Book Antiqua"/>
          <w:sz w:val="24"/>
          <w:szCs w:val="24"/>
          <w:lang w:val="en-US"/>
        </w:rPr>
        <w:t>CrCL</w:t>
      </w:r>
      <w:proofErr w:type="spellEnd"/>
      <w:r w:rsidRPr="00260125">
        <w:rPr>
          <w:rFonts w:ascii="Book Antiqua" w:hAnsi="Book Antiqua"/>
          <w:sz w:val="24"/>
          <w:szCs w:val="24"/>
          <w:lang w:val="en-US"/>
        </w:rPr>
        <w:t xml:space="preserve"> ≥</w:t>
      </w:r>
      <w:r>
        <w:rPr>
          <w:rFonts w:ascii="Book Antiqua" w:hAnsi="Book Antiqua"/>
          <w:sz w:val="24"/>
          <w:szCs w:val="24"/>
          <w:lang w:val="en-US" w:eastAsia="zh-CN"/>
        </w:rPr>
        <w:t xml:space="preserve"> </w:t>
      </w:r>
      <w:r w:rsidRPr="00260125">
        <w:rPr>
          <w:rFonts w:ascii="Book Antiqua" w:hAnsi="Book Antiqua"/>
          <w:sz w:val="24"/>
          <w:szCs w:val="24"/>
          <w:lang w:val="en-US"/>
        </w:rPr>
        <w:t>80</w:t>
      </w:r>
      <w:r>
        <w:rPr>
          <w:rFonts w:ascii="Book Antiqua" w:hAnsi="Book Antiqua"/>
          <w:sz w:val="24"/>
          <w:szCs w:val="24"/>
          <w:lang w:val="en-US" w:eastAsia="zh-CN"/>
        </w:rPr>
        <w:t xml:space="preserve"> </w:t>
      </w:r>
      <w:r>
        <w:rPr>
          <w:rFonts w:ascii="Book Antiqua" w:hAnsi="Book Antiqua"/>
          <w:sz w:val="24"/>
          <w:szCs w:val="24"/>
          <w:lang w:val="en-US"/>
        </w:rPr>
        <w:t>mL/min) patients (206/280; 74%)</w:t>
      </w:r>
      <w:r w:rsidRPr="00260125">
        <w:rPr>
          <w:rFonts w:ascii="Book Antiqua" w:hAnsi="Book Antiqua"/>
          <w:bCs/>
          <w:sz w:val="24"/>
          <w:szCs w:val="24"/>
          <w:vertAlign w:val="superscript"/>
          <w:lang w:val="en-US"/>
        </w:rPr>
        <w:t>[5</w:t>
      </w:r>
      <w:r>
        <w:rPr>
          <w:rFonts w:ascii="Book Antiqua" w:hAnsi="Book Antiqua"/>
          <w:bCs/>
          <w:sz w:val="24"/>
          <w:szCs w:val="24"/>
          <w:vertAlign w:val="superscript"/>
          <w:lang w:val="en-US"/>
        </w:rPr>
        <w:t>0</w:t>
      </w:r>
      <w:r w:rsidRPr="00260125">
        <w:rPr>
          <w:rFonts w:ascii="Book Antiqua" w:hAnsi="Book Antiqua"/>
          <w:bCs/>
          <w:sz w:val="24"/>
          <w:szCs w:val="24"/>
          <w:vertAlign w:val="superscript"/>
          <w:lang w:val="en-US"/>
        </w:rPr>
        <w:t>]</w:t>
      </w:r>
      <w:r w:rsidRPr="00260125">
        <w:rPr>
          <w:rFonts w:ascii="Book Antiqua" w:hAnsi="Book Antiqua"/>
          <w:sz w:val="24"/>
          <w:szCs w:val="24"/>
          <w:lang w:val="en-US"/>
        </w:rPr>
        <w:t>. No patients had a confirmed increase in serum creatinine of ≥</w:t>
      </w:r>
      <w:r>
        <w:rPr>
          <w:rFonts w:ascii="Book Antiqua" w:hAnsi="Book Antiqua"/>
          <w:sz w:val="24"/>
          <w:szCs w:val="24"/>
          <w:lang w:val="en-US" w:eastAsia="zh-CN"/>
        </w:rPr>
        <w:t xml:space="preserve"> </w:t>
      </w:r>
      <w:r w:rsidRPr="00260125">
        <w:rPr>
          <w:rFonts w:ascii="Book Antiqua" w:hAnsi="Book Antiqua"/>
          <w:sz w:val="24"/>
          <w:szCs w:val="24"/>
          <w:lang w:val="en-US"/>
        </w:rPr>
        <w:t>0.5</w:t>
      </w:r>
      <w:r>
        <w:rPr>
          <w:rFonts w:ascii="Book Antiqua" w:hAnsi="Book Antiqua"/>
          <w:sz w:val="24"/>
          <w:szCs w:val="24"/>
          <w:lang w:val="en-US" w:eastAsia="zh-CN"/>
        </w:rPr>
        <w:t xml:space="preserve"> </w:t>
      </w:r>
      <w:r w:rsidRPr="00260125">
        <w:rPr>
          <w:rFonts w:ascii="Book Antiqua" w:hAnsi="Book Antiqua"/>
          <w:sz w:val="24"/>
          <w:szCs w:val="24"/>
          <w:lang w:val="en-US"/>
        </w:rPr>
        <w:t>mg/</w:t>
      </w:r>
      <w:proofErr w:type="spellStart"/>
      <w:r w:rsidRPr="00260125">
        <w:rPr>
          <w:rFonts w:ascii="Book Antiqua" w:hAnsi="Book Antiqua"/>
          <w:sz w:val="24"/>
          <w:szCs w:val="24"/>
          <w:lang w:val="en-US"/>
        </w:rPr>
        <w:t>dL</w:t>
      </w:r>
      <w:proofErr w:type="spellEnd"/>
      <w:r w:rsidRPr="00260125">
        <w:rPr>
          <w:rFonts w:ascii="Book Antiqua" w:hAnsi="Book Antiqua"/>
          <w:sz w:val="24"/>
          <w:szCs w:val="24"/>
          <w:lang w:val="en-US"/>
        </w:rPr>
        <w:t>, and 1% (2-NRF) had transient phosphorus &lt;</w:t>
      </w:r>
      <w:r>
        <w:rPr>
          <w:rFonts w:ascii="Book Antiqua" w:hAnsi="Book Antiqua"/>
          <w:sz w:val="24"/>
          <w:szCs w:val="24"/>
          <w:lang w:val="en-US" w:eastAsia="zh-CN"/>
        </w:rPr>
        <w:t xml:space="preserve"> </w:t>
      </w:r>
      <w:r w:rsidRPr="00260125">
        <w:rPr>
          <w:rFonts w:ascii="Book Antiqua" w:hAnsi="Book Antiqua"/>
          <w:sz w:val="24"/>
          <w:szCs w:val="24"/>
          <w:lang w:val="en-US"/>
        </w:rPr>
        <w:t>2</w:t>
      </w:r>
      <w:r>
        <w:rPr>
          <w:rFonts w:ascii="Book Antiqua" w:hAnsi="Book Antiqua"/>
          <w:sz w:val="24"/>
          <w:szCs w:val="24"/>
          <w:lang w:val="en-US" w:eastAsia="zh-CN"/>
        </w:rPr>
        <w:t xml:space="preserve"> </w:t>
      </w:r>
      <w:r w:rsidRPr="00260125">
        <w:rPr>
          <w:rFonts w:ascii="Book Antiqua" w:hAnsi="Book Antiqua"/>
          <w:sz w:val="24"/>
          <w:szCs w:val="24"/>
          <w:lang w:val="en-US"/>
        </w:rPr>
        <w:t>mg/</w:t>
      </w:r>
      <w:proofErr w:type="spellStart"/>
      <w:r w:rsidRPr="00260125">
        <w:rPr>
          <w:rFonts w:ascii="Book Antiqua" w:hAnsi="Book Antiqua"/>
          <w:sz w:val="24"/>
          <w:szCs w:val="24"/>
          <w:lang w:val="en-US"/>
        </w:rPr>
        <w:t>dL</w:t>
      </w:r>
      <w:proofErr w:type="spellEnd"/>
      <w:r w:rsidRPr="00260125">
        <w:rPr>
          <w:rFonts w:ascii="Book Antiqua" w:hAnsi="Book Antiqua"/>
          <w:sz w:val="24"/>
          <w:szCs w:val="24"/>
          <w:lang w:val="en-US"/>
        </w:rPr>
        <w:t>. Nine MRI patients had CL Cr &lt;</w:t>
      </w:r>
      <w:r>
        <w:rPr>
          <w:rFonts w:ascii="Book Antiqua" w:hAnsi="Book Antiqua"/>
          <w:sz w:val="24"/>
          <w:szCs w:val="24"/>
          <w:lang w:val="en-US" w:eastAsia="zh-CN"/>
        </w:rPr>
        <w:t xml:space="preserve"> </w:t>
      </w:r>
      <w:r w:rsidRPr="00260125">
        <w:rPr>
          <w:rFonts w:ascii="Book Antiqua" w:hAnsi="Book Antiqua"/>
          <w:sz w:val="24"/>
          <w:szCs w:val="24"/>
          <w:lang w:val="en-US"/>
        </w:rPr>
        <w:t>50</w:t>
      </w:r>
      <w:r>
        <w:rPr>
          <w:rFonts w:ascii="Book Antiqua" w:hAnsi="Book Antiqua"/>
          <w:sz w:val="24"/>
          <w:szCs w:val="24"/>
          <w:lang w:val="en-US" w:eastAsia="zh-CN"/>
        </w:rPr>
        <w:t xml:space="preserve"> </w:t>
      </w:r>
      <w:r w:rsidRPr="00260125">
        <w:rPr>
          <w:rFonts w:ascii="Book Antiqua" w:hAnsi="Book Antiqua"/>
          <w:sz w:val="24"/>
          <w:szCs w:val="24"/>
          <w:lang w:val="en-US"/>
        </w:rPr>
        <w:t>mL/min (pre-treatment range: 49–61</w:t>
      </w:r>
      <w:r>
        <w:rPr>
          <w:rFonts w:ascii="Book Antiqua" w:hAnsi="Book Antiqua"/>
          <w:sz w:val="24"/>
          <w:szCs w:val="24"/>
          <w:lang w:val="en-US" w:eastAsia="zh-CN"/>
        </w:rPr>
        <w:t xml:space="preserve"> </w:t>
      </w:r>
      <w:r w:rsidRPr="00260125">
        <w:rPr>
          <w:rFonts w:ascii="Book Antiqua" w:hAnsi="Book Antiqua"/>
          <w:sz w:val="24"/>
          <w:szCs w:val="24"/>
          <w:lang w:val="en-US"/>
        </w:rPr>
        <w:t xml:space="preserve">mL/min) that stabilized with dose adjustment. No differences were observed in percentage change in spine or hip BMD over 96 </w:t>
      </w:r>
      <w:proofErr w:type="spellStart"/>
      <w:r w:rsidRPr="00260125">
        <w:rPr>
          <w:rFonts w:ascii="Book Antiqua" w:hAnsi="Book Antiqua"/>
          <w:sz w:val="24"/>
          <w:szCs w:val="24"/>
          <w:lang w:val="en-US"/>
        </w:rPr>
        <w:t>wk</w:t>
      </w:r>
      <w:proofErr w:type="spellEnd"/>
      <w:r w:rsidRPr="00260125">
        <w:rPr>
          <w:rFonts w:ascii="Book Antiqua" w:hAnsi="Book Antiqua"/>
          <w:sz w:val="24"/>
          <w:szCs w:val="24"/>
          <w:lang w:val="en-US"/>
        </w:rPr>
        <w:t xml:space="preserve">, and no clinically relevant bone loss was noted in either group. The safety of patients with MRI receiving TDF was </w:t>
      </w:r>
      <w:r w:rsidRPr="00260125">
        <w:rPr>
          <w:rFonts w:ascii="Book Antiqua" w:hAnsi="Book Antiqua"/>
          <w:sz w:val="24"/>
          <w:szCs w:val="24"/>
          <w:lang w:val="en-US"/>
        </w:rPr>
        <w:lastRenderedPageBreak/>
        <w:t>similar to NRF patients; in MRI patients there was no evidence of increased risk for renal</w:t>
      </w:r>
      <w:r>
        <w:rPr>
          <w:rFonts w:ascii="Book Antiqua" w:hAnsi="Book Antiqua"/>
          <w:sz w:val="24"/>
          <w:szCs w:val="24"/>
          <w:lang w:val="en-US"/>
        </w:rPr>
        <w:t xml:space="preserve">- or bone-related </w:t>
      </w:r>
      <w:proofErr w:type="gramStart"/>
      <w:r>
        <w:rPr>
          <w:rFonts w:ascii="Book Antiqua" w:hAnsi="Book Antiqua"/>
          <w:sz w:val="24"/>
          <w:szCs w:val="24"/>
          <w:lang w:val="en-US"/>
        </w:rPr>
        <w:t>complications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50</w:t>
      </w:r>
      <w:r w:rsidRPr="00260125">
        <w:rPr>
          <w:rFonts w:ascii="Book Antiqua" w:hAnsi="Book Antiqua"/>
          <w:bCs/>
          <w:sz w:val="24"/>
          <w:szCs w:val="24"/>
          <w:vertAlign w:val="superscript"/>
          <w:lang w:val="en-US"/>
        </w:rPr>
        <w:t>]</w:t>
      </w:r>
      <w:r w:rsidRPr="00260125">
        <w:rPr>
          <w:rFonts w:ascii="Book Antiqua" w:hAnsi="Book Antiqua"/>
          <w:sz w:val="24"/>
          <w:szCs w:val="24"/>
          <w:lang w:val="en-US"/>
        </w:rPr>
        <w:t>. In TDF treated patients serum chemistries including creatinine and phosphorus should be monitored every 6 mo. Monitoring may be more frequent in patients with impaired baseline renal function or other medical conditions that inc</w:t>
      </w:r>
      <w:r>
        <w:rPr>
          <w:rFonts w:ascii="Book Antiqua" w:hAnsi="Book Antiqua"/>
          <w:sz w:val="24"/>
          <w:szCs w:val="24"/>
          <w:lang w:val="en-US"/>
        </w:rPr>
        <w:t xml:space="preserve">rease the risk of renal </w:t>
      </w:r>
      <w:proofErr w:type="gramStart"/>
      <w:r>
        <w:rPr>
          <w:rFonts w:ascii="Book Antiqua" w:hAnsi="Book Antiqua"/>
          <w:sz w:val="24"/>
          <w:szCs w:val="24"/>
          <w:lang w:val="en-US"/>
        </w:rPr>
        <w:t>failure</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5</w:t>
      </w:r>
      <w:r>
        <w:rPr>
          <w:rFonts w:ascii="Book Antiqua" w:hAnsi="Book Antiqua"/>
          <w:bCs/>
          <w:sz w:val="24"/>
          <w:szCs w:val="24"/>
          <w:vertAlign w:val="superscript"/>
          <w:lang w:val="en-US"/>
        </w:rPr>
        <w:t>1</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p>
    <w:p w:rsidR="004C196A" w:rsidRPr="00260125" w:rsidRDefault="004C196A" w:rsidP="00EA4679">
      <w:pPr>
        <w:spacing w:after="0" w:line="360" w:lineRule="auto"/>
        <w:ind w:firstLineChars="100" w:firstLine="240"/>
        <w:jc w:val="both"/>
        <w:rPr>
          <w:rFonts w:ascii="Book Antiqua" w:eastAsia="ArialUnicodeMS" w:hAnsi="Book Antiqua" w:cs="ArialUnicodeMS"/>
          <w:sz w:val="24"/>
          <w:szCs w:val="24"/>
          <w:lang w:val="en-US"/>
        </w:rPr>
      </w:pPr>
      <w:r w:rsidRPr="00260125">
        <w:rPr>
          <w:rFonts w:ascii="Book Antiqua" w:hAnsi="Book Antiqua"/>
          <w:sz w:val="24"/>
          <w:szCs w:val="24"/>
          <w:lang w:val="en-US"/>
        </w:rPr>
        <w:t xml:space="preserve">TDF was also used in HBV patients with decompensated liver disease in a phase II double-blind study </w:t>
      </w:r>
      <w:proofErr w:type="gramStart"/>
      <w:r w:rsidRPr="00260125">
        <w:rPr>
          <w:rFonts w:ascii="Book Antiqua" w:hAnsi="Book Antiqua"/>
          <w:sz w:val="24"/>
          <w:szCs w:val="24"/>
          <w:lang w:val="en-US"/>
        </w:rPr>
        <w:t>rando</w:t>
      </w:r>
      <w:r>
        <w:rPr>
          <w:rFonts w:ascii="Book Antiqua" w:hAnsi="Book Antiqua"/>
          <w:sz w:val="24"/>
          <w:szCs w:val="24"/>
          <w:lang w:val="en-US"/>
        </w:rPr>
        <w:t>mized</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52</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TDF alone or in combination with FTC demonstrated to be safe in this population. As previously mentioned, </w:t>
      </w:r>
      <w:r w:rsidRPr="00260125">
        <w:rPr>
          <w:rFonts w:ascii="Book Antiqua" w:eastAsia="ArialUnicodeMS" w:hAnsi="Book Antiqua" w:cs="ArialUnicodeMS"/>
          <w:sz w:val="24"/>
          <w:szCs w:val="24"/>
          <w:lang w:val="en-US"/>
        </w:rPr>
        <w:t>TDF was safe when used in this group of patients</w:t>
      </w:r>
      <w:r>
        <w:rPr>
          <w:rFonts w:ascii="Book Antiqua" w:eastAsia="ArialUnicodeMS" w:hAnsi="Book Antiqua" w:cs="ArialUnicodeMS"/>
          <w:sz w:val="24"/>
          <w:szCs w:val="24"/>
          <w:lang w:val="en-US"/>
        </w:rPr>
        <w:t xml:space="preserve"> in real-life clinical </w:t>
      </w:r>
      <w:proofErr w:type="gramStart"/>
      <w:r>
        <w:rPr>
          <w:rFonts w:ascii="Book Antiqua" w:eastAsia="ArialUnicodeMS" w:hAnsi="Book Antiqua" w:cs="ArialUnicodeMS"/>
          <w:sz w:val="24"/>
          <w:szCs w:val="24"/>
          <w:lang w:val="en-US"/>
        </w:rPr>
        <w:t>practice</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46</w:t>
      </w:r>
      <w:r w:rsidRPr="00260125">
        <w:rPr>
          <w:rFonts w:ascii="Book Antiqua" w:hAnsi="Book Antiqua"/>
          <w:bCs/>
          <w:sz w:val="24"/>
          <w:szCs w:val="24"/>
          <w:vertAlign w:val="superscript"/>
          <w:lang w:val="en-US"/>
        </w:rPr>
        <w:t>]</w:t>
      </w:r>
      <w:r w:rsidRPr="00260125">
        <w:rPr>
          <w:rFonts w:ascii="Book Antiqua" w:eastAsia="ArialUnicodeMS" w:hAnsi="Book Antiqua" w:cs="ArialUnicodeMS"/>
          <w:sz w:val="24"/>
          <w:szCs w:val="24"/>
          <w:lang w:val="en-US"/>
        </w:rPr>
        <w:t>.</w:t>
      </w:r>
    </w:p>
    <w:p w:rsidR="004C196A" w:rsidRPr="00260125" w:rsidRDefault="004C196A" w:rsidP="00260125">
      <w:pPr>
        <w:spacing w:after="0" w:line="360" w:lineRule="auto"/>
        <w:jc w:val="both"/>
        <w:rPr>
          <w:rFonts w:ascii="Book Antiqua" w:hAnsi="Book Antiqua" w:cs="ArialUnicodeMS"/>
          <w:b/>
          <w:sz w:val="24"/>
          <w:szCs w:val="24"/>
          <w:lang w:val="en-US" w:eastAsia="zh-CN"/>
        </w:rPr>
      </w:pPr>
    </w:p>
    <w:p w:rsidR="004C196A" w:rsidRPr="00260125" w:rsidRDefault="004C196A" w:rsidP="00260125">
      <w:pPr>
        <w:spacing w:after="0" w:line="360" w:lineRule="auto"/>
        <w:jc w:val="both"/>
        <w:rPr>
          <w:rFonts w:ascii="Book Antiqua" w:eastAsia="ArialUnicodeMS" w:hAnsi="Book Antiqua" w:cs="ArialUnicodeMS"/>
          <w:b/>
          <w:sz w:val="24"/>
          <w:szCs w:val="24"/>
          <w:lang w:val="en-US"/>
        </w:rPr>
      </w:pPr>
      <w:r w:rsidRPr="00260125">
        <w:rPr>
          <w:rFonts w:ascii="Book Antiqua" w:eastAsia="ArialUnicodeMS" w:hAnsi="Book Antiqua" w:cs="ArialUnicodeMS"/>
          <w:b/>
          <w:sz w:val="24"/>
          <w:szCs w:val="24"/>
          <w:lang w:val="en-US"/>
        </w:rPr>
        <w:t xml:space="preserve">PREDICTORS OF RESPONSE IN </w:t>
      </w:r>
      <w:r w:rsidRPr="00260125">
        <w:rPr>
          <w:rFonts w:ascii="Book Antiqua" w:hAnsi="Book Antiqua"/>
          <w:b/>
          <w:sz w:val="24"/>
          <w:szCs w:val="24"/>
          <w:lang w:val="en-US"/>
        </w:rPr>
        <w:t>CLINICAL PRACTICE</w:t>
      </w:r>
    </w:p>
    <w:p w:rsidR="004C196A" w:rsidRPr="00260125" w:rsidRDefault="004C196A" w:rsidP="00260125">
      <w:pPr>
        <w:spacing w:after="0" w:line="360" w:lineRule="auto"/>
        <w:jc w:val="both"/>
        <w:rPr>
          <w:rFonts w:ascii="Book Antiqua" w:hAnsi="Book Antiqua"/>
          <w:sz w:val="24"/>
          <w:szCs w:val="24"/>
          <w:lang w:val="en-US" w:eastAsia="zh-CN"/>
        </w:rPr>
      </w:pPr>
      <w:r w:rsidRPr="00260125">
        <w:rPr>
          <w:rFonts w:ascii="Book Antiqua" w:hAnsi="Book Antiqua"/>
          <w:sz w:val="24"/>
          <w:szCs w:val="24"/>
          <w:lang w:val="en-US"/>
        </w:rPr>
        <w:t xml:space="preserve">The factors that determine the likelihood of achieving a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and/or serological response are called predictors of response. They can be classified as viral or host related, or as baseline or on-treatment depending on the time point of evaluation. Many viral and host factors affect treatment response, and not achieving the desired response might be related to a combination of them. Before initiating treatment, it is useful for patients and physicians the likelihood of achieving a response, so that they can decide whether treatment benefits outweigh its costs and its risks. Also, predictors may be helpful to guide the co</w:t>
      </w:r>
      <w:r>
        <w:rPr>
          <w:rFonts w:ascii="Book Antiqua" w:hAnsi="Book Antiqua"/>
          <w:sz w:val="24"/>
          <w:szCs w:val="24"/>
          <w:lang w:val="en-US"/>
        </w:rPr>
        <w:t xml:space="preserve">ntinuation of antiviral </w:t>
      </w:r>
      <w:proofErr w:type="gramStart"/>
      <w:r>
        <w:rPr>
          <w:rFonts w:ascii="Book Antiqua" w:hAnsi="Book Antiqua"/>
          <w:sz w:val="24"/>
          <w:szCs w:val="24"/>
          <w:lang w:val="en-US"/>
        </w:rPr>
        <w:t>therapy</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Pr>
          <w:rFonts w:ascii="Book Antiqua" w:hAnsi="Book Antiqua"/>
          <w:sz w:val="24"/>
          <w:szCs w:val="24"/>
          <w:lang w:val="en-US"/>
        </w:rPr>
        <w:t>.</w:t>
      </w:r>
    </w:p>
    <w:p w:rsidR="004C196A" w:rsidRPr="00260125" w:rsidRDefault="004C196A" w:rsidP="008E5FA7">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In CHB therapy, some baseline and on-treatment predictors of subsequent response have been identified. These factors are stronger predictors of treatment outcomes and are more useful for IFN/</w:t>
      </w:r>
      <w:proofErr w:type="spellStart"/>
      <w:r w:rsidRPr="00260125">
        <w:rPr>
          <w:rFonts w:ascii="Book Antiqua" w:hAnsi="Book Antiqua"/>
          <w:sz w:val="24"/>
          <w:szCs w:val="24"/>
          <w:lang w:val="en-US"/>
        </w:rPr>
        <w:t>PegIFN</w:t>
      </w:r>
      <w:proofErr w:type="spellEnd"/>
      <w:r w:rsidRPr="00260125">
        <w:rPr>
          <w:rFonts w:ascii="Book Antiqua" w:hAnsi="Book Antiqua"/>
          <w:sz w:val="24"/>
          <w:szCs w:val="24"/>
          <w:lang w:val="en-US"/>
        </w:rPr>
        <w:t xml:space="preserve"> base</w:t>
      </w:r>
      <w:r>
        <w:rPr>
          <w:rFonts w:ascii="Book Antiqua" w:hAnsi="Book Antiqua"/>
          <w:sz w:val="24"/>
          <w:szCs w:val="24"/>
          <w:lang w:val="en-US"/>
        </w:rPr>
        <w:t xml:space="preserve">d than for NUCs based </w:t>
      </w:r>
      <w:proofErr w:type="gramStart"/>
      <w:r>
        <w:rPr>
          <w:rFonts w:ascii="Book Antiqua" w:hAnsi="Book Antiqua"/>
          <w:sz w:val="24"/>
          <w:szCs w:val="24"/>
          <w:lang w:val="en-US"/>
        </w:rPr>
        <w:t>therapies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sidRPr="00260125">
        <w:rPr>
          <w:rFonts w:ascii="Book Antiqua" w:hAnsi="Book Antiqua"/>
          <w:sz w:val="24"/>
          <w:szCs w:val="24"/>
          <w:lang w:val="en-US"/>
        </w:rPr>
        <w:t xml:space="preserve">. Predictors of response for the existing NUCs at various time points vary for different agents. In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baseline factors predictive of </w:t>
      </w:r>
      <w:proofErr w:type="spellStart"/>
      <w:r w:rsidRPr="00260125">
        <w:rPr>
          <w:rFonts w:ascii="Book Antiqua" w:hAnsi="Book Antiqua"/>
          <w:sz w:val="24"/>
          <w:szCs w:val="24"/>
          <w:lang w:val="en-US"/>
        </w:rPr>
        <w:t>antiHBe</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are low viral load (HBV DNA below 2 x 10</w:t>
      </w:r>
      <w:r w:rsidRPr="00260125">
        <w:rPr>
          <w:rFonts w:ascii="Book Antiqua" w:hAnsi="Book Antiqua"/>
          <w:sz w:val="24"/>
          <w:szCs w:val="24"/>
          <w:vertAlign w:val="superscript"/>
          <w:lang w:val="en-US"/>
        </w:rPr>
        <w:t>8</w:t>
      </w:r>
      <w:r w:rsidRPr="00260125">
        <w:rPr>
          <w:rFonts w:ascii="Book Antiqua" w:hAnsi="Book Antiqua"/>
          <w:sz w:val="24"/>
          <w:szCs w:val="24"/>
          <w:lang w:val="en-US"/>
        </w:rPr>
        <w:t xml:space="preserve"> IU/m</w:t>
      </w:r>
      <w:r>
        <w:rPr>
          <w:rFonts w:ascii="Book Antiqua" w:hAnsi="Book Antiqua"/>
          <w:sz w:val="24"/>
          <w:szCs w:val="24"/>
          <w:lang w:val="en-US" w:eastAsia="zh-CN"/>
        </w:rPr>
        <w:t>L</w:t>
      </w:r>
      <w:r w:rsidRPr="00260125">
        <w:rPr>
          <w:rFonts w:ascii="Book Antiqua" w:hAnsi="Book Antiqua"/>
          <w:sz w:val="24"/>
          <w:szCs w:val="24"/>
          <w:lang w:val="en-US"/>
        </w:rPr>
        <w:t xml:space="preserve">), high serum ALT levels, and high </w:t>
      </w:r>
      <w:r>
        <w:rPr>
          <w:rFonts w:ascii="Book Antiqua" w:hAnsi="Book Antiqua"/>
          <w:sz w:val="24"/>
          <w:szCs w:val="24"/>
          <w:lang w:val="en-US"/>
        </w:rPr>
        <w:t xml:space="preserve">activity scores on liver </w:t>
      </w:r>
      <w:proofErr w:type="gramStart"/>
      <w:r>
        <w:rPr>
          <w:rFonts w:ascii="Book Antiqua" w:hAnsi="Book Antiqua"/>
          <w:sz w:val="24"/>
          <w:szCs w:val="24"/>
          <w:lang w:val="en-US"/>
        </w:rPr>
        <w:t>biopsy</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sidRPr="00260125">
        <w:rPr>
          <w:rFonts w:ascii="Book Antiqua" w:hAnsi="Book Antiqua"/>
          <w:sz w:val="24"/>
          <w:szCs w:val="24"/>
          <w:lang w:val="en-US"/>
        </w:rPr>
        <w:t xml:space="preserve">. HBV genotype does not influence the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to any of the available</w:t>
      </w:r>
      <w:r>
        <w:rPr>
          <w:rFonts w:ascii="Book Antiqua" w:hAnsi="Book Antiqua"/>
          <w:sz w:val="24"/>
          <w:szCs w:val="24"/>
          <w:lang w:val="en-US"/>
        </w:rPr>
        <w:t xml:space="preserve"> </w:t>
      </w:r>
      <w:proofErr w:type="gramStart"/>
      <w:r>
        <w:rPr>
          <w:rFonts w:ascii="Book Antiqua" w:hAnsi="Book Antiqua"/>
          <w:sz w:val="24"/>
          <w:szCs w:val="24"/>
          <w:lang w:val="en-US"/>
        </w:rPr>
        <w:t>NUCs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4,5</w:t>
      </w:r>
      <w:r>
        <w:rPr>
          <w:rFonts w:ascii="Book Antiqua" w:hAnsi="Book Antiqua"/>
          <w:bCs/>
          <w:sz w:val="24"/>
          <w:szCs w:val="24"/>
          <w:vertAlign w:val="superscript"/>
          <w:lang w:val="en-US"/>
        </w:rPr>
        <w:t>3</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(undetectable HBV DNA) at 24 </w:t>
      </w:r>
      <w:proofErr w:type="spellStart"/>
      <w:r w:rsidRPr="00260125">
        <w:rPr>
          <w:rFonts w:ascii="Book Antiqua" w:hAnsi="Book Antiqua"/>
          <w:sz w:val="24"/>
          <w:szCs w:val="24"/>
          <w:lang w:val="en-US"/>
        </w:rPr>
        <w:t>wk</w:t>
      </w:r>
      <w:proofErr w:type="spellEnd"/>
      <w:r w:rsidRPr="00260125">
        <w:rPr>
          <w:rFonts w:ascii="Book Antiqua" w:hAnsi="Book Antiqua"/>
          <w:sz w:val="24"/>
          <w:szCs w:val="24"/>
          <w:lang w:val="en-US"/>
        </w:rPr>
        <w:t xml:space="preserve"> during treatment with LAM or </w:t>
      </w:r>
      <w:proofErr w:type="spellStart"/>
      <w:r w:rsidRPr="00260125">
        <w:rPr>
          <w:rFonts w:ascii="Book Antiqua" w:hAnsi="Book Antiqua"/>
          <w:sz w:val="24"/>
          <w:szCs w:val="24"/>
          <w:lang w:val="en-US"/>
        </w:rPr>
        <w:t>LdT</w:t>
      </w:r>
      <w:proofErr w:type="spellEnd"/>
      <w:r w:rsidRPr="00260125">
        <w:rPr>
          <w:rFonts w:ascii="Book Antiqua" w:hAnsi="Book Antiqua"/>
          <w:sz w:val="24"/>
          <w:szCs w:val="24"/>
          <w:lang w:val="en-US"/>
        </w:rPr>
        <w:t xml:space="preserve"> </w:t>
      </w:r>
      <w:r w:rsidRPr="00260125">
        <w:rPr>
          <w:rFonts w:ascii="Book Antiqua" w:hAnsi="Book Antiqua"/>
          <w:sz w:val="24"/>
          <w:szCs w:val="24"/>
          <w:lang w:val="en-US"/>
        </w:rPr>
        <w:lastRenderedPageBreak/>
        <w:t xml:space="preserve">and at 48 </w:t>
      </w:r>
      <w:proofErr w:type="spellStart"/>
      <w:r w:rsidRPr="00260125">
        <w:rPr>
          <w:rFonts w:ascii="Book Antiqua" w:hAnsi="Book Antiqua"/>
          <w:sz w:val="24"/>
          <w:szCs w:val="24"/>
          <w:lang w:val="en-US"/>
        </w:rPr>
        <w:t>wk</w:t>
      </w:r>
      <w:proofErr w:type="spellEnd"/>
      <w:r w:rsidRPr="00260125">
        <w:rPr>
          <w:rFonts w:ascii="Book Antiqua" w:hAnsi="Book Antiqua"/>
          <w:sz w:val="24"/>
          <w:szCs w:val="24"/>
          <w:lang w:val="en-US"/>
        </w:rPr>
        <w:t xml:space="preserve"> during treatment with ADV is associated with a lower incidence of resistance, </w:t>
      </w:r>
      <w:r w:rsidRPr="00564DDB">
        <w:rPr>
          <w:rFonts w:ascii="Book Antiqua" w:hAnsi="Book Antiqua"/>
          <w:i/>
          <w:sz w:val="24"/>
          <w:szCs w:val="24"/>
          <w:lang w:val="en-US"/>
        </w:rPr>
        <w:t>i.e.</w:t>
      </w:r>
      <w:r w:rsidRPr="00260125">
        <w:rPr>
          <w:rFonts w:ascii="Book Antiqua" w:hAnsi="Book Antiqua"/>
          <w:sz w:val="24"/>
          <w:szCs w:val="24"/>
          <w:lang w:val="en-US"/>
        </w:rPr>
        <w:t xml:space="preserve"> an improved chance of maintained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in both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and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patients and with a higher chance of </w:t>
      </w:r>
      <w:proofErr w:type="spellStart"/>
      <w:r w:rsidRPr="00260125">
        <w:rPr>
          <w:rFonts w:ascii="Book Antiqua" w:hAnsi="Book Antiqua"/>
          <w:sz w:val="24"/>
          <w:szCs w:val="24"/>
          <w:lang w:val="en-US"/>
        </w:rPr>
        <w:t>antiHBe</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seroconver</w:t>
      </w:r>
      <w:r>
        <w:rPr>
          <w:rFonts w:ascii="Book Antiqua" w:hAnsi="Book Antiqua"/>
          <w:sz w:val="24"/>
          <w:szCs w:val="24"/>
          <w:lang w:val="en-US"/>
        </w:rPr>
        <w:t>sion</w:t>
      </w:r>
      <w:proofErr w:type="spellEnd"/>
      <w:r>
        <w:rPr>
          <w:rFonts w:ascii="Book Antiqua" w:hAnsi="Book Antiqua"/>
          <w:sz w:val="24"/>
          <w:szCs w:val="24"/>
          <w:lang w:val="en-US"/>
        </w:rPr>
        <w:t xml:space="preserve"> in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positive </w:t>
      </w:r>
      <w:proofErr w:type="gramStart"/>
      <w:r>
        <w:rPr>
          <w:rFonts w:ascii="Book Antiqua" w:hAnsi="Book Antiqua"/>
          <w:sz w:val="24"/>
          <w:szCs w:val="24"/>
          <w:lang w:val="en-US"/>
        </w:rPr>
        <w:t>patients</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4]</w:t>
      </w:r>
      <w:r w:rsidRPr="00260125">
        <w:rPr>
          <w:rFonts w:ascii="Book Antiqua" w:hAnsi="Book Antiqua"/>
          <w:sz w:val="24"/>
          <w:szCs w:val="24"/>
          <w:lang w:val="en-US"/>
        </w:rPr>
        <w:t xml:space="preserve">. A decline of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and HBV DNA levels during NUC treatment in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may identify cases with subsequ</w:t>
      </w:r>
      <w:r>
        <w:rPr>
          <w:rFonts w:ascii="Book Antiqua" w:hAnsi="Book Antiqua"/>
          <w:sz w:val="24"/>
          <w:szCs w:val="24"/>
          <w:lang w:val="en-US"/>
        </w:rPr>
        <w:t xml:space="preserve">ent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or </w:t>
      </w:r>
      <w:proofErr w:type="spellStart"/>
      <w:r>
        <w:rPr>
          <w:rFonts w:ascii="Book Antiqua" w:hAnsi="Book Antiqua"/>
          <w:sz w:val="24"/>
          <w:szCs w:val="24"/>
          <w:lang w:val="en-US"/>
        </w:rPr>
        <w:t>HBsAg</w:t>
      </w:r>
      <w:proofErr w:type="spellEnd"/>
      <w:r>
        <w:rPr>
          <w:rFonts w:ascii="Book Antiqua" w:hAnsi="Book Antiqua"/>
          <w:sz w:val="24"/>
          <w:szCs w:val="24"/>
          <w:lang w:val="en-US"/>
        </w:rPr>
        <w:t xml:space="preserve"> </w:t>
      </w:r>
      <w:proofErr w:type="gramStart"/>
      <w:r>
        <w:rPr>
          <w:rFonts w:ascii="Book Antiqua" w:hAnsi="Book Antiqua"/>
          <w:sz w:val="24"/>
          <w:szCs w:val="24"/>
          <w:lang w:val="en-US"/>
        </w:rPr>
        <w:t>loss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4,54</w:t>
      </w:r>
      <w:r w:rsidRPr="00260125">
        <w:rPr>
          <w:rFonts w:ascii="Book Antiqua" w:hAnsi="Book Antiqua"/>
          <w:bCs/>
          <w:sz w:val="24"/>
          <w:szCs w:val="24"/>
          <w:vertAlign w:val="superscript"/>
          <w:lang w:val="en-US"/>
        </w:rPr>
        <w:t>-5</w:t>
      </w:r>
      <w:r>
        <w:rPr>
          <w:rFonts w:ascii="Book Antiqua" w:hAnsi="Book Antiqua"/>
          <w:bCs/>
          <w:sz w:val="24"/>
          <w:szCs w:val="24"/>
          <w:vertAlign w:val="superscript"/>
          <w:lang w:val="en-US"/>
        </w:rPr>
        <w:t>6</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p>
    <w:p w:rsidR="004C196A" w:rsidRPr="00260125" w:rsidRDefault="004C196A" w:rsidP="00564DDB">
      <w:pPr>
        <w:spacing w:after="0" w:line="360" w:lineRule="auto"/>
        <w:ind w:firstLineChars="100" w:firstLine="240"/>
        <w:jc w:val="both"/>
        <w:rPr>
          <w:rFonts w:ascii="Book Antiqua" w:hAnsi="Book Antiqua"/>
          <w:sz w:val="24"/>
          <w:szCs w:val="24"/>
          <w:lang w:val="en-US" w:eastAsia="zh-CN"/>
        </w:rPr>
      </w:pPr>
      <w:r w:rsidRPr="00260125">
        <w:rPr>
          <w:rFonts w:ascii="Book Antiqua" w:hAnsi="Book Antiqua"/>
          <w:sz w:val="24"/>
          <w:szCs w:val="24"/>
          <w:lang w:val="en-US"/>
        </w:rPr>
        <w:t xml:space="preserve">Evaluation of predictors of response tends to be difficult in real world studies since patients’ characteristics are heterogeneous and treatment duration and parameters evaluated may vary between studies. But there are some data reported with ETV treatment in the studies cited above, and unfortunately none of the TDF studies reported predictors of response. In the ORIENTE study,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response in the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patients at week 12 correlated significantly with </w:t>
      </w:r>
      <w:proofErr w:type="spellStart"/>
      <w:r w:rsidRPr="00260125">
        <w:rPr>
          <w:rFonts w:ascii="Book Antiqua" w:hAnsi="Book Antiqua"/>
          <w:sz w:val="24"/>
          <w:szCs w:val="24"/>
          <w:lang w:val="en-US"/>
        </w:rPr>
        <w:t>antiHBe</w:t>
      </w:r>
      <w:proofErr w:type="spellEnd"/>
      <w:r>
        <w:rPr>
          <w:rFonts w:ascii="Book Antiqua" w:hAnsi="Book Antiqua"/>
          <w:sz w:val="24"/>
          <w:szCs w:val="24"/>
          <w:lang w:val="en-US" w:eastAsia="zh-CN"/>
        </w:rPr>
        <w:t xml:space="preserve"> </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rate at week 48: odds ratio for this correlation at week 12 was 8 (95%CI</w:t>
      </w:r>
      <w:r w:rsidRPr="00260125">
        <w:rPr>
          <w:rFonts w:ascii="Book Antiqua" w:hAnsi="Book Antiqua"/>
          <w:sz w:val="24"/>
          <w:szCs w:val="24"/>
          <w:lang w:val="en-US" w:eastAsia="zh-CN"/>
        </w:rPr>
        <w:t>:</w:t>
      </w:r>
      <w:r w:rsidRPr="00260125">
        <w:rPr>
          <w:rFonts w:ascii="Book Antiqua" w:hAnsi="Book Antiqua"/>
          <w:sz w:val="24"/>
          <w:szCs w:val="24"/>
          <w:lang w:val="en-US"/>
        </w:rPr>
        <w:t xml:space="preserve"> 1.17-54.5, </w:t>
      </w:r>
      <w:r w:rsidRPr="00260125">
        <w:rPr>
          <w:rFonts w:ascii="Book Antiqua" w:hAnsi="Book Antiqua"/>
          <w:i/>
          <w:sz w:val="24"/>
          <w:szCs w:val="24"/>
          <w:lang w:val="en-US"/>
        </w:rPr>
        <w:t>P</w:t>
      </w:r>
      <w:r w:rsidRPr="007949FE">
        <w:rPr>
          <w:rFonts w:ascii="Book Antiqua" w:hAnsi="Book Antiqua"/>
          <w:sz w:val="24"/>
          <w:szCs w:val="24"/>
          <w:lang w:val="en-US" w:eastAsia="zh-CN"/>
        </w:rPr>
        <w:t xml:space="preserve"> </w:t>
      </w:r>
      <w:r w:rsidRPr="00260125">
        <w:rPr>
          <w:rFonts w:ascii="Book Antiqua" w:hAnsi="Book Antiqua"/>
          <w:sz w:val="24"/>
          <w:szCs w:val="24"/>
          <w:lang w:val="en-US"/>
        </w:rPr>
        <w:t>&lt;</w:t>
      </w:r>
      <w:r>
        <w:rPr>
          <w:rFonts w:ascii="Book Antiqua" w:hAnsi="Book Antiqua"/>
          <w:sz w:val="24"/>
          <w:szCs w:val="24"/>
          <w:lang w:val="en-US" w:eastAsia="zh-CN"/>
        </w:rPr>
        <w:t xml:space="preserve"> </w:t>
      </w:r>
      <w:r w:rsidRPr="00260125">
        <w:rPr>
          <w:rFonts w:ascii="Book Antiqua" w:hAnsi="Book Antiqua"/>
          <w:sz w:val="24"/>
          <w:szCs w:val="24"/>
          <w:lang w:val="en-US"/>
        </w:rPr>
        <w:t>0.05). This correlation was also observed at weeks 24, 36 and 48 (</w:t>
      </w:r>
      <w:r w:rsidRPr="00260125">
        <w:rPr>
          <w:rFonts w:ascii="Book Antiqua" w:hAnsi="Book Antiqua"/>
          <w:i/>
          <w:sz w:val="24"/>
          <w:szCs w:val="24"/>
          <w:lang w:val="en-US"/>
        </w:rPr>
        <w:t>P</w:t>
      </w:r>
      <w:r w:rsidRPr="00F92B93">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0.003, </w:t>
      </w:r>
      <w:r>
        <w:rPr>
          <w:rFonts w:ascii="Book Antiqua" w:hAnsi="Book Antiqua"/>
          <w:sz w:val="24"/>
          <w:szCs w:val="24"/>
          <w:lang w:val="en-US"/>
        </w:rPr>
        <w:t>0.002 and 0.017, respectively</w:t>
      </w:r>
      <w:proofErr w:type="gramStart"/>
      <w:r>
        <w:rPr>
          <w:rFonts w:ascii="Book Antiqua" w:hAnsi="Book Antiqua"/>
          <w:sz w:val="24"/>
          <w:szCs w:val="24"/>
          <w:lang w:val="en-US"/>
        </w:rPr>
        <w:t>)</w:t>
      </w:r>
      <w:r w:rsidRPr="00564DDB">
        <w:rPr>
          <w:rFonts w:ascii="Book Antiqua" w:hAnsi="Book Antiqua"/>
          <w:sz w:val="24"/>
          <w:szCs w:val="24"/>
          <w:vertAlign w:val="superscript"/>
          <w:lang w:val="en-US" w:eastAsia="zh-CN"/>
        </w:rPr>
        <w:t>[</w:t>
      </w:r>
      <w:proofErr w:type="gramEnd"/>
      <w:r>
        <w:rPr>
          <w:rFonts w:ascii="Book Antiqua" w:hAnsi="Book Antiqua"/>
          <w:sz w:val="24"/>
          <w:szCs w:val="24"/>
          <w:vertAlign w:val="superscript"/>
          <w:lang w:val="en-US"/>
        </w:rPr>
        <w:t>22</w:t>
      </w:r>
      <w:r w:rsidRPr="00564DDB">
        <w:rPr>
          <w:rFonts w:ascii="Book Antiqua" w:hAnsi="Book Antiqua"/>
          <w:sz w:val="24"/>
          <w:szCs w:val="24"/>
          <w:vertAlign w:val="superscript"/>
          <w:lang w:val="en-US" w:eastAsia="zh-CN"/>
        </w:rPr>
        <w:t>]</w:t>
      </w:r>
      <w:r w:rsidRPr="00260125">
        <w:rPr>
          <w:rFonts w:ascii="Book Antiqua" w:hAnsi="Book Antiqua"/>
          <w:sz w:val="24"/>
          <w:szCs w:val="24"/>
          <w:lang w:val="en-US"/>
        </w:rPr>
        <w:t xml:space="preserve">. In the single </w:t>
      </w:r>
      <w:proofErr w:type="spellStart"/>
      <w:r w:rsidRPr="00260125">
        <w:rPr>
          <w:rFonts w:ascii="Book Antiqua" w:hAnsi="Book Antiqua"/>
          <w:sz w:val="24"/>
          <w:szCs w:val="24"/>
          <w:lang w:val="en-US"/>
        </w:rPr>
        <w:t>centre</w:t>
      </w:r>
      <w:proofErr w:type="spellEnd"/>
      <w:r w:rsidRPr="00260125">
        <w:rPr>
          <w:rFonts w:ascii="Book Antiqua" w:hAnsi="Book Antiqua"/>
          <w:sz w:val="24"/>
          <w:szCs w:val="24"/>
          <w:lang w:val="en-US"/>
        </w:rPr>
        <w:t xml:space="preserve"> study from Italy, the presence of</w:t>
      </w:r>
      <w:r>
        <w:rPr>
          <w:rFonts w:ascii="Book Antiqua" w:hAnsi="Book Antiqua"/>
          <w:sz w:val="24"/>
          <w:szCs w:val="24"/>
          <w:lang w:val="en-US"/>
        </w:rPr>
        <w:t xml:space="preserve"> </w:t>
      </w:r>
      <w:r w:rsidRPr="00260125">
        <w:rPr>
          <w:rFonts w:ascii="Book Antiqua" w:hAnsi="Book Antiqua"/>
          <w:sz w:val="24"/>
          <w:szCs w:val="24"/>
          <w:lang w:val="en-US"/>
        </w:rPr>
        <w:t>cirrhosis</w:t>
      </w:r>
      <w:r>
        <w:rPr>
          <w:rFonts w:ascii="Book Antiqua" w:hAnsi="Book Antiqua"/>
          <w:sz w:val="24"/>
          <w:szCs w:val="24"/>
          <w:lang w:val="en-US"/>
        </w:rPr>
        <w:t xml:space="preserve"> </w:t>
      </w:r>
      <w:r w:rsidRPr="00260125">
        <w:rPr>
          <w:rFonts w:ascii="Book Antiqua" w:hAnsi="Book Antiqua"/>
          <w:sz w:val="24"/>
          <w:szCs w:val="24"/>
          <w:lang w:val="en-US"/>
        </w:rPr>
        <w:t>(OR: 1.730, 95%CI</w:t>
      </w:r>
      <w:r w:rsidRPr="00260125">
        <w:rPr>
          <w:rFonts w:ascii="Book Antiqua" w:hAnsi="Book Antiqua"/>
          <w:sz w:val="24"/>
          <w:szCs w:val="24"/>
          <w:lang w:val="en-US" w:eastAsia="zh-CN"/>
        </w:rPr>
        <w:t>:</w:t>
      </w:r>
      <w:r w:rsidRPr="00260125">
        <w:rPr>
          <w:rFonts w:ascii="Book Antiqua" w:hAnsi="Book Antiqua"/>
          <w:sz w:val="24"/>
          <w:szCs w:val="24"/>
          <w:lang w:val="en-US"/>
        </w:rPr>
        <w:t xml:space="preserve"> 1.082-2.766</w:t>
      </w:r>
      <w:r>
        <w:rPr>
          <w:rFonts w:ascii="Book Antiqua" w:hAnsi="Book Antiqua"/>
          <w:sz w:val="24"/>
          <w:szCs w:val="24"/>
          <w:lang w:val="en-US" w:eastAsia="zh-CN"/>
        </w:rPr>
        <w:t xml:space="preserve">, </w:t>
      </w:r>
      <w:r w:rsidRPr="00260125">
        <w:rPr>
          <w:rFonts w:ascii="Book Antiqua" w:hAnsi="Book Antiqua"/>
          <w:i/>
          <w:sz w:val="24"/>
          <w:szCs w:val="24"/>
          <w:lang w:val="en-US" w:eastAsia="zh-CN"/>
        </w:rPr>
        <w:t>P</w:t>
      </w:r>
      <w:r w:rsidRPr="009B158B">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0.022) and absence of</w:t>
      </w:r>
      <w:r>
        <w:rPr>
          <w:rFonts w:ascii="Book Antiqua" w:hAnsi="Book Antiqua"/>
          <w:sz w:val="24"/>
          <w:szCs w:val="24"/>
          <w:lang w:val="en-US"/>
        </w:rPr>
        <w:t xml:space="preserve"> </w:t>
      </w:r>
      <w:proofErr w:type="spellStart"/>
      <w:r>
        <w:rPr>
          <w:rFonts w:ascii="Book Antiqua" w:hAnsi="Book Antiqua"/>
          <w:sz w:val="24"/>
          <w:szCs w:val="24"/>
          <w:lang w:val="en-US"/>
        </w:rPr>
        <w:t>HBeAg</w:t>
      </w:r>
      <w:proofErr w:type="spellEnd"/>
      <w:r w:rsidRPr="00260125">
        <w:rPr>
          <w:rFonts w:ascii="Book Antiqua" w:hAnsi="Book Antiqua"/>
          <w:sz w:val="24"/>
          <w:szCs w:val="24"/>
          <w:lang w:val="en-US"/>
        </w:rPr>
        <w:t xml:space="preserve"> at baseline (OR: 0.479, 95%CI: 0.273-0.842</w:t>
      </w:r>
      <w:r>
        <w:rPr>
          <w:rFonts w:ascii="Book Antiqua" w:hAnsi="Book Antiqua"/>
          <w:sz w:val="24"/>
          <w:szCs w:val="24"/>
          <w:lang w:val="en-US" w:eastAsia="zh-CN"/>
        </w:rPr>
        <w:t xml:space="preserve">, </w:t>
      </w:r>
      <w:r w:rsidRPr="00260125">
        <w:rPr>
          <w:rFonts w:ascii="Book Antiqua" w:hAnsi="Book Antiqua"/>
          <w:i/>
          <w:sz w:val="24"/>
          <w:szCs w:val="24"/>
          <w:lang w:val="en-US"/>
        </w:rPr>
        <w:t>P</w:t>
      </w:r>
      <w:r w:rsidRPr="009B158B">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0.011) were independent predictors of ear</w:t>
      </w:r>
      <w:r>
        <w:rPr>
          <w:rFonts w:ascii="Book Antiqua" w:hAnsi="Book Antiqua"/>
          <w:sz w:val="24"/>
          <w:szCs w:val="24"/>
          <w:lang w:val="en-US"/>
        </w:rPr>
        <w:t xml:space="preserve">lier clearance of serum HBV </w:t>
      </w:r>
      <w:proofErr w:type="gramStart"/>
      <w:r>
        <w:rPr>
          <w:rFonts w:ascii="Book Antiqua" w:hAnsi="Book Antiqua"/>
          <w:sz w:val="24"/>
          <w:szCs w:val="24"/>
          <w:lang w:val="en-US"/>
        </w:rPr>
        <w:t>DNA</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26</w:t>
      </w:r>
      <w:r w:rsidRPr="00260125">
        <w:rPr>
          <w:rFonts w:ascii="Book Antiqua" w:hAnsi="Book Antiqua"/>
          <w:bCs/>
          <w:sz w:val="24"/>
          <w:szCs w:val="24"/>
          <w:vertAlign w:val="superscript"/>
          <w:lang w:val="en-US"/>
        </w:rPr>
        <w:t>]</w:t>
      </w:r>
      <w:r>
        <w:rPr>
          <w:rFonts w:ascii="Book Antiqua" w:hAnsi="Book Antiqua"/>
          <w:sz w:val="24"/>
          <w:szCs w:val="24"/>
          <w:lang w:val="en-US"/>
        </w:rPr>
        <w:t>.</w:t>
      </w:r>
    </w:p>
    <w:p w:rsidR="004C196A" w:rsidRPr="00260125" w:rsidRDefault="004C196A" w:rsidP="00AD19A1">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In our study from Argentina, baseline HBV DNA ≥</w:t>
      </w:r>
      <w:r>
        <w:rPr>
          <w:rFonts w:ascii="Book Antiqua" w:hAnsi="Book Antiqua"/>
          <w:sz w:val="24"/>
          <w:szCs w:val="24"/>
          <w:lang w:val="en-US" w:eastAsia="zh-CN"/>
        </w:rPr>
        <w:t xml:space="preserve"> </w:t>
      </w:r>
      <w:r w:rsidRPr="00260125">
        <w:rPr>
          <w:rFonts w:ascii="Book Antiqua" w:hAnsi="Book Antiqua"/>
          <w:sz w:val="24"/>
          <w:szCs w:val="24"/>
          <w:lang w:val="en-US"/>
        </w:rPr>
        <w:t>7 log</w:t>
      </w:r>
      <w:r w:rsidRPr="00260125">
        <w:rPr>
          <w:rFonts w:ascii="Book Antiqua" w:hAnsi="Book Antiqua"/>
          <w:sz w:val="24"/>
          <w:szCs w:val="24"/>
          <w:vertAlign w:val="subscript"/>
          <w:lang w:val="en-US"/>
        </w:rPr>
        <w:t>10</w:t>
      </w:r>
      <w:r w:rsidRPr="005A1BA0">
        <w:rPr>
          <w:rFonts w:ascii="Book Antiqua" w:hAnsi="Book Antiqua"/>
          <w:sz w:val="24"/>
          <w:szCs w:val="24"/>
          <w:lang w:val="en-US"/>
        </w:rPr>
        <w:t xml:space="preserve"> </w:t>
      </w:r>
      <w:r w:rsidRPr="00260125">
        <w:rPr>
          <w:rFonts w:ascii="Book Antiqua" w:hAnsi="Book Antiqua"/>
          <w:sz w:val="24"/>
          <w:szCs w:val="24"/>
          <w:lang w:val="en-US"/>
        </w:rPr>
        <w:t>IU/m</w:t>
      </w:r>
      <w:r>
        <w:rPr>
          <w:rFonts w:ascii="Book Antiqua" w:hAnsi="Book Antiqua"/>
          <w:sz w:val="24"/>
          <w:szCs w:val="24"/>
          <w:lang w:val="en-US" w:eastAsia="zh-CN"/>
        </w:rPr>
        <w:t>L</w:t>
      </w:r>
      <w:r w:rsidRPr="00260125">
        <w:rPr>
          <w:rFonts w:ascii="Book Antiqua" w:hAnsi="Book Antiqua"/>
          <w:sz w:val="24"/>
          <w:szCs w:val="24"/>
          <w:lang w:val="en-US"/>
        </w:rPr>
        <w:t xml:space="preserve"> (HR: 9.40, 95%CI: 3.46-25.54,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&lt;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0.001) and </w:t>
      </w:r>
      <w:proofErr w:type="spellStart"/>
      <w:r w:rsidRPr="00260125">
        <w:rPr>
          <w:rFonts w:ascii="Book Antiqua" w:hAnsi="Book Antiqua"/>
          <w:sz w:val="24"/>
          <w:szCs w:val="24"/>
          <w:lang w:val="en-US"/>
        </w:rPr>
        <w:t>Metavir</w:t>
      </w:r>
      <w:proofErr w:type="spellEnd"/>
      <w:r w:rsidRPr="00260125">
        <w:rPr>
          <w:rFonts w:ascii="Book Antiqua" w:hAnsi="Book Antiqua"/>
          <w:sz w:val="24"/>
          <w:szCs w:val="24"/>
          <w:lang w:val="en-US"/>
        </w:rPr>
        <w:t xml:space="preserve"> A score ≥</w:t>
      </w:r>
      <w:r>
        <w:rPr>
          <w:rFonts w:ascii="Book Antiqua" w:hAnsi="Book Antiqua"/>
          <w:sz w:val="24"/>
          <w:szCs w:val="24"/>
          <w:lang w:val="en-US" w:eastAsia="zh-CN"/>
        </w:rPr>
        <w:t xml:space="preserve"> </w:t>
      </w:r>
      <w:r w:rsidRPr="00260125">
        <w:rPr>
          <w:rFonts w:ascii="Book Antiqua" w:hAnsi="Book Antiqua"/>
          <w:sz w:val="24"/>
          <w:szCs w:val="24"/>
          <w:lang w:val="en-US"/>
        </w:rPr>
        <w:t xml:space="preserve">2 (HR: 2.48, 95%CI: 1.39-4.40,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0.002) predicted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cl</w:t>
      </w:r>
      <w:r>
        <w:rPr>
          <w:rFonts w:ascii="Book Antiqua" w:hAnsi="Book Antiqua"/>
          <w:sz w:val="24"/>
          <w:szCs w:val="24"/>
          <w:lang w:val="en-US"/>
        </w:rPr>
        <w:t xml:space="preserve">earance in ETV treated </w:t>
      </w:r>
      <w:proofErr w:type="gramStart"/>
      <w:r>
        <w:rPr>
          <w:rFonts w:ascii="Book Antiqua" w:hAnsi="Book Antiqua"/>
          <w:sz w:val="24"/>
          <w:szCs w:val="24"/>
          <w:lang w:val="en-US"/>
        </w:rPr>
        <w:t>patients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29</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Being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positive at baseline</w:t>
      </w:r>
      <w:r>
        <w:rPr>
          <w:rFonts w:ascii="Book Antiqua" w:hAnsi="Book Antiqua"/>
          <w:sz w:val="24"/>
          <w:szCs w:val="24"/>
          <w:lang w:val="en-US"/>
        </w:rPr>
        <w:t xml:space="preserve"> </w:t>
      </w:r>
      <w:r w:rsidRPr="00260125">
        <w:rPr>
          <w:rFonts w:ascii="Book Antiqua" w:hAnsi="Book Antiqua"/>
          <w:bCs/>
          <w:sz w:val="24"/>
          <w:szCs w:val="24"/>
          <w:lang w:val="en-US"/>
        </w:rPr>
        <w:t>(HR:</w:t>
      </w:r>
      <w:r>
        <w:rPr>
          <w:rFonts w:ascii="Book Antiqua" w:hAnsi="Book Antiqua"/>
          <w:bCs/>
          <w:sz w:val="24"/>
          <w:szCs w:val="24"/>
          <w:lang w:val="en-US"/>
        </w:rPr>
        <w:t xml:space="preserve"> </w:t>
      </w:r>
      <w:r w:rsidRPr="00260125">
        <w:rPr>
          <w:rFonts w:ascii="Book Antiqua" w:hAnsi="Book Antiqua"/>
          <w:sz w:val="24"/>
          <w:szCs w:val="24"/>
          <w:lang w:val="en-US"/>
        </w:rPr>
        <w:t xml:space="preserve">11.1, 95%CI: 0.96-128,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0.053) and HBV DNA clearance before week 48 (HR: 7.76, 95%CI: 0.96-62.4,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0.054) tended to predict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w:t>
      </w:r>
      <w:proofErr w:type="spellStart"/>
      <w:r w:rsidRPr="00260125">
        <w:rPr>
          <w:rFonts w:ascii="Book Antiqua" w:hAnsi="Book Antiqua"/>
          <w:sz w:val="24"/>
          <w:szCs w:val="24"/>
          <w:lang w:val="en-US"/>
        </w:rPr>
        <w:t>seroclearance</w:t>
      </w:r>
      <w:proofErr w:type="spellEnd"/>
      <w:r w:rsidRPr="00260125">
        <w:rPr>
          <w:rFonts w:ascii="Book Antiqua" w:hAnsi="Book Antiqua"/>
          <w:sz w:val="24"/>
          <w:szCs w:val="24"/>
          <w:lang w:val="en-US"/>
        </w:rPr>
        <w:t>, but they wer</w:t>
      </w:r>
      <w:r>
        <w:rPr>
          <w:rFonts w:ascii="Book Antiqua" w:hAnsi="Book Antiqua"/>
          <w:sz w:val="24"/>
          <w:szCs w:val="24"/>
          <w:lang w:val="en-US"/>
        </w:rPr>
        <w:t xml:space="preserve">e not statistically </w:t>
      </w:r>
      <w:proofErr w:type="gramStart"/>
      <w:r>
        <w:rPr>
          <w:rFonts w:ascii="Book Antiqua" w:hAnsi="Book Antiqua"/>
          <w:sz w:val="24"/>
          <w:szCs w:val="24"/>
          <w:lang w:val="en-US"/>
        </w:rPr>
        <w:t>significant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29</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In the Hong Kong cohort </w:t>
      </w:r>
      <w:r w:rsidRPr="00260125">
        <w:rPr>
          <w:rFonts w:ascii="Book Antiqua" w:hAnsi="Book Antiqua"/>
          <w:bCs/>
          <w:sz w:val="24"/>
          <w:szCs w:val="24"/>
          <w:lang w:val="en-US"/>
        </w:rPr>
        <w:t xml:space="preserve">baseline HBV DNA levels </w:t>
      </w:r>
      <w:r w:rsidRPr="00260125">
        <w:rPr>
          <w:rFonts w:ascii="Book Antiqua" w:hAnsi="Book Antiqua"/>
          <w:sz w:val="24"/>
          <w:szCs w:val="24"/>
          <w:lang w:val="en-US"/>
        </w:rPr>
        <w:t xml:space="preserve">≥ </w:t>
      </w:r>
      <w:r w:rsidRPr="00260125">
        <w:rPr>
          <w:rFonts w:ascii="Book Antiqua" w:hAnsi="Book Antiqua"/>
          <w:bCs/>
          <w:sz w:val="24"/>
          <w:szCs w:val="24"/>
          <w:lang w:val="en-US"/>
        </w:rPr>
        <w:t>8 logs</w:t>
      </w:r>
      <w:r w:rsidRPr="00260125">
        <w:rPr>
          <w:rFonts w:ascii="Book Antiqua" w:hAnsi="Book Antiqua"/>
          <w:bCs/>
          <w:sz w:val="24"/>
          <w:szCs w:val="24"/>
          <w:vertAlign w:val="subscript"/>
          <w:lang w:val="en-US"/>
        </w:rPr>
        <w:t>10</w:t>
      </w:r>
      <w:r w:rsidRPr="00260125">
        <w:rPr>
          <w:rFonts w:ascii="Book Antiqua" w:hAnsi="Book Antiqua"/>
          <w:bCs/>
          <w:sz w:val="24"/>
          <w:szCs w:val="24"/>
          <w:lang w:val="en-US"/>
        </w:rPr>
        <w:t xml:space="preserve"> copies/m</w:t>
      </w:r>
      <w:r>
        <w:rPr>
          <w:rFonts w:ascii="Book Antiqua" w:hAnsi="Book Antiqua"/>
          <w:bCs/>
          <w:sz w:val="24"/>
          <w:szCs w:val="24"/>
          <w:lang w:val="en-US" w:eastAsia="zh-CN"/>
        </w:rPr>
        <w:t>L</w:t>
      </w:r>
      <w:r w:rsidRPr="00260125">
        <w:rPr>
          <w:rFonts w:ascii="Book Antiqua" w:hAnsi="Book Antiqua"/>
          <w:bCs/>
          <w:sz w:val="24"/>
          <w:szCs w:val="24"/>
          <w:lang w:val="en-US"/>
        </w:rPr>
        <w:t xml:space="preserve"> and </w:t>
      </w:r>
      <w:r w:rsidRPr="00260125">
        <w:rPr>
          <w:rFonts w:ascii="Book Antiqua" w:hAnsi="Book Antiqua"/>
          <w:sz w:val="24"/>
          <w:szCs w:val="24"/>
          <w:lang w:val="en-US"/>
        </w:rPr>
        <w:t>undetectable HBV DNA levels at week 24 were associated the higher possibilities of achieving undetectable HBV</w:t>
      </w:r>
      <w:r>
        <w:rPr>
          <w:rFonts w:ascii="Book Antiqua" w:hAnsi="Book Antiqua"/>
          <w:sz w:val="24"/>
          <w:szCs w:val="24"/>
          <w:lang w:val="en-US"/>
        </w:rPr>
        <w:t xml:space="preserve"> DNA at year 3 of ETV </w:t>
      </w:r>
      <w:proofErr w:type="gramStart"/>
      <w:r>
        <w:rPr>
          <w:rFonts w:ascii="Book Antiqua" w:hAnsi="Book Antiqua"/>
          <w:sz w:val="24"/>
          <w:szCs w:val="24"/>
          <w:lang w:val="en-US"/>
        </w:rPr>
        <w:t>treatment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31</w:t>
      </w:r>
      <w:r w:rsidRPr="00260125">
        <w:rPr>
          <w:rFonts w:ascii="Book Antiqua" w:hAnsi="Book Antiqua"/>
          <w:bCs/>
          <w:sz w:val="24"/>
          <w:szCs w:val="24"/>
          <w:vertAlign w:val="superscript"/>
          <w:lang w:val="en-US"/>
        </w:rPr>
        <w:t>]</w:t>
      </w:r>
      <w:r w:rsidRPr="00260125">
        <w:rPr>
          <w:rFonts w:ascii="Book Antiqua" w:hAnsi="Book Antiqua"/>
          <w:sz w:val="24"/>
          <w:szCs w:val="24"/>
          <w:lang w:val="en-US"/>
        </w:rPr>
        <w:t>. In the Japan cohort, HBV DNA levels</w:t>
      </w:r>
      <w:r>
        <w:rPr>
          <w:rFonts w:ascii="Book Antiqua" w:hAnsi="Book Antiqua"/>
          <w:sz w:val="24"/>
          <w:szCs w:val="24"/>
          <w:lang w:val="en-US"/>
        </w:rPr>
        <w:t xml:space="preserve"> </w:t>
      </w:r>
      <w:r w:rsidRPr="00260125">
        <w:rPr>
          <w:rFonts w:ascii="Book Antiqua" w:hAnsi="Book Antiqua"/>
          <w:sz w:val="24"/>
          <w:szCs w:val="24"/>
          <w:lang w:val="en-US"/>
        </w:rPr>
        <w:t>&lt;</w:t>
      </w:r>
      <w:r>
        <w:rPr>
          <w:rFonts w:ascii="Book Antiqua" w:hAnsi="Book Antiqua"/>
          <w:sz w:val="24"/>
          <w:szCs w:val="24"/>
          <w:lang w:val="en-US"/>
        </w:rPr>
        <w:t xml:space="preserve"> </w:t>
      </w:r>
      <w:r w:rsidRPr="00260125">
        <w:rPr>
          <w:rFonts w:ascii="Book Antiqua" w:hAnsi="Book Antiqua"/>
          <w:sz w:val="24"/>
          <w:szCs w:val="24"/>
          <w:lang w:val="en-US"/>
        </w:rPr>
        <w:t>7.6 log</w:t>
      </w:r>
      <w:r w:rsidRPr="00260125">
        <w:rPr>
          <w:rFonts w:ascii="Book Antiqua" w:hAnsi="Book Antiqua"/>
          <w:sz w:val="24"/>
          <w:szCs w:val="24"/>
          <w:vertAlign w:val="subscript"/>
          <w:lang w:val="en-US"/>
        </w:rPr>
        <w:t>10</w:t>
      </w:r>
      <w:r w:rsidRPr="00260125">
        <w:rPr>
          <w:rFonts w:ascii="Book Antiqua" w:hAnsi="Book Antiqua"/>
          <w:sz w:val="24"/>
          <w:szCs w:val="24"/>
          <w:lang w:val="en-US"/>
        </w:rPr>
        <w:t xml:space="preserve"> copies/ml (OR: 15.8; 95%CI: 43.1-79.9,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0.001) predicted HBV DNA undetectable levels</w:t>
      </w:r>
      <w:r>
        <w:rPr>
          <w:rFonts w:ascii="Book Antiqua" w:hAnsi="Book Antiqua"/>
          <w:sz w:val="24"/>
          <w:szCs w:val="24"/>
          <w:lang w:val="en-US"/>
        </w:rPr>
        <w:t xml:space="preserve"> after 3 years of ETV </w:t>
      </w:r>
      <w:proofErr w:type="gramStart"/>
      <w:r>
        <w:rPr>
          <w:rFonts w:ascii="Book Antiqua" w:hAnsi="Book Antiqua"/>
          <w:sz w:val="24"/>
          <w:szCs w:val="24"/>
          <w:lang w:val="en-US"/>
        </w:rPr>
        <w:t>treatment</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33</w:t>
      </w:r>
      <w:r w:rsidRPr="00260125">
        <w:rPr>
          <w:rFonts w:ascii="Book Antiqua" w:hAnsi="Book Antiqua"/>
          <w:bCs/>
          <w:sz w:val="24"/>
          <w:szCs w:val="24"/>
          <w:vertAlign w:val="superscript"/>
          <w:lang w:val="en-US"/>
        </w:rPr>
        <w:t>]</w:t>
      </w:r>
      <w:r w:rsidRPr="00260125">
        <w:rPr>
          <w:rFonts w:ascii="Book Antiqua" w:hAnsi="Book Antiqua"/>
          <w:sz w:val="24"/>
          <w:szCs w:val="24"/>
          <w:lang w:val="en-US"/>
        </w:rPr>
        <w:t>. Serum albumin &lt;</w:t>
      </w:r>
      <w:r>
        <w:rPr>
          <w:rFonts w:ascii="Book Antiqua" w:hAnsi="Book Antiqua"/>
          <w:sz w:val="24"/>
          <w:szCs w:val="24"/>
          <w:lang w:val="en-US" w:eastAsia="zh-CN"/>
        </w:rPr>
        <w:t xml:space="preserve"> </w:t>
      </w:r>
      <w:r w:rsidRPr="00260125">
        <w:rPr>
          <w:rFonts w:ascii="Book Antiqua" w:hAnsi="Book Antiqua"/>
          <w:sz w:val="24"/>
          <w:szCs w:val="24"/>
          <w:lang w:val="en-US"/>
        </w:rPr>
        <w:lastRenderedPageBreak/>
        <w:t>3.5 g/</w:t>
      </w:r>
      <w:proofErr w:type="spellStart"/>
      <w:r w:rsidRPr="00260125">
        <w:rPr>
          <w:rFonts w:ascii="Book Antiqua" w:hAnsi="Book Antiqua"/>
          <w:sz w:val="24"/>
          <w:szCs w:val="24"/>
          <w:lang w:val="en-US"/>
        </w:rPr>
        <w:t>d</w:t>
      </w:r>
      <w:r>
        <w:rPr>
          <w:rFonts w:ascii="Book Antiqua" w:hAnsi="Book Antiqua"/>
          <w:sz w:val="24"/>
          <w:szCs w:val="24"/>
          <w:lang w:val="en-US" w:eastAsia="zh-CN"/>
        </w:rPr>
        <w:t>L</w:t>
      </w:r>
      <w:proofErr w:type="spellEnd"/>
      <w:r w:rsidRPr="00260125">
        <w:rPr>
          <w:rFonts w:ascii="Book Antiqua" w:hAnsi="Book Antiqua"/>
          <w:sz w:val="24"/>
          <w:szCs w:val="24"/>
          <w:lang w:val="en-US"/>
        </w:rPr>
        <w:t xml:space="preserve"> (RR: 2.0; 95%CI: 1.1-3.6,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0.019) was the only significant dete</w:t>
      </w:r>
      <w:r>
        <w:rPr>
          <w:rFonts w:ascii="Book Antiqua" w:hAnsi="Book Antiqua"/>
          <w:sz w:val="24"/>
          <w:szCs w:val="24"/>
          <w:lang w:val="en-US"/>
        </w:rPr>
        <w:t xml:space="preserve">rminant of </w:t>
      </w:r>
      <w:proofErr w:type="spellStart"/>
      <w:r>
        <w:rPr>
          <w:rFonts w:ascii="Book Antiqua" w:hAnsi="Book Antiqua"/>
          <w:sz w:val="24"/>
          <w:szCs w:val="24"/>
          <w:lang w:val="en-US"/>
        </w:rPr>
        <w:t>HBeAg</w:t>
      </w:r>
      <w:proofErr w:type="spellEnd"/>
      <w:r>
        <w:rPr>
          <w:rFonts w:ascii="Book Antiqua" w:hAnsi="Book Antiqua"/>
          <w:sz w:val="24"/>
          <w:szCs w:val="24"/>
          <w:lang w:val="en-US"/>
        </w:rPr>
        <w:t xml:space="preserve"> </w:t>
      </w:r>
      <w:proofErr w:type="spellStart"/>
      <w:proofErr w:type="gramStart"/>
      <w:r>
        <w:rPr>
          <w:rFonts w:ascii="Book Antiqua" w:hAnsi="Book Antiqua"/>
          <w:sz w:val="24"/>
          <w:szCs w:val="24"/>
          <w:lang w:val="en-US"/>
        </w:rPr>
        <w:t>seroconversion</w:t>
      </w:r>
      <w:proofErr w:type="spellEnd"/>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33</w:t>
      </w:r>
      <w:r w:rsidRPr="00260125">
        <w:rPr>
          <w:rFonts w:ascii="Book Antiqua" w:hAnsi="Book Antiqua"/>
          <w:bCs/>
          <w:sz w:val="24"/>
          <w:szCs w:val="24"/>
          <w:vertAlign w:val="superscript"/>
          <w:lang w:val="en-US"/>
        </w:rPr>
        <w:t>]</w:t>
      </w:r>
      <w:r w:rsidRPr="00260125">
        <w:rPr>
          <w:rFonts w:ascii="Book Antiqua" w:hAnsi="Book Antiqua"/>
          <w:sz w:val="24"/>
          <w:szCs w:val="24"/>
          <w:lang w:val="en-US"/>
        </w:rPr>
        <w:t>. In the Chinese study, high baseline HBV</w:t>
      </w:r>
      <w:r>
        <w:rPr>
          <w:rFonts w:ascii="Book Antiqua" w:hAnsi="Book Antiqua"/>
          <w:sz w:val="24"/>
          <w:szCs w:val="24"/>
          <w:lang w:val="en-US" w:eastAsia="zh-CN"/>
        </w:rPr>
        <w:t xml:space="preserve"> </w:t>
      </w:r>
      <w:r w:rsidRPr="00260125">
        <w:rPr>
          <w:rFonts w:ascii="Book Antiqua" w:hAnsi="Book Antiqua"/>
          <w:sz w:val="24"/>
          <w:szCs w:val="24"/>
          <w:lang w:val="en-US"/>
        </w:rPr>
        <w:t>DNA levels (OR: 0.532</w:t>
      </w:r>
      <w:r>
        <w:rPr>
          <w:rFonts w:ascii="Book Antiqua" w:hAnsi="Book Antiqua"/>
          <w:sz w:val="24"/>
          <w:szCs w:val="24"/>
          <w:lang w:val="en-US" w:eastAsia="zh-CN"/>
        </w:rPr>
        <w:t>,</w:t>
      </w:r>
      <w:r w:rsidRPr="00260125">
        <w:rPr>
          <w:rFonts w:ascii="Book Antiqua" w:hAnsi="Book Antiqua"/>
          <w:sz w:val="24"/>
          <w:szCs w:val="24"/>
          <w:lang w:val="en-US"/>
        </w:rPr>
        <w:t xml:space="preserve"> 95%CI: 0.315-0.896</w:t>
      </w:r>
      <w:r>
        <w:rPr>
          <w:rFonts w:ascii="Book Antiqua" w:hAnsi="Book Antiqua"/>
          <w:sz w:val="24"/>
          <w:szCs w:val="24"/>
          <w:lang w:val="en-US" w:eastAsia="zh-CN"/>
        </w:rPr>
        <w:t xml:space="preserve">, </w:t>
      </w:r>
      <w:r w:rsidRPr="00260125">
        <w:rPr>
          <w:rFonts w:ascii="Book Antiqua" w:hAnsi="Book Antiqua"/>
          <w:i/>
          <w:iCs/>
          <w:sz w:val="24"/>
          <w:szCs w:val="24"/>
          <w:lang w:val="en-US"/>
        </w:rPr>
        <w:t>P</w:t>
      </w:r>
      <w:r>
        <w:rPr>
          <w:rFonts w:ascii="Book Antiqua" w:hAnsi="Book Antiqua"/>
          <w:iCs/>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0.018) and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non-response at week 24 (OR: 6.093; 95%CI: 2.099-17.685</w:t>
      </w:r>
      <w:r>
        <w:rPr>
          <w:rFonts w:ascii="Book Antiqua" w:hAnsi="Book Antiqua"/>
          <w:sz w:val="24"/>
          <w:szCs w:val="24"/>
          <w:lang w:val="en-US" w:eastAsia="zh-CN"/>
        </w:rPr>
        <w:t xml:space="preserve">, </w:t>
      </w:r>
      <w:r w:rsidRPr="00260125">
        <w:rPr>
          <w:rFonts w:ascii="Book Antiqua" w:hAnsi="Book Antiqua"/>
          <w:i/>
          <w:iCs/>
          <w:sz w:val="24"/>
          <w:szCs w:val="24"/>
          <w:lang w:val="en-US"/>
        </w:rPr>
        <w:t>P</w:t>
      </w:r>
      <w:r>
        <w:rPr>
          <w:rFonts w:ascii="Book Antiqua" w:hAnsi="Book Antiqua"/>
          <w:iCs/>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0.001) to ETV monotherapy were the independent risk factors for a parti</w:t>
      </w:r>
      <w:r>
        <w:rPr>
          <w:rFonts w:ascii="Book Antiqua" w:hAnsi="Book Antiqua"/>
          <w:sz w:val="24"/>
          <w:szCs w:val="24"/>
          <w:lang w:val="en-US"/>
        </w:rPr>
        <w:t xml:space="preserve">al </w:t>
      </w:r>
      <w:proofErr w:type="spellStart"/>
      <w:r>
        <w:rPr>
          <w:rFonts w:ascii="Book Antiqua" w:hAnsi="Book Antiqua"/>
          <w:sz w:val="24"/>
          <w:szCs w:val="24"/>
          <w:lang w:val="en-US"/>
        </w:rPr>
        <w:t>virologic</w:t>
      </w:r>
      <w:proofErr w:type="spellEnd"/>
      <w:r>
        <w:rPr>
          <w:rFonts w:ascii="Book Antiqua" w:hAnsi="Book Antiqua"/>
          <w:sz w:val="24"/>
          <w:szCs w:val="24"/>
          <w:lang w:val="en-US"/>
        </w:rPr>
        <w:t xml:space="preserve"> response at 1 </w:t>
      </w:r>
      <w:proofErr w:type="gramStart"/>
      <w:r>
        <w:rPr>
          <w:rFonts w:ascii="Book Antiqua" w:hAnsi="Book Antiqua"/>
          <w:sz w:val="24"/>
          <w:szCs w:val="24"/>
          <w:lang w:val="en-US"/>
        </w:rPr>
        <w:t>year</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3</w:t>
      </w:r>
      <w:r>
        <w:rPr>
          <w:rFonts w:ascii="Book Antiqua" w:hAnsi="Book Antiqua"/>
          <w:bCs/>
          <w:sz w:val="24"/>
          <w:szCs w:val="24"/>
          <w:vertAlign w:val="superscript"/>
          <w:lang w:val="en-US"/>
        </w:rPr>
        <w:t>4</w:t>
      </w:r>
      <w:r w:rsidRPr="00260125">
        <w:rPr>
          <w:rFonts w:ascii="Book Antiqua" w:hAnsi="Book Antiqua"/>
          <w:bCs/>
          <w:sz w:val="24"/>
          <w:szCs w:val="24"/>
          <w:vertAlign w:val="superscript"/>
          <w:lang w:val="en-US"/>
        </w:rPr>
        <w:t>]</w:t>
      </w:r>
      <w:r w:rsidRPr="00260125">
        <w:rPr>
          <w:rFonts w:ascii="Book Antiqua" w:hAnsi="Book Antiqua"/>
          <w:sz w:val="24"/>
          <w:szCs w:val="24"/>
          <w:lang w:val="en-US"/>
        </w:rPr>
        <w:t>. In the TREATMENT CHB study form Taiwan, baseline ALT &gt;</w:t>
      </w:r>
      <w:r>
        <w:rPr>
          <w:rFonts w:ascii="Book Antiqua" w:hAnsi="Book Antiqua"/>
          <w:sz w:val="24"/>
          <w:szCs w:val="24"/>
          <w:lang w:val="en-US" w:eastAsia="zh-CN"/>
        </w:rPr>
        <w:t xml:space="preserve"> </w:t>
      </w:r>
      <w:r w:rsidRPr="00260125">
        <w:rPr>
          <w:rFonts w:ascii="Book Antiqua" w:hAnsi="Book Antiqua"/>
          <w:sz w:val="24"/>
          <w:szCs w:val="24"/>
          <w:lang w:val="en-US"/>
        </w:rPr>
        <w:t xml:space="preserve">5-times ULN (HR: 1.810, 95%CI: 1.062-3.085,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0.001) and baseline HBV-DNA level</w:t>
      </w:r>
      <w:r>
        <w:rPr>
          <w:rFonts w:ascii="Book Antiqua" w:hAnsi="Book Antiqua"/>
          <w:sz w:val="24"/>
          <w:szCs w:val="24"/>
          <w:lang w:val="en-US"/>
        </w:rPr>
        <w:t xml:space="preserve"> </w:t>
      </w:r>
      <w:r w:rsidRPr="00260125">
        <w:rPr>
          <w:rFonts w:ascii="Book Antiqua" w:hAnsi="Book Antiqua"/>
          <w:sz w:val="24"/>
          <w:szCs w:val="24"/>
          <w:lang w:val="en-US"/>
        </w:rPr>
        <w:t xml:space="preserve">(HR: 0.812, 95%CI: 0.700-0.942, </w:t>
      </w:r>
      <w:r w:rsidRPr="00260125">
        <w:rPr>
          <w:rFonts w:ascii="Book Antiqua" w:hAnsi="Book Antiqua"/>
          <w:i/>
          <w:sz w:val="24"/>
          <w:szCs w:val="24"/>
          <w:lang w:val="en-US"/>
        </w:rPr>
        <w:t>P</w:t>
      </w:r>
      <w:r>
        <w:rPr>
          <w:rFonts w:ascii="Book Antiqua" w:hAnsi="Book Antiqua"/>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0.014) were independent factors associated with </w:t>
      </w:r>
      <w:proofErr w:type="spellStart"/>
      <w:r w:rsidRPr="00260125">
        <w:rPr>
          <w:rFonts w:ascii="Book Antiqua" w:hAnsi="Book Antiqua"/>
          <w:sz w:val="24"/>
          <w:szCs w:val="24"/>
          <w:lang w:val="en-US"/>
        </w:rPr>
        <w:t>HBe</w:t>
      </w:r>
      <w:r>
        <w:rPr>
          <w:rFonts w:ascii="Book Antiqua" w:hAnsi="Book Antiqua"/>
          <w:sz w:val="24"/>
          <w:szCs w:val="24"/>
          <w:lang w:val="en-US"/>
        </w:rPr>
        <w:t>Ag</w:t>
      </w:r>
      <w:proofErr w:type="spellEnd"/>
      <w:r>
        <w:rPr>
          <w:rFonts w:ascii="Book Antiqua" w:hAnsi="Book Antiqua"/>
          <w:sz w:val="24"/>
          <w:szCs w:val="24"/>
          <w:lang w:val="en-US"/>
        </w:rPr>
        <w:t xml:space="preserve"> loss in ETV treated </w:t>
      </w:r>
      <w:proofErr w:type="gramStart"/>
      <w:r>
        <w:rPr>
          <w:rFonts w:ascii="Book Antiqua" w:hAnsi="Book Antiqua"/>
          <w:sz w:val="24"/>
          <w:szCs w:val="24"/>
          <w:lang w:val="en-US"/>
        </w:rPr>
        <w:t>patients</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37</w:t>
      </w:r>
      <w:r w:rsidRPr="00260125">
        <w:rPr>
          <w:rFonts w:ascii="Book Antiqua" w:hAnsi="Book Antiqua"/>
          <w:bCs/>
          <w:sz w:val="24"/>
          <w:szCs w:val="24"/>
          <w:vertAlign w:val="superscript"/>
          <w:lang w:val="en-US"/>
        </w:rPr>
        <w:t>]</w:t>
      </w:r>
      <w:r w:rsidRPr="00260125">
        <w:rPr>
          <w:rFonts w:ascii="Book Antiqua" w:hAnsi="Book Antiqua"/>
          <w:sz w:val="24"/>
          <w:szCs w:val="24"/>
          <w:lang w:val="en-US"/>
        </w:rPr>
        <w:t>. In the Australian cohort, patients with baseline DNA levels &lt;</w:t>
      </w:r>
      <w:r>
        <w:rPr>
          <w:rFonts w:ascii="Book Antiqua" w:hAnsi="Book Antiqua"/>
          <w:sz w:val="24"/>
          <w:szCs w:val="24"/>
          <w:lang w:val="en-US"/>
        </w:rPr>
        <w:t xml:space="preserve"> </w:t>
      </w:r>
      <w:r w:rsidRPr="00260125">
        <w:rPr>
          <w:rFonts w:ascii="Book Antiqua" w:hAnsi="Book Antiqua"/>
          <w:sz w:val="24"/>
          <w:szCs w:val="24"/>
          <w:lang w:val="en-US"/>
        </w:rPr>
        <w:t>10</w:t>
      </w:r>
      <w:r w:rsidRPr="00260125">
        <w:rPr>
          <w:rFonts w:ascii="Book Antiqua" w:hAnsi="Book Antiqua"/>
          <w:sz w:val="24"/>
          <w:szCs w:val="24"/>
          <w:vertAlign w:val="superscript"/>
          <w:lang w:val="en-US"/>
        </w:rPr>
        <w:t>8</w:t>
      </w:r>
      <w:r w:rsidRPr="00260125">
        <w:rPr>
          <w:rFonts w:ascii="Book Antiqua" w:hAnsi="Book Antiqua"/>
          <w:sz w:val="24"/>
          <w:szCs w:val="24"/>
          <w:lang w:val="en-US"/>
        </w:rPr>
        <w:t xml:space="preserve"> log</w:t>
      </w:r>
      <w:r w:rsidRPr="00260125">
        <w:rPr>
          <w:rFonts w:ascii="Book Antiqua" w:hAnsi="Book Antiqua"/>
          <w:sz w:val="24"/>
          <w:szCs w:val="24"/>
          <w:vertAlign w:val="subscript"/>
          <w:lang w:val="en-US"/>
        </w:rPr>
        <w:t>10</w:t>
      </w:r>
      <w:r w:rsidRPr="00E71430">
        <w:rPr>
          <w:rFonts w:ascii="Book Antiqua" w:hAnsi="Book Antiqua"/>
          <w:sz w:val="24"/>
          <w:szCs w:val="24"/>
          <w:lang w:val="en-US"/>
        </w:rPr>
        <w:t xml:space="preserve"> </w:t>
      </w:r>
      <w:r w:rsidRPr="00260125">
        <w:rPr>
          <w:rFonts w:ascii="Book Antiqua" w:hAnsi="Book Antiqua"/>
          <w:sz w:val="24"/>
          <w:szCs w:val="24"/>
          <w:lang w:val="en-US"/>
        </w:rPr>
        <w:t>IU/m</w:t>
      </w:r>
      <w:r>
        <w:rPr>
          <w:rFonts w:ascii="Book Antiqua" w:hAnsi="Book Antiqua"/>
          <w:sz w:val="24"/>
          <w:szCs w:val="24"/>
          <w:lang w:val="en-US" w:eastAsia="zh-CN"/>
        </w:rPr>
        <w:t xml:space="preserve">L </w:t>
      </w:r>
      <w:r w:rsidRPr="00FE7699">
        <w:rPr>
          <w:rFonts w:ascii="Book Antiqua" w:hAnsi="Book Antiqua"/>
          <w:i/>
          <w:sz w:val="24"/>
          <w:szCs w:val="24"/>
          <w:lang w:val="en-US"/>
        </w:rPr>
        <w:t>vs</w:t>
      </w:r>
      <w:r>
        <w:rPr>
          <w:rFonts w:ascii="Book Antiqua" w:hAnsi="Book Antiqua"/>
          <w:i/>
          <w:sz w:val="24"/>
          <w:szCs w:val="24"/>
          <w:lang w:val="en-US"/>
        </w:rPr>
        <w:t xml:space="preserve"> </w:t>
      </w:r>
      <w:r>
        <w:rPr>
          <w:rFonts w:ascii="Book Antiqua" w:hAnsi="Book Antiqua"/>
          <w:sz w:val="24"/>
          <w:szCs w:val="24"/>
          <w:lang w:val="en-US"/>
        </w:rPr>
        <w:t xml:space="preserve">&gt; </w:t>
      </w:r>
      <w:r w:rsidRPr="00260125">
        <w:rPr>
          <w:rFonts w:ascii="Book Antiqua" w:hAnsi="Book Antiqua"/>
          <w:sz w:val="24"/>
          <w:szCs w:val="24"/>
          <w:lang w:val="en-US"/>
        </w:rPr>
        <w:t>10</w:t>
      </w:r>
      <w:r w:rsidRPr="00260125">
        <w:rPr>
          <w:rFonts w:ascii="Book Antiqua" w:hAnsi="Book Antiqua"/>
          <w:sz w:val="24"/>
          <w:szCs w:val="24"/>
          <w:vertAlign w:val="superscript"/>
          <w:lang w:val="en-US"/>
        </w:rPr>
        <w:t>8</w:t>
      </w:r>
      <w:r w:rsidRPr="00260125">
        <w:rPr>
          <w:rFonts w:ascii="Book Antiqua" w:hAnsi="Book Antiqua"/>
          <w:sz w:val="24"/>
          <w:szCs w:val="24"/>
          <w:lang w:val="en-US"/>
        </w:rPr>
        <w:t xml:space="preserve"> log</w:t>
      </w:r>
      <w:r w:rsidRPr="00260125">
        <w:rPr>
          <w:rFonts w:ascii="Book Antiqua" w:hAnsi="Book Antiqua"/>
          <w:sz w:val="24"/>
          <w:szCs w:val="24"/>
          <w:vertAlign w:val="subscript"/>
          <w:lang w:val="en-US"/>
        </w:rPr>
        <w:t>10</w:t>
      </w:r>
      <w:r>
        <w:rPr>
          <w:rFonts w:ascii="Book Antiqua" w:hAnsi="Book Antiqua"/>
          <w:sz w:val="24"/>
          <w:szCs w:val="24"/>
          <w:lang w:val="en-US" w:eastAsia="zh-CN"/>
        </w:rPr>
        <w:t xml:space="preserve"> </w:t>
      </w:r>
      <w:r w:rsidRPr="00260125">
        <w:rPr>
          <w:rFonts w:ascii="Book Antiqua" w:hAnsi="Book Antiqua"/>
          <w:sz w:val="24"/>
          <w:szCs w:val="24"/>
          <w:lang w:val="en-US"/>
        </w:rPr>
        <w:t>IU/m</w:t>
      </w:r>
      <w:r>
        <w:rPr>
          <w:rFonts w:ascii="Book Antiqua" w:hAnsi="Book Antiqua"/>
          <w:sz w:val="24"/>
          <w:szCs w:val="24"/>
          <w:lang w:val="en-US" w:eastAsia="zh-CN"/>
        </w:rPr>
        <w:t>L</w:t>
      </w:r>
      <w:r w:rsidRPr="00260125">
        <w:rPr>
          <w:rFonts w:ascii="Book Antiqua" w:hAnsi="Book Antiqua"/>
          <w:sz w:val="24"/>
          <w:szCs w:val="24"/>
          <w:lang w:val="en-US"/>
        </w:rPr>
        <w:t xml:space="preserve"> (</w:t>
      </w:r>
      <w:r w:rsidRPr="00260125">
        <w:rPr>
          <w:rFonts w:ascii="Book Antiqua" w:hAnsi="Book Antiqua"/>
          <w:i/>
          <w:iCs/>
          <w:sz w:val="24"/>
          <w:szCs w:val="24"/>
          <w:lang w:val="en-US"/>
        </w:rPr>
        <w:t>P</w:t>
      </w:r>
      <w:r>
        <w:rPr>
          <w:rFonts w:ascii="Book Antiqua" w:hAnsi="Book Antiqua"/>
          <w:iCs/>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 xml:space="preserve">0.001) and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negative patients (</w:t>
      </w:r>
      <w:r w:rsidRPr="00260125">
        <w:rPr>
          <w:rFonts w:ascii="Book Antiqua" w:hAnsi="Book Antiqua"/>
          <w:i/>
          <w:iCs/>
          <w:sz w:val="24"/>
          <w:szCs w:val="24"/>
          <w:lang w:val="en-US"/>
        </w:rPr>
        <w:t>P</w:t>
      </w:r>
      <w:r>
        <w:rPr>
          <w:rFonts w:ascii="Book Antiqua" w:hAnsi="Book Antiqua"/>
          <w:iCs/>
          <w:sz w:val="24"/>
          <w:szCs w:val="24"/>
          <w:lang w:val="en-US" w:eastAsia="zh-CN"/>
        </w:rPr>
        <w:t xml:space="preserve"> </w:t>
      </w:r>
      <w:r w:rsidRPr="00260125">
        <w:rPr>
          <w:rFonts w:ascii="Book Antiqua" w:hAnsi="Book Antiqua"/>
          <w:sz w:val="24"/>
          <w:szCs w:val="24"/>
          <w:lang w:val="en-US"/>
        </w:rPr>
        <w:t>=</w:t>
      </w:r>
      <w:r>
        <w:rPr>
          <w:rFonts w:ascii="Book Antiqua" w:hAnsi="Book Antiqua"/>
          <w:sz w:val="24"/>
          <w:szCs w:val="24"/>
          <w:lang w:val="en-US" w:eastAsia="zh-CN"/>
        </w:rPr>
        <w:t xml:space="preserve"> </w:t>
      </w:r>
      <w:r w:rsidRPr="00260125">
        <w:rPr>
          <w:rFonts w:ascii="Book Antiqua" w:hAnsi="Book Antiqua"/>
          <w:sz w:val="24"/>
          <w:szCs w:val="24"/>
          <w:lang w:val="en-US"/>
        </w:rPr>
        <w:t>0.001) achieved more rapidly c</w:t>
      </w:r>
      <w:r>
        <w:rPr>
          <w:rFonts w:ascii="Book Antiqua" w:hAnsi="Book Antiqua"/>
          <w:sz w:val="24"/>
          <w:szCs w:val="24"/>
          <w:lang w:val="en-US"/>
        </w:rPr>
        <w:t xml:space="preserve">omplete </w:t>
      </w:r>
      <w:proofErr w:type="spellStart"/>
      <w:r>
        <w:rPr>
          <w:rFonts w:ascii="Book Antiqua" w:hAnsi="Book Antiqua"/>
          <w:sz w:val="24"/>
          <w:szCs w:val="24"/>
          <w:lang w:val="en-US"/>
        </w:rPr>
        <w:t>virological</w:t>
      </w:r>
      <w:proofErr w:type="spellEnd"/>
      <w:r>
        <w:rPr>
          <w:rFonts w:ascii="Book Antiqua" w:hAnsi="Book Antiqua"/>
          <w:sz w:val="24"/>
          <w:szCs w:val="24"/>
          <w:lang w:val="en-US"/>
        </w:rPr>
        <w:t xml:space="preserve"> </w:t>
      </w:r>
      <w:proofErr w:type="gramStart"/>
      <w:r>
        <w:rPr>
          <w:rFonts w:ascii="Book Antiqua" w:hAnsi="Book Antiqua"/>
          <w:sz w:val="24"/>
          <w:szCs w:val="24"/>
          <w:lang w:val="en-US"/>
        </w:rPr>
        <w:t>suppression</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40</w:t>
      </w:r>
      <w:r w:rsidRPr="00260125">
        <w:rPr>
          <w:rFonts w:ascii="Book Antiqua" w:hAnsi="Book Antiqua"/>
          <w:bCs/>
          <w:sz w:val="24"/>
          <w:szCs w:val="24"/>
          <w:vertAlign w:val="superscript"/>
          <w:lang w:val="en-US"/>
        </w:rPr>
        <w:t>]</w:t>
      </w:r>
      <w:r w:rsidRPr="00260125">
        <w:rPr>
          <w:rFonts w:ascii="Book Antiqua" w:hAnsi="Book Antiqua"/>
          <w:sz w:val="24"/>
          <w:szCs w:val="24"/>
          <w:lang w:val="en-US"/>
        </w:rPr>
        <w:t>.</w:t>
      </w:r>
    </w:p>
    <w:p w:rsidR="004C196A" w:rsidRPr="00260125" w:rsidRDefault="004C196A" w:rsidP="002A03F0">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 xml:space="preserve">In summary, baseline HBV DNA levels and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status appeared to predict HBV DNA clearance and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clearance/</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in clinical practice. There is little information about predictor of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clearance/</w:t>
      </w:r>
      <w:proofErr w:type="spellStart"/>
      <w:r w:rsidRPr="00260125">
        <w:rPr>
          <w:rFonts w:ascii="Book Antiqua" w:hAnsi="Book Antiqua"/>
          <w:sz w:val="24"/>
          <w:szCs w:val="24"/>
          <w:lang w:val="en-US"/>
        </w:rPr>
        <w:t>seroconversion</w:t>
      </w:r>
      <w:proofErr w:type="spellEnd"/>
      <w:r w:rsidRPr="00260125">
        <w:rPr>
          <w:rFonts w:ascii="Book Antiqua" w:hAnsi="Book Antiqua"/>
          <w:sz w:val="24"/>
          <w:szCs w:val="24"/>
          <w:lang w:val="en-US"/>
        </w:rPr>
        <w:t xml:space="preserve">. There is no information about </w:t>
      </w:r>
      <w:proofErr w:type="spellStart"/>
      <w:r w:rsidRPr="00260125">
        <w:rPr>
          <w:rFonts w:ascii="Book Antiqua" w:hAnsi="Book Antiqua"/>
          <w:sz w:val="24"/>
          <w:szCs w:val="24"/>
          <w:lang w:val="en-US"/>
        </w:rPr>
        <w:t>HBsAg</w:t>
      </w:r>
      <w:proofErr w:type="spellEnd"/>
      <w:r w:rsidRPr="00260125">
        <w:rPr>
          <w:rFonts w:ascii="Book Antiqua" w:hAnsi="Book Antiqua"/>
          <w:sz w:val="24"/>
          <w:szCs w:val="24"/>
          <w:lang w:val="en-US"/>
        </w:rPr>
        <w:t xml:space="preserve"> and/or </w:t>
      </w:r>
      <w:proofErr w:type="spellStart"/>
      <w:r w:rsidRPr="00260125">
        <w:rPr>
          <w:rFonts w:ascii="Book Antiqua" w:hAnsi="Book Antiqua"/>
          <w:sz w:val="24"/>
          <w:szCs w:val="24"/>
          <w:lang w:val="en-US"/>
        </w:rPr>
        <w:t>HBeAg</w:t>
      </w:r>
      <w:proofErr w:type="spellEnd"/>
      <w:r w:rsidRPr="00260125">
        <w:rPr>
          <w:rFonts w:ascii="Book Antiqua" w:hAnsi="Book Antiqua"/>
          <w:sz w:val="24"/>
          <w:szCs w:val="24"/>
          <w:lang w:val="en-US"/>
        </w:rPr>
        <w:t xml:space="preserve"> baseline and on-treatment levels impact on treatment response in real life.</w:t>
      </w:r>
    </w:p>
    <w:p w:rsidR="004C196A" w:rsidRPr="00260125" w:rsidRDefault="004C196A" w:rsidP="00260125">
      <w:pPr>
        <w:spacing w:after="0" w:line="360" w:lineRule="auto"/>
        <w:jc w:val="both"/>
        <w:rPr>
          <w:rFonts w:ascii="Book Antiqua" w:hAnsi="Book Antiqua"/>
          <w:b/>
          <w:sz w:val="24"/>
          <w:szCs w:val="24"/>
          <w:lang w:val="en-US" w:eastAsia="zh-CN"/>
        </w:rPr>
      </w:pPr>
    </w:p>
    <w:p w:rsidR="004C196A" w:rsidRPr="00260125" w:rsidRDefault="004C196A" w:rsidP="00260125">
      <w:pPr>
        <w:spacing w:after="0" w:line="360" w:lineRule="auto"/>
        <w:jc w:val="both"/>
        <w:rPr>
          <w:rFonts w:ascii="Book Antiqua" w:hAnsi="Book Antiqua"/>
          <w:b/>
          <w:sz w:val="24"/>
          <w:szCs w:val="24"/>
          <w:lang w:val="en-US"/>
        </w:rPr>
      </w:pPr>
      <w:r w:rsidRPr="00260125">
        <w:rPr>
          <w:rFonts w:ascii="Book Antiqua" w:hAnsi="Book Antiqua"/>
          <w:b/>
          <w:sz w:val="24"/>
          <w:szCs w:val="24"/>
          <w:lang w:val="en-US"/>
        </w:rPr>
        <w:t>CONCLUSION</w:t>
      </w:r>
    </w:p>
    <w:p w:rsidR="004C196A" w:rsidRPr="00260125" w:rsidRDefault="004C196A" w:rsidP="00260125">
      <w:pPr>
        <w:spacing w:after="0" w:line="360" w:lineRule="auto"/>
        <w:jc w:val="both"/>
        <w:rPr>
          <w:rFonts w:ascii="Book Antiqua" w:hAnsi="Book Antiqua"/>
          <w:sz w:val="24"/>
          <w:szCs w:val="24"/>
          <w:lang w:val="en-US" w:eastAsia="zh-CN"/>
        </w:rPr>
      </w:pPr>
      <w:r w:rsidRPr="00260125">
        <w:rPr>
          <w:rFonts w:ascii="Book Antiqua" w:hAnsi="Book Antiqua"/>
          <w:sz w:val="24"/>
          <w:szCs w:val="24"/>
          <w:lang w:val="en-US"/>
        </w:rPr>
        <w:t>Is ETV or TDF treatment effective in clinical practice? Can the results observed in CT be extrapolated to clinical practice? Efficacy is the ability of a drug or intervention to produce an effect under optimal conditions, whereas effectiveness is its usefu</w:t>
      </w:r>
      <w:r>
        <w:rPr>
          <w:rFonts w:ascii="Book Antiqua" w:hAnsi="Book Antiqua"/>
          <w:sz w:val="24"/>
          <w:szCs w:val="24"/>
          <w:lang w:val="en-US"/>
        </w:rPr>
        <w:t xml:space="preserve">lness in routine </w:t>
      </w:r>
      <w:proofErr w:type="gramStart"/>
      <w:r>
        <w:rPr>
          <w:rFonts w:ascii="Book Antiqua" w:hAnsi="Book Antiqua"/>
          <w:sz w:val="24"/>
          <w:szCs w:val="24"/>
          <w:lang w:val="en-US"/>
        </w:rPr>
        <w:t>practice</w:t>
      </w:r>
      <w:r w:rsidRPr="00260125">
        <w:rPr>
          <w:rFonts w:ascii="Book Antiqua" w:hAnsi="Book Antiqua"/>
          <w:bCs/>
          <w:sz w:val="24"/>
          <w:szCs w:val="24"/>
          <w:vertAlign w:val="superscript"/>
          <w:lang w:val="en-US"/>
        </w:rPr>
        <w:t>[</w:t>
      </w:r>
      <w:proofErr w:type="gramEnd"/>
      <w:r w:rsidRPr="00260125">
        <w:rPr>
          <w:rFonts w:ascii="Book Antiqua" w:hAnsi="Book Antiqua"/>
          <w:bCs/>
          <w:sz w:val="24"/>
          <w:szCs w:val="24"/>
          <w:vertAlign w:val="superscript"/>
          <w:lang w:val="en-US"/>
        </w:rPr>
        <w:t>5</w:t>
      </w:r>
      <w:r>
        <w:rPr>
          <w:rFonts w:ascii="Book Antiqua" w:hAnsi="Book Antiqua"/>
          <w:bCs/>
          <w:sz w:val="24"/>
          <w:szCs w:val="24"/>
          <w:vertAlign w:val="superscript"/>
          <w:lang w:val="en-US"/>
        </w:rPr>
        <w:t>7</w:t>
      </w:r>
      <w:r w:rsidRPr="00260125">
        <w:rPr>
          <w:rFonts w:ascii="Book Antiqua" w:hAnsi="Book Antiqua"/>
          <w:bCs/>
          <w:sz w:val="24"/>
          <w:szCs w:val="24"/>
          <w:vertAlign w:val="superscript"/>
          <w:lang w:val="en-US"/>
        </w:rPr>
        <w:t>]</w:t>
      </w:r>
      <w:r w:rsidRPr="00260125">
        <w:rPr>
          <w:rFonts w:ascii="Book Antiqua" w:hAnsi="Book Antiqua"/>
          <w:sz w:val="24"/>
          <w:szCs w:val="24"/>
          <w:lang w:val="en-US"/>
        </w:rPr>
        <w:t>. Clinical trials differ in many ways from clinical practice, and many patients treated in clinical practice would have been excluded from these trials. This is the main reason why studies performed in routine clinical practice provide useful information for the treating physician. This review shows that ETV and TDF used in clinical practice have similar response rates when compared with CT, with low rates of resistance</w:t>
      </w:r>
      <w:r>
        <w:rPr>
          <w:rFonts w:ascii="Book Antiqua" w:hAnsi="Book Antiqua"/>
          <w:sz w:val="24"/>
          <w:szCs w:val="24"/>
          <w:lang w:val="en-US"/>
        </w:rPr>
        <w:t xml:space="preserve"> and favorable safety profiles.</w:t>
      </w:r>
    </w:p>
    <w:p w:rsidR="004C196A" w:rsidRPr="00260125" w:rsidRDefault="004C196A" w:rsidP="002A03F0">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lastRenderedPageBreak/>
        <w:t xml:space="preserve">Studies performed in clinical practice have some limitations when compared with CT. They are, in most cases, retrospective; the treatment protocol is not standardized; adverse events may be under-reported since there is no strict register of safety parameters; and they include a variable number of patients. These treatments were conducted at referral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xml:space="preserve"> by highly trained specialists with experience in the field who have participated in CT. This ensures treatment effectiveness, but tends to exclude less experienced investigation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xml:space="preserve">. Another concern is that patient compliance to these long term treatment regimens may be poorer and less controlled than compliance to short term strictly monitored treatments in CT. Most of the studies reviewed show a low rate of </w:t>
      </w:r>
      <w:proofErr w:type="spellStart"/>
      <w:r w:rsidRPr="00260125">
        <w:rPr>
          <w:rFonts w:ascii="Book Antiqua" w:hAnsi="Book Antiqua"/>
          <w:sz w:val="24"/>
          <w:szCs w:val="24"/>
          <w:lang w:val="en-US"/>
        </w:rPr>
        <w:t>lost</w:t>
      </w:r>
      <w:proofErr w:type="spellEnd"/>
      <w:r w:rsidRPr="00260125">
        <w:rPr>
          <w:rFonts w:ascii="Book Antiqua" w:hAnsi="Book Antiqua"/>
          <w:sz w:val="24"/>
          <w:szCs w:val="24"/>
          <w:lang w:val="en-US"/>
        </w:rPr>
        <w:t xml:space="preserve"> of follow up </w:t>
      </w:r>
      <w:r>
        <w:rPr>
          <w:rFonts w:ascii="Book Antiqua" w:hAnsi="Book Antiqua"/>
          <w:sz w:val="24"/>
          <w:szCs w:val="24"/>
          <w:lang w:val="en-US"/>
        </w:rPr>
        <w:t>and a low rate of non-</w:t>
      </w:r>
      <w:proofErr w:type="gramStart"/>
      <w:r>
        <w:rPr>
          <w:rFonts w:ascii="Book Antiqua" w:hAnsi="Book Antiqua"/>
          <w:sz w:val="24"/>
          <w:szCs w:val="24"/>
          <w:lang w:val="en-US"/>
        </w:rPr>
        <w:t>adherence</w:t>
      </w:r>
      <w:r>
        <w:rPr>
          <w:rFonts w:ascii="Book Antiqua" w:hAnsi="Book Antiqua"/>
          <w:bCs/>
          <w:sz w:val="24"/>
          <w:szCs w:val="24"/>
          <w:vertAlign w:val="superscript"/>
          <w:lang w:val="en-US"/>
        </w:rPr>
        <w:t>[</w:t>
      </w:r>
      <w:proofErr w:type="gramEnd"/>
      <w:r>
        <w:rPr>
          <w:rFonts w:ascii="Book Antiqua" w:hAnsi="Book Antiqua"/>
          <w:bCs/>
          <w:sz w:val="24"/>
          <w:szCs w:val="24"/>
          <w:vertAlign w:val="superscript"/>
          <w:lang w:val="en-US"/>
        </w:rPr>
        <w:t>58</w:t>
      </w:r>
      <w:r w:rsidRPr="00260125">
        <w:rPr>
          <w:rFonts w:ascii="Book Antiqua" w:hAnsi="Book Antiqua"/>
          <w:bCs/>
          <w:sz w:val="24"/>
          <w:szCs w:val="24"/>
          <w:vertAlign w:val="superscript"/>
          <w:lang w:val="en-US"/>
        </w:rPr>
        <w:t>]</w:t>
      </w:r>
      <w:r w:rsidRPr="00260125">
        <w:rPr>
          <w:rFonts w:ascii="Book Antiqua" w:hAnsi="Book Antiqua"/>
          <w:sz w:val="24"/>
          <w:szCs w:val="24"/>
          <w:lang w:val="en-US"/>
        </w:rPr>
        <w:t xml:space="preserve">. Even if adherence is not strictly evaluated in these types of studies, it can be assumed that if there is a low rate of </w:t>
      </w:r>
      <w:proofErr w:type="spellStart"/>
      <w:r w:rsidRPr="00260125">
        <w:rPr>
          <w:rFonts w:ascii="Book Antiqua" w:hAnsi="Book Antiqua"/>
          <w:sz w:val="24"/>
          <w:szCs w:val="24"/>
          <w:lang w:val="en-US"/>
        </w:rPr>
        <w:t>virological</w:t>
      </w:r>
      <w:proofErr w:type="spellEnd"/>
      <w:r w:rsidRPr="00260125">
        <w:rPr>
          <w:rFonts w:ascii="Book Antiqua" w:hAnsi="Book Antiqua"/>
          <w:sz w:val="24"/>
          <w:szCs w:val="24"/>
          <w:lang w:val="en-US"/>
        </w:rPr>
        <w:t xml:space="preserve"> breakthroughs and resistance, adherence has to be good to maintain treatment responses.</w:t>
      </w:r>
    </w:p>
    <w:p w:rsidR="004C196A" w:rsidRPr="00260125" w:rsidRDefault="004C196A" w:rsidP="00E00CEB">
      <w:pPr>
        <w:spacing w:after="0" w:line="360" w:lineRule="auto"/>
        <w:ind w:firstLineChars="100" w:firstLine="240"/>
        <w:jc w:val="both"/>
        <w:rPr>
          <w:rFonts w:ascii="Book Antiqua" w:hAnsi="Book Antiqua"/>
          <w:sz w:val="24"/>
          <w:szCs w:val="24"/>
          <w:lang w:val="en-US"/>
        </w:rPr>
      </w:pPr>
      <w:r w:rsidRPr="00260125">
        <w:rPr>
          <w:rFonts w:ascii="Book Antiqua" w:hAnsi="Book Antiqua"/>
          <w:sz w:val="24"/>
          <w:szCs w:val="24"/>
          <w:lang w:val="en-US"/>
        </w:rPr>
        <w:t xml:space="preserve">Despite the pros and cons, studies performed in real life conditions represent everyday practice and add important information about long term treatment effectiveness and safety in this clinical setting. This review shows that patients treated with first line NUCs at referral </w:t>
      </w:r>
      <w:proofErr w:type="spellStart"/>
      <w:r w:rsidRPr="00260125">
        <w:rPr>
          <w:rFonts w:ascii="Book Antiqua" w:hAnsi="Book Antiqua"/>
          <w:sz w:val="24"/>
          <w:szCs w:val="24"/>
          <w:lang w:val="en-US"/>
        </w:rPr>
        <w:t>centres</w:t>
      </w:r>
      <w:proofErr w:type="spellEnd"/>
      <w:r w:rsidRPr="00260125">
        <w:rPr>
          <w:rFonts w:ascii="Book Antiqua" w:hAnsi="Book Antiqua"/>
          <w:sz w:val="24"/>
          <w:szCs w:val="24"/>
          <w:lang w:val="en-US"/>
        </w:rPr>
        <w:t>, with good clinical follow-up and adherence to international guidelines, can achieve high treatment response rates with a very low rate of adverse events.</w:t>
      </w:r>
    </w:p>
    <w:p w:rsidR="004C196A" w:rsidRPr="00260125" w:rsidRDefault="004C196A" w:rsidP="00260125">
      <w:pPr>
        <w:spacing w:after="0" w:line="360" w:lineRule="auto"/>
        <w:jc w:val="both"/>
        <w:rPr>
          <w:rFonts w:ascii="Book Antiqua" w:hAnsi="Book Antiqua"/>
          <w:sz w:val="24"/>
          <w:szCs w:val="24"/>
          <w:lang w:val="en-US"/>
        </w:rPr>
      </w:pPr>
    </w:p>
    <w:p w:rsidR="004C196A" w:rsidRDefault="004C196A" w:rsidP="002E6268">
      <w:pPr>
        <w:spacing w:after="0" w:line="360" w:lineRule="auto"/>
        <w:jc w:val="both"/>
        <w:rPr>
          <w:rFonts w:ascii="Book Antiqua" w:hAnsi="Book Antiqua"/>
          <w:b/>
          <w:sz w:val="24"/>
          <w:szCs w:val="24"/>
          <w:lang w:val="en-US" w:eastAsia="zh-CN"/>
        </w:rPr>
      </w:pPr>
      <w:r w:rsidRPr="002E6268">
        <w:rPr>
          <w:rFonts w:ascii="Book Antiqua" w:hAnsi="Book Antiqua"/>
          <w:b/>
          <w:sz w:val="24"/>
          <w:szCs w:val="24"/>
          <w:lang w:val="en-US"/>
        </w:rPr>
        <w:t>REFERENCES</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t xml:space="preserve">1 </w:t>
      </w:r>
      <w:proofErr w:type="spellStart"/>
      <w:r w:rsidRPr="00E669A7">
        <w:rPr>
          <w:rFonts w:ascii="Book Antiqua" w:hAnsi="Book Antiqua" w:cs="宋体"/>
          <w:b/>
          <w:bCs/>
          <w:sz w:val="24"/>
          <w:szCs w:val="24"/>
          <w:lang w:val="en-US" w:eastAsia="zh-CN"/>
        </w:rPr>
        <w:t>Lavanchy</w:t>
      </w:r>
      <w:proofErr w:type="spellEnd"/>
      <w:r w:rsidRPr="00E669A7">
        <w:rPr>
          <w:rFonts w:ascii="Book Antiqua" w:hAnsi="Book Antiqua" w:cs="宋体"/>
          <w:b/>
          <w:bCs/>
          <w:sz w:val="24"/>
          <w:szCs w:val="24"/>
          <w:lang w:val="en-US" w:eastAsia="zh-CN"/>
        </w:rPr>
        <w:t xml:space="preserve"> D</w:t>
      </w:r>
      <w:r w:rsidRPr="00E669A7">
        <w:rPr>
          <w:rFonts w:ascii="Book Antiqua" w:hAnsi="Book Antiqua" w:cs="宋体"/>
          <w:sz w:val="24"/>
          <w:szCs w:val="24"/>
          <w:lang w:val="en-US" w:eastAsia="zh-CN"/>
        </w:rPr>
        <w:t>. Hepatitis B virus epidemiology, disease burden, treatment, and current and emerging prevention and control measures.</w:t>
      </w:r>
      <w:proofErr w:type="gramEnd"/>
      <w:r w:rsidRPr="00E669A7">
        <w:rPr>
          <w:rFonts w:ascii="Book Antiqua" w:hAnsi="Book Antiqua" w:cs="宋体"/>
          <w:sz w:val="24"/>
          <w:szCs w:val="24"/>
          <w:lang w:val="en-US" w:eastAsia="zh-CN"/>
        </w:rPr>
        <w:t xml:space="preserve"> </w:t>
      </w:r>
      <w:r w:rsidRPr="00E669A7">
        <w:rPr>
          <w:rFonts w:ascii="Book Antiqua" w:hAnsi="Book Antiqua" w:cs="宋体"/>
          <w:i/>
          <w:iCs/>
          <w:sz w:val="24"/>
          <w:szCs w:val="24"/>
          <w:lang w:val="en-US" w:eastAsia="zh-CN"/>
        </w:rPr>
        <w:t xml:space="preserve">J Viral </w:t>
      </w:r>
      <w:proofErr w:type="spellStart"/>
      <w:r w:rsidRPr="00E669A7">
        <w:rPr>
          <w:rFonts w:ascii="Book Antiqua" w:hAnsi="Book Antiqua" w:cs="宋体"/>
          <w:i/>
          <w:iCs/>
          <w:sz w:val="24"/>
          <w:szCs w:val="24"/>
          <w:lang w:val="en-US" w:eastAsia="zh-CN"/>
        </w:rPr>
        <w:t>Hepat</w:t>
      </w:r>
      <w:proofErr w:type="spellEnd"/>
      <w:r w:rsidRPr="00E669A7">
        <w:rPr>
          <w:rFonts w:ascii="Book Antiqua" w:hAnsi="Book Antiqua" w:cs="宋体"/>
          <w:sz w:val="24"/>
          <w:szCs w:val="24"/>
          <w:lang w:val="en-US" w:eastAsia="zh-CN"/>
        </w:rPr>
        <w:t xml:space="preserve"> 2004; </w:t>
      </w:r>
      <w:r w:rsidRPr="00E669A7">
        <w:rPr>
          <w:rFonts w:ascii="Book Antiqua" w:hAnsi="Book Antiqua" w:cs="宋体"/>
          <w:b/>
          <w:bCs/>
          <w:sz w:val="24"/>
          <w:szCs w:val="24"/>
          <w:lang w:val="en-US" w:eastAsia="zh-CN"/>
        </w:rPr>
        <w:t>11</w:t>
      </w:r>
      <w:r w:rsidRPr="00E669A7">
        <w:rPr>
          <w:rFonts w:ascii="Book Antiqua" w:hAnsi="Book Antiqua" w:cs="宋体"/>
          <w:sz w:val="24"/>
          <w:szCs w:val="24"/>
          <w:lang w:val="en-US" w:eastAsia="zh-CN"/>
        </w:rPr>
        <w:t>: 97-107 [PMID: 14996343 DOI: 10.1046/j.1365-2893.2003.00487.x]</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 </w:t>
      </w:r>
      <w:r w:rsidRPr="00E669A7">
        <w:rPr>
          <w:rFonts w:ascii="Book Antiqua" w:hAnsi="Book Antiqua" w:cs="宋体"/>
          <w:sz w:val="24"/>
          <w:szCs w:val="24"/>
          <w:lang w:val="en-US" w:eastAsia="zh-CN"/>
        </w:rPr>
        <w:t xml:space="preserve">World Health </w:t>
      </w:r>
      <w:proofErr w:type="gramStart"/>
      <w:r w:rsidRPr="00E669A7">
        <w:rPr>
          <w:rFonts w:ascii="Book Antiqua" w:hAnsi="Book Antiqua" w:cs="宋体"/>
          <w:sz w:val="24"/>
          <w:szCs w:val="24"/>
          <w:lang w:val="en-US" w:eastAsia="zh-CN"/>
        </w:rPr>
        <w:t>Organization</w:t>
      </w:r>
      <w:proofErr w:type="gramEnd"/>
      <w:r w:rsidRPr="00E669A7">
        <w:rPr>
          <w:rFonts w:ascii="Book Antiqua" w:hAnsi="Book Antiqua" w:cs="宋体"/>
          <w:sz w:val="24"/>
          <w:szCs w:val="24"/>
          <w:lang w:val="en-US" w:eastAsia="zh-CN"/>
        </w:rPr>
        <w:t>. Hepatitis B Fact Sheet No. 204, Revised September 2013</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t xml:space="preserve">3 </w:t>
      </w:r>
      <w:proofErr w:type="spellStart"/>
      <w:r w:rsidRPr="00E669A7">
        <w:rPr>
          <w:rFonts w:ascii="Book Antiqua" w:hAnsi="Book Antiqua" w:cs="宋体"/>
          <w:b/>
          <w:bCs/>
          <w:sz w:val="24"/>
          <w:szCs w:val="24"/>
          <w:lang w:val="en-US" w:eastAsia="zh-CN"/>
        </w:rPr>
        <w:t>Lok</w:t>
      </w:r>
      <w:proofErr w:type="spellEnd"/>
      <w:r w:rsidRPr="00E669A7">
        <w:rPr>
          <w:rFonts w:ascii="Book Antiqua" w:hAnsi="Book Antiqua" w:cs="宋体"/>
          <w:b/>
          <w:bCs/>
          <w:sz w:val="24"/>
          <w:szCs w:val="24"/>
          <w:lang w:val="en-US" w:eastAsia="zh-CN"/>
        </w:rPr>
        <w:t xml:space="preserve"> AS</w:t>
      </w:r>
      <w:r w:rsidRPr="00E669A7">
        <w:rPr>
          <w:rFonts w:ascii="Book Antiqua" w:hAnsi="Book Antiqua" w:cs="宋体"/>
          <w:sz w:val="24"/>
          <w:szCs w:val="24"/>
          <w:lang w:val="en-US" w:eastAsia="zh-CN"/>
        </w:rPr>
        <w:t>, McMahon BJ.</w:t>
      </w:r>
      <w:proofErr w:type="gramEnd"/>
      <w:r w:rsidRPr="00E669A7">
        <w:rPr>
          <w:rFonts w:ascii="Book Antiqua" w:hAnsi="Book Antiqua" w:cs="宋体"/>
          <w:sz w:val="24"/>
          <w:szCs w:val="24"/>
          <w:lang w:val="en-US" w:eastAsia="zh-CN"/>
        </w:rPr>
        <w:t xml:space="preserve"> Chronic hepatitis B: update 2009.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2009; </w:t>
      </w:r>
      <w:r w:rsidRPr="00E669A7">
        <w:rPr>
          <w:rFonts w:ascii="Book Antiqua" w:hAnsi="Book Antiqua" w:cs="宋体"/>
          <w:b/>
          <w:bCs/>
          <w:sz w:val="24"/>
          <w:szCs w:val="24"/>
          <w:lang w:val="en-US" w:eastAsia="zh-CN"/>
        </w:rPr>
        <w:t>50</w:t>
      </w:r>
      <w:r w:rsidRPr="00E669A7">
        <w:rPr>
          <w:rFonts w:ascii="Book Antiqua" w:hAnsi="Book Antiqua" w:cs="宋体"/>
          <w:sz w:val="24"/>
          <w:szCs w:val="24"/>
          <w:lang w:val="en-US" w:eastAsia="zh-CN"/>
        </w:rPr>
        <w:t>: 661-662 [PMID: 19714720</w:t>
      </w:r>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DOI: 10.1002/hep.23190]</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lastRenderedPageBreak/>
        <w:t xml:space="preserve">4 </w:t>
      </w:r>
      <w:r w:rsidRPr="006B493A">
        <w:rPr>
          <w:rFonts w:ascii="Book Antiqua" w:hAnsi="Book Antiqua" w:cs="宋体"/>
          <w:sz w:val="24"/>
          <w:szCs w:val="24"/>
          <w:lang w:val="en-US" w:eastAsia="zh-CN"/>
        </w:rPr>
        <w:t xml:space="preserve">European </w:t>
      </w:r>
      <w:proofErr w:type="gramStart"/>
      <w:r w:rsidRPr="006B493A">
        <w:rPr>
          <w:rFonts w:ascii="Book Antiqua" w:hAnsi="Book Antiqua" w:cs="宋体"/>
          <w:sz w:val="24"/>
          <w:szCs w:val="24"/>
          <w:lang w:val="en-US" w:eastAsia="zh-CN"/>
        </w:rPr>
        <w:t>Association</w:t>
      </w:r>
      <w:proofErr w:type="gramEnd"/>
      <w:r w:rsidRPr="006B493A">
        <w:rPr>
          <w:rFonts w:ascii="Book Antiqua" w:hAnsi="Book Antiqua" w:cs="宋体"/>
          <w:sz w:val="24"/>
          <w:szCs w:val="24"/>
          <w:lang w:val="en-US" w:eastAsia="zh-CN"/>
        </w:rPr>
        <w:t xml:space="preserve"> for the Study of the Liver</w:t>
      </w:r>
      <w:r w:rsidRPr="00E669A7">
        <w:rPr>
          <w:rFonts w:ascii="Book Antiqua" w:hAnsi="Book Antiqua" w:cs="宋体"/>
          <w:sz w:val="24"/>
          <w:szCs w:val="24"/>
          <w:lang w:val="en-US" w:eastAsia="zh-CN"/>
        </w:rPr>
        <w:t xml:space="preserve">. EASL clinical practice guidelines: Management of chronic hepatitis B virus infection. </w:t>
      </w:r>
      <w:r w:rsidRPr="00E669A7">
        <w:rPr>
          <w:rFonts w:ascii="Book Antiqua" w:hAnsi="Book Antiqua" w:cs="宋体"/>
          <w:i/>
          <w:iCs/>
          <w:sz w:val="24"/>
          <w:szCs w:val="24"/>
          <w:lang w:val="en-US" w:eastAsia="zh-CN"/>
        </w:rPr>
        <w:t xml:space="preserve">J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57</w:t>
      </w:r>
      <w:r w:rsidRPr="00E669A7">
        <w:rPr>
          <w:rFonts w:ascii="Book Antiqua" w:hAnsi="Book Antiqua" w:cs="宋体"/>
          <w:sz w:val="24"/>
          <w:szCs w:val="24"/>
          <w:lang w:val="en-US" w:eastAsia="zh-CN"/>
        </w:rPr>
        <w:t>: 167-185 [PMID: 22436845]</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5 </w:t>
      </w:r>
      <w:r w:rsidRPr="00E669A7">
        <w:rPr>
          <w:rFonts w:ascii="Book Antiqua" w:hAnsi="Book Antiqua" w:cs="宋体"/>
          <w:b/>
          <w:bCs/>
          <w:sz w:val="24"/>
          <w:szCs w:val="24"/>
          <w:lang w:val="en-US" w:eastAsia="zh-CN"/>
        </w:rPr>
        <w:t>Chang TT</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Liaw</w:t>
      </w:r>
      <w:proofErr w:type="spellEnd"/>
      <w:r w:rsidRPr="00E669A7">
        <w:rPr>
          <w:rFonts w:ascii="Book Antiqua" w:hAnsi="Book Antiqua" w:cs="宋体"/>
          <w:sz w:val="24"/>
          <w:szCs w:val="24"/>
          <w:lang w:val="en-US" w:eastAsia="zh-CN"/>
        </w:rPr>
        <w:t xml:space="preserve"> YF, Wu SS, Schiff E, Han KH, Lai CL, </w:t>
      </w:r>
      <w:proofErr w:type="spellStart"/>
      <w:r w:rsidRPr="00E669A7">
        <w:rPr>
          <w:rFonts w:ascii="Book Antiqua" w:hAnsi="Book Antiqua" w:cs="宋体"/>
          <w:sz w:val="24"/>
          <w:szCs w:val="24"/>
          <w:lang w:val="en-US" w:eastAsia="zh-CN"/>
        </w:rPr>
        <w:t>Safadi</w:t>
      </w:r>
      <w:proofErr w:type="spellEnd"/>
      <w:r w:rsidRPr="00E669A7">
        <w:rPr>
          <w:rFonts w:ascii="Book Antiqua" w:hAnsi="Book Antiqua" w:cs="宋体"/>
          <w:sz w:val="24"/>
          <w:szCs w:val="24"/>
          <w:lang w:val="en-US" w:eastAsia="zh-CN"/>
        </w:rPr>
        <w:t xml:space="preserve"> R, Lee SS, </w:t>
      </w:r>
      <w:proofErr w:type="spellStart"/>
      <w:r w:rsidRPr="00E669A7">
        <w:rPr>
          <w:rFonts w:ascii="Book Antiqua" w:hAnsi="Book Antiqua" w:cs="宋体"/>
          <w:sz w:val="24"/>
          <w:szCs w:val="24"/>
          <w:lang w:val="en-US" w:eastAsia="zh-CN"/>
        </w:rPr>
        <w:t>Halota</w:t>
      </w:r>
      <w:proofErr w:type="spellEnd"/>
      <w:r w:rsidRPr="00E669A7">
        <w:rPr>
          <w:rFonts w:ascii="Book Antiqua" w:hAnsi="Book Antiqua" w:cs="宋体"/>
          <w:sz w:val="24"/>
          <w:szCs w:val="24"/>
          <w:lang w:val="en-US" w:eastAsia="zh-CN"/>
        </w:rPr>
        <w:t xml:space="preserve"> W, Goodman Z, Chi YC, Zhang H, </w:t>
      </w:r>
      <w:proofErr w:type="spellStart"/>
      <w:r w:rsidRPr="00E669A7">
        <w:rPr>
          <w:rFonts w:ascii="Book Antiqua" w:hAnsi="Book Antiqua" w:cs="宋体"/>
          <w:sz w:val="24"/>
          <w:szCs w:val="24"/>
          <w:lang w:val="en-US" w:eastAsia="zh-CN"/>
        </w:rPr>
        <w:t>Hindes</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Iloeje</w:t>
      </w:r>
      <w:proofErr w:type="spellEnd"/>
      <w:r w:rsidRPr="00E669A7">
        <w:rPr>
          <w:rFonts w:ascii="Book Antiqua" w:hAnsi="Book Antiqua" w:cs="宋体"/>
          <w:sz w:val="24"/>
          <w:szCs w:val="24"/>
          <w:lang w:val="en-US" w:eastAsia="zh-CN"/>
        </w:rPr>
        <w:t xml:space="preserve"> U, Beebe S, </w:t>
      </w:r>
      <w:proofErr w:type="spellStart"/>
      <w:r w:rsidRPr="00E669A7">
        <w:rPr>
          <w:rFonts w:ascii="Book Antiqua" w:hAnsi="Book Antiqua" w:cs="宋体"/>
          <w:sz w:val="24"/>
          <w:szCs w:val="24"/>
          <w:lang w:val="en-US" w:eastAsia="zh-CN"/>
        </w:rPr>
        <w:t>Kreter</w:t>
      </w:r>
      <w:proofErr w:type="spellEnd"/>
      <w:r w:rsidRPr="00E669A7">
        <w:rPr>
          <w:rFonts w:ascii="Book Antiqua" w:hAnsi="Book Antiqua" w:cs="宋体"/>
          <w:sz w:val="24"/>
          <w:szCs w:val="24"/>
          <w:lang w:val="en-US" w:eastAsia="zh-CN"/>
        </w:rPr>
        <w:t xml:space="preserve"> B. Long-term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results in the reversal of fibrosis/cirrhosis and continued histological improvement in patients with chronic hepatitis B.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2010; </w:t>
      </w:r>
      <w:r w:rsidRPr="00E669A7">
        <w:rPr>
          <w:rFonts w:ascii="Book Antiqua" w:hAnsi="Book Antiqua" w:cs="宋体"/>
          <w:b/>
          <w:bCs/>
          <w:sz w:val="24"/>
          <w:szCs w:val="24"/>
          <w:lang w:val="en-US" w:eastAsia="zh-CN"/>
        </w:rPr>
        <w:t>52</w:t>
      </w:r>
      <w:r w:rsidRPr="00E669A7">
        <w:rPr>
          <w:rFonts w:ascii="Book Antiqua" w:hAnsi="Book Antiqua" w:cs="宋体"/>
          <w:sz w:val="24"/>
          <w:szCs w:val="24"/>
          <w:lang w:val="en-US" w:eastAsia="zh-CN"/>
        </w:rPr>
        <w:t>: 886-893 [PMID: 20683932</w:t>
      </w:r>
      <w:r>
        <w:rPr>
          <w:rFonts w:ascii="Book Antiqua" w:hAnsi="Book Antiqua" w:cs="宋体"/>
          <w:sz w:val="24"/>
          <w:szCs w:val="24"/>
          <w:lang w:val="en-US" w:eastAsia="zh-CN"/>
        </w:rPr>
        <w:t xml:space="preserve"> </w:t>
      </w:r>
      <w:r w:rsidRPr="00614D88">
        <w:rPr>
          <w:rFonts w:ascii="Book Antiqua" w:hAnsi="Book Antiqua" w:cs="宋体"/>
          <w:sz w:val="24"/>
          <w:szCs w:val="24"/>
          <w:lang w:val="en-US" w:eastAsia="zh-CN"/>
        </w:rPr>
        <w:t>DOI: 10.1002/hep.23785</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6 </w:t>
      </w:r>
      <w:proofErr w:type="spellStart"/>
      <w:r w:rsidRPr="00E669A7">
        <w:rPr>
          <w:rFonts w:ascii="Book Antiqua" w:hAnsi="Book Antiqua" w:cs="宋体"/>
          <w:b/>
          <w:bCs/>
          <w:sz w:val="24"/>
          <w:szCs w:val="24"/>
          <w:lang w:val="en-US" w:eastAsia="zh-CN"/>
        </w:rPr>
        <w:t>Marcellin</w:t>
      </w:r>
      <w:proofErr w:type="spellEnd"/>
      <w:r w:rsidRPr="00E669A7">
        <w:rPr>
          <w:rFonts w:ascii="Book Antiqua" w:hAnsi="Book Antiqua" w:cs="宋体"/>
          <w:b/>
          <w:bCs/>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Gane</w:t>
      </w:r>
      <w:proofErr w:type="spellEnd"/>
      <w:r w:rsidRPr="00E669A7">
        <w:rPr>
          <w:rFonts w:ascii="Book Antiqua" w:hAnsi="Book Antiqua" w:cs="宋体"/>
          <w:sz w:val="24"/>
          <w:szCs w:val="24"/>
          <w:lang w:val="en-US" w:eastAsia="zh-CN"/>
        </w:rPr>
        <w:t xml:space="preserve"> E,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Afdhal</w:t>
      </w:r>
      <w:proofErr w:type="spellEnd"/>
      <w:r w:rsidRPr="00E669A7">
        <w:rPr>
          <w:rFonts w:ascii="Book Antiqua" w:hAnsi="Book Antiqua" w:cs="宋体"/>
          <w:sz w:val="24"/>
          <w:szCs w:val="24"/>
          <w:lang w:val="en-US" w:eastAsia="zh-CN"/>
        </w:rPr>
        <w:t xml:space="preserve"> N, Sievert W, Jacobson IM, Washington MK, </w:t>
      </w:r>
      <w:proofErr w:type="spellStart"/>
      <w:r w:rsidRPr="00E669A7">
        <w:rPr>
          <w:rFonts w:ascii="Book Antiqua" w:hAnsi="Book Antiqua" w:cs="宋体"/>
          <w:sz w:val="24"/>
          <w:szCs w:val="24"/>
          <w:lang w:val="en-US" w:eastAsia="zh-CN"/>
        </w:rPr>
        <w:t>Germanidis</w:t>
      </w:r>
      <w:proofErr w:type="spellEnd"/>
      <w:r w:rsidRPr="00E669A7">
        <w:rPr>
          <w:rFonts w:ascii="Book Antiqua" w:hAnsi="Book Antiqua" w:cs="宋体"/>
          <w:sz w:val="24"/>
          <w:szCs w:val="24"/>
          <w:lang w:val="en-US" w:eastAsia="zh-CN"/>
        </w:rPr>
        <w:t xml:space="preserve"> G, Flaherty JF, </w:t>
      </w:r>
      <w:proofErr w:type="spellStart"/>
      <w:r w:rsidRPr="00E669A7">
        <w:rPr>
          <w:rFonts w:ascii="Book Antiqua" w:hAnsi="Book Antiqua" w:cs="宋体"/>
          <w:sz w:val="24"/>
          <w:szCs w:val="24"/>
          <w:lang w:val="en-US" w:eastAsia="zh-CN"/>
        </w:rPr>
        <w:t>Schall</w:t>
      </w:r>
      <w:proofErr w:type="spellEnd"/>
      <w:r w:rsidRPr="00E669A7">
        <w:rPr>
          <w:rFonts w:ascii="Book Antiqua" w:hAnsi="Book Antiqua" w:cs="宋体"/>
          <w:sz w:val="24"/>
          <w:szCs w:val="24"/>
          <w:lang w:val="en-US" w:eastAsia="zh-CN"/>
        </w:rPr>
        <w:t xml:space="preserve"> RA, Bornstein JD, </w:t>
      </w:r>
      <w:proofErr w:type="spellStart"/>
      <w:r w:rsidRPr="00E669A7">
        <w:rPr>
          <w:rFonts w:ascii="Book Antiqua" w:hAnsi="Book Antiqua" w:cs="宋体"/>
          <w:sz w:val="24"/>
          <w:szCs w:val="24"/>
          <w:lang w:val="en-US" w:eastAsia="zh-CN"/>
        </w:rPr>
        <w:t>Kitrinos</w:t>
      </w:r>
      <w:proofErr w:type="spellEnd"/>
      <w:r w:rsidRPr="00E669A7">
        <w:rPr>
          <w:rFonts w:ascii="Book Antiqua" w:hAnsi="Book Antiqua" w:cs="宋体"/>
          <w:sz w:val="24"/>
          <w:szCs w:val="24"/>
          <w:lang w:val="en-US" w:eastAsia="zh-CN"/>
        </w:rPr>
        <w:t xml:space="preserve"> KM, Subramanian GM, </w:t>
      </w:r>
      <w:proofErr w:type="spellStart"/>
      <w:r w:rsidRPr="00E669A7">
        <w:rPr>
          <w:rFonts w:ascii="Book Antiqua" w:hAnsi="Book Antiqua" w:cs="宋体"/>
          <w:sz w:val="24"/>
          <w:szCs w:val="24"/>
          <w:lang w:val="en-US" w:eastAsia="zh-CN"/>
        </w:rPr>
        <w:t>McHutchison</w:t>
      </w:r>
      <w:proofErr w:type="spellEnd"/>
      <w:r w:rsidRPr="00E669A7">
        <w:rPr>
          <w:rFonts w:ascii="Book Antiqua" w:hAnsi="Book Antiqua" w:cs="宋体"/>
          <w:sz w:val="24"/>
          <w:szCs w:val="24"/>
          <w:lang w:val="en-US" w:eastAsia="zh-CN"/>
        </w:rPr>
        <w:t xml:space="preserve"> JG, </w:t>
      </w:r>
      <w:proofErr w:type="spellStart"/>
      <w:r w:rsidRPr="00E669A7">
        <w:rPr>
          <w:rFonts w:ascii="Book Antiqua" w:hAnsi="Book Antiqua" w:cs="宋体"/>
          <w:sz w:val="24"/>
          <w:szCs w:val="24"/>
          <w:lang w:val="en-US" w:eastAsia="zh-CN"/>
        </w:rPr>
        <w:t>Heathcote</w:t>
      </w:r>
      <w:proofErr w:type="spellEnd"/>
      <w:r w:rsidRPr="00E669A7">
        <w:rPr>
          <w:rFonts w:ascii="Book Antiqua" w:hAnsi="Book Antiqua" w:cs="宋体"/>
          <w:sz w:val="24"/>
          <w:szCs w:val="24"/>
          <w:lang w:val="en-US" w:eastAsia="zh-CN"/>
        </w:rPr>
        <w:t xml:space="preserve"> EJ. Regression of cirrhosis during treatment with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for chronic hepatitis B: a 5-year open-label follow-up study. </w:t>
      </w:r>
      <w:r w:rsidRPr="00E669A7">
        <w:rPr>
          <w:rFonts w:ascii="Book Antiqua" w:hAnsi="Book Antiqua" w:cs="宋体"/>
          <w:i/>
          <w:iCs/>
          <w:sz w:val="24"/>
          <w:szCs w:val="24"/>
          <w:lang w:val="en-US" w:eastAsia="zh-CN"/>
        </w:rPr>
        <w:t>Lancet</w:t>
      </w:r>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381</w:t>
      </w:r>
      <w:r w:rsidRPr="00E669A7">
        <w:rPr>
          <w:rFonts w:ascii="Book Antiqua" w:hAnsi="Book Antiqua" w:cs="宋体"/>
          <w:sz w:val="24"/>
          <w:szCs w:val="24"/>
          <w:lang w:val="en-US" w:eastAsia="zh-CN"/>
        </w:rPr>
        <w:t>: 468-475 [PMID: 23234725</w:t>
      </w:r>
      <w:r>
        <w:rPr>
          <w:rFonts w:ascii="Book Antiqua" w:hAnsi="Book Antiqua" w:cs="宋体"/>
          <w:sz w:val="24"/>
          <w:szCs w:val="24"/>
          <w:lang w:val="en-US" w:eastAsia="zh-CN"/>
        </w:rPr>
        <w:t xml:space="preserve"> </w:t>
      </w:r>
      <w:r w:rsidRPr="00CA6458">
        <w:rPr>
          <w:rFonts w:ascii="Book Antiqua" w:hAnsi="Book Antiqua" w:cs="宋体"/>
          <w:sz w:val="24"/>
          <w:szCs w:val="24"/>
          <w:lang w:val="en-US" w:eastAsia="zh-CN"/>
        </w:rPr>
        <w:t>DOI: 10.1016/S0140-6736(12)61425-1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7 </w:t>
      </w:r>
      <w:r w:rsidRPr="00E669A7">
        <w:rPr>
          <w:rFonts w:ascii="Book Antiqua" w:hAnsi="Book Antiqua" w:cs="宋体"/>
          <w:b/>
          <w:bCs/>
          <w:sz w:val="24"/>
          <w:szCs w:val="24"/>
          <w:lang w:val="en-US" w:eastAsia="zh-CN"/>
        </w:rPr>
        <w:t>Chang TT</w:t>
      </w:r>
      <w:r w:rsidRPr="00E669A7">
        <w:rPr>
          <w:rFonts w:ascii="Book Antiqua" w:hAnsi="Book Antiqua" w:cs="宋体"/>
          <w:sz w:val="24"/>
          <w:szCs w:val="24"/>
          <w:lang w:val="en-US" w:eastAsia="zh-CN"/>
        </w:rPr>
        <w:t xml:space="preserve">, Gish RG, de Man R, </w:t>
      </w:r>
      <w:proofErr w:type="spellStart"/>
      <w:r w:rsidRPr="00E669A7">
        <w:rPr>
          <w:rFonts w:ascii="Book Antiqua" w:hAnsi="Book Antiqua" w:cs="宋体"/>
          <w:sz w:val="24"/>
          <w:szCs w:val="24"/>
          <w:lang w:val="en-US" w:eastAsia="zh-CN"/>
        </w:rPr>
        <w:t>Gadano</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Sollano</w:t>
      </w:r>
      <w:proofErr w:type="spellEnd"/>
      <w:r w:rsidRPr="00E669A7">
        <w:rPr>
          <w:rFonts w:ascii="Book Antiqua" w:hAnsi="Book Antiqua" w:cs="宋体"/>
          <w:sz w:val="24"/>
          <w:szCs w:val="24"/>
          <w:lang w:val="en-US" w:eastAsia="zh-CN"/>
        </w:rPr>
        <w:t xml:space="preserve"> J, Chao YC, </w:t>
      </w:r>
      <w:proofErr w:type="spellStart"/>
      <w:r w:rsidRPr="00E669A7">
        <w:rPr>
          <w:rFonts w:ascii="Book Antiqua" w:hAnsi="Book Antiqua" w:cs="宋体"/>
          <w:sz w:val="24"/>
          <w:szCs w:val="24"/>
          <w:lang w:val="en-US" w:eastAsia="zh-CN"/>
        </w:rPr>
        <w:t>Lok</w:t>
      </w:r>
      <w:proofErr w:type="spellEnd"/>
      <w:r w:rsidRPr="00E669A7">
        <w:rPr>
          <w:rFonts w:ascii="Book Antiqua" w:hAnsi="Book Antiqua" w:cs="宋体"/>
          <w:sz w:val="24"/>
          <w:szCs w:val="24"/>
          <w:lang w:val="en-US" w:eastAsia="zh-CN"/>
        </w:rPr>
        <w:t xml:space="preserve"> AS, Han KH, Goodman Z, Zhu J, Cross A, </w:t>
      </w:r>
      <w:proofErr w:type="spellStart"/>
      <w:r w:rsidRPr="00E669A7">
        <w:rPr>
          <w:rFonts w:ascii="Book Antiqua" w:hAnsi="Book Antiqua" w:cs="宋体"/>
          <w:sz w:val="24"/>
          <w:szCs w:val="24"/>
          <w:lang w:val="en-US" w:eastAsia="zh-CN"/>
        </w:rPr>
        <w:t>DeHertogh</w:t>
      </w:r>
      <w:proofErr w:type="spellEnd"/>
      <w:r w:rsidRPr="00E669A7">
        <w:rPr>
          <w:rFonts w:ascii="Book Antiqua" w:hAnsi="Book Antiqua" w:cs="宋体"/>
          <w:sz w:val="24"/>
          <w:szCs w:val="24"/>
          <w:lang w:val="en-US" w:eastAsia="zh-CN"/>
        </w:rPr>
        <w:t xml:space="preserve"> D, Wilber R, </w:t>
      </w:r>
      <w:proofErr w:type="spellStart"/>
      <w:r w:rsidRPr="00E669A7">
        <w:rPr>
          <w:rFonts w:ascii="Book Antiqua" w:hAnsi="Book Antiqua" w:cs="宋体"/>
          <w:sz w:val="24"/>
          <w:szCs w:val="24"/>
          <w:lang w:val="en-US" w:eastAsia="zh-CN"/>
        </w:rPr>
        <w:t>Colonno</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Apelian</w:t>
      </w:r>
      <w:proofErr w:type="spellEnd"/>
      <w:r w:rsidRPr="00E669A7">
        <w:rPr>
          <w:rFonts w:ascii="Book Antiqua" w:hAnsi="Book Antiqua" w:cs="宋体"/>
          <w:sz w:val="24"/>
          <w:szCs w:val="24"/>
          <w:lang w:val="en-US" w:eastAsia="zh-CN"/>
        </w:rPr>
        <w:t xml:space="preserve"> D. A comparison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and lamivudine for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-positive chronic hepatitis B. </w:t>
      </w:r>
      <w:r w:rsidRPr="00E669A7">
        <w:rPr>
          <w:rFonts w:ascii="Book Antiqua" w:hAnsi="Book Antiqua" w:cs="宋体"/>
          <w:i/>
          <w:iCs/>
          <w:sz w:val="24"/>
          <w:szCs w:val="24"/>
          <w:lang w:val="en-US" w:eastAsia="zh-CN"/>
        </w:rPr>
        <w:t xml:space="preserve">N </w:t>
      </w:r>
      <w:proofErr w:type="spellStart"/>
      <w:r w:rsidRPr="00E669A7">
        <w:rPr>
          <w:rFonts w:ascii="Book Antiqua" w:hAnsi="Book Antiqua" w:cs="宋体"/>
          <w:i/>
          <w:iCs/>
          <w:sz w:val="24"/>
          <w:szCs w:val="24"/>
          <w:lang w:val="en-US" w:eastAsia="zh-CN"/>
        </w:rPr>
        <w:t>Engl</w:t>
      </w:r>
      <w:proofErr w:type="spellEnd"/>
      <w:r w:rsidRPr="00E669A7">
        <w:rPr>
          <w:rFonts w:ascii="Book Antiqua" w:hAnsi="Book Antiqua" w:cs="宋体"/>
          <w:i/>
          <w:iCs/>
          <w:sz w:val="24"/>
          <w:szCs w:val="24"/>
          <w:lang w:val="en-US" w:eastAsia="zh-CN"/>
        </w:rPr>
        <w:t xml:space="preserve"> J Med</w:t>
      </w:r>
      <w:r w:rsidRPr="00E669A7">
        <w:rPr>
          <w:rFonts w:ascii="Book Antiqua" w:hAnsi="Book Antiqua" w:cs="宋体"/>
          <w:sz w:val="24"/>
          <w:szCs w:val="24"/>
          <w:lang w:val="en-US" w:eastAsia="zh-CN"/>
        </w:rPr>
        <w:t xml:space="preserve"> 2006; </w:t>
      </w:r>
      <w:r w:rsidRPr="00E669A7">
        <w:rPr>
          <w:rFonts w:ascii="Book Antiqua" w:hAnsi="Book Antiqua" w:cs="宋体"/>
          <w:b/>
          <w:bCs/>
          <w:sz w:val="24"/>
          <w:szCs w:val="24"/>
          <w:lang w:val="en-US" w:eastAsia="zh-CN"/>
        </w:rPr>
        <w:t>354</w:t>
      </w:r>
      <w:r w:rsidRPr="00E669A7">
        <w:rPr>
          <w:rFonts w:ascii="Book Antiqua" w:hAnsi="Book Antiqua" w:cs="宋体"/>
          <w:sz w:val="24"/>
          <w:szCs w:val="24"/>
          <w:lang w:val="en-US" w:eastAsia="zh-CN"/>
        </w:rPr>
        <w:t>: 1001-1010 [PMID: 16525137</w:t>
      </w:r>
      <w:r>
        <w:rPr>
          <w:rFonts w:ascii="Book Antiqua" w:hAnsi="Book Antiqua" w:cs="宋体"/>
          <w:sz w:val="24"/>
          <w:szCs w:val="24"/>
          <w:lang w:val="en-US" w:eastAsia="zh-CN"/>
        </w:rPr>
        <w:t xml:space="preserve"> </w:t>
      </w:r>
      <w:r w:rsidRPr="004A11F3">
        <w:rPr>
          <w:rFonts w:ascii="Book Antiqua" w:hAnsi="Book Antiqua" w:cs="宋体"/>
          <w:sz w:val="24"/>
          <w:szCs w:val="24"/>
          <w:lang w:val="en-US" w:eastAsia="zh-CN"/>
        </w:rPr>
        <w:t>DOI: 10.1056/NEJMoa051285</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8 </w:t>
      </w:r>
      <w:r w:rsidRPr="00E669A7">
        <w:rPr>
          <w:rFonts w:ascii="Book Antiqua" w:hAnsi="Book Antiqua" w:cs="宋体"/>
          <w:b/>
          <w:bCs/>
          <w:sz w:val="24"/>
          <w:szCs w:val="24"/>
          <w:lang w:val="en-US" w:eastAsia="zh-CN"/>
        </w:rPr>
        <w:t>Lai CL</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Shouval</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Lok</w:t>
      </w:r>
      <w:proofErr w:type="spellEnd"/>
      <w:r w:rsidRPr="00E669A7">
        <w:rPr>
          <w:rFonts w:ascii="Book Antiqua" w:hAnsi="Book Antiqua" w:cs="宋体"/>
          <w:sz w:val="24"/>
          <w:szCs w:val="24"/>
          <w:lang w:val="en-US" w:eastAsia="zh-CN"/>
        </w:rPr>
        <w:t xml:space="preserve"> AS, Chang TT, </w:t>
      </w:r>
      <w:proofErr w:type="spellStart"/>
      <w:r w:rsidRPr="00E669A7">
        <w:rPr>
          <w:rFonts w:ascii="Book Antiqua" w:hAnsi="Book Antiqua" w:cs="宋体"/>
          <w:sz w:val="24"/>
          <w:szCs w:val="24"/>
          <w:lang w:val="en-US" w:eastAsia="zh-CN"/>
        </w:rPr>
        <w:t>Cheinquer</w:t>
      </w:r>
      <w:proofErr w:type="spellEnd"/>
      <w:r w:rsidRPr="00E669A7">
        <w:rPr>
          <w:rFonts w:ascii="Book Antiqua" w:hAnsi="Book Antiqua" w:cs="宋体"/>
          <w:sz w:val="24"/>
          <w:szCs w:val="24"/>
          <w:lang w:val="en-US" w:eastAsia="zh-CN"/>
        </w:rPr>
        <w:t xml:space="preserve"> H, Goodman Z, </w:t>
      </w:r>
      <w:proofErr w:type="spellStart"/>
      <w:r w:rsidRPr="00E669A7">
        <w:rPr>
          <w:rFonts w:ascii="Book Antiqua" w:hAnsi="Book Antiqua" w:cs="宋体"/>
          <w:sz w:val="24"/>
          <w:szCs w:val="24"/>
          <w:lang w:val="en-US" w:eastAsia="zh-CN"/>
        </w:rPr>
        <w:t>DeHertogh</w:t>
      </w:r>
      <w:proofErr w:type="spellEnd"/>
      <w:r w:rsidRPr="00E669A7">
        <w:rPr>
          <w:rFonts w:ascii="Book Antiqua" w:hAnsi="Book Antiqua" w:cs="宋体"/>
          <w:sz w:val="24"/>
          <w:szCs w:val="24"/>
          <w:lang w:val="en-US" w:eastAsia="zh-CN"/>
        </w:rPr>
        <w:t xml:space="preserve"> D, Wilber R, Zink RC, Cross A, </w:t>
      </w:r>
      <w:proofErr w:type="spellStart"/>
      <w:r w:rsidRPr="00E669A7">
        <w:rPr>
          <w:rFonts w:ascii="Book Antiqua" w:hAnsi="Book Antiqua" w:cs="宋体"/>
          <w:sz w:val="24"/>
          <w:szCs w:val="24"/>
          <w:lang w:val="en-US" w:eastAsia="zh-CN"/>
        </w:rPr>
        <w:t>Colonno</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Fernandes</w:t>
      </w:r>
      <w:proofErr w:type="spellEnd"/>
      <w:r w:rsidRPr="00E669A7">
        <w:rPr>
          <w:rFonts w:ascii="Book Antiqua" w:hAnsi="Book Antiqua" w:cs="宋体"/>
          <w:sz w:val="24"/>
          <w:szCs w:val="24"/>
          <w:lang w:val="en-US" w:eastAsia="zh-CN"/>
        </w:rPr>
        <w:t xml:space="preserve"> L.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versus lamivudine for patients with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-negative chronic hepatitis B. </w:t>
      </w:r>
      <w:r w:rsidRPr="00E669A7">
        <w:rPr>
          <w:rFonts w:ascii="Book Antiqua" w:hAnsi="Book Antiqua" w:cs="宋体"/>
          <w:i/>
          <w:iCs/>
          <w:sz w:val="24"/>
          <w:szCs w:val="24"/>
          <w:lang w:val="en-US" w:eastAsia="zh-CN"/>
        </w:rPr>
        <w:t xml:space="preserve">N </w:t>
      </w:r>
      <w:proofErr w:type="spellStart"/>
      <w:r w:rsidRPr="00E669A7">
        <w:rPr>
          <w:rFonts w:ascii="Book Antiqua" w:hAnsi="Book Antiqua" w:cs="宋体"/>
          <w:i/>
          <w:iCs/>
          <w:sz w:val="24"/>
          <w:szCs w:val="24"/>
          <w:lang w:val="en-US" w:eastAsia="zh-CN"/>
        </w:rPr>
        <w:t>Engl</w:t>
      </w:r>
      <w:proofErr w:type="spellEnd"/>
      <w:r w:rsidRPr="00E669A7">
        <w:rPr>
          <w:rFonts w:ascii="Book Antiqua" w:hAnsi="Book Antiqua" w:cs="宋体"/>
          <w:i/>
          <w:iCs/>
          <w:sz w:val="24"/>
          <w:szCs w:val="24"/>
          <w:lang w:val="en-US" w:eastAsia="zh-CN"/>
        </w:rPr>
        <w:t xml:space="preserve"> J Med</w:t>
      </w:r>
      <w:r w:rsidRPr="00E669A7">
        <w:rPr>
          <w:rFonts w:ascii="Book Antiqua" w:hAnsi="Book Antiqua" w:cs="宋体"/>
          <w:sz w:val="24"/>
          <w:szCs w:val="24"/>
          <w:lang w:val="en-US" w:eastAsia="zh-CN"/>
        </w:rPr>
        <w:t xml:space="preserve"> 2006; </w:t>
      </w:r>
      <w:r w:rsidRPr="00E669A7">
        <w:rPr>
          <w:rFonts w:ascii="Book Antiqua" w:hAnsi="Book Antiqua" w:cs="宋体"/>
          <w:b/>
          <w:bCs/>
          <w:sz w:val="24"/>
          <w:szCs w:val="24"/>
          <w:lang w:val="en-US" w:eastAsia="zh-CN"/>
        </w:rPr>
        <w:t>354</w:t>
      </w:r>
      <w:r w:rsidRPr="00E669A7">
        <w:rPr>
          <w:rFonts w:ascii="Book Antiqua" w:hAnsi="Book Antiqua" w:cs="宋体"/>
          <w:sz w:val="24"/>
          <w:szCs w:val="24"/>
          <w:lang w:val="en-US" w:eastAsia="zh-CN"/>
        </w:rPr>
        <w:t>: 1011-1020 [PMID: 16525138</w:t>
      </w:r>
      <w:r>
        <w:rPr>
          <w:rFonts w:ascii="Book Antiqua" w:hAnsi="Book Antiqua" w:cs="宋体"/>
          <w:sz w:val="24"/>
          <w:szCs w:val="24"/>
          <w:lang w:val="en-US" w:eastAsia="zh-CN"/>
        </w:rPr>
        <w:t xml:space="preserve"> </w:t>
      </w:r>
      <w:r w:rsidRPr="00301897">
        <w:rPr>
          <w:rFonts w:ascii="Book Antiqua" w:hAnsi="Book Antiqua" w:cs="宋体"/>
          <w:sz w:val="24"/>
          <w:szCs w:val="24"/>
          <w:lang w:val="en-US" w:eastAsia="zh-CN"/>
        </w:rPr>
        <w:t>DOI: 10.1056/NEJMoa051287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9 </w:t>
      </w:r>
      <w:r w:rsidRPr="00E669A7">
        <w:rPr>
          <w:rFonts w:ascii="Book Antiqua" w:hAnsi="Book Antiqua" w:cs="宋体"/>
          <w:b/>
          <w:bCs/>
          <w:sz w:val="24"/>
          <w:szCs w:val="24"/>
          <w:lang w:val="en-US" w:eastAsia="zh-CN"/>
        </w:rPr>
        <w:t>Gish RG</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Lok</w:t>
      </w:r>
      <w:proofErr w:type="spellEnd"/>
      <w:r w:rsidRPr="00E669A7">
        <w:rPr>
          <w:rFonts w:ascii="Book Antiqua" w:hAnsi="Book Antiqua" w:cs="宋体"/>
          <w:sz w:val="24"/>
          <w:szCs w:val="24"/>
          <w:lang w:val="en-US" w:eastAsia="zh-CN"/>
        </w:rPr>
        <w:t xml:space="preserve"> AS, Chang TT, de Man RA, </w:t>
      </w:r>
      <w:proofErr w:type="spellStart"/>
      <w:r w:rsidRPr="00E669A7">
        <w:rPr>
          <w:rFonts w:ascii="Book Antiqua" w:hAnsi="Book Antiqua" w:cs="宋体"/>
          <w:sz w:val="24"/>
          <w:szCs w:val="24"/>
          <w:lang w:val="en-US" w:eastAsia="zh-CN"/>
        </w:rPr>
        <w:t>Gadano</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Sollano</w:t>
      </w:r>
      <w:proofErr w:type="spellEnd"/>
      <w:r w:rsidRPr="00E669A7">
        <w:rPr>
          <w:rFonts w:ascii="Book Antiqua" w:hAnsi="Book Antiqua" w:cs="宋体"/>
          <w:sz w:val="24"/>
          <w:szCs w:val="24"/>
          <w:lang w:val="en-US" w:eastAsia="zh-CN"/>
        </w:rPr>
        <w:t xml:space="preserve"> J, Han KH, Chao YC, Lee SD, Harris M, Yang J, </w:t>
      </w:r>
      <w:proofErr w:type="spellStart"/>
      <w:r w:rsidRPr="00E669A7">
        <w:rPr>
          <w:rFonts w:ascii="Book Antiqua" w:hAnsi="Book Antiqua" w:cs="宋体"/>
          <w:sz w:val="24"/>
          <w:szCs w:val="24"/>
          <w:lang w:val="en-US" w:eastAsia="zh-CN"/>
        </w:rPr>
        <w:t>Colonno</w:t>
      </w:r>
      <w:proofErr w:type="spellEnd"/>
      <w:r w:rsidRPr="00E669A7">
        <w:rPr>
          <w:rFonts w:ascii="Book Antiqua" w:hAnsi="Book Antiqua" w:cs="宋体"/>
          <w:sz w:val="24"/>
          <w:szCs w:val="24"/>
          <w:lang w:val="en-US" w:eastAsia="zh-CN"/>
        </w:rPr>
        <w:t xml:space="preserve"> R, Brett-Smith H.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for up to 96 weeks in patients with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-positive chronic hepatitis B. </w:t>
      </w:r>
      <w:r w:rsidRPr="00E669A7">
        <w:rPr>
          <w:rFonts w:ascii="Book Antiqua" w:hAnsi="Book Antiqua" w:cs="宋体"/>
          <w:i/>
          <w:iCs/>
          <w:sz w:val="24"/>
          <w:szCs w:val="24"/>
          <w:lang w:val="en-US" w:eastAsia="zh-CN"/>
        </w:rPr>
        <w:t>Gastroenterology</w:t>
      </w:r>
      <w:r w:rsidRPr="00E669A7">
        <w:rPr>
          <w:rFonts w:ascii="Book Antiqua" w:hAnsi="Book Antiqua" w:cs="宋体"/>
          <w:sz w:val="24"/>
          <w:szCs w:val="24"/>
          <w:lang w:val="en-US" w:eastAsia="zh-CN"/>
        </w:rPr>
        <w:t xml:space="preserve"> 2007; </w:t>
      </w:r>
      <w:r w:rsidRPr="00E669A7">
        <w:rPr>
          <w:rFonts w:ascii="Book Antiqua" w:hAnsi="Book Antiqua" w:cs="宋体"/>
          <w:b/>
          <w:bCs/>
          <w:sz w:val="24"/>
          <w:szCs w:val="24"/>
          <w:lang w:val="en-US" w:eastAsia="zh-CN"/>
        </w:rPr>
        <w:t>133</w:t>
      </w:r>
      <w:r w:rsidRPr="00E669A7">
        <w:rPr>
          <w:rFonts w:ascii="Book Antiqua" w:hAnsi="Book Antiqua" w:cs="宋体"/>
          <w:sz w:val="24"/>
          <w:szCs w:val="24"/>
          <w:lang w:val="en-US" w:eastAsia="zh-CN"/>
        </w:rPr>
        <w:t>: 1437-1444 [PMID: 17983800</w:t>
      </w:r>
      <w:r>
        <w:rPr>
          <w:rFonts w:ascii="Book Antiqua" w:hAnsi="Book Antiqua" w:cs="宋体"/>
          <w:sz w:val="24"/>
          <w:szCs w:val="24"/>
          <w:lang w:val="en-US" w:eastAsia="zh-CN"/>
        </w:rPr>
        <w:t xml:space="preserve"> </w:t>
      </w:r>
      <w:r w:rsidRPr="009172F9">
        <w:rPr>
          <w:rFonts w:ascii="Book Antiqua" w:hAnsi="Book Antiqua" w:cs="宋体"/>
          <w:sz w:val="24"/>
          <w:szCs w:val="24"/>
          <w:lang w:val="en-US" w:eastAsia="zh-CN"/>
        </w:rPr>
        <w:t>DOI: 10.1053/j.gastro.2007.08.025</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10 </w:t>
      </w:r>
      <w:proofErr w:type="spellStart"/>
      <w:r w:rsidRPr="00E669A7">
        <w:rPr>
          <w:rFonts w:ascii="Book Antiqua" w:hAnsi="Book Antiqua" w:cs="宋体"/>
          <w:b/>
          <w:sz w:val="24"/>
          <w:szCs w:val="24"/>
          <w:lang w:val="en-US" w:eastAsia="zh-CN"/>
        </w:rPr>
        <w:t>Shouval</w:t>
      </w:r>
      <w:proofErr w:type="spellEnd"/>
      <w:r w:rsidRPr="00E669A7">
        <w:rPr>
          <w:rFonts w:ascii="Book Antiqua" w:hAnsi="Book Antiqua" w:cs="宋体"/>
          <w:b/>
          <w:sz w:val="24"/>
          <w:szCs w:val="24"/>
          <w:lang w:val="en-US" w:eastAsia="zh-CN"/>
        </w:rPr>
        <w:t xml:space="preserve"> D</w:t>
      </w:r>
      <w:r w:rsidRPr="00E669A7">
        <w:rPr>
          <w:rFonts w:ascii="Book Antiqua" w:hAnsi="Book Antiqua" w:cs="宋体"/>
          <w:sz w:val="24"/>
          <w:szCs w:val="24"/>
          <w:lang w:val="en-US" w:eastAsia="zh-CN"/>
        </w:rPr>
        <w:t xml:space="preserve">, Lai CL, Chang TT, </w:t>
      </w:r>
      <w:proofErr w:type="spellStart"/>
      <w:r w:rsidRPr="00E669A7">
        <w:rPr>
          <w:rFonts w:ascii="Book Antiqua" w:hAnsi="Book Antiqua" w:cs="宋体"/>
          <w:sz w:val="24"/>
          <w:szCs w:val="24"/>
          <w:lang w:val="en-US" w:eastAsia="zh-CN"/>
        </w:rPr>
        <w:t>Gadano</w:t>
      </w:r>
      <w:proofErr w:type="spellEnd"/>
      <w:r w:rsidRPr="00E669A7">
        <w:rPr>
          <w:rFonts w:ascii="Book Antiqua" w:hAnsi="Book Antiqua" w:cs="宋体"/>
          <w:sz w:val="24"/>
          <w:szCs w:val="24"/>
          <w:lang w:val="en-US" w:eastAsia="zh-CN"/>
        </w:rPr>
        <w:t xml:space="preserve"> A, Shun-Sheng W, </w:t>
      </w:r>
      <w:proofErr w:type="spellStart"/>
      <w:r w:rsidRPr="00E669A7">
        <w:rPr>
          <w:rFonts w:ascii="Book Antiqua" w:hAnsi="Book Antiqua" w:cs="宋体"/>
          <w:sz w:val="24"/>
          <w:szCs w:val="24"/>
          <w:lang w:val="en-US" w:eastAsia="zh-CN"/>
        </w:rPr>
        <w:t>Halota</w:t>
      </w:r>
      <w:proofErr w:type="spellEnd"/>
      <w:r w:rsidRPr="00E669A7">
        <w:rPr>
          <w:rFonts w:ascii="Book Antiqua" w:hAnsi="Book Antiqua" w:cs="宋体"/>
          <w:sz w:val="24"/>
          <w:szCs w:val="24"/>
          <w:lang w:val="en-US" w:eastAsia="zh-CN"/>
        </w:rPr>
        <w:t xml:space="preserve"> W, Sievert W. </w:t>
      </w:r>
      <w:proofErr w:type="gramStart"/>
      <w:r w:rsidRPr="00E669A7">
        <w:rPr>
          <w:rFonts w:ascii="Book Antiqua" w:hAnsi="Book Antiqua" w:cs="宋体"/>
          <w:sz w:val="24"/>
          <w:szCs w:val="24"/>
          <w:lang w:val="en-US" w:eastAsia="zh-CN"/>
        </w:rPr>
        <w:t xml:space="preserve">Three years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re-treatment of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 (-)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patients who </w:t>
      </w:r>
      <w:r w:rsidRPr="00E669A7">
        <w:rPr>
          <w:rFonts w:ascii="Book Antiqua" w:hAnsi="Book Antiqua" w:cs="宋体"/>
          <w:sz w:val="24"/>
          <w:szCs w:val="24"/>
          <w:lang w:val="en-US" w:eastAsia="zh-CN"/>
        </w:rPr>
        <w:lastRenderedPageBreak/>
        <w:t xml:space="preserve">previously discontinued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results from stu</w:t>
      </w:r>
      <w:r>
        <w:rPr>
          <w:rFonts w:ascii="Book Antiqua" w:hAnsi="Book Antiqua" w:cs="宋体"/>
          <w:sz w:val="24"/>
          <w:szCs w:val="24"/>
          <w:lang w:val="en-US" w:eastAsia="zh-CN"/>
        </w:rPr>
        <w:t>dy ETV-901.</w:t>
      </w:r>
      <w:proofErr w:type="gramEnd"/>
      <w:r>
        <w:rPr>
          <w:rFonts w:ascii="Book Antiqua" w:hAnsi="Book Antiqua" w:cs="宋体"/>
          <w:sz w:val="24"/>
          <w:szCs w:val="24"/>
          <w:lang w:val="en-US" w:eastAsia="zh-CN"/>
        </w:rPr>
        <w:t xml:space="preserve"> </w:t>
      </w:r>
      <w:proofErr w:type="spellStart"/>
      <w:r w:rsidRPr="00DD4102">
        <w:rPr>
          <w:rFonts w:ascii="Book Antiqua" w:hAnsi="Book Antiqua" w:cs="宋体"/>
          <w:i/>
          <w:sz w:val="24"/>
          <w:szCs w:val="24"/>
          <w:lang w:val="en-US" w:eastAsia="zh-CN"/>
        </w:rPr>
        <w:t>Hepatology</w:t>
      </w:r>
      <w:proofErr w:type="spellEnd"/>
      <w:r>
        <w:rPr>
          <w:rFonts w:ascii="Book Antiqua" w:hAnsi="Book Antiqua" w:cs="宋体"/>
          <w:sz w:val="24"/>
          <w:szCs w:val="24"/>
          <w:lang w:val="en-US" w:eastAsia="zh-CN"/>
        </w:rPr>
        <w:t xml:space="preserve"> 2008; </w:t>
      </w:r>
      <w:r w:rsidRPr="00DD4102">
        <w:rPr>
          <w:rFonts w:ascii="Book Antiqua" w:hAnsi="Book Antiqua" w:cs="宋体"/>
          <w:b/>
          <w:sz w:val="24"/>
          <w:szCs w:val="24"/>
          <w:lang w:val="en-US" w:eastAsia="zh-CN"/>
        </w:rPr>
        <w:t>48</w:t>
      </w:r>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Suppl</w:t>
      </w:r>
      <w:r>
        <w:rPr>
          <w:rFonts w:ascii="Book Antiqua" w:hAnsi="Book Antiqua" w:cs="宋体"/>
          <w:sz w:val="24"/>
          <w:szCs w:val="24"/>
          <w:lang w:val="en-US" w:eastAsia="zh-CN"/>
        </w:rPr>
        <w:t>e 1</w:t>
      </w:r>
      <w:r w:rsidRPr="00E669A7">
        <w:rPr>
          <w:rFonts w:ascii="Book Antiqua" w:hAnsi="Book Antiqua" w:cs="宋体"/>
          <w:sz w:val="24"/>
          <w:szCs w:val="24"/>
          <w:lang w:val="en-US" w:eastAsia="zh-CN"/>
        </w:rPr>
        <w:t>: Abs</w:t>
      </w:r>
      <w:r>
        <w:rPr>
          <w:rFonts w:ascii="Book Antiqua" w:hAnsi="Book Antiqua" w:cs="宋体"/>
          <w:sz w:val="24"/>
          <w:szCs w:val="24"/>
          <w:lang w:val="en-US" w:eastAsia="zh-CN"/>
        </w:rPr>
        <w:t>tract 927</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11 </w:t>
      </w:r>
      <w:r w:rsidRPr="00E669A7">
        <w:rPr>
          <w:rFonts w:ascii="Book Antiqua" w:hAnsi="Book Antiqua" w:cs="宋体"/>
          <w:b/>
          <w:bCs/>
          <w:sz w:val="24"/>
          <w:szCs w:val="24"/>
          <w:lang w:val="en-US" w:eastAsia="zh-CN"/>
        </w:rPr>
        <w:t>Chang TT</w:t>
      </w:r>
      <w:r w:rsidRPr="00E669A7">
        <w:rPr>
          <w:rFonts w:ascii="Book Antiqua" w:hAnsi="Book Antiqua" w:cs="宋体"/>
          <w:sz w:val="24"/>
          <w:szCs w:val="24"/>
          <w:lang w:val="en-US" w:eastAsia="zh-CN"/>
        </w:rPr>
        <w:t xml:space="preserve">, Lai CL, Kew Yoon S, Lee SS, Coelho HS, </w:t>
      </w:r>
      <w:proofErr w:type="spellStart"/>
      <w:r w:rsidRPr="00E669A7">
        <w:rPr>
          <w:rFonts w:ascii="Book Antiqua" w:hAnsi="Book Antiqua" w:cs="宋体"/>
          <w:sz w:val="24"/>
          <w:szCs w:val="24"/>
          <w:lang w:val="en-US" w:eastAsia="zh-CN"/>
        </w:rPr>
        <w:t>Carrilho</w:t>
      </w:r>
      <w:proofErr w:type="spellEnd"/>
      <w:r w:rsidRPr="00E669A7">
        <w:rPr>
          <w:rFonts w:ascii="Book Antiqua" w:hAnsi="Book Antiqua" w:cs="宋体"/>
          <w:sz w:val="24"/>
          <w:szCs w:val="24"/>
          <w:lang w:val="en-US" w:eastAsia="zh-CN"/>
        </w:rPr>
        <w:t xml:space="preserve"> FJ, </w:t>
      </w:r>
      <w:proofErr w:type="spellStart"/>
      <w:r w:rsidRPr="00E669A7">
        <w:rPr>
          <w:rFonts w:ascii="Book Antiqua" w:hAnsi="Book Antiqua" w:cs="宋体"/>
          <w:sz w:val="24"/>
          <w:szCs w:val="24"/>
          <w:lang w:val="en-US" w:eastAsia="zh-CN"/>
        </w:rPr>
        <w:t>Poordad</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Halota</w:t>
      </w:r>
      <w:proofErr w:type="spellEnd"/>
      <w:r w:rsidRPr="00E669A7">
        <w:rPr>
          <w:rFonts w:ascii="Book Antiqua" w:hAnsi="Book Antiqua" w:cs="宋体"/>
          <w:sz w:val="24"/>
          <w:szCs w:val="24"/>
          <w:lang w:val="en-US" w:eastAsia="zh-CN"/>
        </w:rPr>
        <w:t xml:space="preserve"> W, </w:t>
      </w:r>
      <w:proofErr w:type="spellStart"/>
      <w:r w:rsidRPr="00E669A7">
        <w:rPr>
          <w:rFonts w:ascii="Book Antiqua" w:hAnsi="Book Antiqua" w:cs="宋体"/>
          <w:sz w:val="24"/>
          <w:szCs w:val="24"/>
          <w:lang w:val="en-US" w:eastAsia="zh-CN"/>
        </w:rPr>
        <w:t>Horsmans</w:t>
      </w:r>
      <w:proofErr w:type="spellEnd"/>
      <w:r w:rsidRPr="00E669A7">
        <w:rPr>
          <w:rFonts w:ascii="Book Antiqua" w:hAnsi="Book Antiqua" w:cs="宋体"/>
          <w:sz w:val="24"/>
          <w:szCs w:val="24"/>
          <w:lang w:val="en-US" w:eastAsia="zh-CN"/>
        </w:rPr>
        <w:t xml:space="preserve"> Y, Tsai N, Zhang H, </w:t>
      </w:r>
      <w:proofErr w:type="spellStart"/>
      <w:r w:rsidRPr="00E669A7">
        <w:rPr>
          <w:rFonts w:ascii="Book Antiqua" w:hAnsi="Book Antiqua" w:cs="宋体"/>
          <w:sz w:val="24"/>
          <w:szCs w:val="24"/>
          <w:lang w:val="en-US" w:eastAsia="zh-CN"/>
        </w:rPr>
        <w:t>Tenney</w:t>
      </w:r>
      <w:proofErr w:type="spellEnd"/>
      <w:r w:rsidRPr="00E669A7">
        <w:rPr>
          <w:rFonts w:ascii="Book Antiqua" w:hAnsi="Book Antiqua" w:cs="宋体"/>
          <w:sz w:val="24"/>
          <w:szCs w:val="24"/>
          <w:lang w:val="en-US" w:eastAsia="zh-CN"/>
        </w:rPr>
        <w:t xml:space="preserve"> DJ, </w:t>
      </w:r>
      <w:proofErr w:type="spellStart"/>
      <w:r w:rsidRPr="00E669A7">
        <w:rPr>
          <w:rFonts w:ascii="Book Antiqua" w:hAnsi="Book Antiqua" w:cs="宋体"/>
          <w:sz w:val="24"/>
          <w:szCs w:val="24"/>
          <w:lang w:val="en-US" w:eastAsia="zh-CN"/>
        </w:rPr>
        <w:t>Tamez</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Iloeje</w:t>
      </w:r>
      <w:proofErr w:type="spellEnd"/>
      <w:r w:rsidRPr="00E669A7">
        <w:rPr>
          <w:rFonts w:ascii="Book Antiqua" w:hAnsi="Book Antiqua" w:cs="宋体"/>
          <w:sz w:val="24"/>
          <w:szCs w:val="24"/>
          <w:lang w:val="en-US" w:eastAsia="zh-CN"/>
        </w:rPr>
        <w:t xml:space="preserve"> U.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treatment for up to 5 years in patients with hepatitis B e antigen-positive chronic hepatitis B.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2010; </w:t>
      </w:r>
      <w:r w:rsidRPr="00E669A7">
        <w:rPr>
          <w:rFonts w:ascii="Book Antiqua" w:hAnsi="Book Antiqua" w:cs="宋体"/>
          <w:b/>
          <w:bCs/>
          <w:sz w:val="24"/>
          <w:szCs w:val="24"/>
          <w:lang w:val="en-US" w:eastAsia="zh-CN"/>
        </w:rPr>
        <w:t>51</w:t>
      </w:r>
      <w:r w:rsidRPr="00E669A7">
        <w:rPr>
          <w:rFonts w:ascii="Book Antiqua" w:hAnsi="Book Antiqua" w:cs="宋体"/>
          <w:sz w:val="24"/>
          <w:szCs w:val="24"/>
          <w:lang w:val="en-US" w:eastAsia="zh-CN"/>
        </w:rPr>
        <w:t>: 422-430 [PMID: 20049753</w:t>
      </w:r>
      <w:r>
        <w:rPr>
          <w:rFonts w:ascii="Book Antiqua" w:hAnsi="Book Antiqua" w:cs="宋体"/>
          <w:sz w:val="24"/>
          <w:szCs w:val="24"/>
          <w:lang w:val="en-US" w:eastAsia="zh-CN"/>
        </w:rPr>
        <w:t xml:space="preserve"> </w:t>
      </w:r>
      <w:r w:rsidRPr="0051293B">
        <w:rPr>
          <w:rFonts w:ascii="Book Antiqua" w:hAnsi="Book Antiqua" w:cs="宋体"/>
          <w:sz w:val="24"/>
          <w:szCs w:val="24"/>
          <w:lang w:val="en-US" w:eastAsia="zh-CN"/>
        </w:rPr>
        <w:t>DOI: 10.1002/hep.23327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12 </w:t>
      </w:r>
      <w:proofErr w:type="spellStart"/>
      <w:r w:rsidRPr="00E669A7">
        <w:rPr>
          <w:rFonts w:ascii="Book Antiqua" w:hAnsi="Book Antiqua" w:cs="宋体"/>
          <w:b/>
          <w:bCs/>
          <w:sz w:val="24"/>
          <w:szCs w:val="24"/>
          <w:lang w:val="en-US" w:eastAsia="zh-CN"/>
        </w:rPr>
        <w:t>Tenney</w:t>
      </w:r>
      <w:proofErr w:type="spellEnd"/>
      <w:r w:rsidRPr="00E669A7">
        <w:rPr>
          <w:rFonts w:ascii="Book Antiqua" w:hAnsi="Book Antiqua" w:cs="宋体"/>
          <w:b/>
          <w:bCs/>
          <w:sz w:val="24"/>
          <w:szCs w:val="24"/>
          <w:lang w:val="en-US" w:eastAsia="zh-CN"/>
        </w:rPr>
        <w:t xml:space="preserve"> DJ</w:t>
      </w:r>
      <w:r w:rsidRPr="00E669A7">
        <w:rPr>
          <w:rFonts w:ascii="Book Antiqua" w:hAnsi="Book Antiqua" w:cs="宋体"/>
          <w:sz w:val="24"/>
          <w:szCs w:val="24"/>
          <w:lang w:val="en-US" w:eastAsia="zh-CN"/>
        </w:rPr>
        <w:t xml:space="preserve">, Rose RE, </w:t>
      </w:r>
      <w:proofErr w:type="spellStart"/>
      <w:r w:rsidRPr="00E669A7">
        <w:rPr>
          <w:rFonts w:ascii="Book Antiqua" w:hAnsi="Book Antiqua" w:cs="宋体"/>
          <w:sz w:val="24"/>
          <w:szCs w:val="24"/>
          <w:lang w:val="en-US" w:eastAsia="zh-CN"/>
        </w:rPr>
        <w:t>Baldick</w:t>
      </w:r>
      <w:proofErr w:type="spellEnd"/>
      <w:r w:rsidRPr="00E669A7">
        <w:rPr>
          <w:rFonts w:ascii="Book Antiqua" w:hAnsi="Book Antiqua" w:cs="宋体"/>
          <w:sz w:val="24"/>
          <w:szCs w:val="24"/>
          <w:lang w:val="en-US" w:eastAsia="zh-CN"/>
        </w:rPr>
        <w:t xml:space="preserve"> CJ, </w:t>
      </w:r>
      <w:proofErr w:type="spellStart"/>
      <w:r w:rsidRPr="00E669A7">
        <w:rPr>
          <w:rFonts w:ascii="Book Antiqua" w:hAnsi="Book Antiqua" w:cs="宋体"/>
          <w:sz w:val="24"/>
          <w:szCs w:val="24"/>
          <w:lang w:val="en-US" w:eastAsia="zh-CN"/>
        </w:rPr>
        <w:t>Pokornowski</w:t>
      </w:r>
      <w:proofErr w:type="spellEnd"/>
      <w:r w:rsidRPr="00E669A7">
        <w:rPr>
          <w:rFonts w:ascii="Book Antiqua" w:hAnsi="Book Antiqua" w:cs="宋体"/>
          <w:sz w:val="24"/>
          <w:szCs w:val="24"/>
          <w:lang w:val="en-US" w:eastAsia="zh-CN"/>
        </w:rPr>
        <w:t xml:space="preserve"> KA, Eggers BJ, Fang J, </w:t>
      </w:r>
      <w:proofErr w:type="spellStart"/>
      <w:r w:rsidRPr="00E669A7">
        <w:rPr>
          <w:rFonts w:ascii="Book Antiqua" w:hAnsi="Book Antiqua" w:cs="宋体"/>
          <w:sz w:val="24"/>
          <w:szCs w:val="24"/>
          <w:lang w:val="en-US" w:eastAsia="zh-CN"/>
        </w:rPr>
        <w:t>Wichroski</w:t>
      </w:r>
      <w:proofErr w:type="spellEnd"/>
      <w:r w:rsidRPr="00E669A7">
        <w:rPr>
          <w:rFonts w:ascii="Book Antiqua" w:hAnsi="Book Antiqua" w:cs="宋体"/>
          <w:sz w:val="24"/>
          <w:szCs w:val="24"/>
          <w:lang w:val="en-US" w:eastAsia="zh-CN"/>
        </w:rPr>
        <w:t xml:space="preserve"> MJ, Xu D, Yang J, Wilber RB, </w:t>
      </w:r>
      <w:proofErr w:type="spellStart"/>
      <w:r w:rsidRPr="00E669A7">
        <w:rPr>
          <w:rFonts w:ascii="Book Antiqua" w:hAnsi="Book Antiqua" w:cs="宋体"/>
          <w:sz w:val="24"/>
          <w:szCs w:val="24"/>
          <w:lang w:val="en-US" w:eastAsia="zh-CN"/>
        </w:rPr>
        <w:t>Colonno</w:t>
      </w:r>
      <w:proofErr w:type="spellEnd"/>
      <w:r w:rsidRPr="00E669A7">
        <w:rPr>
          <w:rFonts w:ascii="Book Antiqua" w:hAnsi="Book Antiqua" w:cs="宋体"/>
          <w:sz w:val="24"/>
          <w:szCs w:val="24"/>
          <w:lang w:val="en-US" w:eastAsia="zh-CN"/>
        </w:rPr>
        <w:t xml:space="preserve"> RJ. Long-term monitoring shows hepatitis B virus resistance to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nucleoside-naïve patients is rare through 5 years of therapy.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2009; </w:t>
      </w:r>
      <w:r w:rsidRPr="00E669A7">
        <w:rPr>
          <w:rFonts w:ascii="Book Antiqua" w:hAnsi="Book Antiqua" w:cs="宋体"/>
          <w:b/>
          <w:bCs/>
          <w:sz w:val="24"/>
          <w:szCs w:val="24"/>
          <w:lang w:val="en-US" w:eastAsia="zh-CN"/>
        </w:rPr>
        <w:t>49</w:t>
      </w:r>
      <w:r w:rsidRPr="00E669A7">
        <w:rPr>
          <w:rFonts w:ascii="Book Antiqua" w:hAnsi="Book Antiqua" w:cs="宋体"/>
          <w:sz w:val="24"/>
          <w:szCs w:val="24"/>
          <w:lang w:val="en-US" w:eastAsia="zh-CN"/>
        </w:rPr>
        <w:t>: 1503-1514 [PMID: 19280622</w:t>
      </w:r>
      <w:r>
        <w:rPr>
          <w:rFonts w:ascii="Book Antiqua" w:hAnsi="Book Antiqua" w:cs="宋体"/>
          <w:sz w:val="24"/>
          <w:szCs w:val="24"/>
          <w:lang w:val="en-US" w:eastAsia="zh-CN"/>
        </w:rPr>
        <w:t xml:space="preserve"> </w:t>
      </w:r>
      <w:r w:rsidRPr="001E5101">
        <w:rPr>
          <w:rFonts w:ascii="Book Antiqua" w:hAnsi="Book Antiqua" w:cs="宋体"/>
          <w:sz w:val="24"/>
          <w:szCs w:val="24"/>
          <w:lang w:val="en-US" w:eastAsia="zh-CN"/>
        </w:rPr>
        <w:t>DOI: 10.1002/hep.22841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13 </w:t>
      </w:r>
      <w:proofErr w:type="spellStart"/>
      <w:r w:rsidRPr="00E669A7">
        <w:rPr>
          <w:rFonts w:ascii="Book Antiqua" w:hAnsi="Book Antiqua" w:cs="宋体"/>
          <w:b/>
          <w:bCs/>
          <w:sz w:val="24"/>
          <w:szCs w:val="24"/>
          <w:lang w:val="en-US" w:eastAsia="zh-CN"/>
        </w:rPr>
        <w:t>Manns</w:t>
      </w:r>
      <w:proofErr w:type="spellEnd"/>
      <w:r w:rsidRPr="00E669A7">
        <w:rPr>
          <w:rFonts w:ascii="Book Antiqua" w:hAnsi="Book Antiqua" w:cs="宋体"/>
          <w:b/>
          <w:bCs/>
          <w:sz w:val="24"/>
          <w:szCs w:val="24"/>
          <w:lang w:val="en-US" w:eastAsia="zh-CN"/>
        </w:rPr>
        <w:t xml:space="preserve"> MP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Akarca</w:t>
      </w:r>
      <w:proofErr w:type="spellEnd"/>
      <w:r w:rsidRPr="00E669A7">
        <w:rPr>
          <w:rFonts w:ascii="Book Antiqua" w:hAnsi="Book Antiqua" w:cs="宋体"/>
          <w:sz w:val="24"/>
          <w:szCs w:val="24"/>
          <w:lang w:val="en-US" w:eastAsia="zh-CN"/>
        </w:rPr>
        <w:t xml:space="preserve"> US, Chang TT, Sievert W, Yoon SK, Tsai N, Min A, </w:t>
      </w:r>
      <w:proofErr w:type="spellStart"/>
      <w:r w:rsidRPr="00E669A7">
        <w:rPr>
          <w:rFonts w:ascii="Book Antiqua" w:hAnsi="Book Antiqua" w:cs="宋体"/>
          <w:sz w:val="24"/>
          <w:szCs w:val="24"/>
          <w:lang w:val="en-US" w:eastAsia="zh-CN"/>
        </w:rPr>
        <w:t>Pangerl</w:t>
      </w:r>
      <w:proofErr w:type="spellEnd"/>
      <w:r w:rsidRPr="00E669A7">
        <w:rPr>
          <w:rFonts w:ascii="Book Antiqua" w:hAnsi="Book Antiqua" w:cs="宋体"/>
          <w:sz w:val="24"/>
          <w:szCs w:val="24"/>
          <w:lang w:val="en-US" w:eastAsia="zh-CN"/>
        </w:rPr>
        <w:t xml:space="preserve"> A, Beebe S, Yu M, </w:t>
      </w:r>
      <w:proofErr w:type="spellStart"/>
      <w:r w:rsidRPr="00E669A7">
        <w:rPr>
          <w:rFonts w:ascii="Book Antiqua" w:hAnsi="Book Antiqua" w:cs="宋体"/>
          <w:sz w:val="24"/>
          <w:szCs w:val="24"/>
          <w:lang w:val="en-US" w:eastAsia="zh-CN"/>
        </w:rPr>
        <w:t>Wongcharatrawee</w:t>
      </w:r>
      <w:proofErr w:type="spellEnd"/>
      <w:r w:rsidRPr="00E669A7">
        <w:rPr>
          <w:rFonts w:ascii="Book Antiqua" w:hAnsi="Book Antiqua" w:cs="宋体"/>
          <w:sz w:val="24"/>
          <w:szCs w:val="24"/>
          <w:lang w:val="en-US" w:eastAsia="zh-CN"/>
        </w:rPr>
        <w:t xml:space="preserve"> S. Long-term safety and tolerability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patients with chronic hepatitis B in the rollover study ETV-901. </w:t>
      </w:r>
      <w:r w:rsidRPr="00E669A7">
        <w:rPr>
          <w:rFonts w:ascii="Book Antiqua" w:hAnsi="Book Antiqua" w:cs="宋体"/>
          <w:i/>
          <w:iCs/>
          <w:sz w:val="24"/>
          <w:szCs w:val="24"/>
          <w:lang w:val="en-US" w:eastAsia="zh-CN"/>
        </w:rPr>
        <w:t xml:space="preserve">Expert </w:t>
      </w:r>
      <w:proofErr w:type="spellStart"/>
      <w:r w:rsidRPr="00E669A7">
        <w:rPr>
          <w:rFonts w:ascii="Book Antiqua" w:hAnsi="Book Antiqua" w:cs="宋体"/>
          <w:i/>
          <w:iCs/>
          <w:sz w:val="24"/>
          <w:szCs w:val="24"/>
          <w:lang w:val="en-US" w:eastAsia="zh-CN"/>
        </w:rPr>
        <w:t>Opin</w:t>
      </w:r>
      <w:proofErr w:type="spellEnd"/>
      <w:r w:rsidRPr="00E669A7">
        <w:rPr>
          <w:rFonts w:ascii="Book Antiqua" w:hAnsi="Book Antiqua" w:cs="宋体"/>
          <w:i/>
          <w:iCs/>
          <w:sz w:val="24"/>
          <w:szCs w:val="24"/>
          <w:lang w:val="en-US" w:eastAsia="zh-CN"/>
        </w:rPr>
        <w:t xml:space="preserve"> Drug </w:t>
      </w:r>
      <w:proofErr w:type="spellStart"/>
      <w:r w:rsidRPr="00E669A7">
        <w:rPr>
          <w:rFonts w:ascii="Book Antiqua" w:hAnsi="Book Antiqua" w:cs="宋体"/>
          <w:i/>
          <w:iCs/>
          <w:sz w:val="24"/>
          <w:szCs w:val="24"/>
          <w:lang w:val="en-US" w:eastAsia="zh-CN"/>
        </w:rPr>
        <w:t>Saf</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11</w:t>
      </w:r>
      <w:r w:rsidRPr="00E669A7">
        <w:rPr>
          <w:rFonts w:ascii="Book Antiqua" w:hAnsi="Book Antiqua" w:cs="宋体"/>
          <w:sz w:val="24"/>
          <w:szCs w:val="24"/>
          <w:lang w:val="en-US" w:eastAsia="zh-CN"/>
        </w:rPr>
        <w:t>: 361-368 [PMID: 22233350</w:t>
      </w:r>
      <w:r>
        <w:rPr>
          <w:rFonts w:ascii="Book Antiqua" w:hAnsi="Book Antiqua" w:cs="宋体"/>
          <w:sz w:val="24"/>
          <w:szCs w:val="24"/>
          <w:lang w:val="en-US" w:eastAsia="zh-CN"/>
        </w:rPr>
        <w:t xml:space="preserve"> </w:t>
      </w:r>
      <w:r w:rsidRPr="00553036">
        <w:rPr>
          <w:rFonts w:ascii="Book Antiqua" w:hAnsi="Book Antiqua" w:cs="宋体"/>
          <w:sz w:val="24"/>
          <w:szCs w:val="24"/>
          <w:lang w:val="en-US" w:eastAsia="zh-CN"/>
        </w:rPr>
        <w:t>DOI: 10.1517/14740338.2012.653340</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14 </w:t>
      </w:r>
      <w:proofErr w:type="spellStart"/>
      <w:r w:rsidRPr="00E669A7">
        <w:rPr>
          <w:rFonts w:ascii="Book Antiqua" w:hAnsi="Book Antiqua" w:cs="宋体"/>
          <w:b/>
          <w:bCs/>
          <w:sz w:val="24"/>
          <w:szCs w:val="24"/>
          <w:lang w:val="en-US" w:eastAsia="zh-CN"/>
        </w:rPr>
        <w:t>Marcellin</w:t>
      </w:r>
      <w:proofErr w:type="spellEnd"/>
      <w:r w:rsidRPr="00E669A7">
        <w:rPr>
          <w:rFonts w:ascii="Book Antiqua" w:hAnsi="Book Antiqua" w:cs="宋体"/>
          <w:b/>
          <w:bCs/>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Heathcote</w:t>
      </w:r>
      <w:proofErr w:type="spellEnd"/>
      <w:r w:rsidRPr="00E669A7">
        <w:rPr>
          <w:rFonts w:ascii="Book Antiqua" w:hAnsi="Book Antiqua" w:cs="宋体"/>
          <w:sz w:val="24"/>
          <w:szCs w:val="24"/>
          <w:lang w:val="en-US" w:eastAsia="zh-CN"/>
        </w:rPr>
        <w:t xml:space="preserve"> EJ,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Gane</w:t>
      </w:r>
      <w:proofErr w:type="spellEnd"/>
      <w:r w:rsidRPr="00E669A7">
        <w:rPr>
          <w:rFonts w:ascii="Book Antiqua" w:hAnsi="Book Antiqua" w:cs="宋体"/>
          <w:sz w:val="24"/>
          <w:szCs w:val="24"/>
          <w:lang w:val="en-US" w:eastAsia="zh-CN"/>
        </w:rPr>
        <w:t xml:space="preserve"> E, de Man RA, </w:t>
      </w:r>
      <w:proofErr w:type="spellStart"/>
      <w:r w:rsidRPr="00E669A7">
        <w:rPr>
          <w:rFonts w:ascii="Book Antiqua" w:hAnsi="Book Antiqua" w:cs="宋体"/>
          <w:sz w:val="24"/>
          <w:szCs w:val="24"/>
          <w:lang w:val="en-US" w:eastAsia="zh-CN"/>
        </w:rPr>
        <w:t>Krastev</w:t>
      </w:r>
      <w:proofErr w:type="spellEnd"/>
      <w:r w:rsidRPr="00E669A7">
        <w:rPr>
          <w:rFonts w:ascii="Book Antiqua" w:hAnsi="Book Antiqua" w:cs="宋体"/>
          <w:sz w:val="24"/>
          <w:szCs w:val="24"/>
          <w:lang w:val="en-US" w:eastAsia="zh-CN"/>
        </w:rPr>
        <w:t xml:space="preserve"> Z, </w:t>
      </w:r>
      <w:proofErr w:type="spellStart"/>
      <w:r w:rsidRPr="00E669A7">
        <w:rPr>
          <w:rFonts w:ascii="Book Antiqua" w:hAnsi="Book Antiqua" w:cs="宋体"/>
          <w:sz w:val="24"/>
          <w:szCs w:val="24"/>
          <w:lang w:val="en-US" w:eastAsia="zh-CN"/>
        </w:rPr>
        <w:t>Germanidis</w:t>
      </w:r>
      <w:proofErr w:type="spellEnd"/>
      <w:r w:rsidRPr="00E669A7">
        <w:rPr>
          <w:rFonts w:ascii="Book Antiqua" w:hAnsi="Book Antiqua" w:cs="宋体"/>
          <w:sz w:val="24"/>
          <w:szCs w:val="24"/>
          <w:lang w:val="en-US" w:eastAsia="zh-CN"/>
        </w:rPr>
        <w:t xml:space="preserve"> G, Lee SS, </w:t>
      </w:r>
      <w:proofErr w:type="spellStart"/>
      <w:r w:rsidRPr="00E669A7">
        <w:rPr>
          <w:rFonts w:ascii="Book Antiqua" w:hAnsi="Book Antiqua" w:cs="宋体"/>
          <w:sz w:val="24"/>
          <w:szCs w:val="24"/>
          <w:lang w:val="en-US" w:eastAsia="zh-CN"/>
        </w:rPr>
        <w:t>Flisiak</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Kaita</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Manns</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Kotzev</w:t>
      </w:r>
      <w:proofErr w:type="spellEnd"/>
      <w:r w:rsidRPr="00E669A7">
        <w:rPr>
          <w:rFonts w:ascii="Book Antiqua" w:hAnsi="Book Antiqua" w:cs="宋体"/>
          <w:sz w:val="24"/>
          <w:szCs w:val="24"/>
          <w:lang w:val="en-US" w:eastAsia="zh-CN"/>
        </w:rPr>
        <w:t xml:space="preserve"> I, </w:t>
      </w:r>
      <w:proofErr w:type="spellStart"/>
      <w:r w:rsidRPr="00E669A7">
        <w:rPr>
          <w:rFonts w:ascii="Book Antiqua" w:hAnsi="Book Antiqua" w:cs="宋体"/>
          <w:sz w:val="24"/>
          <w:szCs w:val="24"/>
          <w:lang w:val="en-US" w:eastAsia="zh-CN"/>
        </w:rPr>
        <w:t>Tchernev</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Buggisch</w:t>
      </w:r>
      <w:proofErr w:type="spellEnd"/>
      <w:r w:rsidRPr="00E669A7">
        <w:rPr>
          <w:rFonts w:ascii="Book Antiqua" w:hAnsi="Book Antiqua" w:cs="宋体"/>
          <w:sz w:val="24"/>
          <w:szCs w:val="24"/>
          <w:lang w:val="en-US" w:eastAsia="zh-CN"/>
        </w:rPr>
        <w:t xml:space="preserve"> P, </w:t>
      </w:r>
      <w:proofErr w:type="spellStart"/>
      <w:r w:rsidRPr="00E669A7">
        <w:rPr>
          <w:rFonts w:ascii="Book Antiqua" w:hAnsi="Book Antiqua" w:cs="宋体"/>
          <w:sz w:val="24"/>
          <w:szCs w:val="24"/>
          <w:lang w:val="en-US" w:eastAsia="zh-CN"/>
        </w:rPr>
        <w:t>Weilert</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Kurdas</w:t>
      </w:r>
      <w:proofErr w:type="spellEnd"/>
      <w:r w:rsidRPr="00E669A7">
        <w:rPr>
          <w:rFonts w:ascii="Book Antiqua" w:hAnsi="Book Antiqua" w:cs="宋体"/>
          <w:sz w:val="24"/>
          <w:szCs w:val="24"/>
          <w:lang w:val="en-US" w:eastAsia="zh-CN"/>
        </w:rPr>
        <w:t xml:space="preserve"> OO, </w:t>
      </w:r>
      <w:proofErr w:type="spellStart"/>
      <w:r w:rsidRPr="00E669A7">
        <w:rPr>
          <w:rFonts w:ascii="Book Antiqua" w:hAnsi="Book Antiqua" w:cs="宋体"/>
          <w:sz w:val="24"/>
          <w:szCs w:val="24"/>
          <w:lang w:val="en-US" w:eastAsia="zh-CN"/>
        </w:rPr>
        <w:t>Shiffman</w:t>
      </w:r>
      <w:proofErr w:type="spellEnd"/>
      <w:r w:rsidRPr="00E669A7">
        <w:rPr>
          <w:rFonts w:ascii="Book Antiqua" w:hAnsi="Book Antiqua" w:cs="宋体"/>
          <w:sz w:val="24"/>
          <w:szCs w:val="24"/>
          <w:lang w:val="en-US" w:eastAsia="zh-CN"/>
        </w:rPr>
        <w:t xml:space="preserve"> ML, Trinh H, Washington MK, </w:t>
      </w:r>
      <w:proofErr w:type="spellStart"/>
      <w:r w:rsidRPr="00E669A7">
        <w:rPr>
          <w:rFonts w:ascii="Book Antiqua" w:hAnsi="Book Antiqua" w:cs="宋体"/>
          <w:sz w:val="24"/>
          <w:szCs w:val="24"/>
          <w:lang w:val="en-US" w:eastAsia="zh-CN"/>
        </w:rPr>
        <w:t>Sorbel</w:t>
      </w:r>
      <w:proofErr w:type="spellEnd"/>
      <w:r w:rsidRPr="00E669A7">
        <w:rPr>
          <w:rFonts w:ascii="Book Antiqua" w:hAnsi="Book Antiqua" w:cs="宋体"/>
          <w:sz w:val="24"/>
          <w:szCs w:val="24"/>
          <w:lang w:val="en-US" w:eastAsia="zh-CN"/>
        </w:rPr>
        <w:t xml:space="preserve"> J, Anderson J, Snow-</w:t>
      </w:r>
      <w:proofErr w:type="spellStart"/>
      <w:r w:rsidRPr="00E669A7">
        <w:rPr>
          <w:rFonts w:ascii="Book Antiqua" w:hAnsi="Book Antiqua" w:cs="宋体"/>
          <w:sz w:val="24"/>
          <w:szCs w:val="24"/>
          <w:lang w:val="en-US" w:eastAsia="zh-CN"/>
        </w:rPr>
        <w:t>Lampart</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Mondou</w:t>
      </w:r>
      <w:proofErr w:type="spellEnd"/>
      <w:r w:rsidRPr="00E669A7">
        <w:rPr>
          <w:rFonts w:ascii="Book Antiqua" w:hAnsi="Book Antiqua" w:cs="宋体"/>
          <w:sz w:val="24"/>
          <w:szCs w:val="24"/>
          <w:lang w:val="en-US" w:eastAsia="zh-CN"/>
        </w:rPr>
        <w:t xml:space="preserve"> E, Quinn J, Rousseau 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versus </w:t>
      </w:r>
      <w:proofErr w:type="spellStart"/>
      <w:r w:rsidRPr="00E669A7">
        <w:rPr>
          <w:rFonts w:ascii="Book Antiqua" w:hAnsi="Book Antiqua" w:cs="宋体"/>
          <w:sz w:val="24"/>
          <w:szCs w:val="24"/>
          <w:lang w:val="en-US" w:eastAsia="zh-CN"/>
        </w:rPr>
        <w:t>adefovir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dipivoxil</w:t>
      </w:r>
      <w:proofErr w:type="spellEnd"/>
      <w:r w:rsidRPr="00E669A7">
        <w:rPr>
          <w:rFonts w:ascii="Book Antiqua" w:hAnsi="Book Antiqua" w:cs="宋体"/>
          <w:sz w:val="24"/>
          <w:szCs w:val="24"/>
          <w:lang w:val="en-US" w:eastAsia="zh-CN"/>
        </w:rPr>
        <w:t xml:space="preserve"> for chronic hepatitis B. </w:t>
      </w:r>
      <w:r w:rsidRPr="00E669A7">
        <w:rPr>
          <w:rFonts w:ascii="Book Antiqua" w:hAnsi="Book Antiqua" w:cs="宋体"/>
          <w:i/>
          <w:iCs/>
          <w:sz w:val="24"/>
          <w:szCs w:val="24"/>
          <w:lang w:val="en-US" w:eastAsia="zh-CN"/>
        </w:rPr>
        <w:t xml:space="preserve">N </w:t>
      </w:r>
      <w:proofErr w:type="spellStart"/>
      <w:r w:rsidRPr="00E669A7">
        <w:rPr>
          <w:rFonts w:ascii="Book Antiqua" w:hAnsi="Book Antiqua" w:cs="宋体"/>
          <w:i/>
          <w:iCs/>
          <w:sz w:val="24"/>
          <w:szCs w:val="24"/>
          <w:lang w:val="en-US" w:eastAsia="zh-CN"/>
        </w:rPr>
        <w:t>Engl</w:t>
      </w:r>
      <w:proofErr w:type="spellEnd"/>
      <w:r w:rsidRPr="00E669A7">
        <w:rPr>
          <w:rFonts w:ascii="Book Antiqua" w:hAnsi="Book Antiqua" w:cs="宋体"/>
          <w:i/>
          <w:iCs/>
          <w:sz w:val="24"/>
          <w:szCs w:val="24"/>
          <w:lang w:val="en-US" w:eastAsia="zh-CN"/>
        </w:rPr>
        <w:t xml:space="preserve"> J Med</w:t>
      </w:r>
      <w:r w:rsidRPr="00E669A7">
        <w:rPr>
          <w:rFonts w:ascii="Book Antiqua" w:hAnsi="Book Antiqua" w:cs="宋体"/>
          <w:sz w:val="24"/>
          <w:szCs w:val="24"/>
          <w:lang w:val="en-US" w:eastAsia="zh-CN"/>
        </w:rPr>
        <w:t xml:space="preserve"> 2008; </w:t>
      </w:r>
      <w:r w:rsidRPr="00E669A7">
        <w:rPr>
          <w:rFonts w:ascii="Book Antiqua" w:hAnsi="Book Antiqua" w:cs="宋体"/>
          <w:b/>
          <w:bCs/>
          <w:sz w:val="24"/>
          <w:szCs w:val="24"/>
          <w:lang w:val="en-US" w:eastAsia="zh-CN"/>
        </w:rPr>
        <w:t>359</w:t>
      </w:r>
      <w:r w:rsidRPr="00E669A7">
        <w:rPr>
          <w:rFonts w:ascii="Book Antiqua" w:hAnsi="Book Antiqua" w:cs="宋体"/>
          <w:sz w:val="24"/>
          <w:szCs w:val="24"/>
          <w:lang w:val="en-US" w:eastAsia="zh-CN"/>
        </w:rPr>
        <w:t>: 2442-2455 [PMID: 19052126</w:t>
      </w:r>
      <w:r>
        <w:rPr>
          <w:rFonts w:ascii="Book Antiqua" w:hAnsi="Book Antiqua" w:cs="宋体"/>
          <w:sz w:val="24"/>
          <w:szCs w:val="24"/>
          <w:lang w:val="en-US" w:eastAsia="zh-CN"/>
        </w:rPr>
        <w:t xml:space="preserve"> </w:t>
      </w:r>
      <w:r w:rsidRPr="009241A3">
        <w:rPr>
          <w:rFonts w:ascii="Book Antiqua" w:hAnsi="Book Antiqua" w:cs="宋体"/>
          <w:sz w:val="24"/>
          <w:szCs w:val="24"/>
          <w:lang w:val="en-US" w:eastAsia="zh-CN"/>
        </w:rPr>
        <w:t>DOI: 10.1056/NEJMoa0802878</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15 </w:t>
      </w:r>
      <w:proofErr w:type="spellStart"/>
      <w:r w:rsidRPr="00E669A7">
        <w:rPr>
          <w:rFonts w:ascii="Book Antiqua" w:hAnsi="Book Antiqua" w:cs="宋体"/>
          <w:b/>
          <w:bCs/>
          <w:sz w:val="24"/>
          <w:szCs w:val="24"/>
          <w:lang w:val="en-US" w:eastAsia="zh-CN"/>
        </w:rPr>
        <w:t>Heathcote</w:t>
      </w:r>
      <w:proofErr w:type="spellEnd"/>
      <w:r w:rsidRPr="00E669A7">
        <w:rPr>
          <w:rFonts w:ascii="Book Antiqua" w:hAnsi="Book Antiqua" w:cs="宋体"/>
          <w:b/>
          <w:bCs/>
          <w:sz w:val="24"/>
          <w:szCs w:val="24"/>
          <w:lang w:val="en-US" w:eastAsia="zh-CN"/>
        </w:rPr>
        <w:t xml:space="preserve"> EJ</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Marcellin</w:t>
      </w:r>
      <w:proofErr w:type="spellEnd"/>
      <w:r w:rsidRPr="00E669A7">
        <w:rPr>
          <w:rFonts w:ascii="Book Antiqua" w:hAnsi="Book Antiqua" w:cs="宋体"/>
          <w:sz w:val="24"/>
          <w:szCs w:val="24"/>
          <w:lang w:val="en-US" w:eastAsia="zh-CN"/>
        </w:rPr>
        <w:t xml:space="preserve"> P,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Gane</w:t>
      </w:r>
      <w:proofErr w:type="spellEnd"/>
      <w:r w:rsidRPr="00E669A7">
        <w:rPr>
          <w:rFonts w:ascii="Book Antiqua" w:hAnsi="Book Antiqua" w:cs="宋体"/>
          <w:sz w:val="24"/>
          <w:szCs w:val="24"/>
          <w:lang w:val="en-US" w:eastAsia="zh-CN"/>
        </w:rPr>
        <w:t xml:space="preserve"> E, De Man RA, </w:t>
      </w:r>
      <w:proofErr w:type="spellStart"/>
      <w:r w:rsidRPr="00E669A7">
        <w:rPr>
          <w:rFonts w:ascii="Book Antiqua" w:hAnsi="Book Antiqua" w:cs="宋体"/>
          <w:sz w:val="24"/>
          <w:szCs w:val="24"/>
          <w:lang w:val="en-US" w:eastAsia="zh-CN"/>
        </w:rPr>
        <w:t>Krastev</w:t>
      </w:r>
      <w:proofErr w:type="spellEnd"/>
      <w:r w:rsidRPr="00E669A7">
        <w:rPr>
          <w:rFonts w:ascii="Book Antiqua" w:hAnsi="Book Antiqua" w:cs="宋体"/>
          <w:sz w:val="24"/>
          <w:szCs w:val="24"/>
          <w:lang w:val="en-US" w:eastAsia="zh-CN"/>
        </w:rPr>
        <w:t xml:space="preserve"> Z, </w:t>
      </w:r>
      <w:proofErr w:type="spellStart"/>
      <w:r w:rsidRPr="00E669A7">
        <w:rPr>
          <w:rFonts w:ascii="Book Antiqua" w:hAnsi="Book Antiqua" w:cs="宋体"/>
          <w:sz w:val="24"/>
          <w:szCs w:val="24"/>
          <w:lang w:val="en-US" w:eastAsia="zh-CN"/>
        </w:rPr>
        <w:t>Germanidis</w:t>
      </w:r>
      <w:proofErr w:type="spellEnd"/>
      <w:r w:rsidRPr="00E669A7">
        <w:rPr>
          <w:rFonts w:ascii="Book Antiqua" w:hAnsi="Book Antiqua" w:cs="宋体"/>
          <w:sz w:val="24"/>
          <w:szCs w:val="24"/>
          <w:lang w:val="en-US" w:eastAsia="zh-CN"/>
        </w:rPr>
        <w:t xml:space="preserve"> G, Lee SS, </w:t>
      </w:r>
      <w:proofErr w:type="spellStart"/>
      <w:r w:rsidRPr="00E669A7">
        <w:rPr>
          <w:rFonts w:ascii="Book Antiqua" w:hAnsi="Book Antiqua" w:cs="宋体"/>
          <w:sz w:val="24"/>
          <w:szCs w:val="24"/>
          <w:lang w:val="en-US" w:eastAsia="zh-CN"/>
        </w:rPr>
        <w:t>Flisiak</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Kaita</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Manns</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Kotzev</w:t>
      </w:r>
      <w:proofErr w:type="spellEnd"/>
      <w:r w:rsidRPr="00E669A7">
        <w:rPr>
          <w:rFonts w:ascii="Book Antiqua" w:hAnsi="Book Antiqua" w:cs="宋体"/>
          <w:sz w:val="24"/>
          <w:szCs w:val="24"/>
          <w:lang w:val="en-US" w:eastAsia="zh-CN"/>
        </w:rPr>
        <w:t xml:space="preserve"> I, </w:t>
      </w:r>
      <w:proofErr w:type="spellStart"/>
      <w:r w:rsidRPr="00E669A7">
        <w:rPr>
          <w:rFonts w:ascii="Book Antiqua" w:hAnsi="Book Antiqua" w:cs="宋体"/>
          <w:sz w:val="24"/>
          <w:szCs w:val="24"/>
          <w:lang w:val="en-US" w:eastAsia="zh-CN"/>
        </w:rPr>
        <w:t>Tchernev</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Buggisch</w:t>
      </w:r>
      <w:proofErr w:type="spellEnd"/>
      <w:r w:rsidRPr="00E669A7">
        <w:rPr>
          <w:rFonts w:ascii="Book Antiqua" w:hAnsi="Book Antiqua" w:cs="宋体"/>
          <w:sz w:val="24"/>
          <w:szCs w:val="24"/>
          <w:lang w:val="en-US" w:eastAsia="zh-CN"/>
        </w:rPr>
        <w:t xml:space="preserve"> P, </w:t>
      </w:r>
      <w:proofErr w:type="spellStart"/>
      <w:r w:rsidRPr="00E669A7">
        <w:rPr>
          <w:rFonts w:ascii="Book Antiqua" w:hAnsi="Book Antiqua" w:cs="宋体"/>
          <w:sz w:val="24"/>
          <w:szCs w:val="24"/>
          <w:lang w:val="en-US" w:eastAsia="zh-CN"/>
        </w:rPr>
        <w:t>Weilert</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Kurdas</w:t>
      </w:r>
      <w:proofErr w:type="spellEnd"/>
      <w:r w:rsidRPr="00E669A7">
        <w:rPr>
          <w:rFonts w:ascii="Book Antiqua" w:hAnsi="Book Antiqua" w:cs="宋体"/>
          <w:sz w:val="24"/>
          <w:szCs w:val="24"/>
          <w:lang w:val="en-US" w:eastAsia="zh-CN"/>
        </w:rPr>
        <w:t xml:space="preserve"> OO, </w:t>
      </w:r>
      <w:proofErr w:type="spellStart"/>
      <w:r w:rsidRPr="00E669A7">
        <w:rPr>
          <w:rFonts w:ascii="Book Antiqua" w:hAnsi="Book Antiqua" w:cs="宋体"/>
          <w:sz w:val="24"/>
          <w:szCs w:val="24"/>
          <w:lang w:val="en-US" w:eastAsia="zh-CN"/>
        </w:rPr>
        <w:t>Shiffman</w:t>
      </w:r>
      <w:proofErr w:type="spellEnd"/>
      <w:r w:rsidRPr="00E669A7">
        <w:rPr>
          <w:rFonts w:ascii="Book Antiqua" w:hAnsi="Book Antiqua" w:cs="宋体"/>
          <w:sz w:val="24"/>
          <w:szCs w:val="24"/>
          <w:lang w:val="en-US" w:eastAsia="zh-CN"/>
        </w:rPr>
        <w:t xml:space="preserve"> ML, Trinh H, </w:t>
      </w:r>
      <w:proofErr w:type="spellStart"/>
      <w:r w:rsidRPr="00E669A7">
        <w:rPr>
          <w:rFonts w:ascii="Book Antiqua" w:hAnsi="Book Antiqua" w:cs="宋体"/>
          <w:sz w:val="24"/>
          <w:szCs w:val="24"/>
          <w:lang w:val="en-US" w:eastAsia="zh-CN"/>
        </w:rPr>
        <w:t>Gurel</w:t>
      </w:r>
      <w:proofErr w:type="spellEnd"/>
      <w:r w:rsidRPr="00E669A7">
        <w:rPr>
          <w:rFonts w:ascii="Book Antiqua" w:hAnsi="Book Antiqua" w:cs="宋体"/>
          <w:sz w:val="24"/>
          <w:szCs w:val="24"/>
          <w:lang w:val="en-US" w:eastAsia="zh-CN"/>
        </w:rPr>
        <w:t xml:space="preserve"> S, Snow-</w:t>
      </w:r>
      <w:proofErr w:type="spellStart"/>
      <w:r w:rsidRPr="00E669A7">
        <w:rPr>
          <w:rFonts w:ascii="Book Antiqua" w:hAnsi="Book Antiqua" w:cs="宋体"/>
          <w:sz w:val="24"/>
          <w:szCs w:val="24"/>
          <w:lang w:val="en-US" w:eastAsia="zh-CN"/>
        </w:rPr>
        <w:t>Lampart</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Borroto-Esoda</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Mondou</w:t>
      </w:r>
      <w:proofErr w:type="spellEnd"/>
      <w:r w:rsidRPr="00E669A7">
        <w:rPr>
          <w:rFonts w:ascii="Book Antiqua" w:hAnsi="Book Antiqua" w:cs="宋体"/>
          <w:sz w:val="24"/>
          <w:szCs w:val="24"/>
          <w:lang w:val="en-US" w:eastAsia="zh-CN"/>
        </w:rPr>
        <w:t xml:space="preserve"> E, Anderson J, </w:t>
      </w:r>
      <w:proofErr w:type="spellStart"/>
      <w:r w:rsidRPr="00E669A7">
        <w:rPr>
          <w:rFonts w:ascii="Book Antiqua" w:hAnsi="Book Antiqua" w:cs="宋体"/>
          <w:sz w:val="24"/>
          <w:szCs w:val="24"/>
          <w:lang w:val="en-US" w:eastAsia="zh-CN"/>
        </w:rPr>
        <w:t>Sorbel</w:t>
      </w:r>
      <w:proofErr w:type="spellEnd"/>
      <w:r w:rsidRPr="00E669A7">
        <w:rPr>
          <w:rFonts w:ascii="Book Antiqua" w:hAnsi="Book Antiqua" w:cs="宋体"/>
          <w:sz w:val="24"/>
          <w:szCs w:val="24"/>
          <w:lang w:val="en-US" w:eastAsia="zh-CN"/>
        </w:rPr>
        <w:t xml:space="preserve"> J, Rousseau F. Three-year efficacy and safety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treatment for chronic hepatitis B. </w:t>
      </w:r>
      <w:r w:rsidRPr="00E669A7">
        <w:rPr>
          <w:rFonts w:ascii="Book Antiqua" w:hAnsi="Book Antiqua" w:cs="宋体"/>
          <w:i/>
          <w:iCs/>
          <w:sz w:val="24"/>
          <w:szCs w:val="24"/>
          <w:lang w:val="en-US" w:eastAsia="zh-CN"/>
        </w:rPr>
        <w:t>Gastroenterology</w:t>
      </w:r>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140</w:t>
      </w:r>
      <w:r w:rsidRPr="00E669A7">
        <w:rPr>
          <w:rFonts w:ascii="Book Antiqua" w:hAnsi="Book Antiqua" w:cs="宋体"/>
          <w:sz w:val="24"/>
          <w:szCs w:val="24"/>
          <w:lang w:val="en-US" w:eastAsia="zh-CN"/>
        </w:rPr>
        <w:t>: 132-143 [PMID: 20955704</w:t>
      </w:r>
      <w:r>
        <w:rPr>
          <w:rFonts w:ascii="Book Antiqua" w:hAnsi="Book Antiqua" w:cs="宋体"/>
          <w:sz w:val="24"/>
          <w:szCs w:val="24"/>
          <w:lang w:val="en-US" w:eastAsia="zh-CN"/>
        </w:rPr>
        <w:t xml:space="preserve"> </w:t>
      </w:r>
      <w:r w:rsidRPr="0096040D">
        <w:rPr>
          <w:rFonts w:ascii="Book Antiqua" w:hAnsi="Book Antiqua" w:cs="宋体"/>
          <w:sz w:val="24"/>
          <w:szCs w:val="24"/>
          <w:lang w:val="en-US" w:eastAsia="zh-CN"/>
        </w:rPr>
        <w:t>DOI: 10.1053/j.gastro.2010.10.011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16 </w:t>
      </w:r>
      <w:proofErr w:type="spellStart"/>
      <w:r w:rsidRPr="00E669A7">
        <w:rPr>
          <w:rFonts w:ascii="Book Antiqua" w:hAnsi="Book Antiqua" w:cs="宋体"/>
          <w:b/>
          <w:sz w:val="24"/>
          <w:szCs w:val="24"/>
          <w:lang w:val="en-US" w:eastAsia="zh-CN"/>
        </w:rPr>
        <w:t>Heathcote</w:t>
      </w:r>
      <w:proofErr w:type="spellEnd"/>
      <w:r w:rsidRPr="00E669A7">
        <w:rPr>
          <w:rFonts w:ascii="Book Antiqua" w:hAnsi="Book Antiqua" w:cs="宋体"/>
          <w:b/>
          <w:sz w:val="24"/>
          <w:szCs w:val="24"/>
          <w:lang w:val="en-US" w:eastAsia="zh-CN"/>
        </w:rPr>
        <w:t xml:space="preserve"> EJ</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Gane</w:t>
      </w:r>
      <w:proofErr w:type="spellEnd"/>
      <w:r w:rsidRPr="00E669A7">
        <w:rPr>
          <w:rFonts w:ascii="Book Antiqua" w:hAnsi="Book Antiqua" w:cs="宋体"/>
          <w:sz w:val="24"/>
          <w:szCs w:val="24"/>
          <w:lang w:val="en-US" w:eastAsia="zh-CN"/>
        </w:rPr>
        <w:t xml:space="preserve"> EJ, de Man RA, Chan S, George J, Tsai N, </w:t>
      </w:r>
      <w:proofErr w:type="spellStart"/>
      <w:r w:rsidRPr="00E669A7">
        <w:rPr>
          <w:rFonts w:ascii="Book Antiqua" w:hAnsi="Book Antiqua" w:cs="宋体"/>
          <w:sz w:val="24"/>
          <w:szCs w:val="24"/>
          <w:lang w:val="en-US" w:eastAsia="zh-CN"/>
        </w:rPr>
        <w:t>Marcellin</w:t>
      </w:r>
      <w:proofErr w:type="spellEnd"/>
      <w:r w:rsidRPr="00E669A7">
        <w:rPr>
          <w:rFonts w:ascii="Book Antiqua" w:hAnsi="Book Antiqua" w:cs="宋体"/>
          <w:sz w:val="24"/>
          <w:szCs w:val="24"/>
          <w:lang w:val="en-US" w:eastAsia="zh-CN"/>
        </w:rPr>
        <w:t xml:space="preserve"> P. Long-term (4 year) efficacy and safety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(TDF) treatment </w:t>
      </w:r>
      <w:r w:rsidRPr="00E669A7">
        <w:rPr>
          <w:rFonts w:ascii="Book Antiqua" w:hAnsi="Book Antiqua" w:cs="宋体"/>
          <w:sz w:val="24"/>
          <w:szCs w:val="24"/>
          <w:lang w:val="en-US" w:eastAsia="zh-CN"/>
        </w:rPr>
        <w:lastRenderedPageBreak/>
        <w:t xml:space="preserve">in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 positive patients with chronic hepa</w:t>
      </w:r>
      <w:r>
        <w:rPr>
          <w:rFonts w:ascii="Book Antiqua" w:hAnsi="Book Antiqua" w:cs="宋体"/>
          <w:sz w:val="24"/>
          <w:szCs w:val="24"/>
          <w:lang w:val="en-US" w:eastAsia="zh-CN"/>
        </w:rPr>
        <w:t xml:space="preserve">titis B (study 103). </w:t>
      </w:r>
      <w:proofErr w:type="spellStart"/>
      <w:r w:rsidRPr="00DE301D">
        <w:rPr>
          <w:rFonts w:ascii="Book Antiqua" w:hAnsi="Book Antiqua" w:cs="宋体"/>
          <w:i/>
          <w:sz w:val="24"/>
          <w:szCs w:val="24"/>
          <w:lang w:val="en-US" w:eastAsia="zh-CN"/>
        </w:rPr>
        <w:t>Hepatology</w:t>
      </w:r>
      <w:proofErr w:type="spellEnd"/>
      <w:r w:rsidRPr="00E669A7">
        <w:rPr>
          <w:rFonts w:ascii="Book Antiqua" w:hAnsi="Book Antiqua" w:cs="宋体"/>
          <w:sz w:val="24"/>
          <w:szCs w:val="24"/>
          <w:lang w:val="en-US" w:eastAsia="zh-CN"/>
        </w:rPr>
        <w:t xml:space="preserve"> </w:t>
      </w:r>
      <w:r>
        <w:rPr>
          <w:rFonts w:ascii="Book Antiqua" w:hAnsi="Book Antiqua" w:cs="宋体"/>
          <w:sz w:val="24"/>
          <w:szCs w:val="24"/>
          <w:lang w:val="en-US" w:eastAsia="zh-CN"/>
        </w:rPr>
        <w:t xml:space="preserve">2010; </w:t>
      </w:r>
      <w:r w:rsidRPr="00DE301D">
        <w:rPr>
          <w:rFonts w:ascii="Book Antiqua" w:hAnsi="Book Antiqua" w:cs="宋体"/>
          <w:b/>
          <w:sz w:val="24"/>
          <w:szCs w:val="24"/>
          <w:lang w:val="en-US" w:eastAsia="zh-CN"/>
        </w:rPr>
        <w:t>52</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477</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17 </w:t>
      </w:r>
      <w:proofErr w:type="spellStart"/>
      <w:r w:rsidRPr="00E669A7">
        <w:rPr>
          <w:rFonts w:ascii="Book Antiqua" w:hAnsi="Book Antiqua" w:cs="宋体"/>
          <w:b/>
          <w:sz w:val="24"/>
          <w:szCs w:val="24"/>
          <w:lang w:val="en-US" w:eastAsia="zh-CN"/>
        </w:rPr>
        <w:t>Marcellin</w:t>
      </w:r>
      <w:proofErr w:type="spellEnd"/>
      <w:r w:rsidRPr="00E669A7">
        <w:rPr>
          <w:rFonts w:ascii="Book Antiqua" w:hAnsi="Book Antiqua" w:cs="宋体"/>
          <w:b/>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Krastev</w:t>
      </w:r>
      <w:proofErr w:type="spellEnd"/>
      <w:r w:rsidRPr="00E669A7">
        <w:rPr>
          <w:rFonts w:ascii="Book Antiqua" w:hAnsi="Book Antiqua" w:cs="宋体"/>
          <w:sz w:val="24"/>
          <w:szCs w:val="24"/>
          <w:lang w:val="en-US" w:eastAsia="zh-CN"/>
        </w:rPr>
        <w:t xml:space="preserve"> Z, </w:t>
      </w:r>
      <w:proofErr w:type="spellStart"/>
      <w:r w:rsidRPr="00E669A7">
        <w:rPr>
          <w:rFonts w:ascii="Book Antiqua" w:hAnsi="Book Antiqua" w:cs="宋体"/>
          <w:sz w:val="24"/>
          <w:szCs w:val="24"/>
          <w:lang w:val="en-US" w:eastAsia="zh-CN"/>
        </w:rPr>
        <w:t>Gurel</w:t>
      </w:r>
      <w:proofErr w:type="spellEnd"/>
      <w:r w:rsidRPr="00E669A7">
        <w:rPr>
          <w:rFonts w:ascii="Book Antiqua" w:hAnsi="Book Antiqua" w:cs="宋体"/>
          <w:sz w:val="24"/>
          <w:szCs w:val="24"/>
          <w:lang w:val="en-US" w:eastAsia="zh-CN"/>
        </w:rPr>
        <w:t xml:space="preserve"> S, Di </w:t>
      </w:r>
      <w:proofErr w:type="spellStart"/>
      <w:r w:rsidRPr="00E669A7">
        <w:rPr>
          <w:rFonts w:ascii="Book Antiqua" w:hAnsi="Book Antiqua" w:cs="宋体"/>
          <w:sz w:val="24"/>
          <w:szCs w:val="24"/>
          <w:lang w:val="en-US" w:eastAsia="zh-CN"/>
        </w:rPr>
        <w:t>Bisceglie</w:t>
      </w:r>
      <w:proofErr w:type="spellEnd"/>
      <w:r w:rsidRPr="00E669A7">
        <w:rPr>
          <w:rFonts w:ascii="Book Antiqua" w:hAnsi="Book Antiqua" w:cs="宋体"/>
          <w:sz w:val="24"/>
          <w:szCs w:val="24"/>
          <w:lang w:val="en-US" w:eastAsia="zh-CN"/>
        </w:rPr>
        <w:t xml:space="preserve"> AM, Odin JA, </w:t>
      </w:r>
      <w:proofErr w:type="spellStart"/>
      <w:r w:rsidRPr="00E669A7">
        <w:rPr>
          <w:rFonts w:ascii="Book Antiqua" w:hAnsi="Book Antiqua" w:cs="宋体"/>
          <w:sz w:val="24"/>
          <w:szCs w:val="24"/>
          <w:lang w:val="en-US" w:eastAsia="zh-CN"/>
        </w:rPr>
        <w:t>Dusheiko</w:t>
      </w:r>
      <w:proofErr w:type="spellEnd"/>
      <w:r w:rsidRPr="00E669A7">
        <w:rPr>
          <w:rFonts w:ascii="Book Antiqua" w:hAnsi="Book Antiqua" w:cs="宋体"/>
          <w:sz w:val="24"/>
          <w:szCs w:val="24"/>
          <w:lang w:val="en-US" w:eastAsia="zh-CN"/>
        </w:rPr>
        <w:t xml:space="preserve"> GM. Continued efficacy and safety through 4 years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(TDF) treatment in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-negative patients with chronic hepatitis B (s</w:t>
      </w:r>
      <w:r>
        <w:rPr>
          <w:rFonts w:ascii="Book Antiqua" w:hAnsi="Book Antiqua" w:cs="宋体"/>
          <w:sz w:val="24"/>
          <w:szCs w:val="24"/>
          <w:lang w:val="en-US" w:eastAsia="zh-CN"/>
        </w:rPr>
        <w:t xml:space="preserve">tudy 102). </w:t>
      </w:r>
      <w:proofErr w:type="spellStart"/>
      <w:r w:rsidRPr="002922B9">
        <w:rPr>
          <w:rFonts w:ascii="Book Antiqua" w:hAnsi="Book Antiqua" w:cs="宋体"/>
          <w:i/>
          <w:sz w:val="24"/>
          <w:szCs w:val="24"/>
          <w:lang w:val="en-US" w:eastAsia="zh-CN"/>
        </w:rPr>
        <w:t>Hepatology</w:t>
      </w:r>
      <w:proofErr w:type="spellEnd"/>
      <w:r>
        <w:rPr>
          <w:rFonts w:ascii="Book Antiqua" w:hAnsi="Book Antiqua" w:cs="宋体"/>
          <w:sz w:val="24"/>
          <w:szCs w:val="24"/>
          <w:lang w:val="en-US" w:eastAsia="zh-CN"/>
        </w:rPr>
        <w:t xml:space="preserve"> 2010; </w:t>
      </w:r>
      <w:r w:rsidRPr="002922B9">
        <w:rPr>
          <w:rFonts w:ascii="Book Antiqua" w:hAnsi="Book Antiqua" w:cs="宋体"/>
          <w:b/>
          <w:sz w:val="24"/>
          <w:szCs w:val="24"/>
          <w:lang w:val="en-US" w:eastAsia="zh-CN"/>
        </w:rPr>
        <w:t>52</w:t>
      </w:r>
      <w:r>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476</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18 </w:t>
      </w:r>
      <w:r w:rsidRPr="00E669A7">
        <w:rPr>
          <w:rFonts w:ascii="Book Antiqua" w:hAnsi="Book Antiqua" w:cs="宋体"/>
          <w:b/>
          <w:bCs/>
          <w:sz w:val="24"/>
          <w:szCs w:val="24"/>
          <w:lang w:val="en-US" w:eastAsia="zh-CN"/>
        </w:rPr>
        <w:t>Gordon SC</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Krastev</w:t>
      </w:r>
      <w:proofErr w:type="spellEnd"/>
      <w:r w:rsidRPr="00E669A7">
        <w:rPr>
          <w:rFonts w:ascii="Book Antiqua" w:hAnsi="Book Antiqua" w:cs="宋体"/>
          <w:sz w:val="24"/>
          <w:szCs w:val="24"/>
          <w:lang w:val="en-US" w:eastAsia="zh-CN"/>
        </w:rPr>
        <w:t xml:space="preserve"> Z, </w:t>
      </w:r>
      <w:proofErr w:type="spellStart"/>
      <w:r w:rsidRPr="00E669A7">
        <w:rPr>
          <w:rFonts w:ascii="Book Antiqua" w:hAnsi="Book Antiqua" w:cs="宋体"/>
          <w:sz w:val="24"/>
          <w:szCs w:val="24"/>
          <w:lang w:val="en-US" w:eastAsia="zh-CN"/>
        </w:rPr>
        <w:t>Horban</w:t>
      </w:r>
      <w:proofErr w:type="spellEnd"/>
      <w:r w:rsidRPr="00E669A7">
        <w:rPr>
          <w:rFonts w:ascii="Book Antiqua" w:hAnsi="Book Antiqua" w:cs="宋体"/>
          <w:sz w:val="24"/>
          <w:szCs w:val="24"/>
          <w:lang w:val="en-US" w:eastAsia="zh-CN"/>
        </w:rPr>
        <w:t xml:space="preserve"> A, Petersen J, </w:t>
      </w:r>
      <w:proofErr w:type="spellStart"/>
      <w:r w:rsidRPr="00E669A7">
        <w:rPr>
          <w:rFonts w:ascii="Book Antiqua" w:hAnsi="Book Antiqua" w:cs="宋体"/>
          <w:sz w:val="24"/>
          <w:szCs w:val="24"/>
          <w:lang w:val="en-US" w:eastAsia="zh-CN"/>
        </w:rPr>
        <w:t>Sperl</w:t>
      </w:r>
      <w:proofErr w:type="spellEnd"/>
      <w:r w:rsidRPr="00E669A7">
        <w:rPr>
          <w:rFonts w:ascii="Book Antiqua" w:hAnsi="Book Antiqua" w:cs="宋体"/>
          <w:sz w:val="24"/>
          <w:szCs w:val="24"/>
          <w:lang w:val="en-US" w:eastAsia="zh-CN"/>
        </w:rPr>
        <w:t xml:space="preserve"> J, </w:t>
      </w:r>
      <w:proofErr w:type="spellStart"/>
      <w:r w:rsidRPr="00E669A7">
        <w:rPr>
          <w:rFonts w:ascii="Book Antiqua" w:hAnsi="Book Antiqua" w:cs="宋体"/>
          <w:sz w:val="24"/>
          <w:szCs w:val="24"/>
          <w:lang w:val="en-US" w:eastAsia="zh-CN"/>
        </w:rPr>
        <w:t>Dinh</w:t>
      </w:r>
      <w:proofErr w:type="spellEnd"/>
      <w:r w:rsidRPr="00E669A7">
        <w:rPr>
          <w:rFonts w:ascii="Book Antiqua" w:hAnsi="Book Antiqua" w:cs="宋体"/>
          <w:sz w:val="24"/>
          <w:szCs w:val="24"/>
          <w:lang w:val="en-US" w:eastAsia="zh-CN"/>
        </w:rPr>
        <w:t xml:space="preserve"> P, Martins EB, Yee LJ, Flaherty JF, </w:t>
      </w:r>
      <w:proofErr w:type="spellStart"/>
      <w:r w:rsidRPr="00E669A7">
        <w:rPr>
          <w:rFonts w:ascii="Book Antiqua" w:hAnsi="Book Antiqua" w:cs="宋体"/>
          <w:sz w:val="24"/>
          <w:szCs w:val="24"/>
          <w:lang w:val="en-US" w:eastAsia="zh-CN"/>
        </w:rPr>
        <w:t>Kitrinos</w:t>
      </w:r>
      <w:proofErr w:type="spellEnd"/>
      <w:r w:rsidRPr="00E669A7">
        <w:rPr>
          <w:rFonts w:ascii="Book Antiqua" w:hAnsi="Book Antiqua" w:cs="宋体"/>
          <w:sz w:val="24"/>
          <w:szCs w:val="24"/>
          <w:lang w:val="en-US" w:eastAsia="zh-CN"/>
        </w:rPr>
        <w:t xml:space="preserve"> KM, </w:t>
      </w:r>
      <w:proofErr w:type="spellStart"/>
      <w:r w:rsidRPr="00E669A7">
        <w:rPr>
          <w:rFonts w:ascii="Book Antiqua" w:hAnsi="Book Antiqua" w:cs="宋体"/>
          <w:sz w:val="24"/>
          <w:szCs w:val="24"/>
          <w:lang w:val="en-US" w:eastAsia="zh-CN"/>
        </w:rPr>
        <w:t>Rustgi</w:t>
      </w:r>
      <w:proofErr w:type="spellEnd"/>
      <w:r w:rsidRPr="00E669A7">
        <w:rPr>
          <w:rFonts w:ascii="Book Antiqua" w:hAnsi="Book Antiqua" w:cs="宋体"/>
          <w:sz w:val="24"/>
          <w:szCs w:val="24"/>
          <w:lang w:val="en-US" w:eastAsia="zh-CN"/>
        </w:rPr>
        <w:t xml:space="preserve"> VK, </w:t>
      </w:r>
      <w:proofErr w:type="spellStart"/>
      <w:r w:rsidRPr="00E669A7">
        <w:rPr>
          <w:rFonts w:ascii="Book Antiqua" w:hAnsi="Book Antiqua" w:cs="宋体"/>
          <w:sz w:val="24"/>
          <w:szCs w:val="24"/>
          <w:lang w:val="en-US" w:eastAsia="zh-CN"/>
        </w:rPr>
        <w:t>Marcellin</w:t>
      </w:r>
      <w:proofErr w:type="spellEnd"/>
      <w:r w:rsidRPr="00E669A7">
        <w:rPr>
          <w:rFonts w:ascii="Book Antiqua" w:hAnsi="Book Antiqua" w:cs="宋体"/>
          <w:sz w:val="24"/>
          <w:szCs w:val="24"/>
          <w:lang w:val="en-US" w:eastAsia="zh-CN"/>
        </w:rPr>
        <w:t xml:space="preserve"> P. Efficacy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at 240 weeks in patients with chronic hepatitis B with high baseline viral load.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58</w:t>
      </w:r>
      <w:r w:rsidRPr="00E669A7">
        <w:rPr>
          <w:rFonts w:ascii="Book Antiqua" w:hAnsi="Book Antiqua" w:cs="宋体"/>
          <w:sz w:val="24"/>
          <w:szCs w:val="24"/>
          <w:lang w:val="en-US" w:eastAsia="zh-CN"/>
        </w:rPr>
        <w:t>: 505-513 [PMID: 23364953</w:t>
      </w:r>
      <w:r>
        <w:rPr>
          <w:rFonts w:ascii="Book Antiqua" w:hAnsi="Book Antiqua" w:cs="宋体"/>
          <w:sz w:val="24"/>
          <w:szCs w:val="24"/>
          <w:lang w:val="en-US" w:eastAsia="zh-CN"/>
        </w:rPr>
        <w:t xml:space="preserve"> </w:t>
      </w:r>
      <w:r w:rsidRPr="00ED70CA">
        <w:rPr>
          <w:rFonts w:ascii="Book Antiqua" w:hAnsi="Book Antiqua" w:cs="宋体"/>
          <w:sz w:val="24"/>
          <w:szCs w:val="24"/>
          <w:lang w:val="en-US" w:eastAsia="zh-CN"/>
        </w:rPr>
        <w:t>DOI: 10.1002/hep.26277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19 </w:t>
      </w:r>
      <w:r w:rsidRPr="00E669A7">
        <w:rPr>
          <w:rFonts w:ascii="Book Antiqua" w:hAnsi="Book Antiqua" w:cs="宋体"/>
          <w:b/>
          <w:sz w:val="24"/>
          <w:szCs w:val="24"/>
          <w:lang w:val="en-US" w:eastAsia="zh-CN"/>
        </w:rPr>
        <w:t>Snow-</w:t>
      </w:r>
      <w:proofErr w:type="spellStart"/>
      <w:r w:rsidRPr="00E669A7">
        <w:rPr>
          <w:rFonts w:ascii="Book Antiqua" w:hAnsi="Book Antiqua" w:cs="宋体"/>
          <w:b/>
          <w:sz w:val="24"/>
          <w:szCs w:val="24"/>
          <w:lang w:val="en-US" w:eastAsia="zh-CN"/>
        </w:rPr>
        <w:t>Lampart</w:t>
      </w:r>
      <w:proofErr w:type="spellEnd"/>
      <w:r w:rsidRPr="00E669A7">
        <w:rPr>
          <w:rFonts w:ascii="Book Antiqua" w:hAnsi="Book Antiqua" w:cs="宋体"/>
          <w:b/>
          <w:sz w:val="24"/>
          <w:szCs w:val="24"/>
          <w:lang w:val="en-US" w:eastAsia="zh-CN"/>
        </w:rPr>
        <w:t xml:space="preserve"> A</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Kitrinos</w:t>
      </w:r>
      <w:proofErr w:type="spellEnd"/>
      <w:r w:rsidRPr="00E669A7">
        <w:rPr>
          <w:rFonts w:ascii="Book Antiqua" w:hAnsi="Book Antiqua" w:cs="宋体"/>
          <w:sz w:val="24"/>
          <w:szCs w:val="24"/>
          <w:lang w:val="en-US" w:eastAsia="zh-CN"/>
        </w:rPr>
        <w:t xml:space="preserve"> K, Chappell B, Myrick F, </w:t>
      </w:r>
      <w:proofErr w:type="spellStart"/>
      <w:r w:rsidRPr="00E669A7">
        <w:rPr>
          <w:rFonts w:ascii="Book Antiqua" w:hAnsi="Book Antiqua" w:cs="宋体"/>
          <w:sz w:val="24"/>
          <w:szCs w:val="24"/>
          <w:lang w:val="en-US" w:eastAsia="zh-CN"/>
        </w:rPr>
        <w:t>Schawalder</w:t>
      </w:r>
      <w:proofErr w:type="spellEnd"/>
      <w:r w:rsidRPr="00E669A7">
        <w:rPr>
          <w:rFonts w:ascii="Book Antiqua" w:hAnsi="Book Antiqua" w:cs="宋体"/>
          <w:sz w:val="24"/>
          <w:szCs w:val="24"/>
          <w:lang w:val="en-US" w:eastAsia="zh-CN"/>
        </w:rPr>
        <w:t xml:space="preserve"> J, </w:t>
      </w:r>
      <w:proofErr w:type="spellStart"/>
      <w:r w:rsidRPr="00E669A7">
        <w:rPr>
          <w:rFonts w:ascii="Book Antiqua" w:hAnsi="Book Antiqua" w:cs="宋体"/>
          <w:sz w:val="24"/>
          <w:szCs w:val="24"/>
          <w:lang w:val="en-US" w:eastAsia="zh-CN"/>
        </w:rPr>
        <w:t>Heathcote</w:t>
      </w:r>
      <w:proofErr w:type="spellEnd"/>
      <w:r w:rsidRPr="00E669A7">
        <w:rPr>
          <w:rFonts w:ascii="Book Antiqua" w:hAnsi="Book Antiqua" w:cs="宋体"/>
          <w:sz w:val="24"/>
          <w:szCs w:val="24"/>
          <w:lang w:val="en-US" w:eastAsia="zh-CN"/>
        </w:rPr>
        <w:t xml:space="preserve"> EJ, </w:t>
      </w:r>
      <w:proofErr w:type="spellStart"/>
      <w:r w:rsidRPr="00E669A7">
        <w:rPr>
          <w:rFonts w:ascii="Book Antiqua" w:hAnsi="Book Antiqua" w:cs="宋体"/>
          <w:sz w:val="24"/>
          <w:szCs w:val="24"/>
          <w:lang w:val="en-US" w:eastAsia="zh-CN"/>
        </w:rPr>
        <w:t>Marcellin</w:t>
      </w:r>
      <w:proofErr w:type="spellEnd"/>
      <w:r w:rsidRPr="00E669A7">
        <w:rPr>
          <w:rFonts w:ascii="Book Antiqua" w:hAnsi="Book Antiqua" w:cs="宋体"/>
          <w:sz w:val="24"/>
          <w:szCs w:val="24"/>
          <w:lang w:val="en-US" w:eastAsia="zh-CN"/>
        </w:rPr>
        <w:t xml:space="preserve">. No resistance to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(TDF) detected following up to 192 weeks of treatment in subjects </w:t>
      </w:r>
      <w:proofErr w:type="spellStart"/>
      <w:r w:rsidRPr="00E669A7">
        <w:rPr>
          <w:rFonts w:ascii="Book Antiqua" w:hAnsi="Book Antiqua" w:cs="宋体"/>
          <w:sz w:val="24"/>
          <w:szCs w:val="24"/>
          <w:lang w:val="en-US" w:eastAsia="zh-CN"/>
        </w:rPr>
        <w:t>monoinfected</w:t>
      </w:r>
      <w:proofErr w:type="spellEnd"/>
      <w:r w:rsidRPr="00E669A7">
        <w:rPr>
          <w:rFonts w:ascii="Book Antiqua" w:hAnsi="Book Antiqua" w:cs="宋体"/>
          <w:sz w:val="24"/>
          <w:szCs w:val="24"/>
          <w:lang w:val="en-US" w:eastAsia="zh-CN"/>
        </w:rPr>
        <w:t xml:space="preserve"> with chroni</w:t>
      </w:r>
      <w:r>
        <w:rPr>
          <w:rFonts w:ascii="Book Antiqua" w:hAnsi="Book Antiqua" w:cs="宋体"/>
          <w:sz w:val="24"/>
          <w:szCs w:val="24"/>
          <w:lang w:val="en-US" w:eastAsia="zh-CN"/>
        </w:rPr>
        <w:t xml:space="preserve">c hepatitis B virus. </w:t>
      </w:r>
      <w:proofErr w:type="spellStart"/>
      <w:r w:rsidRPr="00510123">
        <w:rPr>
          <w:rFonts w:ascii="Book Antiqua" w:hAnsi="Book Antiqua" w:cs="宋体"/>
          <w:i/>
          <w:sz w:val="24"/>
          <w:szCs w:val="24"/>
          <w:lang w:val="en-US" w:eastAsia="zh-CN"/>
        </w:rPr>
        <w:t>Hepatology</w:t>
      </w:r>
      <w:proofErr w:type="spellEnd"/>
      <w:r w:rsidRPr="00E669A7">
        <w:rPr>
          <w:rFonts w:ascii="Book Antiqua" w:hAnsi="Book Antiqua" w:cs="宋体"/>
          <w:sz w:val="24"/>
          <w:szCs w:val="24"/>
          <w:lang w:val="en-US" w:eastAsia="zh-CN"/>
        </w:rPr>
        <w:t xml:space="preserve"> 2</w:t>
      </w:r>
      <w:r>
        <w:rPr>
          <w:rFonts w:ascii="Book Antiqua" w:hAnsi="Book Antiqua" w:cs="宋体"/>
          <w:sz w:val="24"/>
          <w:szCs w:val="24"/>
          <w:lang w:val="en-US" w:eastAsia="zh-CN"/>
        </w:rPr>
        <w:t xml:space="preserve">010; </w:t>
      </w:r>
      <w:r w:rsidRPr="00510123">
        <w:rPr>
          <w:rFonts w:ascii="Book Antiqua" w:hAnsi="Book Antiqua" w:cs="宋体"/>
          <w:b/>
          <w:sz w:val="24"/>
          <w:szCs w:val="24"/>
          <w:lang w:val="en-US" w:eastAsia="zh-CN"/>
        </w:rPr>
        <w:t>52</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1365</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20 </w:t>
      </w:r>
      <w:proofErr w:type="spellStart"/>
      <w:r w:rsidRPr="00E669A7">
        <w:rPr>
          <w:rFonts w:ascii="Book Antiqua" w:hAnsi="Book Antiqua" w:cs="宋体"/>
          <w:b/>
          <w:sz w:val="24"/>
          <w:szCs w:val="24"/>
          <w:lang w:val="en-US" w:eastAsia="zh-CN"/>
        </w:rPr>
        <w:t>Marcellin</w:t>
      </w:r>
      <w:proofErr w:type="spellEnd"/>
      <w:r w:rsidRPr="00E669A7">
        <w:rPr>
          <w:rFonts w:ascii="Book Antiqua" w:hAnsi="Book Antiqua" w:cs="宋体"/>
          <w:b/>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Gane</w:t>
      </w:r>
      <w:proofErr w:type="spellEnd"/>
      <w:r w:rsidRPr="00E669A7">
        <w:rPr>
          <w:rFonts w:ascii="Book Antiqua" w:hAnsi="Book Antiqua" w:cs="宋体"/>
          <w:sz w:val="24"/>
          <w:szCs w:val="24"/>
          <w:lang w:val="en-US" w:eastAsia="zh-CN"/>
        </w:rPr>
        <w:t xml:space="preserve"> E, Tsai N, Sievert W, Jacobson IM, </w:t>
      </w:r>
      <w:proofErr w:type="spellStart"/>
      <w:r w:rsidRPr="00E669A7">
        <w:rPr>
          <w:rFonts w:ascii="Book Antiqua" w:hAnsi="Book Antiqua" w:cs="宋体"/>
          <w:sz w:val="24"/>
          <w:szCs w:val="24"/>
          <w:lang w:val="en-US" w:eastAsia="zh-CN"/>
        </w:rPr>
        <w:t>Germanidis</w:t>
      </w:r>
      <w:proofErr w:type="spellEnd"/>
      <w:r w:rsidRPr="00E669A7">
        <w:rPr>
          <w:rFonts w:ascii="Book Antiqua" w:hAnsi="Book Antiqua" w:cs="宋体"/>
          <w:sz w:val="24"/>
          <w:szCs w:val="24"/>
          <w:lang w:val="en-US" w:eastAsia="zh-CN"/>
        </w:rPr>
        <w:t xml:space="preserve"> G. Six Years of Treatment With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for Chronic Hepatitis B Virus Infection Is Safe and Well Tolerated and Associated With Sustained </w:t>
      </w:r>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Biochemical, and Serological Responses With No Detectable Resistance. </w:t>
      </w:r>
      <w:proofErr w:type="spellStart"/>
      <w:r w:rsidRPr="00E669A7">
        <w:rPr>
          <w:rFonts w:ascii="Book Antiqua" w:hAnsi="Book Antiqua" w:cs="宋体"/>
          <w:i/>
          <w:sz w:val="24"/>
          <w:szCs w:val="24"/>
          <w:lang w:val="en-US" w:eastAsia="zh-CN"/>
        </w:rPr>
        <w:t>Hepatology</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sz w:val="24"/>
          <w:szCs w:val="24"/>
          <w:lang w:val="en-US" w:eastAsia="zh-CN"/>
        </w:rPr>
        <w:t>56</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374</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21 </w:t>
      </w:r>
      <w:r w:rsidRPr="00E669A7">
        <w:rPr>
          <w:rFonts w:ascii="Book Antiqua" w:hAnsi="Book Antiqua" w:cs="宋体"/>
          <w:b/>
          <w:bCs/>
          <w:sz w:val="24"/>
          <w:szCs w:val="24"/>
          <w:lang w:val="en-US" w:eastAsia="zh-CN"/>
        </w:rPr>
        <w:t>Pol S</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Lampertico</w:t>
      </w:r>
      <w:proofErr w:type="spellEnd"/>
      <w:r w:rsidRPr="00E669A7">
        <w:rPr>
          <w:rFonts w:ascii="Book Antiqua" w:hAnsi="Book Antiqua" w:cs="宋体"/>
          <w:sz w:val="24"/>
          <w:szCs w:val="24"/>
          <w:lang w:val="en-US" w:eastAsia="zh-CN"/>
        </w:rPr>
        <w:t xml:space="preserve"> P. First-line treatment of chronic hepatitis B with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or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in 'real-life' settings: from clinical trials to clinical practice. </w:t>
      </w:r>
      <w:r w:rsidRPr="00E669A7">
        <w:rPr>
          <w:rFonts w:ascii="Book Antiqua" w:hAnsi="Book Antiqua" w:cs="宋体"/>
          <w:i/>
          <w:iCs/>
          <w:sz w:val="24"/>
          <w:szCs w:val="24"/>
          <w:lang w:val="en-US" w:eastAsia="zh-CN"/>
        </w:rPr>
        <w:t xml:space="preserve">J Viral </w:t>
      </w:r>
      <w:proofErr w:type="spellStart"/>
      <w:r w:rsidRPr="00E669A7">
        <w:rPr>
          <w:rFonts w:ascii="Book Antiqua" w:hAnsi="Book Antiqua" w:cs="宋体"/>
          <w:i/>
          <w:iCs/>
          <w:sz w:val="24"/>
          <w:szCs w:val="24"/>
          <w:lang w:val="en-US" w:eastAsia="zh-CN"/>
        </w:rPr>
        <w:t>Hepat</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19</w:t>
      </w:r>
      <w:r w:rsidRPr="00E669A7">
        <w:rPr>
          <w:rFonts w:ascii="Book Antiqua" w:hAnsi="Book Antiqua" w:cs="宋体"/>
          <w:sz w:val="24"/>
          <w:szCs w:val="24"/>
          <w:lang w:val="en-US" w:eastAsia="zh-CN"/>
        </w:rPr>
        <w:t>: 377-386 [PMID: 22571899</w:t>
      </w:r>
      <w:r>
        <w:rPr>
          <w:rFonts w:ascii="Book Antiqua" w:hAnsi="Book Antiqua" w:cs="宋体"/>
          <w:sz w:val="24"/>
          <w:szCs w:val="24"/>
          <w:lang w:val="en-US" w:eastAsia="zh-CN"/>
        </w:rPr>
        <w:t xml:space="preserve"> </w:t>
      </w:r>
      <w:r w:rsidRPr="008F139F">
        <w:rPr>
          <w:rFonts w:ascii="Book Antiqua" w:hAnsi="Book Antiqua" w:cs="宋体"/>
          <w:sz w:val="24"/>
          <w:szCs w:val="24"/>
          <w:lang w:val="en-US" w:eastAsia="zh-CN"/>
        </w:rPr>
        <w:t>DOI: 10.1111/j.1365-2893.2012.01602.x</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22 </w:t>
      </w:r>
      <w:proofErr w:type="spellStart"/>
      <w:r w:rsidRPr="00E669A7">
        <w:rPr>
          <w:rFonts w:ascii="Book Antiqua" w:hAnsi="Book Antiqua" w:cs="宋体"/>
          <w:b/>
          <w:bCs/>
          <w:sz w:val="24"/>
          <w:szCs w:val="24"/>
          <w:lang w:val="en-US" w:eastAsia="zh-CN"/>
        </w:rPr>
        <w:t>Buti</w:t>
      </w:r>
      <w:proofErr w:type="spellEnd"/>
      <w:r w:rsidRPr="00E669A7">
        <w:rPr>
          <w:rFonts w:ascii="Book Antiqua" w:hAnsi="Book Antiqua" w:cs="宋体"/>
          <w:b/>
          <w:bCs/>
          <w:sz w:val="24"/>
          <w:szCs w:val="24"/>
          <w:lang w:val="en-US" w:eastAsia="zh-CN"/>
        </w:rPr>
        <w:t xml:space="preserve"> M</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Morillas</w:t>
      </w:r>
      <w:proofErr w:type="spellEnd"/>
      <w:r w:rsidRPr="00E669A7">
        <w:rPr>
          <w:rFonts w:ascii="Book Antiqua" w:hAnsi="Book Antiqua" w:cs="宋体"/>
          <w:sz w:val="24"/>
          <w:szCs w:val="24"/>
          <w:lang w:val="en-US" w:eastAsia="zh-CN"/>
        </w:rPr>
        <w:t xml:space="preserve"> RM, Prieto M, </w:t>
      </w:r>
      <w:proofErr w:type="spellStart"/>
      <w:r w:rsidRPr="00E669A7">
        <w:rPr>
          <w:rFonts w:ascii="Book Antiqua" w:hAnsi="Book Antiqua" w:cs="宋体"/>
          <w:sz w:val="24"/>
          <w:szCs w:val="24"/>
          <w:lang w:val="en-US" w:eastAsia="zh-CN"/>
        </w:rPr>
        <w:t>Diago</w:t>
      </w:r>
      <w:proofErr w:type="spellEnd"/>
      <w:r w:rsidRPr="00E669A7">
        <w:rPr>
          <w:rFonts w:ascii="Book Antiqua" w:hAnsi="Book Antiqua" w:cs="宋体"/>
          <w:sz w:val="24"/>
          <w:szCs w:val="24"/>
          <w:lang w:val="en-US" w:eastAsia="zh-CN"/>
        </w:rPr>
        <w:t xml:space="preserve"> M, Pérez J, </w:t>
      </w:r>
      <w:proofErr w:type="spellStart"/>
      <w:r w:rsidRPr="00E669A7">
        <w:rPr>
          <w:rFonts w:ascii="Book Antiqua" w:hAnsi="Book Antiqua" w:cs="宋体"/>
          <w:sz w:val="24"/>
          <w:szCs w:val="24"/>
          <w:lang w:val="en-US" w:eastAsia="zh-CN"/>
        </w:rPr>
        <w:t>Solà</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Bonet</w:t>
      </w:r>
      <w:proofErr w:type="spellEnd"/>
      <w:r w:rsidRPr="00E669A7">
        <w:rPr>
          <w:rFonts w:ascii="Book Antiqua" w:hAnsi="Book Antiqua" w:cs="宋体"/>
          <w:sz w:val="24"/>
          <w:szCs w:val="24"/>
          <w:lang w:val="en-US" w:eastAsia="zh-CN"/>
        </w:rPr>
        <w:t xml:space="preserve"> L, Palau A, </w:t>
      </w:r>
      <w:proofErr w:type="spellStart"/>
      <w:r w:rsidRPr="00E669A7">
        <w:rPr>
          <w:rFonts w:ascii="Book Antiqua" w:hAnsi="Book Antiqua" w:cs="宋体"/>
          <w:sz w:val="24"/>
          <w:szCs w:val="24"/>
          <w:lang w:val="en-US" w:eastAsia="zh-CN"/>
        </w:rPr>
        <w:t>Testillano</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García-Samaniego</w:t>
      </w:r>
      <w:proofErr w:type="spellEnd"/>
      <w:r w:rsidRPr="00E669A7">
        <w:rPr>
          <w:rFonts w:ascii="Book Antiqua" w:hAnsi="Book Antiqua" w:cs="宋体"/>
          <w:sz w:val="24"/>
          <w:szCs w:val="24"/>
          <w:lang w:val="en-US" w:eastAsia="zh-CN"/>
        </w:rPr>
        <w:t xml:space="preserve"> J, Rodríguez M. Efficacy and safety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clinical practice in treatment-naive Caucasian chronic hepatitis B patients. </w:t>
      </w:r>
      <w:proofErr w:type="spellStart"/>
      <w:r w:rsidRPr="00E669A7">
        <w:rPr>
          <w:rFonts w:ascii="Book Antiqua" w:hAnsi="Book Antiqua" w:cs="宋体"/>
          <w:i/>
          <w:iCs/>
          <w:sz w:val="24"/>
          <w:szCs w:val="24"/>
          <w:lang w:val="en-US" w:eastAsia="zh-CN"/>
        </w:rPr>
        <w:t>Eur</w:t>
      </w:r>
      <w:proofErr w:type="spellEnd"/>
      <w:r w:rsidRPr="00E669A7">
        <w:rPr>
          <w:rFonts w:ascii="Book Antiqua" w:hAnsi="Book Antiqua" w:cs="宋体"/>
          <w:i/>
          <w:iCs/>
          <w:sz w:val="24"/>
          <w:szCs w:val="24"/>
          <w:lang w:val="en-US" w:eastAsia="zh-CN"/>
        </w:rPr>
        <w:t xml:space="preserve"> 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24</w:t>
      </w:r>
      <w:r w:rsidRPr="00E669A7">
        <w:rPr>
          <w:rFonts w:ascii="Book Antiqua" w:hAnsi="Book Antiqua" w:cs="宋体"/>
          <w:sz w:val="24"/>
          <w:szCs w:val="24"/>
          <w:lang w:val="en-US" w:eastAsia="zh-CN"/>
        </w:rPr>
        <w:t>: 535-542 [PMID: 22382708</w:t>
      </w:r>
      <w:r>
        <w:rPr>
          <w:rFonts w:ascii="Book Antiqua" w:hAnsi="Book Antiqua" w:cs="宋体"/>
          <w:sz w:val="24"/>
          <w:szCs w:val="24"/>
          <w:lang w:val="en-US" w:eastAsia="zh-CN"/>
        </w:rPr>
        <w:t xml:space="preserve"> </w:t>
      </w:r>
      <w:r w:rsidRPr="00A86C4A">
        <w:rPr>
          <w:rFonts w:ascii="Book Antiqua" w:hAnsi="Book Antiqua" w:cs="宋体"/>
          <w:sz w:val="24"/>
          <w:szCs w:val="24"/>
          <w:lang w:val="en-US" w:eastAsia="zh-CN"/>
        </w:rPr>
        <w:t>DOI: 10.1097/MEG.0b013e3283511287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23 </w:t>
      </w:r>
      <w:proofErr w:type="spellStart"/>
      <w:r w:rsidRPr="00E669A7">
        <w:rPr>
          <w:rFonts w:ascii="Book Antiqua" w:hAnsi="Book Antiqua" w:cs="宋体"/>
          <w:b/>
          <w:bCs/>
          <w:sz w:val="24"/>
          <w:szCs w:val="24"/>
          <w:lang w:val="en-US" w:eastAsia="zh-CN"/>
        </w:rPr>
        <w:t>Zoutendijk</w:t>
      </w:r>
      <w:proofErr w:type="spellEnd"/>
      <w:r w:rsidRPr="00E669A7">
        <w:rPr>
          <w:rFonts w:ascii="Book Antiqua" w:hAnsi="Book Antiqua" w:cs="宋体"/>
          <w:b/>
          <w:bCs/>
          <w:sz w:val="24"/>
          <w:szCs w:val="24"/>
          <w:lang w:val="en-US" w:eastAsia="zh-CN"/>
        </w:rPr>
        <w:t xml:space="preserve"> R</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Reijnders</w:t>
      </w:r>
      <w:proofErr w:type="spellEnd"/>
      <w:r w:rsidRPr="00E669A7">
        <w:rPr>
          <w:rFonts w:ascii="Book Antiqua" w:hAnsi="Book Antiqua" w:cs="宋体"/>
          <w:sz w:val="24"/>
          <w:szCs w:val="24"/>
          <w:lang w:val="en-US" w:eastAsia="zh-CN"/>
        </w:rPr>
        <w:t xml:space="preserve"> JG, Brown A, </w:t>
      </w:r>
      <w:proofErr w:type="spellStart"/>
      <w:r w:rsidRPr="00E669A7">
        <w:rPr>
          <w:rFonts w:ascii="Book Antiqua" w:hAnsi="Book Antiqua" w:cs="宋体"/>
          <w:sz w:val="24"/>
          <w:szCs w:val="24"/>
          <w:lang w:val="en-US" w:eastAsia="zh-CN"/>
        </w:rPr>
        <w:t>Zoulim</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Mutimer</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Deterding</w:t>
      </w:r>
      <w:proofErr w:type="spellEnd"/>
      <w:r w:rsidRPr="00E669A7">
        <w:rPr>
          <w:rFonts w:ascii="Book Antiqua" w:hAnsi="Book Antiqua" w:cs="宋体"/>
          <w:sz w:val="24"/>
          <w:szCs w:val="24"/>
          <w:lang w:val="en-US" w:eastAsia="zh-CN"/>
        </w:rPr>
        <w:t xml:space="preserve"> K, Petersen J, Hofmann WP,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Santantonio</w:t>
      </w:r>
      <w:proofErr w:type="spellEnd"/>
      <w:r w:rsidRPr="00E669A7">
        <w:rPr>
          <w:rFonts w:ascii="Book Antiqua" w:hAnsi="Book Antiqua" w:cs="宋体"/>
          <w:sz w:val="24"/>
          <w:szCs w:val="24"/>
          <w:lang w:val="en-US" w:eastAsia="zh-CN"/>
        </w:rPr>
        <w:t xml:space="preserve"> T, van </w:t>
      </w:r>
      <w:proofErr w:type="spellStart"/>
      <w:r w:rsidRPr="00E669A7">
        <w:rPr>
          <w:rFonts w:ascii="Book Antiqua" w:hAnsi="Book Antiqua" w:cs="宋体"/>
          <w:sz w:val="24"/>
          <w:szCs w:val="24"/>
          <w:lang w:val="en-US" w:eastAsia="zh-CN"/>
        </w:rPr>
        <w:t>Bömmel</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Pradat</w:t>
      </w:r>
      <w:proofErr w:type="spellEnd"/>
      <w:r w:rsidRPr="00E669A7">
        <w:rPr>
          <w:rFonts w:ascii="Book Antiqua" w:hAnsi="Book Antiqua" w:cs="宋体"/>
          <w:sz w:val="24"/>
          <w:szCs w:val="24"/>
          <w:lang w:val="en-US" w:eastAsia="zh-CN"/>
        </w:rPr>
        <w:t xml:space="preserve"> P, </w:t>
      </w:r>
      <w:proofErr w:type="spellStart"/>
      <w:r w:rsidRPr="00E669A7">
        <w:rPr>
          <w:rFonts w:ascii="Book Antiqua" w:hAnsi="Book Antiqua" w:cs="宋体"/>
          <w:sz w:val="24"/>
          <w:szCs w:val="24"/>
          <w:lang w:val="en-US" w:eastAsia="zh-CN"/>
        </w:rPr>
        <w:t>Oo</w:t>
      </w:r>
      <w:proofErr w:type="spellEnd"/>
      <w:r w:rsidRPr="00E669A7">
        <w:rPr>
          <w:rFonts w:ascii="Book Antiqua" w:hAnsi="Book Antiqua" w:cs="宋体"/>
          <w:sz w:val="24"/>
          <w:szCs w:val="24"/>
          <w:lang w:val="en-US" w:eastAsia="zh-CN"/>
        </w:rPr>
        <w:t xml:space="preserve"> Y, </w:t>
      </w:r>
      <w:proofErr w:type="spellStart"/>
      <w:r w:rsidRPr="00E669A7">
        <w:rPr>
          <w:rFonts w:ascii="Book Antiqua" w:hAnsi="Book Antiqua" w:cs="宋体"/>
          <w:sz w:val="24"/>
          <w:szCs w:val="24"/>
          <w:lang w:val="en-US" w:eastAsia="zh-CN"/>
        </w:rPr>
        <w:lastRenderedPageBreak/>
        <w:t>Luetgehetmann</w:t>
      </w:r>
      <w:proofErr w:type="spellEnd"/>
      <w:r w:rsidRPr="00E669A7">
        <w:rPr>
          <w:rFonts w:ascii="Book Antiqua" w:hAnsi="Book Antiqua" w:cs="宋体"/>
          <w:sz w:val="24"/>
          <w:szCs w:val="24"/>
          <w:lang w:val="en-US" w:eastAsia="zh-CN"/>
        </w:rPr>
        <w:t xml:space="preserve"> M, Berg T, Hansen BE, </w:t>
      </w:r>
      <w:proofErr w:type="spellStart"/>
      <w:r w:rsidRPr="00E669A7">
        <w:rPr>
          <w:rFonts w:ascii="Book Antiqua" w:hAnsi="Book Antiqua" w:cs="宋体"/>
          <w:sz w:val="24"/>
          <w:szCs w:val="24"/>
          <w:lang w:val="en-US" w:eastAsia="zh-CN"/>
        </w:rPr>
        <w:t>Wedemeyer</w:t>
      </w:r>
      <w:proofErr w:type="spellEnd"/>
      <w:r w:rsidRPr="00E669A7">
        <w:rPr>
          <w:rFonts w:ascii="Book Antiqua" w:hAnsi="Book Antiqua" w:cs="宋体"/>
          <w:sz w:val="24"/>
          <w:szCs w:val="24"/>
          <w:lang w:val="en-US" w:eastAsia="zh-CN"/>
        </w:rPr>
        <w:t xml:space="preserve"> H, Janssen HL.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treatment for chronic hepatitis B: adaptation is not needed for the majority of naïve patients with a partial </w:t>
      </w:r>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response.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54</w:t>
      </w:r>
      <w:r w:rsidRPr="00E669A7">
        <w:rPr>
          <w:rFonts w:ascii="Book Antiqua" w:hAnsi="Book Antiqua" w:cs="宋体"/>
          <w:sz w:val="24"/>
          <w:szCs w:val="24"/>
          <w:lang w:val="en-US" w:eastAsia="zh-CN"/>
        </w:rPr>
        <w:t>: 443-451 [PMID: 21563196</w:t>
      </w:r>
      <w:r>
        <w:rPr>
          <w:rFonts w:ascii="Book Antiqua" w:hAnsi="Book Antiqua" w:cs="宋体"/>
          <w:sz w:val="24"/>
          <w:szCs w:val="24"/>
          <w:lang w:val="en-US" w:eastAsia="zh-CN"/>
        </w:rPr>
        <w:t xml:space="preserve"> </w:t>
      </w:r>
      <w:r w:rsidRPr="00AC06AD">
        <w:rPr>
          <w:rFonts w:ascii="Book Antiqua" w:hAnsi="Book Antiqua" w:cs="宋体"/>
          <w:sz w:val="24"/>
          <w:szCs w:val="24"/>
          <w:lang w:val="en-US" w:eastAsia="zh-CN"/>
        </w:rPr>
        <w:t>DOI: 10.1002/hep.24406</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24 </w:t>
      </w:r>
      <w:r w:rsidRPr="00E669A7">
        <w:rPr>
          <w:rFonts w:ascii="Book Antiqua" w:hAnsi="Book Antiqua" w:cs="宋体"/>
          <w:b/>
          <w:sz w:val="24"/>
          <w:szCs w:val="24"/>
          <w:lang w:val="en-US" w:eastAsia="zh-CN"/>
        </w:rPr>
        <w:t>Carey I</w:t>
      </w:r>
      <w:r>
        <w:rPr>
          <w:rFonts w:ascii="Book Antiqua" w:hAnsi="Book Antiqua" w:cs="宋体"/>
          <w:sz w:val="24"/>
          <w:szCs w:val="24"/>
          <w:lang w:val="en-US" w:eastAsia="zh-CN"/>
        </w:rPr>
        <w:t>, Nguyen H</w:t>
      </w:r>
      <w:r w:rsidRPr="00E669A7">
        <w:rPr>
          <w:rFonts w:ascii="Book Antiqua" w:hAnsi="Book Antiqua" w:cs="宋体"/>
          <w:sz w:val="24"/>
          <w:szCs w:val="24"/>
          <w:lang w:val="en-US" w:eastAsia="zh-CN"/>
        </w:rPr>
        <w:t>L, Joe D, Al-</w:t>
      </w:r>
      <w:proofErr w:type="spellStart"/>
      <w:r w:rsidRPr="00E669A7">
        <w:rPr>
          <w:rFonts w:ascii="Book Antiqua" w:hAnsi="Book Antiqua" w:cs="宋体"/>
          <w:sz w:val="24"/>
          <w:szCs w:val="24"/>
          <w:lang w:val="en-US" w:eastAsia="zh-CN"/>
        </w:rPr>
        <w:t>Freah</w:t>
      </w:r>
      <w:proofErr w:type="spellEnd"/>
      <w:r w:rsidRPr="00E669A7">
        <w:rPr>
          <w:rFonts w:ascii="Book Antiqua" w:hAnsi="Book Antiqua" w:cs="宋体"/>
          <w:sz w:val="24"/>
          <w:szCs w:val="24"/>
          <w:lang w:val="en-US" w:eastAsia="zh-CN"/>
        </w:rPr>
        <w:t xml:space="preserve"> MA, </w:t>
      </w:r>
      <w:proofErr w:type="spellStart"/>
      <w:r w:rsidRPr="00E669A7">
        <w:rPr>
          <w:rFonts w:ascii="Book Antiqua" w:hAnsi="Book Antiqua" w:cs="宋体"/>
          <w:sz w:val="24"/>
          <w:szCs w:val="24"/>
          <w:lang w:val="en-US" w:eastAsia="zh-CN"/>
        </w:rPr>
        <w:t>Knighton</w:t>
      </w:r>
      <w:proofErr w:type="spellEnd"/>
      <w:r w:rsidRPr="00E669A7">
        <w:rPr>
          <w:rFonts w:ascii="Book Antiqua" w:hAnsi="Book Antiqua" w:cs="宋体"/>
          <w:sz w:val="24"/>
          <w:szCs w:val="24"/>
          <w:lang w:val="en-US" w:eastAsia="zh-CN"/>
        </w:rPr>
        <w:t xml:space="preserve"> S, </w:t>
      </w:r>
      <w:proofErr w:type="spellStart"/>
      <w:r w:rsidRPr="00E669A7">
        <w:rPr>
          <w:rFonts w:ascii="Book Antiqua" w:hAnsi="Book Antiqua" w:cs="宋体"/>
          <w:sz w:val="24"/>
          <w:szCs w:val="24"/>
          <w:lang w:val="en-US" w:eastAsia="zh-CN"/>
        </w:rPr>
        <w:t>Suddle</w:t>
      </w:r>
      <w:proofErr w:type="spellEnd"/>
      <w:r w:rsidRPr="00E669A7">
        <w:rPr>
          <w:rFonts w:ascii="Book Antiqua" w:hAnsi="Book Antiqua" w:cs="宋体"/>
          <w:sz w:val="24"/>
          <w:szCs w:val="24"/>
          <w:lang w:val="en-US" w:eastAsia="zh-CN"/>
        </w:rPr>
        <w:t xml:space="preserve"> A, Harrison PM. De-novo antiviral therapy with </w:t>
      </w:r>
      <w:proofErr w:type="spell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 xml:space="preserve">(t)ide analogues in “real-life” patients with chronic hepatitis B infection: comparison of </w:t>
      </w:r>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responses between lamivudine </w:t>
      </w:r>
      <w:proofErr w:type="spellStart"/>
      <w:r w:rsidRPr="00E669A7">
        <w:rPr>
          <w:rFonts w:ascii="Book Antiqua" w:hAnsi="Book Antiqua" w:cs="宋体"/>
          <w:sz w:val="24"/>
          <w:szCs w:val="24"/>
          <w:lang w:val="en-US" w:eastAsia="zh-CN"/>
        </w:rPr>
        <w:t>adefovir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vs.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therapy. </w:t>
      </w:r>
      <w:proofErr w:type="spellStart"/>
      <w:r w:rsidRPr="00E669A7">
        <w:rPr>
          <w:rFonts w:ascii="Book Antiqua" w:hAnsi="Book Antiqua" w:cs="宋体"/>
          <w:i/>
          <w:sz w:val="24"/>
          <w:szCs w:val="24"/>
          <w:lang w:val="en-US" w:eastAsia="zh-CN"/>
        </w:rPr>
        <w:t>Hepatology</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sz w:val="24"/>
          <w:szCs w:val="24"/>
          <w:lang w:val="en-US" w:eastAsia="zh-CN"/>
        </w:rPr>
        <w:t>54</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1396</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25 </w:t>
      </w:r>
      <w:proofErr w:type="spellStart"/>
      <w:r w:rsidRPr="00E669A7">
        <w:rPr>
          <w:rFonts w:ascii="Book Antiqua" w:hAnsi="Book Antiqua" w:cs="宋体"/>
          <w:b/>
          <w:sz w:val="24"/>
          <w:szCs w:val="24"/>
          <w:lang w:val="en-US" w:eastAsia="zh-CN"/>
        </w:rPr>
        <w:t>Lampertico</w:t>
      </w:r>
      <w:proofErr w:type="spellEnd"/>
      <w:r w:rsidRPr="00E669A7">
        <w:rPr>
          <w:rFonts w:ascii="Book Antiqua" w:hAnsi="Book Antiqua" w:cs="宋体"/>
          <w:b/>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Soffredini</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Vigano</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Minola</w:t>
      </w:r>
      <w:proofErr w:type="spellEnd"/>
      <w:r w:rsidRPr="00E669A7">
        <w:rPr>
          <w:rFonts w:ascii="Book Antiqua" w:hAnsi="Book Antiqua" w:cs="宋体"/>
          <w:sz w:val="24"/>
          <w:szCs w:val="24"/>
          <w:lang w:val="en-US" w:eastAsia="zh-CN"/>
        </w:rPr>
        <w:t xml:space="preserve"> E</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Cologni</w:t>
      </w:r>
      <w:proofErr w:type="spellEnd"/>
      <w:r>
        <w:rPr>
          <w:rFonts w:ascii="Book Antiqua" w:hAnsi="Book Antiqua" w:cs="宋体"/>
          <w:sz w:val="24"/>
          <w:szCs w:val="24"/>
          <w:lang w:val="en-US" w:eastAsia="zh-CN"/>
        </w:rPr>
        <w:t xml:space="preserve"> G, </w:t>
      </w:r>
      <w:proofErr w:type="spellStart"/>
      <w:r>
        <w:rPr>
          <w:rFonts w:ascii="Book Antiqua" w:hAnsi="Book Antiqua" w:cs="宋体"/>
          <w:sz w:val="24"/>
          <w:szCs w:val="24"/>
          <w:lang w:val="en-US" w:eastAsia="zh-CN"/>
        </w:rPr>
        <w:t>Rizzi</w:t>
      </w:r>
      <w:proofErr w:type="spellEnd"/>
      <w:r>
        <w:rPr>
          <w:rFonts w:ascii="Book Antiqua" w:hAnsi="Book Antiqua" w:cs="宋体"/>
          <w:sz w:val="24"/>
          <w:szCs w:val="24"/>
          <w:lang w:val="en-US" w:eastAsia="zh-CN"/>
        </w:rPr>
        <w:t xml:space="preserve"> M, </w:t>
      </w:r>
      <w:proofErr w:type="spellStart"/>
      <w:r>
        <w:rPr>
          <w:rFonts w:ascii="Book Antiqua" w:hAnsi="Book Antiqua" w:cs="宋体"/>
          <w:sz w:val="24"/>
          <w:szCs w:val="24"/>
          <w:lang w:val="en-US" w:eastAsia="zh-CN"/>
        </w:rPr>
        <w:t>Zaltron</w:t>
      </w:r>
      <w:proofErr w:type="spellEnd"/>
      <w:r>
        <w:rPr>
          <w:rFonts w:ascii="Book Antiqua" w:hAnsi="Book Antiqua" w:cs="宋体"/>
          <w:sz w:val="24"/>
          <w:szCs w:val="24"/>
          <w:lang w:val="en-US" w:eastAsia="zh-CN"/>
        </w:rPr>
        <w:t xml:space="preserve"> S</w:t>
      </w:r>
      <w:r w:rsidRPr="00E669A7">
        <w:rPr>
          <w:rFonts w:ascii="Book Antiqua" w:hAnsi="Book Antiqua" w:cs="宋体"/>
          <w:sz w:val="24"/>
          <w:szCs w:val="24"/>
          <w:lang w:val="en-US" w:eastAsia="zh-CN"/>
        </w:rPr>
        <w:t xml:space="preserve">. 5-year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treatment in NUC-naive, field-practice patients with chronic hepatitis B showed excellent viral suppression and safety profile but no prevention of HCC in </w:t>
      </w:r>
      <w:proofErr w:type="spellStart"/>
      <w:r>
        <w:rPr>
          <w:rFonts w:ascii="Book Antiqua" w:hAnsi="Book Antiqua" w:cs="宋体"/>
          <w:sz w:val="24"/>
          <w:szCs w:val="24"/>
          <w:lang w:val="en-US" w:eastAsia="zh-CN"/>
        </w:rPr>
        <w:t>cirrhotics</w:t>
      </w:r>
      <w:proofErr w:type="spellEnd"/>
      <w:r>
        <w:rPr>
          <w:rFonts w:ascii="Book Antiqua" w:hAnsi="Book Antiqua" w:cs="宋体"/>
          <w:sz w:val="24"/>
          <w:szCs w:val="24"/>
          <w:lang w:val="en-US" w:eastAsia="zh-CN"/>
        </w:rPr>
        <w:t xml:space="preserve">. </w:t>
      </w:r>
      <w:r w:rsidRPr="00510123">
        <w:rPr>
          <w:rFonts w:ascii="Book Antiqua" w:hAnsi="Book Antiqua" w:cs="宋体"/>
          <w:i/>
          <w:sz w:val="24"/>
          <w:szCs w:val="24"/>
          <w:lang w:val="en-US" w:eastAsia="zh-CN"/>
        </w:rPr>
        <w:t xml:space="preserve">J </w:t>
      </w:r>
      <w:proofErr w:type="spellStart"/>
      <w:r w:rsidRPr="00510123">
        <w:rPr>
          <w:rFonts w:ascii="Book Antiqua" w:hAnsi="Book Antiqua" w:cs="宋体"/>
          <w:i/>
          <w:sz w:val="24"/>
          <w:szCs w:val="24"/>
          <w:lang w:val="en-US" w:eastAsia="zh-CN"/>
        </w:rPr>
        <w:t>Hepatol</w:t>
      </w:r>
      <w:proofErr w:type="spellEnd"/>
      <w:r>
        <w:rPr>
          <w:rFonts w:ascii="Book Antiqua" w:hAnsi="Book Antiqua" w:cs="宋体"/>
          <w:sz w:val="24"/>
          <w:szCs w:val="24"/>
          <w:lang w:val="en-US" w:eastAsia="zh-CN"/>
        </w:rPr>
        <w:t xml:space="preserve"> 2013; </w:t>
      </w:r>
      <w:r w:rsidRPr="00510123">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Sup</w:t>
      </w:r>
      <w:r>
        <w:rPr>
          <w:rFonts w:ascii="Book Antiqua" w:hAnsi="Book Antiqua" w:cs="宋体"/>
          <w:sz w:val="24"/>
          <w:szCs w:val="24"/>
          <w:lang w:val="en-US" w:eastAsia="zh-CN"/>
        </w:rPr>
        <w:t>pl</w:t>
      </w:r>
      <w:proofErr w:type="spellEnd"/>
      <w:r>
        <w:rPr>
          <w:rFonts w:ascii="Book Antiqua" w:hAnsi="Book Antiqua" w:cs="宋体"/>
          <w:sz w:val="24"/>
          <w:szCs w:val="24"/>
          <w:lang w:val="en-US" w:eastAsia="zh-CN"/>
        </w:rPr>
        <w:t xml:space="preserve"> 1: Abstract 755</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26 </w:t>
      </w:r>
      <w:r w:rsidRPr="00E669A7">
        <w:rPr>
          <w:rFonts w:ascii="Book Antiqua" w:hAnsi="Book Antiqua" w:cs="宋体"/>
          <w:b/>
          <w:bCs/>
          <w:sz w:val="24"/>
          <w:szCs w:val="24"/>
          <w:lang w:val="en-US" w:eastAsia="zh-CN"/>
        </w:rPr>
        <w:t>Marengo A</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Bitetto</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D'Avolio</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Ciancio</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Fabris</w:t>
      </w:r>
      <w:proofErr w:type="spellEnd"/>
      <w:r w:rsidRPr="00E669A7">
        <w:rPr>
          <w:rFonts w:ascii="Book Antiqua" w:hAnsi="Book Antiqua" w:cs="宋体"/>
          <w:sz w:val="24"/>
          <w:szCs w:val="24"/>
          <w:lang w:val="en-US" w:eastAsia="zh-CN"/>
        </w:rPr>
        <w:t xml:space="preserve"> C, </w:t>
      </w:r>
      <w:proofErr w:type="spellStart"/>
      <w:r w:rsidRPr="00E669A7">
        <w:rPr>
          <w:rFonts w:ascii="Book Antiqua" w:hAnsi="Book Antiqua" w:cs="宋体"/>
          <w:sz w:val="24"/>
          <w:szCs w:val="24"/>
          <w:lang w:val="en-US" w:eastAsia="zh-CN"/>
        </w:rPr>
        <w:t>Marietti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Toniutto</w:t>
      </w:r>
      <w:proofErr w:type="spellEnd"/>
      <w:r w:rsidRPr="00E669A7">
        <w:rPr>
          <w:rFonts w:ascii="Book Antiqua" w:hAnsi="Book Antiqua" w:cs="宋体"/>
          <w:sz w:val="24"/>
          <w:szCs w:val="24"/>
          <w:lang w:val="en-US" w:eastAsia="zh-CN"/>
        </w:rPr>
        <w:t xml:space="preserve"> P, Di </w:t>
      </w:r>
      <w:proofErr w:type="spellStart"/>
      <w:r w:rsidRPr="00E669A7">
        <w:rPr>
          <w:rFonts w:ascii="Book Antiqua" w:hAnsi="Book Antiqua" w:cs="宋体"/>
          <w:sz w:val="24"/>
          <w:szCs w:val="24"/>
          <w:lang w:val="en-US" w:eastAsia="zh-CN"/>
        </w:rPr>
        <w:t>Perri</w:t>
      </w:r>
      <w:proofErr w:type="spellEnd"/>
      <w:r w:rsidRPr="00E669A7">
        <w:rPr>
          <w:rFonts w:ascii="Book Antiqua" w:hAnsi="Book Antiqua" w:cs="宋体"/>
          <w:sz w:val="24"/>
          <w:szCs w:val="24"/>
          <w:lang w:val="en-US" w:eastAsia="zh-CN"/>
        </w:rPr>
        <w:t xml:space="preserve"> G, </w:t>
      </w:r>
      <w:proofErr w:type="spellStart"/>
      <w:r w:rsidRPr="00E669A7">
        <w:rPr>
          <w:rFonts w:ascii="Book Antiqua" w:hAnsi="Book Antiqua" w:cs="宋体"/>
          <w:sz w:val="24"/>
          <w:szCs w:val="24"/>
          <w:lang w:val="en-US" w:eastAsia="zh-CN"/>
        </w:rPr>
        <w:t>Rizzetto</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Marzano</w:t>
      </w:r>
      <w:proofErr w:type="spellEnd"/>
      <w:r w:rsidRPr="00E669A7">
        <w:rPr>
          <w:rFonts w:ascii="Book Antiqua" w:hAnsi="Book Antiqua" w:cs="宋体"/>
          <w:sz w:val="24"/>
          <w:szCs w:val="24"/>
          <w:lang w:val="en-US" w:eastAsia="zh-CN"/>
        </w:rPr>
        <w:t xml:space="preserve"> A. Clinical and </w:t>
      </w:r>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response to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HBV-related chronic hepatitis or cirrhosis: data from the clinical practice in a single-</w:t>
      </w:r>
      <w:proofErr w:type="spellStart"/>
      <w:r w:rsidRPr="00E669A7">
        <w:rPr>
          <w:rFonts w:ascii="Book Antiqua" w:hAnsi="Book Antiqua" w:cs="宋体"/>
          <w:sz w:val="24"/>
          <w:szCs w:val="24"/>
          <w:lang w:val="en-US" w:eastAsia="zh-CN"/>
        </w:rPr>
        <w:t>centre</w:t>
      </w:r>
      <w:proofErr w:type="spellEnd"/>
      <w:r w:rsidRPr="00E669A7">
        <w:rPr>
          <w:rFonts w:ascii="Book Antiqua" w:hAnsi="Book Antiqua" w:cs="宋体"/>
          <w:sz w:val="24"/>
          <w:szCs w:val="24"/>
          <w:lang w:val="en-US" w:eastAsia="zh-CN"/>
        </w:rPr>
        <w:t xml:space="preserve"> cohort. </w:t>
      </w:r>
      <w:proofErr w:type="spellStart"/>
      <w:r w:rsidRPr="00E669A7">
        <w:rPr>
          <w:rFonts w:ascii="Book Antiqua" w:hAnsi="Book Antiqua" w:cs="宋体"/>
          <w:i/>
          <w:iCs/>
          <w:sz w:val="24"/>
          <w:szCs w:val="24"/>
          <w:lang w:val="en-US" w:eastAsia="zh-CN"/>
        </w:rPr>
        <w:t>Antivir</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Ther</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18</w:t>
      </w:r>
      <w:r w:rsidRPr="00E669A7">
        <w:rPr>
          <w:rFonts w:ascii="Book Antiqua" w:hAnsi="Book Antiqua" w:cs="宋体"/>
          <w:sz w:val="24"/>
          <w:szCs w:val="24"/>
          <w:lang w:val="en-US" w:eastAsia="zh-CN"/>
        </w:rPr>
        <w:t>: 87-94 [PMID: 22872649]</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27 </w:t>
      </w:r>
      <w:proofErr w:type="spellStart"/>
      <w:r w:rsidRPr="00E669A7">
        <w:rPr>
          <w:rFonts w:ascii="Book Antiqua" w:hAnsi="Book Antiqua" w:cs="宋体"/>
          <w:b/>
          <w:sz w:val="24"/>
          <w:szCs w:val="24"/>
          <w:lang w:val="en-US" w:eastAsia="zh-CN"/>
        </w:rPr>
        <w:t>Giuberti</w:t>
      </w:r>
      <w:proofErr w:type="spellEnd"/>
      <w:r w:rsidRPr="00E669A7">
        <w:rPr>
          <w:rFonts w:ascii="Book Antiqua" w:hAnsi="Book Antiqua" w:cs="宋体"/>
          <w:b/>
          <w:sz w:val="24"/>
          <w:szCs w:val="24"/>
          <w:lang w:val="en-US" w:eastAsia="zh-CN"/>
        </w:rPr>
        <w:t xml:space="preserve"> T</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Fasano</w:t>
      </w:r>
      <w:proofErr w:type="spellEnd"/>
      <w:r w:rsidRPr="00E669A7">
        <w:rPr>
          <w:rFonts w:ascii="Book Antiqua" w:hAnsi="Book Antiqua" w:cs="宋体"/>
          <w:sz w:val="24"/>
          <w:szCs w:val="24"/>
          <w:lang w:val="en-US" w:eastAsia="zh-CN"/>
        </w:rPr>
        <w:t xml:space="preserve"> M, Brancaccio G, </w:t>
      </w:r>
      <w:proofErr w:type="spellStart"/>
      <w:r w:rsidRPr="00E669A7">
        <w:rPr>
          <w:rFonts w:ascii="Book Antiqua" w:hAnsi="Book Antiqua" w:cs="宋体"/>
          <w:sz w:val="24"/>
          <w:szCs w:val="24"/>
          <w:lang w:val="en-US" w:eastAsia="zh-CN"/>
        </w:rPr>
        <w:t>Santantonio</w:t>
      </w:r>
      <w:proofErr w:type="spellEnd"/>
      <w:r w:rsidRPr="00E669A7">
        <w:rPr>
          <w:rFonts w:ascii="Book Antiqua" w:hAnsi="Book Antiqua" w:cs="宋体"/>
          <w:sz w:val="24"/>
          <w:szCs w:val="24"/>
          <w:lang w:val="en-US" w:eastAsia="zh-CN"/>
        </w:rPr>
        <w:t xml:space="preserve"> T, Grasso T, </w:t>
      </w:r>
      <w:proofErr w:type="spellStart"/>
      <w:r w:rsidRPr="00E669A7">
        <w:rPr>
          <w:rFonts w:ascii="Book Antiqua" w:hAnsi="Book Antiqua" w:cs="宋体"/>
          <w:sz w:val="24"/>
          <w:szCs w:val="24"/>
          <w:lang w:val="en-US" w:eastAsia="zh-CN"/>
        </w:rPr>
        <w:t>Marzano</w:t>
      </w:r>
      <w:proofErr w:type="spellEnd"/>
      <w:r w:rsidRPr="00E669A7">
        <w:rPr>
          <w:rFonts w:ascii="Book Antiqua" w:hAnsi="Book Antiqua" w:cs="宋体"/>
          <w:sz w:val="24"/>
          <w:szCs w:val="24"/>
          <w:lang w:val="en-US" w:eastAsia="zh-CN"/>
        </w:rPr>
        <w:t xml:space="preserve"> A, Bronte F.</w:t>
      </w:r>
      <w:r>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effectiveness in daily clinical practice, interim analysis of the Italian Master-</w:t>
      </w:r>
      <w:proofErr w:type="spellStart"/>
      <w:r w:rsidRPr="00E669A7">
        <w:rPr>
          <w:rFonts w:ascii="Book Antiqua" w:hAnsi="Book Antiqua" w:cs="宋体"/>
          <w:sz w:val="24"/>
          <w:szCs w:val="24"/>
          <w:lang w:val="en-US" w:eastAsia="zh-CN"/>
        </w:rPr>
        <w:t>Entas</w:t>
      </w:r>
      <w:proofErr w:type="spellEnd"/>
      <w:r w:rsidRPr="00E669A7">
        <w:rPr>
          <w:rFonts w:ascii="Book Antiqua" w:hAnsi="Book Antiqua" w:cs="宋体"/>
          <w:sz w:val="24"/>
          <w:szCs w:val="24"/>
          <w:lang w:val="en-US" w:eastAsia="zh-CN"/>
        </w:rPr>
        <w:t xml:space="preserve"> cohort study of patients with chronic hepatitis B. </w:t>
      </w:r>
      <w:r w:rsidRPr="00E669A7">
        <w:rPr>
          <w:rFonts w:ascii="Book Antiqua" w:hAnsi="Book Antiqua" w:cs="宋体"/>
          <w:i/>
          <w:sz w:val="24"/>
          <w:szCs w:val="24"/>
          <w:lang w:val="en-US" w:eastAsia="zh-CN"/>
        </w:rPr>
        <w:t xml:space="preserve">J </w:t>
      </w:r>
      <w:proofErr w:type="spellStart"/>
      <w:r w:rsidRPr="00E669A7">
        <w:rPr>
          <w:rFonts w:ascii="Book Antiqua" w:hAnsi="Book Antiqua" w:cs="宋体"/>
          <w:i/>
          <w:sz w:val="24"/>
          <w:szCs w:val="24"/>
          <w:lang w:val="en-US" w:eastAsia="zh-CN"/>
        </w:rPr>
        <w:t>Hepatol</w:t>
      </w:r>
      <w:proofErr w:type="spellEnd"/>
      <w:r w:rsidRPr="00E669A7">
        <w:rPr>
          <w:rFonts w:ascii="Book Antiqua" w:hAnsi="Book Antiqua" w:cs="宋体"/>
          <w:i/>
          <w:sz w:val="24"/>
          <w:szCs w:val="24"/>
          <w:lang w:val="en-US" w:eastAsia="zh-CN"/>
        </w:rPr>
        <w:t xml:space="preserve"> </w:t>
      </w:r>
      <w:r w:rsidRPr="00E669A7">
        <w:rPr>
          <w:rFonts w:ascii="Book Antiqua" w:hAnsi="Book Antiqua" w:cs="宋体"/>
          <w:sz w:val="24"/>
          <w:szCs w:val="24"/>
          <w:lang w:val="en-US" w:eastAsia="zh-CN"/>
        </w:rPr>
        <w:t xml:space="preserve">2013; </w:t>
      </w:r>
      <w:r w:rsidRPr="00E669A7">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764</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28 </w:t>
      </w:r>
      <w:proofErr w:type="spellStart"/>
      <w:r w:rsidRPr="00E669A7">
        <w:rPr>
          <w:rFonts w:ascii="Book Antiqua" w:hAnsi="Book Antiqua" w:cs="宋体"/>
          <w:b/>
          <w:bCs/>
          <w:sz w:val="24"/>
          <w:szCs w:val="24"/>
          <w:lang w:val="en-US" w:eastAsia="zh-CN"/>
        </w:rPr>
        <w:t>Ridruejo</w:t>
      </w:r>
      <w:proofErr w:type="spellEnd"/>
      <w:r w:rsidRPr="00E669A7">
        <w:rPr>
          <w:rFonts w:ascii="Book Antiqua" w:hAnsi="Book Antiqua" w:cs="宋体"/>
          <w:b/>
          <w:bCs/>
          <w:sz w:val="24"/>
          <w:szCs w:val="24"/>
          <w:lang w:val="en-US" w:eastAsia="zh-CN"/>
        </w:rPr>
        <w:t xml:space="preserve"> E</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Adrover</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Cocozzella</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Reggiardo</w:t>
      </w:r>
      <w:proofErr w:type="spellEnd"/>
      <w:r w:rsidRPr="00E669A7">
        <w:rPr>
          <w:rFonts w:ascii="Book Antiqua" w:hAnsi="Book Antiqua" w:cs="宋体"/>
          <w:sz w:val="24"/>
          <w:szCs w:val="24"/>
          <w:lang w:val="en-US" w:eastAsia="zh-CN"/>
        </w:rPr>
        <w:t xml:space="preserve"> MV, </w:t>
      </w:r>
      <w:proofErr w:type="spellStart"/>
      <w:r w:rsidRPr="00E669A7">
        <w:rPr>
          <w:rFonts w:ascii="Book Antiqua" w:hAnsi="Book Antiqua" w:cs="宋体"/>
          <w:sz w:val="24"/>
          <w:szCs w:val="24"/>
          <w:lang w:val="en-US" w:eastAsia="zh-CN"/>
        </w:rPr>
        <w:t>Estepo</w:t>
      </w:r>
      <w:proofErr w:type="spellEnd"/>
      <w:r w:rsidRPr="00E669A7">
        <w:rPr>
          <w:rFonts w:ascii="Book Antiqua" w:hAnsi="Book Antiqua" w:cs="宋体"/>
          <w:sz w:val="24"/>
          <w:szCs w:val="24"/>
          <w:lang w:val="en-US" w:eastAsia="zh-CN"/>
        </w:rPr>
        <w:t xml:space="preserve"> C, Schroder T, Paz S, </w:t>
      </w:r>
      <w:proofErr w:type="spellStart"/>
      <w:r w:rsidRPr="00E669A7">
        <w:rPr>
          <w:rFonts w:ascii="Book Antiqua" w:hAnsi="Book Antiqua" w:cs="宋体"/>
          <w:sz w:val="24"/>
          <w:szCs w:val="24"/>
          <w:lang w:val="en-US" w:eastAsia="zh-CN"/>
        </w:rPr>
        <w:t>Mendizábal</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Fainboim</w:t>
      </w:r>
      <w:proofErr w:type="spellEnd"/>
      <w:r w:rsidRPr="00E669A7">
        <w:rPr>
          <w:rFonts w:ascii="Book Antiqua" w:hAnsi="Book Antiqua" w:cs="宋体"/>
          <w:sz w:val="24"/>
          <w:szCs w:val="24"/>
          <w:lang w:val="en-US" w:eastAsia="zh-CN"/>
        </w:rPr>
        <w:t xml:space="preserve"> H, </w:t>
      </w:r>
      <w:proofErr w:type="spellStart"/>
      <w:r w:rsidRPr="00E669A7">
        <w:rPr>
          <w:rFonts w:ascii="Book Antiqua" w:hAnsi="Book Antiqua" w:cs="宋体"/>
          <w:sz w:val="24"/>
          <w:szCs w:val="24"/>
          <w:lang w:val="en-US" w:eastAsia="zh-CN"/>
        </w:rPr>
        <w:t>Mandó</w:t>
      </w:r>
      <w:proofErr w:type="spellEnd"/>
      <w:r w:rsidRPr="00E669A7">
        <w:rPr>
          <w:rFonts w:ascii="Book Antiqua" w:hAnsi="Book Antiqua" w:cs="宋体"/>
          <w:sz w:val="24"/>
          <w:szCs w:val="24"/>
          <w:lang w:val="en-US" w:eastAsia="zh-CN"/>
        </w:rPr>
        <w:t xml:space="preserve"> OG, Silva MO. Effectiveness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chronic hepatitis B NUC-naive patients in routine clinical practice. </w:t>
      </w:r>
      <w:proofErr w:type="spellStart"/>
      <w:r w:rsidRPr="00E669A7">
        <w:rPr>
          <w:rFonts w:ascii="Book Antiqua" w:hAnsi="Book Antiqua" w:cs="宋体"/>
          <w:i/>
          <w:iCs/>
          <w:sz w:val="24"/>
          <w:szCs w:val="24"/>
          <w:lang w:val="en-US" w:eastAsia="zh-CN"/>
        </w:rPr>
        <w:t>Int</w:t>
      </w:r>
      <w:proofErr w:type="spellEnd"/>
      <w:r w:rsidRPr="00E669A7">
        <w:rPr>
          <w:rFonts w:ascii="Book Antiqua" w:hAnsi="Book Antiqua" w:cs="宋体"/>
          <w:i/>
          <w:iCs/>
          <w:sz w:val="24"/>
          <w:szCs w:val="24"/>
          <w:lang w:val="en-US" w:eastAsia="zh-CN"/>
        </w:rPr>
        <w:t xml:space="preserve"> J </w:t>
      </w:r>
      <w:proofErr w:type="spellStart"/>
      <w:r w:rsidRPr="00E669A7">
        <w:rPr>
          <w:rFonts w:ascii="Book Antiqua" w:hAnsi="Book Antiqua" w:cs="宋体"/>
          <w:i/>
          <w:iCs/>
          <w:sz w:val="24"/>
          <w:szCs w:val="24"/>
          <w:lang w:val="en-US" w:eastAsia="zh-CN"/>
        </w:rPr>
        <w:t>Clin</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Pract</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65</w:t>
      </w:r>
      <w:r w:rsidRPr="00E669A7">
        <w:rPr>
          <w:rFonts w:ascii="Book Antiqua" w:hAnsi="Book Antiqua" w:cs="宋体"/>
          <w:sz w:val="24"/>
          <w:szCs w:val="24"/>
          <w:lang w:val="en-US" w:eastAsia="zh-CN"/>
        </w:rPr>
        <w:t>: 866-870 [PMID: 21762311</w:t>
      </w:r>
      <w:r>
        <w:rPr>
          <w:rFonts w:ascii="Book Antiqua" w:hAnsi="Book Antiqua" w:cs="宋体"/>
          <w:sz w:val="24"/>
          <w:szCs w:val="24"/>
          <w:lang w:val="en-US" w:eastAsia="zh-CN"/>
        </w:rPr>
        <w:t xml:space="preserve"> </w:t>
      </w:r>
      <w:r w:rsidRPr="00C52243">
        <w:rPr>
          <w:rFonts w:ascii="Book Antiqua" w:hAnsi="Book Antiqua" w:cs="宋体"/>
          <w:sz w:val="24"/>
          <w:szCs w:val="24"/>
          <w:lang w:val="en-US" w:eastAsia="zh-CN"/>
        </w:rPr>
        <w:t>DOI: 10.1111/j.1742-1241.2011.02719.x</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29 </w:t>
      </w:r>
      <w:proofErr w:type="spellStart"/>
      <w:r w:rsidRPr="00E669A7">
        <w:rPr>
          <w:rFonts w:ascii="Book Antiqua" w:hAnsi="Book Antiqua" w:cs="宋体"/>
          <w:b/>
          <w:sz w:val="24"/>
          <w:szCs w:val="24"/>
          <w:lang w:val="en-US" w:eastAsia="zh-CN"/>
        </w:rPr>
        <w:t>Ridruejo</w:t>
      </w:r>
      <w:proofErr w:type="spellEnd"/>
      <w:r>
        <w:rPr>
          <w:rFonts w:ascii="Book Antiqua" w:hAnsi="Book Antiqua" w:cs="宋体"/>
          <w:b/>
          <w:sz w:val="24"/>
          <w:szCs w:val="24"/>
          <w:lang w:val="en-US" w:eastAsia="zh-CN"/>
        </w:rPr>
        <w:t xml:space="preserve"> </w:t>
      </w:r>
      <w:r w:rsidRPr="00E669A7">
        <w:rPr>
          <w:rFonts w:ascii="Book Antiqua" w:hAnsi="Book Antiqua" w:cs="宋体"/>
          <w:b/>
          <w:sz w:val="24"/>
          <w:szCs w:val="24"/>
          <w:lang w:val="en-US" w:eastAsia="zh-CN"/>
        </w:rPr>
        <w:t>E</w:t>
      </w:r>
      <w:r w:rsidRPr="00E669A7">
        <w:rPr>
          <w:rFonts w:ascii="Book Antiqua" w:hAnsi="Book Antiqua" w:cs="宋体"/>
          <w:sz w:val="24"/>
          <w:szCs w:val="24"/>
          <w:lang w:val="en-US" w:eastAsia="zh-CN"/>
        </w:rPr>
        <w:t xml:space="preserve">, Marciano S, </w:t>
      </w:r>
      <w:proofErr w:type="spellStart"/>
      <w:r w:rsidRPr="00E669A7">
        <w:rPr>
          <w:rFonts w:ascii="Book Antiqua" w:hAnsi="Book Antiqua" w:cs="宋体"/>
          <w:sz w:val="24"/>
          <w:szCs w:val="24"/>
          <w:lang w:val="en-US" w:eastAsia="zh-CN"/>
        </w:rPr>
        <w:t>Galdame</w:t>
      </w:r>
      <w:proofErr w:type="spellEnd"/>
      <w:r w:rsidRPr="00E669A7">
        <w:rPr>
          <w:rFonts w:ascii="Book Antiqua" w:hAnsi="Book Antiqua" w:cs="宋体"/>
          <w:sz w:val="24"/>
          <w:szCs w:val="24"/>
          <w:lang w:val="en-US" w:eastAsia="zh-CN"/>
        </w:rPr>
        <w:t xml:space="preserve"> O, </w:t>
      </w:r>
      <w:proofErr w:type="spellStart"/>
      <w:r w:rsidRPr="00E669A7">
        <w:rPr>
          <w:rFonts w:ascii="Book Antiqua" w:hAnsi="Book Antiqua" w:cs="宋体"/>
          <w:sz w:val="24"/>
          <w:szCs w:val="24"/>
          <w:lang w:val="en-US" w:eastAsia="zh-CN"/>
        </w:rPr>
        <w:t>Reggiardo</w:t>
      </w:r>
      <w:proofErr w:type="spellEnd"/>
      <w:r w:rsidRPr="00E669A7">
        <w:rPr>
          <w:rFonts w:ascii="Book Antiqua" w:hAnsi="Book Antiqua" w:cs="宋体"/>
          <w:sz w:val="24"/>
          <w:szCs w:val="24"/>
          <w:lang w:val="en-US" w:eastAsia="zh-CN"/>
        </w:rPr>
        <w:t xml:space="preserve"> MV, Mu</w:t>
      </w:r>
      <w:r w:rsidRPr="00C27A67">
        <w:rPr>
          <w:rFonts w:ascii="Book Antiqua" w:hAnsi="Book Antiqua" w:cs="Arial Unicode MS"/>
          <w:sz w:val="24"/>
          <w:szCs w:val="24"/>
          <w:lang w:val="en-US" w:eastAsia="zh-CN"/>
        </w:rPr>
        <w:t>ñ</w:t>
      </w:r>
      <w:r w:rsidRPr="00E669A7">
        <w:rPr>
          <w:rFonts w:ascii="Book Antiqua" w:hAnsi="Book Antiqua" w:cs="宋体"/>
          <w:sz w:val="24"/>
          <w:szCs w:val="24"/>
          <w:lang w:val="en-US" w:eastAsia="zh-CN"/>
        </w:rPr>
        <w:t xml:space="preserve">oz AE, </w:t>
      </w:r>
      <w:proofErr w:type="spellStart"/>
      <w:r w:rsidRPr="00E669A7">
        <w:rPr>
          <w:rFonts w:ascii="Book Antiqua" w:hAnsi="Book Antiqua" w:cs="宋体"/>
          <w:sz w:val="24"/>
          <w:szCs w:val="24"/>
          <w:lang w:val="en-US" w:eastAsia="zh-CN"/>
        </w:rPr>
        <w:t>Adrover</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Cocozzella</w:t>
      </w:r>
      <w:proofErr w:type="spellEnd"/>
      <w:r w:rsidRPr="00E669A7">
        <w:rPr>
          <w:rFonts w:ascii="Book Antiqua" w:hAnsi="Book Antiqua" w:cs="宋体"/>
          <w:sz w:val="24"/>
          <w:szCs w:val="24"/>
          <w:lang w:val="en-US" w:eastAsia="zh-CN"/>
        </w:rPr>
        <w:t xml:space="preserve"> D.</w:t>
      </w:r>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 xml:space="preserve">Efficacy and safety of long term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Chronic Hepatitis B NUC </w:t>
      </w:r>
      <w:r w:rsidRPr="008A014F">
        <w:rPr>
          <w:rFonts w:ascii="Book Antiqua" w:hAnsi="Book Antiqua" w:cs="宋体"/>
          <w:sz w:val="24"/>
          <w:szCs w:val="24"/>
          <w:lang w:val="en-US" w:eastAsia="zh-CN"/>
        </w:rPr>
        <w:t>naïve</w:t>
      </w:r>
      <w:r w:rsidRPr="00E669A7">
        <w:rPr>
          <w:rFonts w:ascii="Book Antiqua" w:hAnsi="Book Antiqua" w:cs="宋体"/>
          <w:sz w:val="24"/>
          <w:szCs w:val="24"/>
          <w:lang w:val="en-US" w:eastAsia="zh-CN"/>
        </w:rPr>
        <w:t xml:space="preserve"> patients i</w:t>
      </w:r>
      <w:r>
        <w:rPr>
          <w:rFonts w:ascii="Book Antiqua" w:hAnsi="Book Antiqua" w:cs="宋体"/>
          <w:sz w:val="24"/>
          <w:szCs w:val="24"/>
          <w:lang w:val="en-US" w:eastAsia="zh-CN"/>
        </w:rPr>
        <w:t xml:space="preserve">n clinical practice. </w:t>
      </w:r>
      <w:proofErr w:type="spellStart"/>
      <w:r w:rsidRPr="00FE4B8B">
        <w:rPr>
          <w:rFonts w:ascii="Book Antiqua" w:hAnsi="Book Antiqua" w:cs="宋体"/>
          <w:i/>
          <w:sz w:val="24"/>
          <w:szCs w:val="24"/>
          <w:lang w:val="en-US" w:eastAsia="zh-CN"/>
        </w:rPr>
        <w:t>Hepatology</w:t>
      </w:r>
      <w:proofErr w:type="spellEnd"/>
      <w:r>
        <w:rPr>
          <w:rFonts w:ascii="Book Antiqua" w:hAnsi="Book Antiqua" w:cs="宋体"/>
          <w:sz w:val="24"/>
          <w:szCs w:val="24"/>
          <w:lang w:val="en-US" w:eastAsia="zh-CN"/>
        </w:rPr>
        <w:t xml:space="preserve"> 2013; </w:t>
      </w:r>
      <w:r w:rsidRPr="008A014F">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901</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lastRenderedPageBreak/>
        <w:t xml:space="preserve">30 </w:t>
      </w:r>
      <w:proofErr w:type="spellStart"/>
      <w:r w:rsidRPr="00E669A7">
        <w:rPr>
          <w:rFonts w:ascii="Book Antiqua" w:hAnsi="Book Antiqua" w:cs="宋体"/>
          <w:b/>
          <w:sz w:val="24"/>
          <w:szCs w:val="24"/>
          <w:lang w:val="en-US" w:eastAsia="zh-CN"/>
        </w:rPr>
        <w:t>Ridruejo</w:t>
      </w:r>
      <w:proofErr w:type="spellEnd"/>
      <w:r>
        <w:rPr>
          <w:rFonts w:ascii="Book Antiqua" w:hAnsi="Book Antiqua" w:cs="宋体"/>
          <w:b/>
          <w:sz w:val="24"/>
          <w:szCs w:val="24"/>
          <w:lang w:val="en-US" w:eastAsia="zh-CN"/>
        </w:rPr>
        <w:t xml:space="preserve"> </w:t>
      </w:r>
      <w:r w:rsidRPr="00E669A7">
        <w:rPr>
          <w:rFonts w:ascii="Book Antiqua" w:hAnsi="Book Antiqua" w:cs="宋体"/>
          <w:b/>
          <w:sz w:val="24"/>
          <w:szCs w:val="24"/>
          <w:lang w:val="en-US" w:eastAsia="zh-CN"/>
        </w:rPr>
        <w:t>E</w:t>
      </w:r>
      <w:r w:rsidRPr="00E669A7">
        <w:rPr>
          <w:rFonts w:ascii="Book Antiqua" w:hAnsi="Book Antiqua" w:cs="宋体"/>
          <w:sz w:val="24"/>
          <w:szCs w:val="24"/>
          <w:lang w:val="en-US" w:eastAsia="zh-CN"/>
        </w:rPr>
        <w:t xml:space="preserve">, Marciano S, </w:t>
      </w:r>
      <w:proofErr w:type="spellStart"/>
      <w:r w:rsidRPr="00E669A7">
        <w:rPr>
          <w:rFonts w:ascii="Book Antiqua" w:hAnsi="Book Antiqua" w:cs="宋体"/>
          <w:sz w:val="24"/>
          <w:szCs w:val="24"/>
          <w:lang w:val="en-US" w:eastAsia="zh-CN"/>
        </w:rPr>
        <w:t>Galdame</w:t>
      </w:r>
      <w:proofErr w:type="spellEnd"/>
      <w:r w:rsidRPr="00E669A7">
        <w:rPr>
          <w:rFonts w:ascii="Book Antiqua" w:hAnsi="Book Antiqua" w:cs="宋体"/>
          <w:sz w:val="24"/>
          <w:szCs w:val="24"/>
          <w:lang w:val="en-US" w:eastAsia="zh-CN"/>
        </w:rPr>
        <w:t xml:space="preserve"> O, </w:t>
      </w:r>
      <w:proofErr w:type="spellStart"/>
      <w:r w:rsidRPr="00E669A7">
        <w:rPr>
          <w:rFonts w:ascii="Book Antiqua" w:hAnsi="Book Antiqua" w:cs="宋体"/>
          <w:sz w:val="24"/>
          <w:szCs w:val="24"/>
          <w:lang w:val="en-US" w:eastAsia="zh-CN"/>
        </w:rPr>
        <w:t>Reggiardo</w:t>
      </w:r>
      <w:proofErr w:type="spellEnd"/>
      <w:r w:rsidRPr="00E669A7">
        <w:rPr>
          <w:rFonts w:ascii="Book Antiqua" w:hAnsi="Book Antiqua" w:cs="宋体"/>
          <w:sz w:val="24"/>
          <w:szCs w:val="24"/>
          <w:lang w:val="en-US" w:eastAsia="zh-CN"/>
        </w:rPr>
        <w:t xml:space="preserve"> MV, Mu AE, </w:t>
      </w:r>
      <w:proofErr w:type="spellStart"/>
      <w:r w:rsidRPr="00E669A7">
        <w:rPr>
          <w:rFonts w:ascii="Book Antiqua" w:hAnsi="Book Antiqua" w:cs="宋体"/>
          <w:sz w:val="24"/>
          <w:szCs w:val="24"/>
          <w:lang w:val="en-US" w:eastAsia="zh-CN"/>
        </w:rPr>
        <w:t>Adrover</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Cocozzella</w:t>
      </w:r>
      <w:proofErr w:type="spellEnd"/>
      <w:r w:rsidRPr="00E669A7">
        <w:rPr>
          <w:rFonts w:ascii="Book Antiqua" w:hAnsi="Book Antiqua" w:cs="宋体"/>
          <w:sz w:val="24"/>
          <w:szCs w:val="24"/>
          <w:lang w:val="en-US" w:eastAsia="zh-CN"/>
        </w:rPr>
        <w:t xml:space="preserve"> D.</w:t>
      </w:r>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Relapse rates in chronic hepatitis B patients after discontinuation of anti-viral therap</w:t>
      </w:r>
      <w:r>
        <w:rPr>
          <w:rFonts w:ascii="Book Antiqua" w:hAnsi="Book Antiqua" w:cs="宋体"/>
          <w:sz w:val="24"/>
          <w:szCs w:val="24"/>
          <w:lang w:val="en-US" w:eastAsia="zh-CN"/>
        </w:rPr>
        <w:t xml:space="preserve">y with </w:t>
      </w:r>
      <w:proofErr w:type="spellStart"/>
      <w:r>
        <w:rPr>
          <w:rFonts w:ascii="Book Antiqua" w:hAnsi="Book Antiqua" w:cs="宋体"/>
          <w:sz w:val="24"/>
          <w:szCs w:val="24"/>
          <w:lang w:val="en-US" w:eastAsia="zh-CN"/>
        </w:rPr>
        <w:t>entecavir</w:t>
      </w:r>
      <w:proofErr w:type="spellEnd"/>
      <w:r>
        <w:rPr>
          <w:rFonts w:ascii="Book Antiqua" w:hAnsi="Book Antiqua" w:cs="宋体"/>
          <w:sz w:val="24"/>
          <w:szCs w:val="24"/>
          <w:lang w:val="en-US" w:eastAsia="zh-CN"/>
        </w:rPr>
        <w:t xml:space="preserve">. </w:t>
      </w:r>
      <w:r w:rsidRPr="001409CC">
        <w:rPr>
          <w:rFonts w:ascii="Book Antiqua" w:hAnsi="Book Antiqua" w:cs="宋体"/>
          <w:i/>
          <w:sz w:val="24"/>
          <w:szCs w:val="24"/>
          <w:lang w:val="en-US" w:eastAsia="zh-CN"/>
        </w:rPr>
        <w:t xml:space="preserve">J Viral </w:t>
      </w:r>
      <w:proofErr w:type="spellStart"/>
      <w:r w:rsidRPr="001409CC">
        <w:rPr>
          <w:rFonts w:ascii="Book Antiqua" w:hAnsi="Book Antiqua" w:cs="宋体"/>
          <w:i/>
          <w:sz w:val="24"/>
          <w:szCs w:val="24"/>
          <w:lang w:val="en-US" w:eastAsia="zh-CN"/>
        </w:rPr>
        <w:t>Hepat</w:t>
      </w:r>
      <w:proofErr w:type="spellEnd"/>
      <w:r w:rsidRPr="00E669A7">
        <w:rPr>
          <w:rFonts w:ascii="Book Antiqua" w:hAnsi="Book Antiqua" w:cs="宋体"/>
          <w:i/>
          <w:sz w:val="24"/>
          <w:szCs w:val="24"/>
          <w:lang w:val="en-US" w:eastAsia="zh-CN"/>
        </w:rPr>
        <w:t xml:space="preserve"> </w:t>
      </w:r>
      <w:r w:rsidRPr="00E669A7">
        <w:rPr>
          <w:rFonts w:ascii="Book Antiqua" w:hAnsi="Book Antiqua" w:cs="宋体"/>
          <w:sz w:val="24"/>
          <w:szCs w:val="24"/>
          <w:lang w:val="en-US" w:eastAsia="zh-CN"/>
        </w:rPr>
        <w:t>2013 (in press) [DOI: 10.1111/jvh.12200]</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31 </w:t>
      </w:r>
      <w:r w:rsidRPr="00E669A7">
        <w:rPr>
          <w:rFonts w:ascii="Book Antiqua" w:hAnsi="Book Antiqua" w:cs="宋体"/>
          <w:b/>
          <w:bCs/>
          <w:sz w:val="24"/>
          <w:szCs w:val="24"/>
          <w:lang w:val="en-US" w:eastAsia="zh-CN"/>
        </w:rPr>
        <w:t>Yuen MF</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Seto</w:t>
      </w:r>
      <w:proofErr w:type="spellEnd"/>
      <w:r w:rsidRPr="00E669A7">
        <w:rPr>
          <w:rFonts w:ascii="Book Antiqua" w:hAnsi="Book Antiqua" w:cs="宋体"/>
          <w:sz w:val="24"/>
          <w:szCs w:val="24"/>
          <w:lang w:val="en-US" w:eastAsia="zh-CN"/>
        </w:rPr>
        <w:t xml:space="preserve"> WK, Fung J, Wong DK, Yuen JC, Lai CL. Three years of continuous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in treatment-naïve chronic hepatitis B patients: VIRAL suppression, viral resistance, and clinical safety. </w:t>
      </w:r>
      <w:r w:rsidRPr="00E669A7">
        <w:rPr>
          <w:rFonts w:ascii="Book Antiqua" w:hAnsi="Book Antiqua" w:cs="宋体"/>
          <w:i/>
          <w:iCs/>
          <w:sz w:val="24"/>
          <w:szCs w:val="24"/>
          <w:lang w:val="en-US" w:eastAsia="zh-CN"/>
        </w:rPr>
        <w:t xml:space="preserve">Am 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106</w:t>
      </w:r>
      <w:r w:rsidRPr="00E669A7">
        <w:rPr>
          <w:rFonts w:ascii="Book Antiqua" w:hAnsi="Book Antiqua" w:cs="宋体"/>
          <w:sz w:val="24"/>
          <w:szCs w:val="24"/>
          <w:lang w:val="en-US" w:eastAsia="zh-CN"/>
        </w:rPr>
        <w:t>: 1264-1271 [PMID: 21364549</w:t>
      </w:r>
      <w:r>
        <w:rPr>
          <w:rFonts w:ascii="Book Antiqua" w:hAnsi="Book Antiqua" w:cs="宋体"/>
          <w:sz w:val="24"/>
          <w:szCs w:val="24"/>
          <w:lang w:val="en-US" w:eastAsia="zh-CN"/>
        </w:rPr>
        <w:t xml:space="preserve"> </w:t>
      </w:r>
      <w:r w:rsidRPr="001A5647">
        <w:rPr>
          <w:rFonts w:ascii="Book Antiqua" w:hAnsi="Book Antiqua" w:cs="宋体"/>
          <w:sz w:val="24"/>
          <w:szCs w:val="24"/>
          <w:lang w:val="en-US" w:eastAsia="zh-CN"/>
        </w:rPr>
        <w:t>DOI: 10.1038/ajg.2011.45</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32 </w:t>
      </w:r>
      <w:proofErr w:type="spellStart"/>
      <w:r w:rsidRPr="00E669A7">
        <w:rPr>
          <w:rFonts w:ascii="Book Antiqua" w:hAnsi="Book Antiqua" w:cs="宋体"/>
          <w:b/>
          <w:sz w:val="24"/>
          <w:szCs w:val="24"/>
          <w:lang w:val="en-US" w:eastAsia="zh-CN"/>
        </w:rPr>
        <w:t>Seto</w:t>
      </w:r>
      <w:proofErr w:type="spellEnd"/>
      <w:r w:rsidRPr="00E669A7">
        <w:rPr>
          <w:rFonts w:ascii="Book Antiqua" w:hAnsi="Book Antiqua" w:cs="宋体"/>
          <w:b/>
          <w:sz w:val="24"/>
          <w:szCs w:val="24"/>
          <w:lang w:val="en-US" w:eastAsia="zh-CN"/>
        </w:rPr>
        <w:t xml:space="preserve"> WK</w:t>
      </w:r>
      <w:r w:rsidRPr="00E669A7">
        <w:rPr>
          <w:rFonts w:ascii="Book Antiqua" w:hAnsi="Book Antiqua" w:cs="宋体"/>
          <w:sz w:val="24"/>
          <w:szCs w:val="24"/>
          <w:lang w:val="en-US" w:eastAsia="zh-CN"/>
        </w:rPr>
        <w:t xml:space="preserve">, Lai CL, Fung J, Yuen JC, Wong DK, Yuen MF. </w:t>
      </w:r>
      <w:proofErr w:type="gramStart"/>
      <w:r w:rsidRPr="00E669A7">
        <w:rPr>
          <w:rFonts w:ascii="Book Antiqua" w:hAnsi="Book Antiqua" w:cs="宋体"/>
          <w:sz w:val="24"/>
          <w:szCs w:val="24"/>
          <w:lang w:val="en-US" w:eastAsia="zh-CN"/>
        </w:rPr>
        <w:t xml:space="preserve">Outcome of 4-year treatment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for treatment-</w:t>
      </w:r>
      <w:proofErr w:type="spellStart"/>
      <w:r w:rsidRPr="00E669A7">
        <w:rPr>
          <w:rFonts w:ascii="Book Antiqua" w:hAnsi="Book Antiqua" w:cs="宋体"/>
          <w:sz w:val="24"/>
          <w:szCs w:val="24"/>
          <w:lang w:val="en-US" w:eastAsia="zh-CN"/>
        </w:rPr>
        <w:t>na</w:t>
      </w:r>
      <w:proofErr w:type="spellEnd"/>
      <w:r w:rsidRPr="00361CC6">
        <w:rPr>
          <w:rFonts w:ascii="Book Antiqua" w:hAnsi="Book Antiqua" w:cs="Arial Unicode MS"/>
          <w:sz w:val="24"/>
          <w:szCs w:val="24"/>
          <w:lang w:val="en-US" w:eastAsia="zh-CN"/>
        </w:rPr>
        <w:t>?</w:t>
      </w:r>
      <w:proofErr w:type="gramEnd"/>
      <w:r>
        <w:rPr>
          <w:rFonts w:ascii="Book Antiqua" w:hAnsi="Book Antiqua" w:cs="宋体"/>
          <w:sz w:val="24"/>
          <w:szCs w:val="24"/>
          <w:lang w:val="en-US" w:eastAsia="zh-CN"/>
        </w:rPr>
        <w:t xml:space="preserve"> </w:t>
      </w:r>
      <w:proofErr w:type="gramStart"/>
      <w:r>
        <w:rPr>
          <w:rFonts w:ascii="Book Antiqua" w:hAnsi="Book Antiqua" w:cs="宋体"/>
          <w:sz w:val="24"/>
          <w:szCs w:val="24"/>
          <w:lang w:val="en-US" w:eastAsia="zh-CN"/>
        </w:rPr>
        <w:t>chronic</w:t>
      </w:r>
      <w:proofErr w:type="gramEnd"/>
      <w:r>
        <w:rPr>
          <w:rFonts w:ascii="Book Antiqua" w:hAnsi="Book Antiqua" w:cs="宋体"/>
          <w:sz w:val="24"/>
          <w:szCs w:val="24"/>
          <w:lang w:val="en-US" w:eastAsia="zh-CN"/>
        </w:rPr>
        <w:t xml:space="preserve"> hepatitis B. </w:t>
      </w:r>
      <w:r w:rsidRPr="00E669A7">
        <w:rPr>
          <w:rFonts w:ascii="Book Antiqua" w:hAnsi="Book Antiqua" w:cs="宋体"/>
          <w:i/>
          <w:sz w:val="24"/>
          <w:szCs w:val="24"/>
          <w:lang w:val="en-US" w:eastAsia="zh-CN"/>
        </w:rPr>
        <w:t xml:space="preserve">J </w:t>
      </w:r>
      <w:proofErr w:type="spellStart"/>
      <w:r w:rsidRPr="00E669A7">
        <w:rPr>
          <w:rFonts w:ascii="Book Antiqua" w:hAnsi="Book Antiqua" w:cs="宋体"/>
          <w:i/>
          <w:sz w:val="24"/>
          <w:szCs w:val="24"/>
          <w:lang w:val="en-US" w:eastAsia="zh-CN"/>
        </w:rPr>
        <w:t>Hepatol</w:t>
      </w:r>
      <w:proofErr w:type="spellEnd"/>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 xml:space="preserve">2011; </w:t>
      </w:r>
      <w:r w:rsidRPr="00E669A7">
        <w:rPr>
          <w:rFonts w:ascii="Book Antiqua" w:hAnsi="Book Antiqua" w:cs="宋体"/>
          <w:b/>
          <w:sz w:val="24"/>
          <w:szCs w:val="24"/>
          <w:lang w:val="en-US" w:eastAsia="zh-CN"/>
        </w:rPr>
        <w:t>54</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748</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33 </w:t>
      </w:r>
      <w:r w:rsidRPr="00E669A7">
        <w:rPr>
          <w:rFonts w:ascii="Book Antiqua" w:hAnsi="Book Antiqua" w:cs="宋体"/>
          <w:b/>
          <w:bCs/>
          <w:sz w:val="24"/>
          <w:szCs w:val="24"/>
          <w:lang w:val="en-US" w:eastAsia="zh-CN"/>
        </w:rPr>
        <w:t>Ono A</w:t>
      </w:r>
      <w:r w:rsidRPr="00E669A7">
        <w:rPr>
          <w:rFonts w:ascii="Book Antiqua" w:hAnsi="Book Antiqua" w:cs="宋体"/>
          <w:sz w:val="24"/>
          <w:szCs w:val="24"/>
          <w:lang w:val="en-US" w:eastAsia="zh-CN"/>
        </w:rPr>
        <w:t xml:space="preserve">, Suzuki F, Kawamura Y, </w:t>
      </w:r>
      <w:proofErr w:type="spellStart"/>
      <w:r w:rsidRPr="00E669A7">
        <w:rPr>
          <w:rFonts w:ascii="Book Antiqua" w:hAnsi="Book Antiqua" w:cs="宋体"/>
          <w:sz w:val="24"/>
          <w:szCs w:val="24"/>
          <w:lang w:val="en-US" w:eastAsia="zh-CN"/>
        </w:rPr>
        <w:t>Sezaki</w:t>
      </w:r>
      <w:proofErr w:type="spellEnd"/>
      <w:r w:rsidRPr="00E669A7">
        <w:rPr>
          <w:rFonts w:ascii="Book Antiqua" w:hAnsi="Book Antiqua" w:cs="宋体"/>
          <w:sz w:val="24"/>
          <w:szCs w:val="24"/>
          <w:lang w:val="en-US" w:eastAsia="zh-CN"/>
        </w:rPr>
        <w:t xml:space="preserve"> H, </w:t>
      </w:r>
      <w:proofErr w:type="spellStart"/>
      <w:r w:rsidRPr="00E669A7">
        <w:rPr>
          <w:rFonts w:ascii="Book Antiqua" w:hAnsi="Book Antiqua" w:cs="宋体"/>
          <w:sz w:val="24"/>
          <w:szCs w:val="24"/>
          <w:lang w:val="en-US" w:eastAsia="zh-CN"/>
        </w:rPr>
        <w:t>Hosaka</w:t>
      </w:r>
      <w:proofErr w:type="spellEnd"/>
      <w:r w:rsidRPr="00E669A7">
        <w:rPr>
          <w:rFonts w:ascii="Book Antiqua" w:hAnsi="Book Antiqua" w:cs="宋体"/>
          <w:sz w:val="24"/>
          <w:szCs w:val="24"/>
          <w:lang w:val="en-US" w:eastAsia="zh-CN"/>
        </w:rPr>
        <w:t xml:space="preserve"> T, </w:t>
      </w:r>
      <w:proofErr w:type="spellStart"/>
      <w:r w:rsidRPr="00E669A7">
        <w:rPr>
          <w:rFonts w:ascii="Book Antiqua" w:hAnsi="Book Antiqua" w:cs="宋体"/>
          <w:sz w:val="24"/>
          <w:szCs w:val="24"/>
          <w:lang w:val="en-US" w:eastAsia="zh-CN"/>
        </w:rPr>
        <w:t>Akuta</w:t>
      </w:r>
      <w:proofErr w:type="spellEnd"/>
      <w:r w:rsidRPr="00E669A7">
        <w:rPr>
          <w:rFonts w:ascii="Book Antiqua" w:hAnsi="Book Antiqua" w:cs="宋体"/>
          <w:sz w:val="24"/>
          <w:szCs w:val="24"/>
          <w:lang w:val="en-US" w:eastAsia="zh-CN"/>
        </w:rPr>
        <w:t xml:space="preserve"> N, Kobayashi M, Suzuki Y, Saitou S, Arase Y, Ikeda K, Kobayashi M, </w:t>
      </w:r>
      <w:proofErr w:type="spellStart"/>
      <w:r w:rsidRPr="00E669A7">
        <w:rPr>
          <w:rFonts w:ascii="Book Antiqua" w:hAnsi="Book Antiqua" w:cs="宋体"/>
          <w:sz w:val="24"/>
          <w:szCs w:val="24"/>
          <w:lang w:val="en-US" w:eastAsia="zh-CN"/>
        </w:rPr>
        <w:t>Watahiki</w:t>
      </w:r>
      <w:proofErr w:type="spellEnd"/>
      <w:r w:rsidRPr="00E669A7">
        <w:rPr>
          <w:rFonts w:ascii="Book Antiqua" w:hAnsi="Book Antiqua" w:cs="宋体"/>
          <w:sz w:val="24"/>
          <w:szCs w:val="24"/>
          <w:lang w:val="en-US" w:eastAsia="zh-CN"/>
        </w:rPr>
        <w:t xml:space="preserve"> S, </w:t>
      </w:r>
      <w:proofErr w:type="spellStart"/>
      <w:r w:rsidRPr="00E669A7">
        <w:rPr>
          <w:rFonts w:ascii="Book Antiqua" w:hAnsi="Book Antiqua" w:cs="宋体"/>
          <w:sz w:val="24"/>
          <w:szCs w:val="24"/>
          <w:lang w:val="en-US" w:eastAsia="zh-CN"/>
        </w:rPr>
        <w:t>Mineta</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Kumada</w:t>
      </w:r>
      <w:proofErr w:type="spellEnd"/>
      <w:r w:rsidRPr="00E669A7">
        <w:rPr>
          <w:rFonts w:ascii="Book Antiqua" w:hAnsi="Book Antiqua" w:cs="宋体"/>
          <w:sz w:val="24"/>
          <w:szCs w:val="24"/>
          <w:lang w:val="en-US" w:eastAsia="zh-CN"/>
        </w:rPr>
        <w:t xml:space="preserve"> H. Long-term continuous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in </w:t>
      </w:r>
      <w:proofErr w:type="spell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 xml:space="preserve">(t)ide-naïve chronic hepatitis B patients. </w:t>
      </w:r>
      <w:r w:rsidRPr="00E669A7">
        <w:rPr>
          <w:rFonts w:ascii="Book Antiqua" w:hAnsi="Book Antiqua" w:cs="宋体"/>
          <w:i/>
          <w:iCs/>
          <w:sz w:val="24"/>
          <w:szCs w:val="24"/>
          <w:lang w:val="en-US" w:eastAsia="zh-CN"/>
        </w:rPr>
        <w:t xml:space="preserve">J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57</w:t>
      </w:r>
      <w:r w:rsidRPr="00E669A7">
        <w:rPr>
          <w:rFonts w:ascii="Book Antiqua" w:hAnsi="Book Antiqua" w:cs="宋体"/>
          <w:sz w:val="24"/>
          <w:szCs w:val="24"/>
          <w:lang w:val="en-US" w:eastAsia="zh-CN"/>
        </w:rPr>
        <w:t>: 508-514 [PMID: 22659518</w:t>
      </w:r>
      <w:r>
        <w:rPr>
          <w:rFonts w:ascii="Book Antiqua" w:hAnsi="Book Antiqua" w:cs="宋体"/>
          <w:sz w:val="24"/>
          <w:szCs w:val="24"/>
          <w:lang w:val="en-US" w:eastAsia="zh-CN"/>
        </w:rPr>
        <w:t xml:space="preserve"> </w:t>
      </w:r>
      <w:r w:rsidRPr="00C30AB0">
        <w:rPr>
          <w:rFonts w:ascii="Book Antiqua" w:hAnsi="Book Antiqua" w:cs="宋体"/>
          <w:sz w:val="24"/>
          <w:szCs w:val="24"/>
          <w:lang w:val="en-US" w:eastAsia="zh-CN"/>
        </w:rPr>
        <w:t>DOI: 10.1016/j.jhep.2012.04.037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34 </w:t>
      </w:r>
      <w:r w:rsidRPr="00E669A7">
        <w:rPr>
          <w:rFonts w:ascii="Book Antiqua" w:hAnsi="Book Antiqua" w:cs="宋体"/>
          <w:b/>
          <w:bCs/>
          <w:sz w:val="24"/>
          <w:szCs w:val="24"/>
          <w:lang w:val="en-US" w:eastAsia="zh-CN"/>
        </w:rPr>
        <w:t>Luo J</w:t>
      </w:r>
      <w:r w:rsidRPr="00E669A7">
        <w:rPr>
          <w:rFonts w:ascii="Book Antiqua" w:hAnsi="Book Antiqua" w:cs="宋体"/>
          <w:sz w:val="24"/>
          <w:szCs w:val="24"/>
          <w:lang w:val="en-US" w:eastAsia="zh-CN"/>
        </w:rPr>
        <w:t xml:space="preserve">, Li X, Wu Y, Lin G, Pang Y, Zhang X, </w:t>
      </w:r>
      <w:proofErr w:type="spellStart"/>
      <w:r w:rsidRPr="00E669A7">
        <w:rPr>
          <w:rFonts w:ascii="Book Antiqua" w:hAnsi="Book Antiqua" w:cs="宋体"/>
          <w:sz w:val="24"/>
          <w:szCs w:val="24"/>
          <w:lang w:val="en-US" w:eastAsia="zh-CN"/>
        </w:rPr>
        <w:t>Ao</w:t>
      </w:r>
      <w:proofErr w:type="spellEnd"/>
      <w:r w:rsidRPr="00E669A7">
        <w:rPr>
          <w:rFonts w:ascii="Book Antiqua" w:hAnsi="Book Antiqua" w:cs="宋体"/>
          <w:sz w:val="24"/>
          <w:szCs w:val="24"/>
          <w:lang w:val="en-US" w:eastAsia="zh-CN"/>
        </w:rPr>
        <w:t xml:space="preserve"> Y, Du Z, Zhao Z, Chong Y. Efficacy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treatment for up to 5 years in </w:t>
      </w:r>
      <w:proofErr w:type="spell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 xml:space="preserve">(t)ide-naïve chronic hepatitis B patients in real life. </w:t>
      </w:r>
      <w:proofErr w:type="spellStart"/>
      <w:r w:rsidRPr="00E669A7">
        <w:rPr>
          <w:rFonts w:ascii="Book Antiqua" w:hAnsi="Book Antiqua" w:cs="宋体"/>
          <w:i/>
          <w:iCs/>
          <w:sz w:val="24"/>
          <w:szCs w:val="24"/>
          <w:lang w:val="en-US" w:eastAsia="zh-CN"/>
        </w:rPr>
        <w:t>Int</w:t>
      </w:r>
      <w:proofErr w:type="spellEnd"/>
      <w:r w:rsidRPr="00E669A7">
        <w:rPr>
          <w:rFonts w:ascii="Book Antiqua" w:hAnsi="Book Antiqua" w:cs="宋体"/>
          <w:i/>
          <w:iCs/>
          <w:sz w:val="24"/>
          <w:szCs w:val="24"/>
          <w:lang w:val="en-US" w:eastAsia="zh-CN"/>
        </w:rPr>
        <w:t xml:space="preserve"> J Med </w:t>
      </w:r>
      <w:proofErr w:type="spellStart"/>
      <w:r w:rsidRPr="00E669A7">
        <w:rPr>
          <w:rFonts w:ascii="Book Antiqua" w:hAnsi="Book Antiqua" w:cs="宋体"/>
          <w:i/>
          <w:iCs/>
          <w:sz w:val="24"/>
          <w:szCs w:val="24"/>
          <w:lang w:val="en-US" w:eastAsia="zh-CN"/>
        </w:rPr>
        <w:t>Sci</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10</w:t>
      </w:r>
      <w:r w:rsidRPr="00E669A7">
        <w:rPr>
          <w:rFonts w:ascii="Book Antiqua" w:hAnsi="Book Antiqua" w:cs="宋体"/>
          <w:sz w:val="24"/>
          <w:szCs w:val="24"/>
          <w:lang w:val="en-US" w:eastAsia="zh-CN"/>
        </w:rPr>
        <w:t>: 427-433 [PMID: 23471472</w:t>
      </w:r>
      <w:r>
        <w:rPr>
          <w:rFonts w:ascii="Book Antiqua" w:hAnsi="Book Antiqua" w:cs="宋体"/>
          <w:sz w:val="24"/>
          <w:szCs w:val="24"/>
          <w:lang w:val="en-US" w:eastAsia="zh-CN"/>
        </w:rPr>
        <w:t xml:space="preserve"> </w:t>
      </w:r>
      <w:r w:rsidRPr="0038167E">
        <w:rPr>
          <w:rFonts w:ascii="Book Antiqua" w:hAnsi="Book Antiqua" w:cs="宋体"/>
          <w:sz w:val="24"/>
          <w:szCs w:val="24"/>
          <w:lang w:val="en-US" w:eastAsia="zh-CN"/>
        </w:rPr>
        <w:t>DOI: 10.7150/ijms.5472</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35 </w:t>
      </w:r>
      <w:proofErr w:type="spellStart"/>
      <w:r w:rsidRPr="00E669A7">
        <w:rPr>
          <w:rFonts w:ascii="Book Antiqua" w:hAnsi="Book Antiqua" w:cs="宋体"/>
          <w:b/>
          <w:sz w:val="24"/>
          <w:szCs w:val="24"/>
          <w:lang w:val="en-US" w:eastAsia="zh-CN"/>
        </w:rPr>
        <w:t>Hou</w:t>
      </w:r>
      <w:proofErr w:type="spellEnd"/>
      <w:r w:rsidRPr="00E669A7">
        <w:rPr>
          <w:rFonts w:ascii="Book Antiqua" w:hAnsi="Book Antiqua" w:cs="宋体"/>
          <w:b/>
          <w:sz w:val="24"/>
          <w:szCs w:val="24"/>
          <w:lang w:val="en-US" w:eastAsia="zh-CN"/>
        </w:rPr>
        <w:t xml:space="preserve"> JL,</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Jia</w:t>
      </w:r>
      <w:proofErr w:type="spellEnd"/>
      <w:r w:rsidRPr="00E669A7">
        <w:rPr>
          <w:rFonts w:ascii="Book Antiqua" w:hAnsi="Book Antiqua" w:cs="宋体"/>
          <w:sz w:val="24"/>
          <w:szCs w:val="24"/>
          <w:lang w:val="en-US" w:eastAsia="zh-CN"/>
        </w:rPr>
        <w:t xml:space="preserve"> JD, Wei L, Ren H, </w:t>
      </w:r>
      <w:proofErr w:type="spellStart"/>
      <w:r w:rsidRPr="00E669A7">
        <w:rPr>
          <w:rFonts w:ascii="Book Antiqua" w:hAnsi="Book Antiqua" w:cs="宋体"/>
          <w:sz w:val="24"/>
          <w:szCs w:val="24"/>
          <w:lang w:val="en-US" w:eastAsia="zh-CN"/>
        </w:rPr>
        <w:t>Xie</w:t>
      </w:r>
      <w:proofErr w:type="spellEnd"/>
      <w:r w:rsidRPr="00E669A7">
        <w:rPr>
          <w:rFonts w:ascii="Book Antiqua" w:hAnsi="Book Antiqua" w:cs="宋体"/>
          <w:sz w:val="24"/>
          <w:szCs w:val="24"/>
          <w:lang w:val="en-US" w:eastAsia="zh-CN"/>
        </w:rPr>
        <w:t xml:space="preserve"> JD, Gao L, Zhao H. Randomized, observational study of long-term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treatment versus other standard of care </w:t>
      </w:r>
      <w:proofErr w:type="spell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 xml:space="preserve">(t)ide analog therapy in </w:t>
      </w:r>
      <w:proofErr w:type="spell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(t)ide-</w:t>
      </w:r>
      <w:proofErr w:type="spellStart"/>
      <w:r w:rsidRPr="00E669A7">
        <w:rPr>
          <w:rFonts w:ascii="Book Antiqua" w:hAnsi="Book Antiqua" w:cs="宋体"/>
          <w:sz w:val="24"/>
          <w:szCs w:val="24"/>
          <w:lang w:val="en-US" w:eastAsia="zh-CN"/>
        </w:rPr>
        <w:t>na</w:t>
      </w:r>
      <w:proofErr w:type="spellEnd"/>
      <w:r w:rsidRPr="00EF12E2">
        <w:rPr>
          <w:rFonts w:ascii="Book Antiqua" w:hAnsi="Book Antiqua" w:cs="Arial Unicode MS"/>
          <w:sz w:val="24"/>
          <w:szCs w:val="24"/>
          <w:lang w:val="en-US" w:eastAsia="zh-CN"/>
        </w:rPr>
        <w:t>?</w:t>
      </w:r>
      <w:r w:rsidRPr="00E669A7">
        <w:rPr>
          <w:rFonts w:ascii="Book Antiqua" w:hAnsi="Book Antiqua" w:cs="宋体"/>
          <w:sz w:val="24"/>
          <w:szCs w:val="24"/>
          <w:lang w:val="en-US" w:eastAsia="zh-CN"/>
        </w:rPr>
        <w:t xml:space="preserve"> </w:t>
      </w:r>
      <w:proofErr w:type="gramStart"/>
      <w:r w:rsidRPr="00E669A7">
        <w:rPr>
          <w:rFonts w:ascii="Book Antiqua" w:hAnsi="Book Antiqua" w:cs="宋体"/>
          <w:sz w:val="24"/>
          <w:szCs w:val="24"/>
          <w:lang w:val="en-US" w:eastAsia="zh-CN"/>
        </w:rPr>
        <w:t>patients</w:t>
      </w:r>
      <w:proofErr w:type="gramEnd"/>
      <w:r w:rsidRPr="00E669A7">
        <w:rPr>
          <w:rFonts w:ascii="Book Antiqua" w:hAnsi="Book Antiqua" w:cs="宋体"/>
          <w:sz w:val="24"/>
          <w:szCs w:val="24"/>
          <w:lang w:val="en-US" w:eastAsia="zh-CN"/>
        </w:rPr>
        <w:t xml:space="preserve"> with chronic hepatitis B from a ‘real-world’ clinical practice setting</w:t>
      </w:r>
      <w:r>
        <w:rPr>
          <w:rFonts w:ascii="Book Antiqua" w:hAnsi="Book Antiqua" w:cs="宋体"/>
          <w:sz w:val="24"/>
          <w:szCs w:val="24"/>
          <w:lang w:val="en-US" w:eastAsia="zh-CN"/>
        </w:rPr>
        <w:t xml:space="preserve"> in China. </w:t>
      </w:r>
      <w:proofErr w:type="spellStart"/>
      <w:r w:rsidRPr="00EF12E2">
        <w:rPr>
          <w:rFonts w:ascii="Book Antiqua" w:hAnsi="Book Antiqua" w:cs="宋体"/>
          <w:i/>
          <w:sz w:val="24"/>
          <w:szCs w:val="24"/>
          <w:lang w:val="en-US" w:eastAsia="zh-CN"/>
        </w:rPr>
        <w:t>Hepatology</w:t>
      </w:r>
      <w:proofErr w:type="spellEnd"/>
      <w:r>
        <w:rPr>
          <w:rFonts w:ascii="Book Antiqua" w:hAnsi="Book Antiqua" w:cs="宋体"/>
          <w:sz w:val="24"/>
          <w:szCs w:val="24"/>
          <w:lang w:val="en-US" w:eastAsia="zh-CN"/>
        </w:rPr>
        <w:t xml:space="preserve"> 2012; </w:t>
      </w:r>
      <w:r w:rsidRPr="00EF12E2">
        <w:rPr>
          <w:rFonts w:ascii="Book Antiqua" w:hAnsi="Book Antiqua" w:cs="宋体"/>
          <w:b/>
          <w:sz w:val="24"/>
          <w:szCs w:val="24"/>
          <w:lang w:val="en-US" w:eastAsia="zh-CN"/>
        </w:rPr>
        <w:t>56</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392</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36 </w:t>
      </w:r>
      <w:r w:rsidRPr="00E669A7">
        <w:rPr>
          <w:rFonts w:ascii="Book Antiqua" w:hAnsi="Book Antiqua" w:cs="宋体"/>
          <w:b/>
          <w:bCs/>
          <w:sz w:val="24"/>
          <w:szCs w:val="24"/>
          <w:lang w:val="en-US" w:eastAsia="zh-CN"/>
        </w:rPr>
        <w:t>Tsai MC</w:t>
      </w:r>
      <w:r w:rsidRPr="00E669A7">
        <w:rPr>
          <w:rFonts w:ascii="Book Antiqua" w:hAnsi="Book Antiqua" w:cs="宋体"/>
          <w:sz w:val="24"/>
          <w:szCs w:val="24"/>
          <w:lang w:val="en-US" w:eastAsia="zh-CN"/>
        </w:rPr>
        <w:t xml:space="preserve">, Lee CM, Chiu KW, Hung CH, Tung WC, Chen CH, Tseng PL, Chang KC, Wang JH, Lu SN, Yen YH, Hu TH. </w:t>
      </w:r>
      <w:proofErr w:type="gramStart"/>
      <w:r w:rsidRPr="00E669A7">
        <w:rPr>
          <w:rFonts w:ascii="Book Antiqua" w:hAnsi="Book Antiqua" w:cs="宋体"/>
          <w:sz w:val="24"/>
          <w:szCs w:val="24"/>
          <w:lang w:val="en-US" w:eastAsia="zh-CN"/>
        </w:rPr>
        <w:t xml:space="preserve">A comparison of </w:t>
      </w:r>
      <w:proofErr w:type="spellStart"/>
      <w:r w:rsidRPr="00E669A7">
        <w:rPr>
          <w:rFonts w:ascii="Book Antiqua" w:hAnsi="Book Antiqua" w:cs="宋体"/>
          <w:sz w:val="24"/>
          <w:szCs w:val="24"/>
          <w:lang w:val="en-US" w:eastAsia="zh-CN"/>
        </w:rPr>
        <w:t>telbivudine</w:t>
      </w:r>
      <w:proofErr w:type="spellEnd"/>
      <w:r w:rsidRPr="00E669A7">
        <w:rPr>
          <w:rFonts w:ascii="Book Antiqua" w:hAnsi="Book Antiqua" w:cs="宋体"/>
          <w:sz w:val="24"/>
          <w:szCs w:val="24"/>
          <w:lang w:val="en-US" w:eastAsia="zh-CN"/>
        </w:rPr>
        <w:t xml:space="preserve"> and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for chronic hepatitis B in real-world clinical practice.</w:t>
      </w:r>
      <w:proofErr w:type="gramEnd"/>
      <w:r w:rsidRPr="00E669A7">
        <w:rPr>
          <w:rFonts w:ascii="Book Antiqua" w:hAnsi="Book Antiqua" w:cs="宋体"/>
          <w:sz w:val="24"/>
          <w:szCs w:val="24"/>
          <w:lang w:val="en-US" w:eastAsia="zh-CN"/>
        </w:rPr>
        <w:t xml:space="preserve"> </w:t>
      </w:r>
      <w:r w:rsidRPr="00E669A7">
        <w:rPr>
          <w:rFonts w:ascii="Book Antiqua" w:hAnsi="Book Antiqua" w:cs="宋体"/>
          <w:i/>
          <w:iCs/>
          <w:sz w:val="24"/>
          <w:szCs w:val="24"/>
          <w:lang w:val="en-US" w:eastAsia="zh-CN"/>
        </w:rPr>
        <w:t xml:space="preserve">J </w:t>
      </w:r>
      <w:proofErr w:type="spellStart"/>
      <w:r w:rsidRPr="00E669A7">
        <w:rPr>
          <w:rFonts w:ascii="Book Antiqua" w:hAnsi="Book Antiqua" w:cs="宋体"/>
          <w:i/>
          <w:iCs/>
          <w:sz w:val="24"/>
          <w:szCs w:val="24"/>
          <w:lang w:val="en-US" w:eastAsia="zh-CN"/>
        </w:rPr>
        <w:t>Antimicrob</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Chemother</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67</w:t>
      </w:r>
      <w:r w:rsidRPr="00E669A7">
        <w:rPr>
          <w:rFonts w:ascii="Book Antiqua" w:hAnsi="Book Antiqua" w:cs="宋体"/>
          <w:sz w:val="24"/>
          <w:szCs w:val="24"/>
          <w:lang w:val="en-US" w:eastAsia="zh-CN"/>
        </w:rPr>
        <w:t>: 696-699 [PMID: 22174039</w:t>
      </w:r>
      <w:r>
        <w:rPr>
          <w:rFonts w:ascii="Book Antiqua" w:hAnsi="Book Antiqua" w:cs="宋体"/>
          <w:sz w:val="24"/>
          <w:szCs w:val="24"/>
          <w:lang w:val="en-US" w:eastAsia="zh-CN"/>
        </w:rPr>
        <w:t xml:space="preserve"> </w:t>
      </w:r>
      <w:r w:rsidRPr="00677312">
        <w:rPr>
          <w:rFonts w:ascii="Book Antiqua" w:hAnsi="Book Antiqua" w:cs="宋体"/>
          <w:sz w:val="24"/>
          <w:szCs w:val="24"/>
          <w:lang w:val="en-US" w:eastAsia="zh-CN"/>
        </w:rPr>
        <w:t>DOI: 10.1093/</w:t>
      </w:r>
      <w:proofErr w:type="spellStart"/>
      <w:r w:rsidRPr="00677312">
        <w:rPr>
          <w:rFonts w:ascii="Book Antiqua" w:hAnsi="Book Antiqua" w:cs="宋体"/>
          <w:sz w:val="24"/>
          <w:szCs w:val="24"/>
          <w:lang w:val="en-US" w:eastAsia="zh-CN"/>
        </w:rPr>
        <w:t>jac</w:t>
      </w:r>
      <w:proofErr w:type="spellEnd"/>
      <w:r w:rsidRPr="00677312">
        <w:rPr>
          <w:rFonts w:ascii="Book Antiqua" w:hAnsi="Book Antiqua" w:cs="宋体"/>
          <w:sz w:val="24"/>
          <w:szCs w:val="24"/>
          <w:lang w:val="en-US" w:eastAsia="zh-CN"/>
        </w:rPr>
        <w:t>/dkr495</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lastRenderedPageBreak/>
        <w:t xml:space="preserve">37 </w:t>
      </w:r>
      <w:r w:rsidRPr="00E669A7">
        <w:rPr>
          <w:rFonts w:ascii="Book Antiqua" w:hAnsi="Book Antiqua" w:cs="宋体"/>
          <w:b/>
          <w:bCs/>
          <w:sz w:val="24"/>
          <w:szCs w:val="24"/>
          <w:lang w:val="en-US" w:eastAsia="zh-CN"/>
        </w:rPr>
        <w:t>Wang CC</w:t>
      </w:r>
      <w:r w:rsidRPr="00E669A7">
        <w:rPr>
          <w:rFonts w:ascii="Book Antiqua" w:hAnsi="Book Antiqua" w:cs="宋体"/>
          <w:sz w:val="24"/>
          <w:szCs w:val="24"/>
          <w:lang w:val="en-US" w:eastAsia="zh-CN"/>
        </w:rPr>
        <w:t xml:space="preserve">, Tseng KC, Peng CY, Hsieh TY, Lin CL, Su TH, Tseng TC, Hsu CS, Lin HH, Kao JH. Viral load and alanine aminotransferase correlate with serologic response in chronic hepatitis B patients treated with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w:t>
      </w:r>
      <w:r w:rsidRPr="00E669A7">
        <w:rPr>
          <w:rFonts w:ascii="Book Antiqua" w:hAnsi="Book Antiqua" w:cs="宋体"/>
          <w:i/>
          <w:iCs/>
          <w:sz w:val="24"/>
          <w:szCs w:val="24"/>
          <w:lang w:val="en-US" w:eastAsia="zh-CN"/>
        </w:rPr>
        <w:t xml:space="preserve">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28</w:t>
      </w:r>
      <w:r w:rsidRPr="00E669A7">
        <w:rPr>
          <w:rFonts w:ascii="Book Antiqua" w:hAnsi="Book Antiqua" w:cs="宋体"/>
          <w:sz w:val="24"/>
          <w:szCs w:val="24"/>
          <w:lang w:val="en-US" w:eastAsia="zh-CN"/>
        </w:rPr>
        <w:t>: 46-50 [PMID: 22989322</w:t>
      </w:r>
      <w:r>
        <w:rPr>
          <w:rFonts w:ascii="Book Antiqua" w:hAnsi="Book Antiqua" w:cs="宋体"/>
          <w:sz w:val="24"/>
          <w:szCs w:val="24"/>
          <w:lang w:val="en-US" w:eastAsia="zh-CN"/>
        </w:rPr>
        <w:t xml:space="preserve"> </w:t>
      </w:r>
      <w:r w:rsidRPr="00BB3C43">
        <w:rPr>
          <w:rFonts w:ascii="Book Antiqua" w:hAnsi="Book Antiqua" w:cs="宋体"/>
          <w:sz w:val="24"/>
          <w:szCs w:val="24"/>
          <w:lang w:val="en-US" w:eastAsia="zh-CN"/>
        </w:rPr>
        <w:t>DOI: 10.1111/j.1440-1746.2012.07269.x</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38 </w:t>
      </w:r>
      <w:r w:rsidRPr="00E669A7">
        <w:rPr>
          <w:rFonts w:ascii="Book Antiqua" w:hAnsi="Book Antiqua" w:cs="宋体"/>
          <w:b/>
          <w:bCs/>
          <w:sz w:val="24"/>
          <w:szCs w:val="24"/>
          <w:lang w:val="en-US" w:eastAsia="zh-CN"/>
        </w:rPr>
        <w:t>Lin B</w:t>
      </w:r>
      <w:r w:rsidRPr="00E669A7">
        <w:rPr>
          <w:rFonts w:ascii="Book Antiqua" w:hAnsi="Book Antiqua" w:cs="宋体"/>
          <w:sz w:val="24"/>
          <w:szCs w:val="24"/>
          <w:lang w:val="en-US" w:eastAsia="zh-CN"/>
        </w:rPr>
        <w:t xml:space="preserve">, Ha NB, Liu A, Trinh HN, Nguyen HA, Nguyen KK, Ahmed A, </w:t>
      </w:r>
      <w:proofErr w:type="spellStart"/>
      <w:r w:rsidRPr="00E669A7">
        <w:rPr>
          <w:rFonts w:ascii="Book Antiqua" w:hAnsi="Book Antiqua" w:cs="宋体"/>
          <w:sz w:val="24"/>
          <w:szCs w:val="24"/>
          <w:lang w:val="en-US" w:eastAsia="zh-CN"/>
        </w:rPr>
        <w:t>Keeffe</w:t>
      </w:r>
      <w:proofErr w:type="spellEnd"/>
      <w:r w:rsidRPr="00E669A7">
        <w:rPr>
          <w:rFonts w:ascii="Book Antiqua" w:hAnsi="Book Antiqua" w:cs="宋体"/>
          <w:sz w:val="24"/>
          <w:szCs w:val="24"/>
          <w:lang w:val="en-US" w:eastAsia="zh-CN"/>
        </w:rPr>
        <w:t xml:space="preserve"> EB, Garcia RT, Garcia G, Nguyen MH. Low incidence of hepatitis B e antigen </w:t>
      </w:r>
      <w:proofErr w:type="spellStart"/>
      <w:r w:rsidRPr="00E669A7">
        <w:rPr>
          <w:rFonts w:ascii="Book Antiqua" w:hAnsi="Book Antiqua" w:cs="宋体"/>
          <w:sz w:val="24"/>
          <w:szCs w:val="24"/>
          <w:lang w:val="en-US" w:eastAsia="zh-CN"/>
        </w:rPr>
        <w:t>seroconversion</w:t>
      </w:r>
      <w:proofErr w:type="spellEnd"/>
      <w:r w:rsidRPr="00E669A7">
        <w:rPr>
          <w:rFonts w:ascii="Book Antiqua" w:hAnsi="Book Antiqua" w:cs="宋体"/>
          <w:sz w:val="24"/>
          <w:szCs w:val="24"/>
          <w:lang w:val="en-US" w:eastAsia="zh-CN"/>
        </w:rPr>
        <w:t xml:space="preserve"> in patients treated with oral </w:t>
      </w:r>
      <w:proofErr w:type="spellStart"/>
      <w:proofErr w:type="gram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w:t>
      </w:r>
      <w:proofErr w:type="gramEnd"/>
      <w:r w:rsidRPr="00E669A7">
        <w:rPr>
          <w:rFonts w:ascii="Book Antiqua" w:hAnsi="Book Antiqua" w:cs="宋体"/>
          <w:sz w:val="24"/>
          <w:szCs w:val="24"/>
          <w:lang w:val="en-US" w:eastAsia="zh-CN"/>
        </w:rPr>
        <w:t xml:space="preserve">t)ides in routine practice. </w:t>
      </w:r>
      <w:r w:rsidRPr="00E669A7">
        <w:rPr>
          <w:rFonts w:ascii="Book Antiqua" w:hAnsi="Book Antiqua" w:cs="宋体"/>
          <w:i/>
          <w:iCs/>
          <w:sz w:val="24"/>
          <w:szCs w:val="24"/>
          <w:lang w:val="en-US" w:eastAsia="zh-CN"/>
        </w:rPr>
        <w:t xml:space="preserve">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28</w:t>
      </w:r>
      <w:r w:rsidRPr="00E669A7">
        <w:rPr>
          <w:rFonts w:ascii="Book Antiqua" w:hAnsi="Book Antiqua" w:cs="宋体"/>
          <w:sz w:val="24"/>
          <w:szCs w:val="24"/>
          <w:lang w:val="en-US" w:eastAsia="zh-CN"/>
        </w:rPr>
        <w:t>: 855-860 [PMID: 23278507</w:t>
      </w:r>
      <w:r>
        <w:rPr>
          <w:rFonts w:ascii="Book Antiqua" w:hAnsi="Book Antiqua" w:cs="宋体"/>
          <w:sz w:val="24"/>
          <w:szCs w:val="24"/>
          <w:lang w:val="en-US" w:eastAsia="zh-CN"/>
        </w:rPr>
        <w:t xml:space="preserve"> </w:t>
      </w:r>
      <w:r w:rsidRPr="00671E31">
        <w:rPr>
          <w:rFonts w:ascii="Book Antiqua" w:hAnsi="Book Antiqua" w:cs="宋体"/>
          <w:sz w:val="24"/>
          <w:szCs w:val="24"/>
          <w:lang w:val="en-US" w:eastAsia="zh-CN"/>
        </w:rPr>
        <w:t>DOI: 10.1111/jgh.12108</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39 </w:t>
      </w:r>
      <w:r w:rsidRPr="00E669A7">
        <w:rPr>
          <w:rFonts w:ascii="Book Antiqua" w:hAnsi="Book Antiqua" w:cs="宋体"/>
          <w:b/>
          <w:bCs/>
          <w:sz w:val="24"/>
          <w:szCs w:val="24"/>
          <w:lang w:val="en-US" w:eastAsia="zh-CN"/>
        </w:rPr>
        <w:t>Liu A</w:t>
      </w:r>
      <w:r w:rsidRPr="00E669A7">
        <w:rPr>
          <w:rFonts w:ascii="Book Antiqua" w:hAnsi="Book Antiqua" w:cs="宋体"/>
          <w:sz w:val="24"/>
          <w:szCs w:val="24"/>
          <w:lang w:val="en-US" w:eastAsia="zh-CN"/>
        </w:rPr>
        <w:t xml:space="preserve">, Ha NB, Lin B, Yip B, Trinh HN, Nguyen HA, Nguyen KK, Ahmed A, Garcia G, Nguyen MH. Low hepatitis B envelope antigen </w:t>
      </w:r>
      <w:proofErr w:type="spellStart"/>
      <w:r w:rsidRPr="00E669A7">
        <w:rPr>
          <w:rFonts w:ascii="Book Antiqua" w:hAnsi="Book Antiqua" w:cs="宋体"/>
          <w:sz w:val="24"/>
          <w:szCs w:val="24"/>
          <w:lang w:val="en-US" w:eastAsia="zh-CN"/>
        </w:rPr>
        <w:t>seroconversion</w:t>
      </w:r>
      <w:proofErr w:type="spellEnd"/>
      <w:r w:rsidRPr="00E669A7">
        <w:rPr>
          <w:rFonts w:ascii="Book Antiqua" w:hAnsi="Book Antiqua" w:cs="宋体"/>
          <w:sz w:val="24"/>
          <w:szCs w:val="24"/>
          <w:lang w:val="en-US" w:eastAsia="zh-CN"/>
        </w:rPr>
        <w:t xml:space="preserve"> rate in chronic hepatitis B patients on long-term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0.5 mg daily in routine clinical practice. </w:t>
      </w:r>
      <w:proofErr w:type="spellStart"/>
      <w:r w:rsidRPr="00E669A7">
        <w:rPr>
          <w:rFonts w:ascii="Book Antiqua" w:hAnsi="Book Antiqua" w:cs="宋体"/>
          <w:i/>
          <w:iCs/>
          <w:sz w:val="24"/>
          <w:szCs w:val="24"/>
          <w:lang w:val="en-US" w:eastAsia="zh-CN"/>
        </w:rPr>
        <w:t>Eur</w:t>
      </w:r>
      <w:proofErr w:type="spellEnd"/>
      <w:r w:rsidRPr="00E669A7">
        <w:rPr>
          <w:rFonts w:ascii="Book Antiqua" w:hAnsi="Book Antiqua" w:cs="宋体"/>
          <w:i/>
          <w:iCs/>
          <w:sz w:val="24"/>
          <w:szCs w:val="24"/>
          <w:lang w:val="en-US" w:eastAsia="zh-CN"/>
        </w:rPr>
        <w:t xml:space="preserve"> 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25</w:t>
      </w:r>
      <w:r w:rsidRPr="00E669A7">
        <w:rPr>
          <w:rFonts w:ascii="Book Antiqua" w:hAnsi="Book Antiqua" w:cs="宋体"/>
          <w:sz w:val="24"/>
          <w:szCs w:val="24"/>
          <w:lang w:val="en-US" w:eastAsia="zh-CN"/>
        </w:rPr>
        <w:t>: 338-343 [PMID: 23169311</w:t>
      </w:r>
      <w:r>
        <w:rPr>
          <w:rFonts w:ascii="Book Antiqua" w:hAnsi="Book Antiqua" w:cs="宋体"/>
          <w:sz w:val="24"/>
          <w:szCs w:val="24"/>
          <w:lang w:val="en-US" w:eastAsia="zh-CN"/>
        </w:rPr>
        <w:t xml:space="preserve"> </w:t>
      </w:r>
      <w:r w:rsidRPr="00050042">
        <w:rPr>
          <w:rFonts w:ascii="Book Antiqua" w:hAnsi="Book Antiqua" w:cs="宋体"/>
          <w:sz w:val="24"/>
          <w:szCs w:val="24"/>
          <w:lang w:val="en-US" w:eastAsia="zh-CN"/>
        </w:rPr>
        <w:t>DOI: 10.1097/MEG.0b013e32835b3677</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t xml:space="preserve">40 </w:t>
      </w:r>
      <w:proofErr w:type="spellStart"/>
      <w:r w:rsidRPr="00E669A7">
        <w:rPr>
          <w:rFonts w:ascii="Book Antiqua" w:hAnsi="Book Antiqua" w:cs="宋体"/>
          <w:b/>
          <w:bCs/>
          <w:sz w:val="24"/>
          <w:szCs w:val="24"/>
          <w:lang w:val="en-US" w:eastAsia="zh-CN"/>
        </w:rPr>
        <w:t>Fahrtash-Bahin</w:t>
      </w:r>
      <w:proofErr w:type="spellEnd"/>
      <w:r w:rsidRPr="00E669A7">
        <w:rPr>
          <w:rFonts w:ascii="Book Antiqua" w:hAnsi="Book Antiqua" w:cs="宋体"/>
          <w:b/>
          <w:bCs/>
          <w:sz w:val="24"/>
          <w:szCs w:val="24"/>
          <w:lang w:val="en-US" w:eastAsia="zh-CN"/>
        </w:rPr>
        <w:t xml:space="preserve"> F</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Kariyawasam</w:t>
      </w:r>
      <w:proofErr w:type="spellEnd"/>
      <w:r w:rsidRPr="00E669A7">
        <w:rPr>
          <w:rFonts w:ascii="Book Antiqua" w:hAnsi="Book Antiqua" w:cs="宋体"/>
          <w:sz w:val="24"/>
          <w:szCs w:val="24"/>
          <w:lang w:val="en-US" w:eastAsia="zh-CN"/>
        </w:rPr>
        <w:t xml:space="preserve"> VC, Gray T, </w:t>
      </w:r>
      <w:proofErr w:type="spellStart"/>
      <w:r w:rsidRPr="00E669A7">
        <w:rPr>
          <w:rFonts w:ascii="Book Antiqua" w:hAnsi="Book Antiqua" w:cs="宋体"/>
          <w:sz w:val="24"/>
          <w:szCs w:val="24"/>
          <w:lang w:val="en-US" w:eastAsia="zh-CN"/>
        </w:rPr>
        <w:t>Byth</w:t>
      </w:r>
      <w:proofErr w:type="spellEnd"/>
      <w:r w:rsidRPr="00E669A7">
        <w:rPr>
          <w:rFonts w:ascii="Book Antiqua" w:hAnsi="Book Antiqua" w:cs="宋体"/>
          <w:sz w:val="24"/>
          <w:szCs w:val="24"/>
          <w:lang w:val="en-US" w:eastAsia="zh-CN"/>
        </w:rPr>
        <w:t xml:space="preserve"> K, George J, Douglas MW.</w:t>
      </w:r>
      <w:proofErr w:type="gramEnd"/>
      <w:r w:rsidRPr="00E669A7">
        <w:rPr>
          <w:rFonts w:ascii="Book Antiqua" w:hAnsi="Book Antiqua" w:cs="宋体"/>
          <w:sz w:val="24"/>
          <w:szCs w:val="24"/>
          <w:lang w:val="en-US" w:eastAsia="zh-CN"/>
        </w:rPr>
        <w:t xml:space="preserve"> Australian tertiary care outcomes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monotherapy in treatment naive patients with chronic hepatitis B. </w:t>
      </w:r>
      <w:r w:rsidRPr="00E669A7">
        <w:rPr>
          <w:rFonts w:ascii="Book Antiqua" w:hAnsi="Book Antiqua" w:cs="宋体"/>
          <w:i/>
          <w:iCs/>
          <w:sz w:val="24"/>
          <w:szCs w:val="24"/>
          <w:lang w:val="en-US" w:eastAsia="zh-CN"/>
        </w:rPr>
        <w:t xml:space="preserve">World J </w:t>
      </w:r>
      <w:proofErr w:type="spellStart"/>
      <w:r w:rsidRPr="00E669A7">
        <w:rPr>
          <w:rFonts w:ascii="Book Antiqua" w:hAnsi="Book Antiqua" w:cs="宋体"/>
          <w:i/>
          <w:iCs/>
          <w:sz w:val="24"/>
          <w:szCs w:val="24"/>
          <w:lang w:val="en-US" w:eastAsia="zh-CN"/>
        </w:rPr>
        <w:t>Gastroenterol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bCs/>
          <w:sz w:val="24"/>
          <w:szCs w:val="24"/>
          <w:lang w:val="en-US" w:eastAsia="zh-CN"/>
        </w:rPr>
        <w:t>19</w:t>
      </w:r>
      <w:r w:rsidRPr="00E669A7">
        <w:rPr>
          <w:rFonts w:ascii="Book Antiqua" w:hAnsi="Book Antiqua" w:cs="宋体"/>
          <w:sz w:val="24"/>
          <w:szCs w:val="24"/>
          <w:lang w:val="en-US" w:eastAsia="zh-CN"/>
        </w:rPr>
        <w:t>: 721-726 [PMID: 23430314</w:t>
      </w:r>
      <w:r>
        <w:rPr>
          <w:rFonts w:ascii="Book Antiqua" w:hAnsi="Book Antiqua" w:cs="宋体"/>
          <w:sz w:val="24"/>
          <w:szCs w:val="24"/>
          <w:lang w:val="en-US" w:eastAsia="zh-CN"/>
        </w:rPr>
        <w:t xml:space="preserve"> </w:t>
      </w:r>
      <w:r w:rsidRPr="00DB0522">
        <w:rPr>
          <w:rFonts w:ascii="Book Antiqua" w:hAnsi="Book Antiqua" w:cs="宋体"/>
          <w:sz w:val="24"/>
          <w:szCs w:val="24"/>
          <w:lang w:val="en-US" w:eastAsia="zh-CN"/>
        </w:rPr>
        <w:t>DOI: 10.3748/wjg.v19.i5.721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41 </w:t>
      </w:r>
      <w:proofErr w:type="spellStart"/>
      <w:r w:rsidRPr="00E669A7">
        <w:rPr>
          <w:rFonts w:ascii="Book Antiqua" w:hAnsi="Book Antiqua" w:cs="宋体"/>
          <w:b/>
          <w:sz w:val="24"/>
          <w:szCs w:val="24"/>
          <w:lang w:val="en-US" w:eastAsia="zh-CN"/>
        </w:rPr>
        <w:t>Ratnam</w:t>
      </w:r>
      <w:proofErr w:type="spellEnd"/>
      <w:r w:rsidRPr="00E669A7">
        <w:rPr>
          <w:rFonts w:ascii="Book Antiqua" w:hAnsi="Book Antiqua" w:cs="宋体"/>
          <w:b/>
          <w:sz w:val="24"/>
          <w:szCs w:val="24"/>
          <w:lang w:val="en-US" w:eastAsia="zh-CN"/>
        </w:rPr>
        <w:t xml:space="preserve"> D</w:t>
      </w:r>
      <w:r w:rsidRPr="00E669A7">
        <w:rPr>
          <w:rFonts w:ascii="Book Antiqua" w:hAnsi="Book Antiqua" w:cs="宋体"/>
          <w:sz w:val="24"/>
          <w:szCs w:val="24"/>
          <w:lang w:val="en-US" w:eastAsia="zh-CN"/>
        </w:rPr>
        <w:t>, Angus P. Global Perspectives: Australia – Real World Experience with HBV Antivi</w:t>
      </w:r>
      <w:r>
        <w:rPr>
          <w:rFonts w:ascii="Book Antiqua" w:hAnsi="Book Antiqua" w:cs="宋体"/>
          <w:sz w:val="24"/>
          <w:szCs w:val="24"/>
          <w:lang w:val="en-US" w:eastAsia="zh-CN"/>
        </w:rPr>
        <w:t xml:space="preserve">ral Therapy. </w:t>
      </w:r>
      <w:proofErr w:type="spellStart"/>
      <w:r w:rsidRPr="00CD2BA2">
        <w:rPr>
          <w:rFonts w:ascii="Book Antiqua" w:hAnsi="Book Antiqua" w:cs="宋体"/>
          <w:i/>
          <w:sz w:val="24"/>
          <w:szCs w:val="24"/>
          <w:lang w:val="en-US" w:eastAsia="zh-CN"/>
        </w:rPr>
        <w:t>Curr</w:t>
      </w:r>
      <w:proofErr w:type="spellEnd"/>
      <w:r w:rsidRPr="00CD2BA2">
        <w:rPr>
          <w:rFonts w:ascii="Book Antiqua" w:hAnsi="Book Antiqua" w:cs="宋体"/>
          <w:i/>
          <w:sz w:val="24"/>
          <w:szCs w:val="24"/>
          <w:lang w:val="en-US" w:eastAsia="zh-CN"/>
        </w:rPr>
        <w:t xml:space="preserve"> Hepatitis Rep</w:t>
      </w:r>
      <w:r w:rsidRPr="00E669A7">
        <w:rPr>
          <w:rFonts w:ascii="Book Antiqua" w:hAnsi="Book Antiqua" w:cs="宋体"/>
          <w:sz w:val="24"/>
          <w:szCs w:val="24"/>
          <w:lang w:val="en-US" w:eastAsia="zh-CN"/>
        </w:rPr>
        <w:t xml:space="preserve"> 2012; </w:t>
      </w:r>
      <w:r w:rsidRPr="00E669A7">
        <w:rPr>
          <w:rFonts w:ascii="Book Antiqua" w:hAnsi="Book Antiqua" w:cs="宋体"/>
          <w:b/>
          <w:sz w:val="24"/>
          <w:szCs w:val="24"/>
          <w:lang w:val="en-US" w:eastAsia="zh-CN"/>
        </w:rPr>
        <w:t>11</w:t>
      </w:r>
      <w:r w:rsidRPr="00E669A7">
        <w:rPr>
          <w:rFonts w:ascii="Book Antiqua" w:hAnsi="Book Antiqua" w:cs="宋体"/>
          <w:sz w:val="24"/>
          <w:szCs w:val="24"/>
          <w:lang w:val="en-US" w:eastAsia="zh-CN"/>
        </w:rPr>
        <w:t>: 213-</w:t>
      </w:r>
      <w:r>
        <w:rPr>
          <w:rFonts w:ascii="Book Antiqua" w:hAnsi="Book Antiqua" w:cs="宋体"/>
          <w:sz w:val="24"/>
          <w:szCs w:val="24"/>
          <w:lang w:val="en-US" w:eastAsia="zh-CN"/>
        </w:rPr>
        <w:t>2</w:t>
      </w:r>
      <w:r w:rsidRPr="00E669A7">
        <w:rPr>
          <w:rFonts w:ascii="Book Antiqua" w:hAnsi="Book Antiqua" w:cs="宋体"/>
          <w:sz w:val="24"/>
          <w:szCs w:val="24"/>
          <w:lang w:val="en-US" w:eastAsia="zh-CN"/>
        </w:rPr>
        <w:t>20 [DOI</w:t>
      </w:r>
      <w:r>
        <w:rPr>
          <w:rFonts w:ascii="Book Antiqua" w:hAnsi="Book Antiqua" w:cs="宋体"/>
          <w:sz w:val="24"/>
          <w:szCs w:val="24"/>
          <w:lang w:val="en-US" w:eastAsia="zh-CN"/>
        </w:rPr>
        <w:t>:</w:t>
      </w:r>
      <w:r w:rsidRPr="00E669A7">
        <w:rPr>
          <w:rFonts w:ascii="Book Antiqua" w:hAnsi="Book Antiqua" w:cs="宋体"/>
          <w:sz w:val="24"/>
          <w:szCs w:val="24"/>
          <w:lang w:val="en-US" w:eastAsia="zh-CN"/>
        </w:rPr>
        <w:t xml:space="preserve"> 10.1007/s11901-012-0152-4]</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42 </w:t>
      </w:r>
      <w:proofErr w:type="spellStart"/>
      <w:r w:rsidRPr="00E669A7">
        <w:rPr>
          <w:rFonts w:ascii="Book Antiqua" w:hAnsi="Book Antiqua" w:cs="宋体"/>
          <w:b/>
          <w:sz w:val="24"/>
          <w:szCs w:val="24"/>
          <w:lang w:val="en-US" w:eastAsia="zh-CN"/>
        </w:rPr>
        <w:t>Lampertico</w:t>
      </w:r>
      <w:proofErr w:type="spellEnd"/>
      <w:r w:rsidRPr="00E669A7">
        <w:rPr>
          <w:rFonts w:ascii="Book Antiqua" w:hAnsi="Book Antiqua" w:cs="宋体"/>
          <w:b/>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Soffredini</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Facchetti</w:t>
      </w:r>
      <w:proofErr w:type="spellEnd"/>
      <w:r w:rsidRPr="00E669A7">
        <w:rPr>
          <w:rFonts w:ascii="Book Antiqua" w:hAnsi="Book Antiqua" w:cs="宋体"/>
          <w:sz w:val="24"/>
          <w:szCs w:val="24"/>
          <w:lang w:val="en-US" w:eastAsia="zh-CN"/>
        </w:rPr>
        <w:t xml:space="preserve"> F, </w:t>
      </w:r>
      <w:proofErr w:type="spellStart"/>
      <w:r w:rsidRPr="00E669A7">
        <w:rPr>
          <w:rFonts w:ascii="Book Antiqua" w:hAnsi="Book Antiqua" w:cs="宋体"/>
          <w:sz w:val="24"/>
          <w:szCs w:val="24"/>
          <w:lang w:val="en-US" w:eastAsia="zh-CN"/>
        </w:rPr>
        <w:t>Invernizzi</w:t>
      </w:r>
      <w:proofErr w:type="spellEnd"/>
      <w:r w:rsidRPr="00E669A7">
        <w:rPr>
          <w:rFonts w:ascii="Book Antiqua" w:hAnsi="Book Antiqua" w:cs="宋体"/>
          <w:sz w:val="24"/>
          <w:szCs w:val="24"/>
          <w:lang w:val="en-US" w:eastAsia="zh-CN"/>
        </w:rPr>
        <w:t xml:space="preserve"> F, Colombo M, </w:t>
      </w:r>
      <w:proofErr w:type="spellStart"/>
      <w:r w:rsidRPr="00E669A7">
        <w:rPr>
          <w:rFonts w:ascii="Book Antiqua" w:hAnsi="Book Antiqua" w:cs="宋体"/>
          <w:sz w:val="24"/>
          <w:szCs w:val="24"/>
          <w:lang w:val="en-US" w:eastAsia="zh-CN"/>
        </w:rPr>
        <w:t>Vigan</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Yurdaydin</w:t>
      </w:r>
      <w:proofErr w:type="spellEnd"/>
      <w:r w:rsidRPr="00E669A7">
        <w:rPr>
          <w:rFonts w:ascii="Book Antiqua" w:hAnsi="Book Antiqua" w:cs="宋体"/>
          <w:sz w:val="24"/>
          <w:szCs w:val="24"/>
          <w:lang w:val="en-US" w:eastAsia="zh-CN"/>
        </w:rPr>
        <w:t xml:space="preserve"> C.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monotherapy suppressed viral suppression in most field practice, treatment-</w:t>
      </w:r>
      <w:proofErr w:type="spellStart"/>
      <w:r w:rsidRPr="00E669A7">
        <w:rPr>
          <w:rFonts w:ascii="Book Antiqua" w:hAnsi="Book Antiqua" w:cs="宋体"/>
          <w:sz w:val="24"/>
          <w:szCs w:val="24"/>
          <w:lang w:val="en-US" w:eastAsia="zh-CN"/>
        </w:rPr>
        <w:t>na</w:t>
      </w:r>
      <w:proofErr w:type="spellEnd"/>
      <w:r w:rsidRPr="0063596D">
        <w:rPr>
          <w:rFonts w:ascii="Book Antiqua" w:hAnsi="Book Antiqua" w:cs="Arial Unicode MS"/>
          <w:sz w:val="24"/>
          <w:szCs w:val="24"/>
          <w:lang w:val="en-US" w:eastAsia="zh-CN"/>
        </w:rPr>
        <w:t>?</w:t>
      </w:r>
      <w:r w:rsidRPr="00E669A7">
        <w:rPr>
          <w:rFonts w:ascii="Book Antiqua" w:hAnsi="Book Antiqua" w:cs="宋体"/>
          <w:sz w:val="24"/>
          <w:szCs w:val="24"/>
          <w:lang w:val="en-US" w:eastAsia="zh-CN"/>
        </w:rPr>
        <w:t xml:space="preserve"> </w:t>
      </w:r>
      <w:proofErr w:type="gramStart"/>
      <w:r w:rsidRPr="00E669A7">
        <w:rPr>
          <w:rFonts w:ascii="Book Antiqua" w:hAnsi="Book Antiqua" w:cs="宋体"/>
          <w:sz w:val="24"/>
          <w:szCs w:val="24"/>
          <w:lang w:val="en-US" w:eastAsia="zh-CN"/>
        </w:rPr>
        <w:t>patients</w:t>
      </w:r>
      <w:proofErr w:type="gramEnd"/>
      <w:r w:rsidRPr="00E669A7">
        <w:rPr>
          <w:rFonts w:ascii="Book Antiqua" w:hAnsi="Book Antiqua" w:cs="宋体"/>
          <w:sz w:val="24"/>
          <w:szCs w:val="24"/>
          <w:lang w:val="en-US" w:eastAsia="zh-CN"/>
        </w:rPr>
        <w:t xml:space="preserve"> with chronic hepatitis B followed for 3 years in a multicenter European study. </w:t>
      </w:r>
      <w:proofErr w:type="spellStart"/>
      <w:r w:rsidRPr="00E669A7">
        <w:rPr>
          <w:rFonts w:ascii="Book Antiqua" w:hAnsi="Book Antiqua" w:cs="宋体"/>
          <w:i/>
          <w:sz w:val="24"/>
          <w:szCs w:val="24"/>
          <w:lang w:val="en-US" w:eastAsia="zh-CN"/>
        </w:rPr>
        <w:t>Hep</w:t>
      </w:r>
      <w:r w:rsidRPr="00BE1744">
        <w:rPr>
          <w:rFonts w:ascii="Book Antiqua" w:hAnsi="Book Antiqua" w:cs="宋体"/>
          <w:i/>
          <w:sz w:val="24"/>
          <w:szCs w:val="24"/>
          <w:lang w:val="en-US" w:eastAsia="zh-CN"/>
        </w:rPr>
        <w:t>atology</w:t>
      </w:r>
      <w:proofErr w:type="spellEnd"/>
      <w:r>
        <w:rPr>
          <w:rFonts w:ascii="Book Antiqua" w:hAnsi="Book Antiqua" w:cs="宋体"/>
          <w:sz w:val="24"/>
          <w:szCs w:val="24"/>
          <w:lang w:val="en-US" w:eastAsia="zh-CN"/>
        </w:rPr>
        <w:t xml:space="preserve"> 2012; </w:t>
      </w:r>
      <w:r w:rsidRPr="00BE1744">
        <w:rPr>
          <w:rFonts w:ascii="Book Antiqua" w:hAnsi="Book Antiqua" w:cs="宋体"/>
          <w:b/>
          <w:sz w:val="24"/>
          <w:szCs w:val="24"/>
          <w:lang w:val="en-US" w:eastAsia="zh-CN"/>
        </w:rPr>
        <w:t>56</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401</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43 </w:t>
      </w:r>
      <w:r w:rsidRPr="00E669A7">
        <w:rPr>
          <w:rFonts w:ascii="Book Antiqua" w:hAnsi="Book Antiqua" w:cs="宋体"/>
          <w:b/>
          <w:sz w:val="24"/>
          <w:szCs w:val="24"/>
          <w:lang w:val="en-US" w:eastAsia="zh-CN"/>
        </w:rPr>
        <w:t>Petersen J</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Heyne</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Mauss</w:t>
      </w:r>
      <w:proofErr w:type="spellEnd"/>
      <w:r w:rsidRPr="00E669A7">
        <w:rPr>
          <w:rFonts w:ascii="Book Antiqua" w:hAnsi="Book Antiqua" w:cs="宋体"/>
          <w:sz w:val="24"/>
          <w:szCs w:val="24"/>
          <w:lang w:val="en-US" w:eastAsia="zh-CN"/>
        </w:rPr>
        <w:t xml:space="preserve"> S, </w:t>
      </w:r>
      <w:proofErr w:type="spellStart"/>
      <w:r w:rsidRPr="00E669A7">
        <w:rPr>
          <w:rFonts w:ascii="Book Antiqua" w:hAnsi="Book Antiqua" w:cs="宋体"/>
          <w:sz w:val="24"/>
          <w:szCs w:val="24"/>
          <w:lang w:val="en-US" w:eastAsia="zh-CN"/>
        </w:rPr>
        <w:t>Schlaak</w:t>
      </w:r>
      <w:proofErr w:type="spellEnd"/>
      <w:r w:rsidRPr="00E669A7">
        <w:rPr>
          <w:rFonts w:ascii="Book Antiqua" w:hAnsi="Book Antiqua" w:cs="宋体"/>
          <w:sz w:val="24"/>
          <w:szCs w:val="24"/>
          <w:lang w:val="en-US" w:eastAsia="zh-CN"/>
        </w:rPr>
        <w:t xml:space="preserve"> J, </w:t>
      </w:r>
      <w:proofErr w:type="spellStart"/>
      <w:r w:rsidRPr="00E669A7">
        <w:rPr>
          <w:rFonts w:ascii="Book Antiqua" w:hAnsi="Book Antiqua" w:cs="宋体"/>
          <w:sz w:val="24"/>
          <w:szCs w:val="24"/>
          <w:lang w:val="en-US" w:eastAsia="zh-CN"/>
        </w:rPr>
        <w:t>Schiffelholz</w:t>
      </w:r>
      <w:proofErr w:type="spellEnd"/>
      <w:r w:rsidRPr="00E669A7">
        <w:rPr>
          <w:rFonts w:ascii="Book Antiqua" w:hAnsi="Book Antiqua" w:cs="宋体"/>
          <w:sz w:val="24"/>
          <w:szCs w:val="24"/>
          <w:lang w:val="en-US" w:eastAsia="zh-CN"/>
        </w:rPr>
        <w:t xml:space="preserve"> W, </w:t>
      </w:r>
      <w:proofErr w:type="spellStart"/>
      <w:r w:rsidRPr="00E669A7">
        <w:rPr>
          <w:rFonts w:ascii="Book Antiqua" w:hAnsi="Book Antiqua" w:cs="宋体"/>
          <w:sz w:val="24"/>
          <w:szCs w:val="24"/>
          <w:lang w:val="en-US" w:eastAsia="zh-CN"/>
        </w:rPr>
        <w:t>Eisenbach</w:t>
      </w:r>
      <w:proofErr w:type="spellEnd"/>
      <w:r w:rsidRPr="00E669A7">
        <w:rPr>
          <w:rFonts w:ascii="Book Antiqua" w:hAnsi="Book Antiqua" w:cs="宋体"/>
          <w:sz w:val="24"/>
          <w:szCs w:val="24"/>
          <w:lang w:val="en-US" w:eastAsia="zh-CN"/>
        </w:rPr>
        <w:t xml:space="preserve"> C, Hartmann H. Effectiveness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for chroni</w:t>
      </w:r>
      <w:r>
        <w:rPr>
          <w:rFonts w:ascii="Book Antiqua" w:hAnsi="Book Antiqua" w:cs="宋体"/>
          <w:sz w:val="24"/>
          <w:szCs w:val="24"/>
          <w:lang w:val="en-US" w:eastAsia="zh-CN"/>
        </w:rPr>
        <w:t>c hepatitis B in field practice–</w:t>
      </w:r>
      <w:r w:rsidRPr="00E669A7">
        <w:rPr>
          <w:rFonts w:ascii="Book Antiqua" w:hAnsi="Book Antiqua" w:cs="宋体"/>
          <w:sz w:val="24"/>
          <w:szCs w:val="24"/>
          <w:lang w:val="en-US" w:eastAsia="zh-CN"/>
        </w:rPr>
        <w:t xml:space="preserve">2 year interim results from the prospective German multicenter non-interventional study (GEMINIS). </w:t>
      </w:r>
      <w:r w:rsidRPr="00E669A7">
        <w:rPr>
          <w:rFonts w:ascii="Book Antiqua" w:hAnsi="Book Antiqua" w:cs="宋体"/>
          <w:i/>
          <w:sz w:val="24"/>
          <w:szCs w:val="24"/>
          <w:lang w:val="en-US" w:eastAsia="zh-CN"/>
        </w:rPr>
        <w:t xml:space="preserve">J </w:t>
      </w:r>
      <w:proofErr w:type="spellStart"/>
      <w:r w:rsidRPr="00E669A7">
        <w:rPr>
          <w:rFonts w:ascii="Book Antiqua" w:hAnsi="Book Antiqua" w:cs="宋体"/>
          <w:i/>
          <w:sz w:val="24"/>
          <w:szCs w:val="24"/>
          <w:lang w:val="en-US" w:eastAsia="zh-CN"/>
        </w:rPr>
        <w:t>Hepatol</w:t>
      </w:r>
      <w:proofErr w:type="spellEnd"/>
      <w:r>
        <w:rPr>
          <w:rFonts w:ascii="Book Antiqua" w:hAnsi="Book Antiqua" w:cs="宋体"/>
          <w:sz w:val="24"/>
          <w:szCs w:val="24"/>
          <w:lang w:val="en-US" w:eastAsia="zh-CN"/>
        </w:rPr>
        <w:t xml:space="preserve"> 2013; </w:t>
      </w:r>
      <w:r w:rsidRPr="00CE4E95">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768</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lastRenderedPageBreak/>
        <w:t xml:space="preserve">44 </w:t>
      </w:r>
      <w:proofErr w:type="spellStart"/>
      <w:r w:rsidRPr="00E669A7">
        <w:rPr>
          <w:rFonts w:ascii="Book Antiqua" w:hAnsi="Book Antiqua" w:cs="宋体"/>
          <w:b/>
          <w:bCs/>
          <w:sz w:val="24"/>
          <w:szCs w:val="24"/>
          <w:lang w:val="en-US" w:eastAsia="zh-CN"/>
        </w:rPr>
        <w:t>Ridruejo</w:t>
      </w:r>
      <w:proofErr w:type="spellEnd"/>
      <w:r w:rsidRPr="00E669A7">
        <w:rPr>
          <w:rFonts w:ascii="Book Antiqua" w:hAnsi="Book Antiqua" w:cs="宋体"/>
          <w:b/>
          <w:bCs/>
          <w:sz w:val="24"/>
          <w:szCs w:val="24"/>
          <w:lang w:val="en-US" w:eastAsia="zh-CN"/>
        </w:rPr>
        <w:t xml:space="preserve"> E</w:t>
      </w:r>
      <w:r w:rsidRPr="00E669A7">
        <w:rPr>
          <w:rFonts w:ascii="Book Antiqua" w:hAnsi="Book Antiqua" w:cs="宋体"/>
          <w:sz w:val="24"/>
          <w:szCs w:val="24"/>
          <w:lang w:val="en-US" w:eastAsia="zh-CN"/>
        </w:rPr>
        <w:t xml:space="preserve">, Silva MO. Safety of long-term </w:t>
      </w:r>
      <w:proofErr w:type="spellStart"/>
      <w:proofErr w:type="gram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w:t>
      </w:r>
      <w:proofErr w:type="gramEnd"/>
      <w:r w:rsidRPr="00E669A7">
        <w:rPr>
          <w:rFonts w:ascii="Book Antiqua" w:hAnsi="Book Antiqua" w:cs="宋体"/>
          <w:sz w:val="24"/>
          <w:szCs w:val="24"/>
          <w:lang w:val="en-US" w:eastAsia="zh-CN"/>
        </w:rPr>
        <w:t xml:space="preserve">t)ide treatment in chronic hepatitis B. </w:t>
      </w:r>
      <w:r w:rsidRPr="00E669A7">
        <w:rPr>
          <w:rFonts w:ascii="Book Antiqua" w:hAnsi="Book Antiqua" w:cs="宋体"/>
          <w:i/>
          <w:iCs/>
          <w:sz w:val="24"/>
          <w:szCs w:val="24"/>
          <w:lang w:val="en-US" w:eastAsia="zh-CN"/>
        </w:rPr>
        <w:t xml:space="preserve">Expert </w:t>
      </w:r>
      <w:proofErr w:type="spellStart"/>
      <w:r w:rsidRPr="00E669A7">
        <w:rPr>
          <w:rFonts w:ascii="Book Antiqua" w:hAnsi="Book Antiqua" w:cs="宋体"/>
          <w:i/>
          <w:iCs/>
          <w:sz w:val="24"/>
          <w:szCs w:val="24"/>
          <w:lang w:val="en-US" w:eastAsia="zh-CN"/>
        </w:rPr>
        <w:t>Opin</w:t>
      </w:r>
      <w:proofErr w:type="spellEnd"/>
      <w:r w:rsidRPr="00E669A7">
        <w:rPr>
          <w:rFonts w:ascii="Book Antiqua" w:hAnsi="Book Antiqua" w:cs="宋体"/>
          <w:i/>
          <w:iCs/>
          <w:sz w:val="24"/>
          <w:szCs w:val="24"/>
          <w:lang w:val="en-US" w:eastAsia="zh-CN"/>
        </w:rPr>
        <w:t xml:space="preserve"> Drug </w:t>
      </w:r>
      <w:proofErr w:type="spellStart"/>
      <w:r w:rsidRPr="00E669A7">
        <w:rPr>
          <w:rFonts w:ascii="Book Antiqua" w:hAnsi="Book Antiqua" w:cs="宋体"/>
          <w:i/>
          <w:iCs/>
          <w:sz w:val="24"/>
          <w:szCs w:val="24"/>
          <w:lang w:val="en-US" w:eastAsia="zh-CN"/>
        </w:rPr>
        <w:t>Saf</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11</w:t>
      </w:r>
      <w:r w:rsidRPr="00E669A7">
        <w:rPr>
          <w:rFonts w:ascii="Book Antiqua" w:hAnsi="Book Antiqua" w:cs="宋体"/>
          <w:sz w:val="24"/>
          <w:szCs w:val="24"/>
          <w:lang w:val="en-US" w:eastAsia="zh-CN"/>
        </w:rPr>
        <w:t>: 357-360 [PMID: 22417072</w:t>
      </w:r>
      <w:r>
        <w:rPr>
          <w:rFonts w:ascii="Book Antiqua" w:hAnsi="Book Antiqua" w:cs="宋体"/>
          <w:sz w:val="24"/>
          <w:szCs w:val="24"/>
          <w:lang w:val="en-US" w:eastAsia="zh-CN"/>
        </w:rPr>
        <w:t xml:space="preserve"> </w:t>
      </w:r>
      <w:r w:rsidRPr="004D28EC">
        <w:rPr>
          <w:rFonts w:ascii="Book Antiqua" w:hAnsi="Book Antiqua" w:cs="宋体"/>
          <w:sz w:val="24"/>
          <w:szCs w:val="24"/>
          <w:lang w:val="en-US" w:eastAsia="zh-CN"/>
        </w:rPr>
        <w:t>DOI: 10.1517/14740338.2012.672972</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45 </w:t>
      </w:r>
      <w:r w:rsidRPr="00E669A7">
        <w:rPr>
          <w:rFonts w:ascii="Book Antiqua" w:hAnsi="Book Antiqua" w:cs="宋体"/>
          <w:b/>
          <w:bCs/>
          <w:sz w:val="24"/>
          <w:szCs w:val="24"/>
          <w:lang w:val="en-US" w:eastAsia="zh-CN"/>
        </w:rPr>
        <w:t>Lange CM</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Bojunga</w:t>
      </w:r>
      <w:proofErr w:type="spellEnd"/>
      <w:r w:rsidRPr="00E669A7">
        <w:rPr>
          <w:rFonts w:ascii="Book Antiqua" w:hAnsi="Book Antiqua" w:cs="宋体"/>
          <w:sz w:val="24"/>
          <w:szCs w:val="24"/>
          <w:lang w:val="en-US" w:eastAsia="zh-CN"/>
        </w:rPr>
        <w:t xml:space="preserve"> J, Hofmann WP, </w:t>
      </w:r>
      <w:proofErr w:type="spellStart"/>
      <w:r w:rsidRPr="00E669A7">
        <w:rPr>
          <w:rFonts w:ascii="Book Antiqua" w:hAnsi="Book Antiqua" w:cs="宋体"/>
          <w:sz w:val="24"/>
          <w:szCs w:val="24"/>
          <w:lang w:val="en-US" w:eastAsia="zh-CN"/>
        </w:rPr>
        <w:t>Wunder</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Mihm</w:t>
      </w:r>
      <w:proofErr w:type="spellEnd"/>
      <w:r w:rsidRPr="00E669A7">
        <w:rPr>
          <w:rFonts w:ascii="Book Antiqua" w:hAnsi="Book Antiqua" w:cs="宋体"/>
          <w:sz w:val="24"/>
          <w:szCs w:val="24"/>
          <w:lang w:val="en-US" w:eastAsia="zh-CN"/>
        </w:rPr>
        <w:t xml:space="preserve"> U, </w:t>
      </w:r>
      <w:proofErr w:type="spellStart"/>
      <w:r w:rsidRPr="00E669A7">
        <w:rPr>
          <w:rFonts w:ascii="Book Antiqua" w:hAnsi="Book Antiqua" w:cs="宋体"/>
          <w:sz w:val="24"/>
          <w:szCs w:val="24"/>
          <w:lang w:val="en-US" w:eastAsia="zh-CN"/>
        </w:rPr>
        <w:t>Zeuzem</w:t>
      </w:r>
      <w:proofErr w:type="spellEnd"/>
      <w:r w:rsidRPr="00E669A7">
        <w:rPr>
          <w:rFonts w:ascii="Book Antiqua" w:hAnsi="Book Antiqua" w:cs="宋体"/>
          <w:sz w:val="24"/>
          <w:szCs w:val="24"/>
          <w:lang w:val="en-US" w:eastAsia="zh-CN"/>
        </w:rPr>
        <w:t xml:space="preserve"> S, </w:t>
      </w:r>
      <w:proofErr w:type="spellStart"/>
      <w:r w:rsidRPr="00E669A7">
        <w:rPr>
          <w:rFonts w:ascii="Book Antiqua" w:hAnsi="Book Antiqua" w:cs="宋体"/>
          <w:sz w:val="24"/>
          <w:szCs w:val="24"/>
          <w:lang w:val="en-US" w:eastAsia="zh-CN"/>
        </w:rPr>
        <w:t>Sarrazin</w:t>
      </w:r>
      <w:proofErr w:type="spellEnd"/>
      <w:r w:rsidRPr="00E669A7">
        <w:rPr>
          <w:rFonts w:ascii="Book Antiqua" w:hAnsi="Book Antiqua" w:cs="宋体"/>
          <w:sz w:val="24"/>
          <w:szCs w:val="24"/>
          <w:lang w:val="en-US" w:eastAsia="zh-CN"/>
        </w:rPr>
        <w:t xml:space="preserve"> C. Severe lactic acidosis during treatment of chronic hepatitis B with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patients with impaired liver function.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2009; </w:t>
      </w:r>
      <w:r w:rsidRPr="00E669A7">
        <w:rPr>
          <w:rFonts w:ascii="Book Antiqua" w:hAnsi="Book Antiqua" w:cs="宋体"/>
          <w:b/>
          <w:bCs/>
          <w:sz w:val="24"/>
          <w:szCs w:val="24"/>
          <w:lang w:val="en-US" w:eastAsia="zh-CN"/>
        </w:rPr>
        <w:t>50</w:t>
      </w:r>
      <w:r w:rsidRPr="00E669A7">
        <w:rPr>
          <w:rFonts w:ascii="Book Antiqua" w:hAnsi="Book Antiqua" w:cs="宋体"/>
          <w:sz w:val="24"/>
          <w:szCs w:val="24"/>
          <w:lang w:val="en-US" w:eastAsia="zh-CN"/>
        </w:rPr>
        <w:t>: 2001-2006 [PMID: 19937695</w:t>
      </w:r>
      <w:r>
        <w:rPr>
          <w:rFonts w:ascii="Book Antiqua" w:hAnsi="Book Antiqua" w:cs="宋体"/>
          <w:sz w:val="24"/>
          <w:szCs w:val="24"/>
          <w:lang w:val="en-US" w:eastAsia="zh-CN"/>
        </w:rPr>
        <w:t xml:space="preserve"> </w:t>
      </w:r>
      <w:r w:rsidRPr="00B23013">
        <w:rPr>
          <w:rFonts w:ascii="Book Antiqua" w:hAnsi="Book Antiqua" w:cs="宋体"/>
          <w:sz w:val="24"/>
          <w:szCs w:val="24"/>
          <w:lang w:val="en-US" w:eastAsia="zh-CN"/>
        </w:rPr>
        <w:t>DOI: 10.1002/hep.23346</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46 </w:t>
      </w:r>
      <w:proofErr w:type="spellStart"/>
      <w:r w:rsidRPr="00E669A7">
        <w:rPr>
          <w:rFonts w:ascii="Book Antiqua" w:hAnsi="Book Antiqua" w:cs="宋体"/>
          <w:b/>
          <w:bCs/>
          <w:sz w:val="24"/>
          <w:szCs w:val="24"/>
          <w:lang w:val="en-US" w:eastAsia="zh-CN"/>
        </w:rPr>
        <w:t>Miquel</w:t>
      </w:r>
      <w:proofErr w:type="spellEnd"/>
      <w:r w:rsidRPr="00E669A7">
        <w:rPr>
          <w:rFonts w:ascii="Book Antiqua" w:hAnsi="Book Antiqua" w:cs="宋体"/>
          <w:b/>
          <w:bCs/>
          <w:sz w:val="24"/>
          <w:szCs w:val="24"/>
          <w:lang w:val="en-US" w:eastAsia="zh-CN"/>
        </w:rPr>
        <w:t xml:space="preserve"> M</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Núñez</w:t>
      </w:r>
      <w:proofErr w:type="spellEnd"/>
      <w:r w:rsidRPr="00E669A7">
        <w:rPr>
          <w:rFonts w:ascii="Book Antiqua" w:hAnsi="Book Antiqua" w:cs="宋体"/>
          <w:sz w:val="24"/>
          <w:szCs w:val="24"/>
          <w:lang w:val="en-US" w:eastAsia="zh-CN"/>
        </w:rPr>
        <w:t xml:space="preserve"> Ó, </w:t>
      </w:r>
      <w:proofErr w:type="spellStart"/>
      <w:r w:rsidRPr="00E669A7">
        <w:rPr>
          <w:rFonts w:ascii="Book Antiqua" w:hAnsi="Book Antiqua" w:cs="宋体"/>
          <w:sz w:val="24"/>
          <w:szCs w:val="24"/>
          <w:lang w:val="en-US" w:eastAsia="zh-CN"/>
        </w:rPr>
        <w:t>Trapero-Marugán</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Díaz</w:t>
      </w:r>
      <w:proofErr w:type="spellEnd"/>
      <w:r w:rsidRPr="00E669A7">
        <w:rPr>
          <w:rFonts w:ascii="Book Antiqua" w:hAnsi="Book Antiqua" w:cs="宋体"/>
          <w:sz w:val="24"/>
          <w:szCs w:val="24"/>
          <w:lang w:val="en-US" w:eastAsia="zh-CN"/>
        </w:rPr>
        <w:t xml:space="preserve">-Sánchez A, Jiménez M, Arenas J, </w:t>
      </w:r>
      <w:proofErr w:type="spellStart"/>
      <w:r w:rsidRPr="00E669A7">
        <w:rPr>
          <w:rFonts w:ascii="Book Antiqua" w:hAnsi="Book Antiqua" w:cs="宋体"/>
          <w:sz w:val="24"/>
          <w:szCs w:val="24"/>
          <w:lang w:val="en-US" w:eastAsia="zh-CN"/>
        </w:rPr>
        <w:t>Canós</w:t>
      </w:r>
      <w:proofErr w:type="spellEnd"/>
      <w:r w:rsidRPr="00E669A7">
        <w:rPr>
          <w:rFonts w:ascii="Book Antiqua" w:hAnsi="Book Antiqua" w:cs="宋体"/>
          <w:sz w:val="24"/>
          <w:szCs w:val="24"/>
          <w:lang w:val="en-US" w:eastAsia="zh-CN"/>
        </w:rPr>
        <w:t xml:space="preserve"> AP. Efficacy and safety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and/or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in hepatitis B compensated and decompensated cirrhotic patients in clinical practice. </w:t>
      </w:r>
      <w:r w:rsidRPr="00E669A7">
        <w:rPr>
          <w:rFonts w:ascii="Book Antiqua" w:hAnsi="Book Antiqua" w:cs="宋体"/>
          <w:i/>
          <w:iCs/>
          <w:sz w:val="24"/>
          <w:szCs w:val="24"/>
          <w:lang w:val="en-US" w:eastAsia="zh-CN"/>
        </w:rPr>
        <w:t xml:space="preserve">Ann </w:t>
      </w:r>
      <w:proofErr w:type="spellStart"/>
      <w:r w:rsidRPr="00E669A7">
        <w:rPr>
          <w:rFonts w:ascii="Book Antiqua" w:hAnsi="Book Antiqua" w:cs="宋体"/>
          <w:i/>
          <w:iCs/>
          <w:sz w:val="24"/>
          <w:szCs w:val="24"/>
          <w:lang w:val="en-US" w:eastAsia="zh-CN"/>
        </w:rPr>
        <w:t>Hepatol</w:t>
      </w:r>
      <w:proofErr w:type="spellEnd"/>
      <w:r w:rsidRPr="00E669A7">
        <w:rPr>
          <w:rFonts w:ascii="Book Antiqua" w:hAnsi="Book Antiqua" w:cs="宋体"/>
          <w:sz w:val="24"/>
          <w:szCs w:val="24"/>
          <w:lang w:val="en-US" w:eastAsia="zh-CN"/>
        </w:rPr>
        <w:t xml:space="preserve"> </w:t>
      </w:r>
      <w:r>
        <w:rPr>
          <w:rFonts w:ascii="Book Antiqua" w:hAnsi="Book Antiqua" w:cs="宋体"/>
          <w:sz w:val="24"/>
          <w:szCs w:val="24"/>
          <w:lang w:val="en-US" w:eastAsia="zh-CN"/>
        </w:rPr>
        <w:t>2013</w:t>
      </w:r>
      <w:r w:rsidRPr="00E669A7">
        <w:rPr>
          <w:rFonts w:ascii="Book Antiqua" w:hAnsi="Book Antiqua" w:cs="宋体"/>
          <w:sz w:val="24"/>
          <w:szCs w:val="24"/>
          <w:lang w:val="en-US" w:eastAsia="zh-CN"/>
        </w:rPr>
        <w:t xml:space="preserve">; </w:t>
      </w:r>
      <w:r w:rsidRPr="00E669A7">
        <w:rPr>
          <w:rFonts w:ascii="Book Antiqua" w:hAnsi="Book Antiqua" w:cs="宋体"/>
          <w:b/>
          <w:bCs/>
          <w:sz w:val="24"/>
          <w:szCs w:val="24"/>
          <w:lang w:val="en-US" w:eastAsia="zh-CN"/>
        </w:rPr>
        <w:t>12</w:t>
      </w:r>
      <w:r w:rsidRPr="00E669A7">
        <w:rPr>
          <w:rFonts w:ascii="Book Antiqua" w:hAnsi="Book Antiqua" w:cs="宋体"/>
          <w:sz w:val="24"/>
          <w:szCs w:val="24"/>
          <w:lang w:val="en-US" w:eastAsia="zh-CN"/>
        </w:rPr>
        <w:t>: 205-212 [PMID: 23396731]</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47 </w:t>
      </w:r>
      <w:proofErr w:type="spellStart"/>
      <w:r w:rsidRPr="00E669A7">
        <w:rPr>
          <w:rFonts w:ascii="Book Antiqua" w:hAnsi="Book Antiqua" w:cs="宋体"/>
          <w:b/>
          <w:bCs/>
          <w:sz w:val="24"/>
          <w:szCs w:val="24"/>
          <w:lang w:val="en-US" w:eastAsia="zh-CN"/>
        </w:rPr>
        <w:t>Liaw</w:t>
      </w:r>
      <w:proofErr w:type="spellEnd"/>
      <w:r w:rsidRPr="00E669A7">
        <w:rPr>
          <w:rFonts w:ascii="Book Antiqua" w:hAnsi="Book Antiqua" w:cs="宋体"/>
          <w:b/>
          <w:bCs/>
          <w:sz w:val="24"/>
          <w:szCs w:val="24"/>
          <w:lang w:val="en-US" w:eastAsia="zh-CN"/>
        </w:rPr>
        <w:t xml:space="preserve"> YF</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Raptopoulou</w:t>
      </w:r>
      <w:proofErr w:type="spellEnd"/>
      <w:r w:rsidRPr="00E669A7">
        <w:rPr>
          <w:rFonts w:ascii="Book Antiqua" w:hAnsi="Book Antiqua" w:cs="宋体"/>
          <w:sz w:val="24"/>
          <w:szCs w:val="24"/>
          <w:lang w:val="en-US" w:eastAsia="zh-CN"/>
        </w:rPr>
        <w:t xml:space="preserve">-Gigi M, </w:t>
      </w:r>
      <w:proofErr w:type="spellStart"/>
      <w:r w:rsidRPr="00E669A7">
        <w:rPr>
          <w:rFonts w:ascii="Book Antiqua" w:hAnsi="Book Antiqua" w:cs="宋体"/>
          <w:sz w:val="24"/>
          <w:szCs w:val="24"/>
          <w:lang w:val="en-US" w:eastAsia="zh-CN"/>
        </w:rPr>
        <w:t>Cheinquer</w:t>
      </w:r>
      <w:proofErr w:type="spellEnd"/>
      <w:r w:rsidRPr="00E669A7">
        <w:rPr>
          <w:rFonts w:ascii="Book Antiqua" w:hAnsi="Book Antiqua" w:cs="宋体"/>
          <w:sz w:val="24"/>
          <w:szCs w:val="24"/>
          <w:lang w:val="en-US" w:eastAsia="zh-CN"/>
        </w:rPr>
        <w:t xml:space="preserve"> H, </w:t>
      </w:r>
      <w:proofErr w:type="spellStart"/>
      <w:r w:rsidRPr="00E669A7">
        <w:rPr>
          <w:rFonts w:ascii="Book Antiqua" w:hAnsi="Book Antiqua" w:cs="宋体"/>
          <w:sz w:val="24"/>
          <w:szCs w:val="24"/>
          <w:lang w:val="en-US" w:eastAsia="zh-CN"/>
        </w:rPr>
        <w:t>Sarin</w:t>
      </w:r>
      <w:proofErr w:type="spellEnd"/>
      <w:r w:rsidRPr="00E669A7">
        <w:rPr>
          <w:rFonts w:ascii="Book Antiqua" w:hAnsi="Book Antiqua" w:cs="宋体"/>
          <w:sz w:val="24"/>
          <w:szCs w:val="24"/>
          <w:lang w:val="en-US" w:eastAsia="zh-CN"/>
        </w:rPr>
        <w:t xml:space="preserve"> SK, </w:t>
      </w:r>
      <w:proofErr w:type="spellStart"/>
      <w:r w:rsidRPr="00E669A7">
        <w:rPr>
          <w:rFonts w:ascii="Book Antiqua" w:hAnsi="Book Antiqua" w:cs="宋体"/>
          <w:sz w:val="24"/>
          <w:szCs w:val="24"/>
          <w:lang w:val="en-US" w:eastAsia="zh-CN"/>
        </w:rPr>
        <w:t>Tanwandee</w:t>
      </w:r>
      <w:proofErr w:type="spellEnd"/>
      <w:r w:rsidRPr="00E669A7">
        <w:rPr>
          <w:rFonts w:ascii="Book Antiqua" w:hAnsi="Book Antiqua" w:cs="宋体"/>
          <w:sz w:val="24"/>
          <w:szCs w:val="24"/>
          <w:lang w:val="en-US" w:eastAsia="zh-CN"/>
        </w:rPr>
        <w:t xml:space="preserve"> T, Leung N, Peng CY, Myers RP, Brown RS, Jeffers L, Tsai N, </w:t>
      </w:r>
      <w:proofErr w:type="spellStart"/>
      <w:r w:rsidRPr="00E669A7">
        <w:rPr>
          <w:rFonts w:ascii="Book Antiqua" w:hAnsi="Book Antiqua" w:cs="宋体"/>
          <w:sz w:val="24"/>
          <w:szCs w:val="24"/>
          <w:lang w:val="en-US" w:eastAsia="zh-CN"/>
        </w:rPr>
        <w:t>Bialkowska</w:t>
      </w:r>
      <w:proofErr w:type="spellEnd"/>
      <w:r w:rsidRPr="00E669A7">
        <w:rPr>
          <w:rFonts w:ascii="Book Antiqua" w:hAnsi="Book Antiqua" w:cs="宋体"/>
          <w:sz w:val="24"/>
          <w:szCs w:val="24"/>
          <w:lang w:val="en-US" w:eastAsia="zh-CN"/>
        </w:rPr>
        <w:t xml:space="preserve"> J, Tang S, Beebe S, Cooney E. Efficacy and safety of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versus </w:t>
      </w:r>
      <w:proofErr w:type="spellStart"/>
      <w:r w:rsidRPr="00E669A7">
        <w:rPr>
          <w:rFonts w:ascii="Book Antiqua" w:hAnsi="Book Antiqua" w:cs="宋体"/>
          <w:sz w:val="24"/>
          <w:szCs w:val="24"/>
          <w:lang w:val="en-US" w:eastAsia="zh-CN"/>
        </w:rPr>
        <w:t>adefovir</w:t>
      </w:r>
      <w:proofErr w:type="spellEnd"/>
      <w:r w:rsidRPr="00E669A7">
        <w:rPr>
          <w:rFonts w:ascii="Book Antiqua" w:hAnsi="Book Antiqua" w:cs="宋体"/>
          <w:sz w:val="24"/>
          <w:szCs w:val="24"/>
          <w:lang w:val="en-US" w:eastAsia="zh-CN"/>
        </w:rPr>
        <w:t xml:space="preserve"> in chronic hepatitis B patients with hepatic decompensation: a randomized, open-label study.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54</w:t>
      </w:r>
      <w:r w:rsidRPr="00E669A7">
        <w:rPr>
          <w:rFonts w:ascii="Book Antiqua" w:hAnsi="Book Antiqua" w:cs="宋体"/>
          <w:sz w:val="24"/>
          <w:szCs w:val="24"/>
          <w:lang w:val="en-US" w:eastAsia="zh-CN"/>
        </w:rPr>
        <w:t>: 91-100 [PMID: 21503940</w:t>
      </w:r>
      <w:r>
        <w:rPr>
          <w:rFonts w:ascii="Book Antiqua" w:hAnsi="Book Antiqua" w:cs="宋体"/>
          <w:sz w:val="24"/>
          <w:szCs w:val="24"/>
          <w:lang w:val="en-US" w:eastAsia="zh-CN"/>
        </w:rPr>
        <w:t xml:space="preserve"> </w:t>
      </w:r>
      <w:r w:rsidRPr="00262E02">
        <w:rPr>
          <w:rFonts w:ascii="Book Antiqua" w:hAnsi="Book Antiqua" w:cs="宋体"/>
          <w:sz w:val="24"/>
          <w:szCs w:val="24"/>
          <w:lang w:val="en-US" w:eastAsia="zh-CN"/>
        </w:rPr>
        <w:t>DOI: 10.1002/hep.24361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48 </w:t>
      </w:r>
      <w:r w:rsidRPr="00E669A7">
        <w:rPr>
          <w:rFonts w:ascii="Book Antiqua" w:hAnsi="Book Antiqua" w:cs="宋体"/>
          <w:b/>
          <w:sz w:val="24"/>
          <w:szCs w:val="24"/>
          <w:lang w:val="en-US" w:eastAsia="zh-CN"/>
        </w:rPr>
        <w:t>Gill U</w:t>
      </w:r>
      <w:r w:rsidRPr="00E669A7">
        <w:rPr>
          <w:rFonts w:ascii="Book Antiqua" w:hAnsi="Book Antiqua" w:cs="宋体"/>
          <w:sz w:val="24"/>
          <w:szCs w:val="24"/>
          <w:lang w:val="en-US" w:eastAsia="zh-CN"/>
        </w:rPr>
        <w:t>, Al-</w:t>
      </w:r>
      <w:proofErr w:type="spellStart"/>
      <w:r w:rsidRPr="00E669A7">
        <w:rPr>
          <w:rFonts w:ascii="Book Antiqua" w:hAnsi="Book Antiqua" w:cs="宋体"/>
          <w:sz w:val="24"/>
          <w:szCs w:val="24"/>
          <w:lang w:val="en-US" w:eastAsia="zh-CN"/>
        </w:rPr>
        <w:t>Shamma</w:t>
      </w:r>
      <w:proofErr w:type="spellEnd"/>
      <w:r>
        <w:rPr>
          <w:rFonts w:ascii="Book Antiqua" w:hAnsi="Book Antiqua" w:cs="宋体"/>
          <w:sz w:val="24"/>
          <w:szCs w:val="24"/>
          <w:lang w:val="en-US" w:eastAsia="zh-CN"/>
        </w:rPr>
        <w:t xml:space="preserve"> S, Burke KB, Ross V, Marley R</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Kooner</w:t>
      </w:r>
      <w:proofErr w:type="spellEnd"/>
      <w:r w:rsidRPr="00E669A7">
        <w:rPr>
          <w:rFonts w:ascii="Book Antiqua" w:hAnsi="Book Antiqua" w:cs="宋体"/>
          <w:sz w:val="24"/>
          <w:szCs w:val="24"/>
          <w:lang w:val="en-US" w:eastAsia="zh-CN"/>
        </w:rPr>
        <w:t xml:space="preserve"> P, Foster GR</w:t>
      </w:r>
      <w:r>
        <w:rPr>
          <w:rFonts w:ascii="Book Antiqua" w:hAnsi="Book Antiqua" w:cs="宋体"/>
          <w:sz w:val="24"/>
          <w:szCs w:val="24"/>
          <w:lang w:val="en-US" w:eastAsia="zh-CN"/>
        </w:rPr>
        <w:t>,</w:t>
      </w:r>
      <w:r w:rsidRPr="00E669A7">
        <w:rPr>
          <w:rFonts w:ascii="Book Antiqua" w:hAnsi="Book Antiqua" w:cs="宋体"/>
          <w:sz w:val="24"/>
          <w:szCs w:val="24"/>
          <w:lang w:val="en-US" w:eastAsia="zh-CN"/>
        </w:rPr>
        <w:t xml:space="preserve"> </w:t>
      </w:r>
      <w:r w:rsidRPr="003C616F">
        <w:rPr>
          <w:rFonts w:ascii="Book Antiqua" w:hAnsi="Book Antiqua" w:cs="宋体"/>
          <w:sz w:val="24"/>
          <w:szCs w:val="24"/>
          <w:lang w:val="en-US" w:eastAsia="zh-CN"/>
        </w:rPr>
        <w:t>Kennedy PT</w:t>
      </w:r>
      <w:r w:rsidRPr="00E669A7">
        <w:rPr>
          <w:rFonts w:ascii="Book Antiqua" w:hAnsi="Book Antiqua" w:cs="宋体"/>
          <w:sz w:val="24"/>
          <w:szCs w:val="24"/>
          <w:lang w:val="en-US" w:eastAsia="zh-CN"/>
        </w:rPr>
        <w:t xml:space="preserve">. Bone mineral density loss in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treated chronic hepatitis B virus (HBV) patients is a consequence of vitamin D deficiency and not </w:t>
      </w:r>
      <w:proofErr w:type="spellStart"/>
      <w:r w:rsidRPr="00E669A7">
        <w:rPr>
          <w:rFonts w:ascii="Book Antiqua" w:hAnsi="Book Antiqua" w:cs="宋体"/>
          <w:sz w:val="24"/>
          <w:szCs w:val="24"/>
          <w:lang w:val="en-US" w:eastAsia="zh-CN"/>
        </w:rPr>
        <w:t>tenofovi</w:t>
      </w:r>
      <w:r>
        <w:rPr>
          <w:rFonts w:ascii="Book Antiqua" w:hAnsi="Book Antiqua" w:cs="宋体"/>
          <w:sz w:val="24"/>
          <w:szCs w:val="24"/>
          <w:lang w:val="en-US" w:eastAsia="zh-CN"/>
        </w:rPr>
        <w:t>r</w:t>
      </w:r>
      <w:proofErr w:type="spellEnd"/>
      <w:r>
        <w:rPr>
          <w:rFonts w:ascii="Book Antiqua" w:hAnsi="Book Antiqua" w:cs="宋体"/>
          <w:sz w:val="24"/>
          <w:szCs w:val="24"/>
          <w:lang w:val="en-US" w:eastAsia="zh-CN"/>
        </w:rPr>
        <w:t xml:space="preserve"> therapy. </w:t>
      </w:r>
      <w:proofErr w:type="spellStart"/>
      <w:r w:rsidRPr="00D002F0">
        <w:rPr>
          <w:rFonts w:ascii="Book Antiqua" w:hAnsi="Book Antiqua" w:cs="宋体"/>
          <w:i/>
          <w:sz w:val="24"/>
          <w:szCs w:val="24"/>
          <w:lang w:val="en-US" w:eastAsia="zh-CN"/>
        </w:rPr>
        <w:t>Hepatology</w:t>
      </w:r>
      <w:proofErr w:type="spellEnd"/>
      <w:r>
        <w:rPr>
          <w:rFonts w:ascii="Book Antiqua" w:hAnsi="Book Antiqua" w:cs="宋体"/>
          <w:sz w:val="24"/>
          <w:szCs w:val="24"/>
          <w:lang w:val="en-US" w:eastAsia="zh-CN"/>
        </w:rPr>
        <w:t xml:space="preserve"> 2011; </w:t>
      </w:r>
      <w:r w:rsidRPr="00D002F0">
        <w:rPr>
          <w:rFonts w:ascii="Book Antiqua" w:hAnsi="Book Antiqua" w:cs="宋体"/>
          <w:b/>
          <w:sz w:val="24"/>
          <w:szCs w:val="24"/>
          <w:lang w:val="en-US" w:eastAsia="zh-CN"/>
        </w:rPr>
        <w:t>54</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1376</w:t>
      </w:r>
    </w:p>
    <w:p w:rsidR="004C196A" w:rsidRPr="00E669A7" w:rsidRDefault="004C196A" w:rsidP="00D5211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49 </w:t>
      </w:r>
      <w:proofErr w:type="spellStart"/>
      <w:r w:rsidRPr="00E669A7">
        <w:rPr>
          <w:rFonts w:ascii="Book Antiqua" w:hAnsi="Book Antiqua" w:cs="宋体"/>
          <w:b/>
          <w:sz w:val="24"/>
          <w:szCs w:val="24"/>
          <w:lang w:val="en-US" w:eastAsia="zh-CN"/>
        </w:rPr>
        <w:t>Hezode</w:t>
      </w:r>
      <w:proofErr w:type="spellEnd"/>
      <w:r w:rsidRPr="00E669A7">
        <w:rPr>
          <w:rFonts w:ascii="Book Antiqua" w:hAnsi="Book Antiqua" w:cs="宋体"/>
          <w:b/>
          <w:sz w:val="24"/>
          <w:szCs w:val="24"/>
          <w:lang w:val="en-US" w:eastAsia="zh-CN"/>
        </w:rPr>
        <w:t xml:space="preserve"> C</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Causse</w:t>
      </w:r>
      <w:proofErr w:type="spellEnd"/>
      <w:r w:rsidRPr="00E669A7">
        <w:rPr>
          <w:rFonts w:ascii="Book Antiqua" w:hAnsi="Book Antiqua" w:cs="宋体"/>
          <w:sz w:val="24"/>
          <w:szCs w:val="24"/>
          <w:lang w:val="en-US" w:eastAsia="zh-CN"/>
        </w:rPr>
        <w:t xml:space="preserve"> X, </w:t>
      </w:r>
      <w:proofErr w:type="spellStart"/>
      <w:r w:rsidRPr="00E669A7">
        <w:rPr>
          <w:rFonts w:ascii="Book Antiqua" w:hAnsi="Book Antiqua" w:cs="宋体"/>
          <w:sz w:val="24"/>
          <w:szCs w:val="24"/>
          <w:lang w:val="en-US" w:eastAsia="zh-CN"/>
        </w:rPr>
        <w:t>Larrey</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Ouzan</w:t>
      </w:r>
      <w:proofErr w:type="spellEnd"/>
      <w:r w:rsidRPr="00E669A7">
        <w:rPr>
          <w:rFonts w:ascii="Book Antiqua" w:hAnsi="Book Antiqua" w:cs="宋体"/>
          <w:sz w:val="24"/>
          <w:szCs w:val="24"/>
          <w:lang w:val="en-US" w:eastAsia="zh-CN"/>
        </w:rPr>
        <w:t xml:space="preserve"> D, </w:t>
      </w:r>
      <w:proofErr w:type="spellStart"/>
      <w:r w:rsidRPr="00E669A7">
        <w:rPr>
          <w:rFonts w:ascii="Book Antiqua" w:hAnsi="Book Antiqua" w:cs="宋体"/>
          <w:sz w:val="24"/>
          <w:szCs w:val="24"/>
          <w:lang w:val="en-US" w:eastAsia="zh-CN"/>
        </w:rPr>
        <w:t>Pageaux</w:t>
      </w:r>
      <w:proofErr w:type="spellEnd"/>
      <w:r w:rsidRPr="00E669A7">
        <w:rPr>
          <w:rFonts w:ascii="Book Antiqua" w:hAnsi="Book Antiqua" w:cs="宋体"/>
          <w:sz w:val="24"/>
          <w:szCs w:val="24"/>
          <w:lang w:val="en-US" w:eastAsia="zh-CN"/>
        </w:rPr>
        <w:t xml:space="preserve"> GP, </w:t>
      </w:r>
      <w:proofErr w:type="spellStart"/>
      <w:r w:rsidRPr="00E669A7">
        <w:rPr>
          <w:rFonts w:ascii="Book Antiqua" w:hAnsi="Book Antiqua" w:cs="宋体"/>
          <w:sz w:val="24"/>
          <w:szCs w:val="24"/>
          <w:lang w:val="en-US" w:eastAsia="zh-CN"/>
        </w:rPr>
        <w:t>Truchi</w:t>
      </w:r>
      <w:proofErr w:type="spellEnd"/>
      <w:r w:rsidRPr="00E669A7">
        <w:rPr>
          <w:rFonts w:ascii="Book Antiqua" w:hAnsi="Book Antiqua" w:cs="宋体"/>
          <w:sz w:val="24"/>
          <w:szCs w:val="24"/>
          <w:lang w:val="en-US" w:eastAsia="zh-CN"/>
        </w:rPr>
        <w:t xml:space="preserve"> R, </w:t>
      </w:r>
      <w:proofErr w:type="spellStart"/>
      <w:r w:rsidRPr="00E669A7">
        <w:rPr>
          <w:rFonts w:ascii="Book Antiqua" w:hAnsi="Book Antiqua" w:cs="宋体"/>
          <w:sz w:val="24"/>
          <w:szCs w:val="24"/>
          <w:lang w:val="en-US" w:eastAsia="zh-CN"/>
        </w:rPr>
        <w:t>Pauwels</w:t>
      </w:r>
      <w:proofErr w:type="spellEnd"/>
      <w:r w:rsidRPr="00E669A7">
        <w:rPr>
          <w:rFonts w:ascii="Book Antiqua" w:hAnsi="Book Antiqua" w:cs="宋体"/>
          <w:sz w:val="24"/>
          <w:szCs w:val="24"/>
          <w:lang w:val="en-US" w:eastAsia="zh-CN"/>
        </w:rPr>
        <w:t xml:space="preserve"> A,</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Guyader</w:t>
      </w:r>
      <w:proofErr w:type="spellEnd"/>
      <w:r>
        <w:rPr>
          <w:rFonts w:ascii="Book Antiqua" w:hAnsi="Book Antiqua" w:cs="宋体"/>
          <w:sz w:val="24"/>
          <w:szCs w:val="24"/>
          <w:lang w:val="en-US" w:eastAsia="zh-CN"/>
        </w:rPr>
        <w:t xml:space="preserve"> D, De </w:t>
      </w:r>
      <w:proofErr w:type="spellStart"/>
      <w:r>
        <w:rPr>
          <w:rFonts w:ascii="Book Antiqua" w:hAnsi="Book Antiqua" w:cs="宋体"/>
          <w:sz w:val="24"/>
          <w:szCs w:val="24"/>
          <w:lang w:val="en-US" w:eastAsia="zh-CN"/>
        </w:rPr>
        <w:t>L´edinghen</w:t>
      </w:r>
      <w:proofErr w:type="spellEnd"/>
      <w:r>
        <w:rPr>
          <w:rFonts w:ascii="Book Antiqua" w:hAnsi="Book Antiqua" w:cs="宋体"/>
          <w:sz w:val="24"/>
          <w:szCs w:val="24"/>
          <w:lang w:val="en-US" w:eastAsia="zh-CN"/>
        </w:rPr>
        <w:t xml:space="preserve"> V, </w:t>
      </w:r>
      <w:proofErr w:type="spellStart"/>
      <w:r>
        <w:rPr>
          <w:rFonts w:ascii="Book Antiqua" w:hAnsi="Book Antiqua" w:cs="宋体"/>
          <w:sz w:val="24"/>
          <w:szCs w:val="24"/>
          <w:lang w:val="en-US" w:eastAsia="zh-CN"/>
        </w:rPr>
        <w:t>Zoulim</w:t>
      </w:r>
      <w:proofErr w:type="spellEnd"/>
      <w:r>
        <w:rPr>
          <w:rFonts w:ascii="Book Antiqua" w:hAnsi="Book Antiqua" w:cs="宋体"/>
          <w:sz w:val="24"/>
          <w:szCs w:val="24"/>
          <w:lang w:val="en-US" w:eastAsia="zh-CN"/>
        </w:rPr>
        <w:t xml:space="preserve"> F, </w:t>
      </w:r>
      <w:proofErr w:type="spellStart"/>
      <w:r>
        <w:rPr>
          <w:rFonts w:ascii="Book Antiqua" w:hAnsi="Book Antiqua" w:cs="宋体"/>
          <w:sz w:val="24"/>
          <w:szCs w:val="24"/>
          <w:lang w:val="en-US" w:eastAsia="zh-CN"/>
        </w:rPr>
        <w:t>Zarski</w:t>
      </w:r>
      <w:proofErr w:type="spellEnd"/>
      <w:r>
        <w:rPr>
          <w:rFonts w:ascii="Book Antiqua" w:hAnsi="Book Antiqua" w:cs="宋体"/>
          <w:sz w:val="24"/>
          <w:szCs w:val="24"/>
          <w:lang w:val="en-US" w:eastAsia="zh-CN"/>
        </w:rPr>
        <w:t xml:space="preserve"> JP, </w:t>
      </w:r>
      <w:proofErr w:type="spellStart"/>
      <w:r>
        <w:rPr>
          <w:rFonts w:ascii="Book Antiqua" w:hAnsi="Book Antiqua" w:cs="宋体"/>
          <w:sz w:val="24"/>
          <w:szCs w:val="24"/>
          <w:lang w:val="en-US" w:eastAsia="zh-CN"/>
        </w:rPr>
        <w:t>Cadranel</w:t>
      </w:r>
      <w:proofErr w:type="spellEnd"/>
      <w:r>
        <w:rPr>
          <w:rFonts w:ascii="Book Antiqua" w:hAnsi="Book Antiqua" w:cs="宋体"/>
          <w:sz w:val="24"/>
          <w:szCs w:val="24"/>
          <w:lang w:val="en-US" w:eastAsia="zh-CN"/>
        </w:rPr>
        <w:t xml:space="preserve"> JF, </w:t>
      </w:r>
      <w:proofErr w:type="spellStart"/>
      <w:r>
        <w:rPr>
          <w:rFonts w:ascii="Book Antiqua" w:hAnsi="Book Antiqua" w:cs="宋体"/>
          <w:sz w:val="24"/>
          <w:szCs w:val="24"/>
          <w:lang w:val="en-US" w:eastAsia="zh-CN"/>
        </w:rPr>
        <w:t>Tilliet</w:t>
      </w:r>
      <w:proofErr w:type="spellEnd"/>
      <w:r>
        <w:rPr>
          <w:rFonts w:ascii="Book Antiqua" w:hAnsi="Book Antiqua" w:cs="宋体"/>
          <w:sz w:val="24"/>
          <w:szCs w:val="24"/>
          <w:lang w:val="en-US" w:eastAsia="zh-CN"/>
        </w:rPr>
        <w:t xml:space="preserve"> V, Libert1 O, Stern C, </w:t>
      </w:r>
      <w:proofErr w:type="spellStart"/>
      <w:r w:rsidRPr="00D5211F">
        <w:rPr>
          <w:rFonts w:ascii="Book Antiqua" w:hAnsi="Book Antiqua" w:cs="宋体"/>
          <w:sz w:val="24"/>
          <w:szCs w:val="24"/>
          <w:lang w:val="en-US" w:eastAsia="zh-CN"/>
        </w:rPr>
        <w:t>MarcellinP</w:t>
      </w:r>
      <w:proofErr w:type="spellEnd"/>
      <w:r w:rsidRPr="00D5211F">
        <w:rPr>
          <w:rFonts w:ascii="Book Antiqua" w:hAnsi="Book Antiqua" w:cs="宋体"/>
          <w:sz w:val="24"/>
          <w:szCs w:val="24"/>
          <w:lang w:val="en-US" w:eastAsia="zh-CN"/>
        </w:rPr>
        <w:t xml:space="preserve">, </w:t>
      </w:r>
      <w:proofErr w:type="spellStart"/>
      <w:r w:rsidRPr="00D5211F">
        <w:rPr>
          <w:rFonts w:ascii="Book Antiqua" w:hAnsi="Book Antiqua" w:cs="宋体"/>
          <w:sz w:val="24"/>
          <w:szCs w:val="24"/>
          <w:lang w:val="en-US" w:eastAsia="zh-CN"/>
        </w:rPr>
        <w:t>Vireal</w:t>
      </w:r>
      <w:proofErr w:type="spellEnd"/>
      <w:r w:rsidRPr="00D5211F">
        <w:rPr>
          <w:rFonts w:ascii="Book Antiqua" w:hAnsi="Book Antiqua" w:cs="宋体"/>
          <w:sz w:val="24"/>
          <w:szCs w:val="24"/>
          <w:lang w:val="en-US" w:eastAsia="zh-CN"/>
        </w:rPr>
        <w:t xml:space="preserve"> Group.</w:t>
      </w:r>
      <w:r w:rsidRPr="00E669A7">
        <w:rPr>
          <w:rFonts w:ascii="Book Antiqua" w:hAnsi="Book Antiqua" w:cs="宋体"/>
          <w:sz w:val="24"/>
          <w:szCs w:val="24"/>
          <w:lang w:val="en-US" w:eastAsia="zh-CN"/>
        </w:rPr>
        <w:t xml:space="preserve"> </w:t>
      </w:r>
      <w:bookmarkStart w:id="10" w:name="OLE_LINK40"/>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response and tolerance of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DF (TDF) in the elderly is similar to younger patients in real life practice</w:t>
      </w:r>
      <w:bookmarkEnd w:id="10"/>
      <w:r w:rsidRPr="00E669A7">
        <w:rPr>
          <w:rFonts w:ascii="Book Antiqua" w:hAnsi="Book Antiqua" w:cs="宋体"/>
          <w:sz w:val="24"/>
          <w:szCs w:val="24"/>
          <w:lang w:val="en-US" w:eastAsia="zh-CN"/>
        </w:rPr>
        <w:t xml:space="preserve">. </w:t>
      </w:r>
      <w:r w:rsidRPr="00E669A7">
        <w:rPr>
          <w:rFonts w:ascii="Book Antiqua" w:hAnsi="Book Antiqua" w:cs="宋体"/>
          <w:i/>
          <w:sz w:val="24"/>
          <w:szCs w:val="24"/>
          <w:lang w:val="en-US" w:eastAsia="zh-CN"/>
        </w:rPr>
        <w:t xml:space="preserve">J </w:t>
      </w:r>
      <w:proofErr w:type="spellStart"/>
      <w:r w:rsidRPr="00E669A7">
        <w:rPr>
          <w:rFonts w:ascii="Book Antiqua" w:hAnsi="Book Antiqua" w:cs="宋体"/>
          <w:i/>
          <w:sz w:val="24"/>
          <w:szCs w:val="24"/>
          <w:lang w:val="en-US" w:eastAsia="zh-CN"/>
        </w:rPr>
        <w:t>Hepatol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748</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50 </w:t>
      </w:r>
      <w:r w:rsidRPr="00E669A7">
        <w:rPr>
          <w:rFonts w:ascii="Book Antiqua" w:hAnsi="Book Antiqua" w:cs="宋体"/>
          <w:b/>
          <w:sz w:val="24"/>
          <w:szCs w:val="24"/>
          <w:lang w:val="en-US" w:eastAsia="zh-CN"/>
        </w:rPr>
        <w:t>Fung S</w:t>
      </w:r>
      <w:r w:rsidRPr="00E669A7">
        <w:rPr>
          <w:rFonts w:ascii="Book Antiqua" w:hAnsi="Book Antiqua" w:cs="宋体"/>
          <w:sz w:val="24"/>
          <w:szCs w:val="24"/>
          <w:lang w:val="en-US" w:eastAsia="zh-CN"/>
        </w:rPr>
        <w:t xml:space="preserve">, Kwan P, </w:t>
      </w:r>
      <w:proofErr w:type="spellStart"/>
      <w:r w:rsidRPr="00E669A7">
        <w:rPr>
          <w:rFonts w:ascii="Book Antiqua" w:hAnsi="Book Antiqua" w:cs="宋体"/>
          <w:sz w:val="24"/>
          <w:szCs w:val="24"/>
          <w:lang w:val="en-US" w:eastAsia="zh-CN"/>
        </w:rPr>
        <w:t>Horban</w:t>
      </w:r>
      <w:proofErr w:type="spellEnd"/>
      <w:r w:rsidRPr="00E669A7">
        <w:rPr>
          <w:rFonts w:ascii="Book Antiqua" w:hAnsi="Book Antiqua" w:cs="宋体"/>
          <w:sz w:val="24"/>
          <w:szCs w:val="24"/>
          <w:lang w:val="en-US" w:eastAsia="zh-CN"/>
        </w:rPr>
        <w:t xml:space="preserve"> A, </w:t>
      </w:r>
      <w:proofErr w:type="spellStart"/>
      <w:r w:rsidRPr="00E669A7">
        <w:rPr>
          <w:rFonts w:ascii="Book Antiqua" w:hAnsi="Book Antiqua" w:cs="宋体"/>
          <w:sz w:val="24"/>
          <w:szCs w:val="24"/>
          <w:lang w:val="en-US" w:eastAsia="zh-CN"/>
        </w:rPr>
        <w:t>Pelemis</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Husa</w:t>
      </w:r>
      <w:proofErr w:type="spellEnd"/>
      <w:r w:rsidRPr="00E669A7">
        <w:rPr>
          <w:rFonts w:ascii="Book Antiqua" w:hAnsi="Book Antiqua" w:cs="宋体"/>
          <w:sz w:val="24"/>
          <w:szCs w:val="24"/>
          <w:lang w:val="en-US" w:eastAsia="zh-CN"/>
        </w:rPr>
        <w:t xml:space="preserve"> P, </w:t>
      </w:r>
      <w:proofErr w:type="spellStart"/>
      <w:r w:rsidRPr="00E669A7">
        <w:rPr>
          <w:rFonts w:ascii="Book Antiqua" w:hAnsi="Book Antiqua" w:cs="宋体"/>
          <w:sz w:val="24"/>
          <w:szCs w:val="24"/>
          <w:lang w:val="en-US" w:eastAsia="zh-CN"/>
        </w:rPr>
        <w:t>Hann</w:t>
      </w:r>
      <w:proofErr w:type="spellEnd"/>
      <w:r w:rsidRPr="00E669A7">
        <w:rPr>
          <w:rFonts w:ascii="Book Antiqua" w:hAnsi="Book Antiqua" w:cs="宋体"/>
          <w:sz w:val="24"/>
          <w:szCs w:val="24"/>
          <w:lang w:val="en-US" w:eastAsia="zh-CN"/>
        </w:rPr>
        <w:t xml:space="preserve"> HW, Flaherty J, </w:t>
      </w:r>
      <w:proofErr w:type="spellStart"/>
      <w:r>
        <w:rPr>
          <w:rFonts w:ascii="Book Antiqua" w:hAnsi="Book Antiqua" w:cs="宋体"/>
          <w:sz w:val="24"/>
          <w:szCs w:val="24"/>
          <w:lang w:val="en-US" w:eastAsia="zh-CN"/>
        </w:rPr>
        <w:t>Massetto</w:t>
      </w:r>
      <w:proofErr w:type="spellEnd"/>
      <w:r>
        <w:rPr>
          <w:rFonts w:ascii="Book Antiqua" w:hAnsi="Book Antiqua" w:cs="宋体"/>
          <w:sz w:val="24"/>
          <w:szCs w:val="24"/>
          <w:lang w:val="en-US" w:eastAsia="zh-CN"/>
        </w:rPr>
        <w:t xml:space="preserve"> B, </w:t>
      </w:r>
      <w:proofErr w:type="spellStart"/>
      <w:r>
        <w:rPr>
          <w:rFonts w:ascii="Book Antiqua" w:hAnsi="Book Antiqua" w:cs="宋体"/>
          <w:sz w:val="24"/>
          <w:szCs w:val="24"/>
          <w:lang w:val="en-US" w:eastAsia="zh-CN"/>
        </w:rPr>
        <w:t>Dinh</w:t>
      </w:r>
      <w:proofErr w:type="spellEnd"/>
      <w:r>
        <w:rPr>
          <w:rFonts w:ascii="Book Antiqua" w:hAnsi="Book Antiqua" w:cs="宋体"/>
          <w:sz w:val="24"/>
          <w:szCs w:val="24"/>
          <w:lang w:val="en-US" w:eastAsia="zh-CN"/>
        </w:rPr>
        <w:t xml:space="preserve"> P, </w:t>
      </w:r>
      <w:proofErr w:type="spellStart"/>
      <w:r>
        <w:rPr>
          <w:rFonts w:ascii="Book Antiqua" w:hAnsi="Book Antiqua" w:cs="宋体"/>
          <w:sz w:val="24"/>
          <w:szCs w:val="24"/>
          <w:lang w:val="en-US" w:eastAsia="zh-CN"/>
        </w:rPr>
        <w:t>Custodio</w:t>
      </w:r>
      <w:proofErr w:type="spellEnd"/>
      <w:r>
        <w:rPr>
          <w:rFonts w:ascii="Book Antiqua" w:hAnsi="Book Antiqua" w:cs="宋体"/>
          <w:sz w:val="24"/>
          <w:szCs w:val="24"/>
          <w:lang w:val="en-US" w:eastAsia="zh-CN"/>
        </w:rPr>
        <w:t xml:space="preserve"> J, Subramanian GM, </w:t>
      </w:r>
      <w:proofErr w:type="spellStart"/>
      <w:r>
        <w:rPr>
          <w:rFonts w:ascii="Book Antiqua" w:hAnsi="Book Antiqua" w:cs="宋体"/>
          <w:sz w:val="24"/>
          <w:szCs w:val="24"/>
          <w:lang w:val="en-US" w:eastAsia="zh-CN"/>
        </w:rPr>
        <w:t>Fabri</w:t>
      </w:r>
      <w:proofErr w:type="spellEnd"/>
      <w:r>
        <w:rPr>
          <w:rFonts w:ascii="Book Antiqua" w:hAnsi="Book Antiqua" w:cs="宋体"/>
          <w:sz w:val="24"/>
          <w:szCs w:val="24"/>
          <w:lang w:val="en-US" w:eastAsia="zh-CN"/>
        </w:rPr>
        <w:t xml:space="preserve"> M, </w:t>
      </w:r>
      <w:proofErr w:type="spellStart"/>
      <w:r w:rsidRPr="003C790C">
        <w:rPr>
          <w:rFonts w:ascii="Book Antiqua" w:hAnsi="Book Antiqua" w:cs="宋体"/>
          <w:sz w:val="24"/>
          <w:szCs w:val="24"/>
          <w:lang w:val="en-US" w:eastAsia="zh-CN"/>
        </w:rPr>
        <w:t>Gane</w:t>
      </w:r>
      <w:proofErr w:type="spellEnd"/>
      <w:r w:rsidRPr="003C790C">
        <w:rPr>
          <w:rFonts w:ascii="Book Antiqua" w:hAnsi="Book Antiqua" w:cs="宋体"/>
          <w:sz w:val="24"/>
          <w:szCs w:val="24"/>
          <w:lang w:val="en-US" w:eastAsia="zh-CN"/>
        </w:rPr>
        <w:t xml:space="preserve"> E</w:t>
      </w:r>
      <w:r w:rsidRPr="00E669A7">
        <w:rPr>
          <w:rFonts w:ascii="Book Antiqua" w:hAnsi="Book Antiqua" w:cs="宋体"/>
          <w:sz w:val="24"/>
          <w:szCs w:val="24"/>
          <w:lang w:val="en-US" w:eastAsia="zh-CN"/>
        </w:rPr>
        <w:t xml:space="preserve">. </w:t>
      </w:r>
      <w:bookmarkStart w:id="11" w:name="OLE_LINK38"/>
      <w:bookmarkStart w:id="12" w:name="OLE_LINK39"/>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DF (TDF) is safe and well tolerated in chronic hepatitis B (CHB) patients with pre-existing mild renal impairment.</w:t>
      </w:r>
      <w:bookmarkEnd w:id="11"/>
      <w:bookmarkEnd w:id="12"/>
      <w:r w:rsidRPr="00E669A7">
        <w:rPr>
          <w:rFonts w:ascii="Book Antiqua" w:hAnsi="Book Antiqua" w:cs="宋体"/>
          <w:i/>
          <w:sz w:val="24"/>
          <w:szCs w:val="24"/>
          <w:lang w:val="en-US" w:eastAsia="zh-CN"/>
        </w:rPr>
        <w:t xml:space="preserve"> J </w:t>
      </w:r>
      <w:proofErr w:type="spellStart"/>
      <w:r w:rsidRPr="00E669A7">
        <w:rPr>
          <w:rFonts w:ascii="Book Antiqua" w:hAnsi="Book Antiqua" w:cs="宋体"/>
          <w:i/>
          <w:sz w:val="24"/>
          <w:szCs w:val="24"/>
          <w:lang w:val="en-US" w:eastAsia="zh-CN"/>
        </w:rPr>
        <w:t>Hepatol</w:t>
      </w:r>
      <w:proofErr w:type="spellEnd"/>
      <w:r w:rsidRPr="00E669A7">
        <w:rPr>
          <w:rFonts w:ascii="Book Antiqua" w:hAnsi="Book Antiqua" w:cs="宋体"/>
          <w:sz w:val="24"/>
          <w:szCs w:val="24"/>
          <w:lang w:val="en-US" w:eastAsia="zh-CN"/>
        </w:rPr>
        <w:t xml:space="preserve"> 2013; </w:t>
      </w:r>
      <w:r w:rsidRPr="00E669A7">
        <w:rPr>
          <w:rFonts w:ascii="Book Antiqua" w:hAnsi="Book Antiqua" w:cs="宋体"/>
          <w:b/>
          <w:sz w:val="24"/>
          <w:szCs w:val="24"/>
          <w:lang w:val="en-US" w:eastAsia="zh-CN"/>
        </w:rPr>
        <w:t>58</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 Abstract 744</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lastRenderedPageBreak/>
        <w:t xml:space="preserve">51 </w:t>
      </w:r>
      <w:proofErr w:type="spellStart"/>
      <w:r w:rsidRPr="00E669A7">
        <w:rPr>
          <w:rFonts w:ascii="Book Antiqua" w:hAnsi="Book Antiqua" w:cs="宋体"/>
          <w:b/>
          <w:bCs/>
          <w:sz w:val="24"/>
          <w:szCs w:val="24"/>
          <w:lang w:val="en-US" w:eastAsia="zh-CN"/>
        </w:rPr>
        <w:t>Lok</w:t>
      </w:r>
      <w:proofErr w:type="spellEnd"/>
      <w:r w:rsidRPr="00E669A7">
        <w:rPr>
          <w:rFonts w:ascii="Book Antiqua" w:hAnsi="Book Antiqua" w:cs="宋体"/>
          <w:b/>
          <w:bCs/>
          <w:sz w:val="24"/>
          <w:szCs w:val="24"/>
          <w:lang w:val="en-US" w:eastAsia="zh-CN"/>
        </w:rPr>
        <w:t xml:space="preserve"> AS</w:t>
      </w:r>
      <w:r w:rsidRPr="00E669A7">
        <w:rPr>
          <w:rFonts w:ascii="Book Antiqua" w:hAnsi="Book Antiqua" w:cs="宋体"/>
          <w:sz w:val="24"/>
          <w:szCs w:val="24"/>
          <w:lang w:val="en-US" w:eastAsia="zh-CN"/>
        </w:rPr>
        <w:t>.</w:t>
      </w:r>
      <w:proofErr w:type="gramEnd"/>
      <w:r w:rsidRPr="00E669A7">
        <w:rPr>
          <w:rFonts w:ascii="Book Antiqua" w:hAnsi="Book Antiqua" w:cs="宋体"/>
          <w:sz w:val="24"/>
          <w:szCs w:val="24"/>
          <w:lang w:val="en-US" w:eastAsia="zh-CN"/>
        </w:rPr>
        <w:t xml:space="preserve"> Drug therapy: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2010; </w:t>
      </w:r>
      <w:r w:rsidRPr="00E669A7">
        <w:rPr>
          <w:rFonts w:ascii="Book Antiqua" w:hAnsi="Book Antiqua" w:cs="宋体"/>
          <w:b/>
          <w:bCs/>
          <w:sz w:val="24"/>
          <w:szCs w:val="24"/>
          <w:lang w:val="en-US" w:eastAsia="zh-CN"/>
        </w:rPr>
        <w:t>52</w:t>
      </w:r>
      <w:r w:rsidRPr="00E669A7">
        <w:rPr>
          <w:rFonts w:ascii="Book Antiqua" w:hAnsi="Book Antiqua" w:cs="宋体"/>
          <w:sz w:val="24"/>
          <w:szCs w:val="24"/>
          <w:lang w:val="en-US" w:eastAsia="zh-CN"/>
        </w:rPr>
        <w:t>: 743-747 [PMID: 20597070</w:t>
      </w:r>
      <w:r>
        <w:rPr>
          <w:rFonts w:ascii="Book Antiqua" w:hAnsi="Book Antiqua" w:cs="宋体"/>
          <w:sz w:val="24"/>
          <w:szCs w:val="24"/>
          <w:lang w:val="en-US" w:eastAsia="zh-CN"/>
        </w:rPr>
        <w:t xml:space="preserve"> </w:t>
      </w:r>
      <w:r w:rsidRPr="00622227">
        <w:rPr>
          <w:rFonts w:ascii="Book Antiqua" w:hAnsi="Book Antiqua" w:cs="宋体"/>
          <w:sz w:val="24"/>
          <w:szCs w:val="24"/>
          <w:lang w:val="en-US" w:eastAsia="zh-CN"/>
        </w:rPr>
        <w:t>DOI: 10.1002/hep.23788</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52 </w:t>
      </w:r>
      <w:proofErr w:type="spellStart"/>
      <w:r w:rsidRPr="00E669A7">
        <w:rPr>
          <w:rFonts w:ascii="Book Antiqua" w:hAnsi="Book Antiqua" w:cs="宋体"/>
          <w:b/>
          <w:bCs/>
          <w:sz w:val="24"/>
          <w:szCs w:val="24"/>
          <w:lang w:val="en-US" w:eastAsia="zh-CN"/>
        </w:rPr>
        <w:t>Liaw</w:t>
      </w:r>
      <w:proofErr w:type="spellEnd"/>
      <w:r w:rsidRPr="00E669A7">
        <w:rPr>
          <w:rFonts w:ascii="Book Antiqua" w:hAnsi="Book Antiqua" w:cs="宋体"/>
          <w:b/>
          <w:bCs/>
          <w:sz w:val="24"/>
          <w:szCs w:val="24"/>
          <w:lang w:val="en-US" w:eastAsia="zh-CN"/>
        </w:rPr>
        <w:t xml:space="preserve"> YF</w:t>
      </w:r>
      <w:r w:rsidRPr="00E669A7">
        <w:rPr>
          <w:rFonts w:ascii="Book Antiqua" w:hAnsi="Book Antiqua" w:cs="宋体"/>
          <w:sz w:val="24"/>
          <w:szCs w:val="24"/>
          <w:lang w:val="en-US" w:eastAsia="zh-CN"/>
        </w:rPr>
        <w:t xml:space="preserve">, Sheen IS, Lee CM, </w:t>
      </w:r>
      <w:proofErr w:type="spellStart"/>
      <w:r w:rsidRPr="00E669A7">
        <w:rPr>
          <w:rFonts w:ascii="Book Antiqua" w:hAnsi="Book Antiqua" w:cs="宋体"/>
          <w:sz w:val="24"/>
          <w:szCs w:val="24"/>
          <w:lang w:val="en-US" w:eastAsia="zh-CN"/>
        </w:rPr>
        <w:t>Akarca</w:t>
      </w:r>
      <w:proofErr w:type="spellEnd"/>
      <w:r w:rsidRPr="00E669A7">
        <w:rPr>
          <w:rFonts w:ascii="Book Antiqua" w:hAnsi="Book Antiqua" w:cs="宋体"/>
          <w:sz w:val="24"/>
          <w:szCs w:val="24"/>
          <w:lang w:val="en-US" w:eastAsia="zh-CN"/>
        </w:rPr>
        <w:t xml:space="preserve"> US, </w:t>
      </w:r>
      <w:proofErr w:type="spellStart"/>
      <w:r w:rsidRPr="00E669A7">
        <w:rPr>
          <w:rFonts w:ascii="Book Antiqua" w:hAnsi="Book Antiqua" w:cs="宋体"/>
          <w:sz w:val="24"/>
          <w:szCs w:val="24"/>
          <w:lang w:val="en-US" w:eastAsia="zh-CN"/>
        </w:rPr>
        <w:t>Papatheodoridis</w:t>
      </w:r>
      <w:proofErr w:type="spellEnd"/>
      <w:r w:rsidRPr="00E669A7">
        <w:rPr>
          <w:rFonts w:ascii="Book Antiqua" w:hAnsi="Book Antiqua" w:cs="宋体"/>
          <w:sz w:val="24"/>
          <w:szCs w:val="24"/>
          <w:lang w:val="en-US" w:eastAsia="zh-CN"/>
        </w:rPr>
        <w:t xml:space="preserve"> GV, Suet-</w:t>
      </w:r>
      <w:proofErr w:type="spellStart"/>
      <w:r w:rsidRPr="00E669A7">
        <w:rPr>
          <w:rFonts w:ascii="Book Antiqua" w:hAnsi="Book Antiqua" w:cs="宋体"/>
          <w:sz w:val="24"/>
          <w:szCs w:val="24"/>
          <w:lang w:val="en-US" w:eastAsia="zh-CN"/>
        </w:rPr>
        <w:t>Hing</w:t>
      </w:r>
      <w:proofErr w:type="spellEnd"/>
      <w:r w:rsidRPr="00E669A7">
        <w:rPr>
          <w:rFonts w:ascii="Book Antiqua" w:hAnsi="Book Antiqua" w:cs="宋体"/>
          <w:sz w:val="24"/>
          <w:szCs w:val="24"/>
          <w:lang w:val="en-US" w:eastAsia="zh-CN"/>
        </w:rPr>
        <w:t xml:space="preserve"> Wong F, Chang TT, </w:t>
      </w:r>
      <w:proofErr w:type="spellStart"/>
      <w:r w:rsidRPr="00E669A7">
        <w:rPr>
          <w:rFonts w:ascii="Book Antiqua" w:hAnsi="Book Antiqua" w:cs="宋体"/>
          <w:sz w:val="24"/>
          <w:szCs w:val="24"/>
          <w:lang w:val="en-US" w:eastAsia="zh-CN"/>
        </w:rPr>
        <w:t>Horban</w:t>
      </w:r>
      <w:proofErr w:type="spellEnd"/>
      <w:r w:rsidRPr="00E669A7">
        <w:rPr>
          <w:rFonts w:ascii="Book Antiqua" w:hAnsi="Book Antiqua" w:cs="宋体"/>
          <w:sz w:val="24"/>
          <w:szCs w:val="24"/>
          <w:lang w:val="en-US" w:eastAsia="zh-CN"/>
        </w:rPr>
        <w:t xml:space="preserve"> A, Wang C, Kwan P,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Prieto M, Berg T, </w:t>
      </w:r>
      <w:proofErr w:type="spellStart"/>
      <w:r w:rsidRPr="00E669A7">
        <w:rPr>
          <w:rFonts w:ascii="Book Antiqua" w:hAnsi="Book Antiqua" w:cs="宋体"/>
          <w:sz w:val="24"/>
          <w:szCs w:val="24"/>
          <w:lang w:val="en-US" w:eastAsia="zh-CN"/>
        </w:rPr>
        <w:t>Kitrinos</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Peschell</w:t>
      </w:r>
      <w:proofErr w:type="spellEnd"/>
      <w:r w:rsidRPr="00E669A7">
        <w:rPr>
          <w:rFonts w:ascii="Book Antiqua" w:hAnsi="Book Antiqua" w:cs="宋体"/>
          <w:sz w:val="24"/>
          <w:szCs w:val="24"/>
          <w:lang w:val="en-US" w:eastAsia="zh-CN"/>
        </w:rPr>
        <w:t xml:space="preserve"> K, </w:t>
      </w:r>
      <w:proofErr w:type="spellStart"/>
      <w:r w:rsidRPr="00E669A7">
        <w:rPr>
          <w:rFonts w:ascii="Book Antiqua" w:hAnsi="Book Antiqua" w:cs="宋体"/>
          <w:sz w:val="24"/>
          <w:szCs w:val="24"/>
          <w:lang w:val="en-US" w:eastAsia="zh-CN"/>
        </w:rPr>
        <w:t>Mondou</w:t>
      </w:r>
      <w:proofErr w:type="spellEnd"/>
      <w:r w:rsidRPr="00E669A7">
        <w:rPr>
          <w:rFonts w:ascii="Book Antiqua" w:hAnsi="Book Antiqua" w:cs="宋体"/>
          <w:sz w:val="24"/>
          <w:szCs w:val="24"/>
          <w:lang w:val="en-US" w:eastAsia="zh-CN"/>
        </w:rPr>
        <w:t xml:space="preserve"> E, Frederick D, Rousseau F, Schiff ER. </w:t>
      </w:r>
      <w:proofErr w:type="spellStart"/>
      <w:proofErr w:type="gram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(TDF), </w:t>
      </w:r>
      <w:proofErr w:type="spellStart"/>
      <w:r w:rsidRPr="00E669A7">
        <w:rPr>
          <w:rFonts w:ascii="Book Antiqua" w:hAnsi="Book Antiqua" w:cs="宋体"/>
          <w:sz w:val="24"/>
          <w:szCs w:val="24"/>
          <w:lang w:val="en-US" w:eastAsia="zh-CN"/>
        </w:rPr>
        <w:t>emtricitabine</w:t>
      </w:r>
      <w:proofErr w:type="spellEnd"/>
      <w:r w:rsidRPr="00E669A7">
        <w:rPr>
          <w:rFonts w:ascii="Book Antiqua" w:hAnsi="Book Antiqua" w:cs="宋体"/>
          <w:sz w:val="24"/>
          <w:szCs w:val="24"/>
          <w:lang w:val="en-US" w:eastAsia="zh-CN"/>
        </w:rPr>
        <w:t xml:space="preserve">/TDF, and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in patients with decompensated chronic hepatitis B liver disease.</w:t>
      </w:r>
      <w:proofErr w:type="gramEnd"/>
      <w:r w:rsidRPr="00E669A7">
        <w:rPr>
          <w:rFonts w:ascii="Book Antiqua" w:hAnsi="Book Antiqua" w:cs="宋体"/>
          <w:sz w:val="24"/>
          <w:szCs w:val="24"/>
          <w:lang w:val="en-US" w:eastAsia="zh-CN"/>
        </w:rPr>
        <w:t xml:space="preserve">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53</w:t>
      </w:r>
      <w:r w:rsidRPr="00E669A7">
        <w:rPr>
          <w:rFonts w:ascii="Book Antiqua" w:hAnsi="Book Antiqua" w:cs="宋体"/>
          <w:sz w:val="24"/>
          <w:szCs w:val="24"/>
          <w:lang w:val="en-US" w:eastAsia="zh-CN"/>
        </w:rPr>
        <w:t>: 62-72 [PMID: 21254162</w:t>
      </w:r>
      <w:r>
        <w:rPr>
          <w:rFonts w:ascii="Book Antiqua" w:hAnsi="Book Antiqua" w:cs="宋体"/>
          <w:sz w:val="24"/>
          <w:szCs w:val="24"/>
          <w:lang w:val="en-US" w:eastAsia="zh-CN"/>
        </w:rPr>
        <w:t xml:space="preserve"> </w:t>
      </w:r>
      <w:r w:rsidRPr="0061705F">
        <w:rPr>
          <w:rFonts w:ascii="Book Antiqua" w:hAnsi="Book Antiqua" w:cs="宋体"/>
          <w:sz w:val="24"/>
          <w:szCs w:val="24"/>
          <w:lang w:val="en-US" w:eastAsia="zh-CN"/>
        </w:rPr>
        <w:t>DOI: 10.1002/hep.23952</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53 </w:t>
      </w:r>
      <w:r w:rsidRPr="00E669A7">
        <w:rPr>
          <w:rFonts w:ascii="Book Antiqua" w:hAnsi="Book Antiqua" w:cs="宋体"/>
          <w:b/>
          <w:bCs/>
          <w:sz w:val="24"/>
          <w:szCs w:val="24"/>
          <w:lang w:val="en-US" w:eastAsia="zh-CN"/>
        </w:rPr>
        <w:t>Kim BK</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Revill</w:t>
      </w:r>
      <w:proofErr w:type="spellEnd"/>
      <w:r w:rsidRPr="00E669A7">
        <w:rPr>
          <w:rFonts w:ascii="Book Antiqua" w:hAnsi="Book Antiqua" w:cs="宋体"/>
          <w:sz w:val="24"/>
          <w:szCs w:val="24"/>
          <w:lang w:val="en-US" w:eastAsia="zh-CN"/>
        </w:rPr>
        <w:t xml:space="preserve"> PA, </w:t>
      </w:r>
      <w:proofErr w:type="spellStart"/>
      <w:r w:rsidRPr="00E669A7">
        <w:rPr>
          <w:rFonts w:ascii="Book Antiqua" w:hAnsi="Book Antiqua" w:cs="宋体"/>
          <w:sz w:val="24"/>
          <w:szCs w:val="24"/>
          <w:lang w:val="en-US" w:eastAsia="zh-CN"/>
        </w:rPr>
        <w:t>Ahn</w:t>
      </w:r>
      <w:proofErr w:type="spellEnd"/>
      <w:r w:rsidRPr="00E669A7">
        <w:rPr>
          <w:rFonts w:ascii="Book Antiqua" w:hAnsi="Book Antiqua" w:cs="宋体"/>
          <w:sz w:val="24"/>
          <w:szCs w:val="24"/>
          <w:lang w:val="en-US" w:eastAsia="zh-CN"/>
        </w:rPr>
        <w:t xml:space="preserve"> SH. HBV genotypes: relevance to natural history, pathogenesis and treatment of chronic hepatitis B. </w:t>
      </w:r>
      <w:proofErr w:type="spellStart"/>
      <w:r w:rsidRPr="00E669A7">
        <w:rPr>
          <w:rFonts w:ascii="Book Antiqua" w:hAnsi="Book Antiqua" w:cs="宋体"/>
          <w:i/>
          <w:iCs/>
          <w:sz w:val="24"/>
          <w:szCs w:val="24"/>
          <w:lang w:val="en-US" w:eastAsia="zh-CN"/>
        </w:rPr>
        <w:t>Antivir</w:t>
      </w:r>
      <w:proofErr w:type="spellEnd"/>
      <w:r w:rsidRPr="00E669A7">
        <w:rPr>
          <w:rFonts w:ascii="Book Antiqua" w:hAnsi="Book Antiqua" w:cs="宋体"/>
          <w:i/>
          <w:iCs/>
          <w:sz w:val="24"/>
          <w:szCs w:val="24"/>
          <w:lang w:val="en-US" w:eastAsia="zh-CN"/>
        </w:rPr>
        <w:t xml:space="preserve"> </w:t>
      </w:r>
      <w:proofErr w:type="spellStart"/>
      <w:r w:rsidRPr="00E669A7">
        <w:rPr>
          <w:rFonts w:ascii="Book Antiqua" w:hAnsi="Book Antiqua" w:cs="宋体"/>
          <w:i/>
          <w:iCs/>
          <w:sz w:val="24"/>
          <w:szCs w:val="24"/>
          <w:lang w:val="en-US" w:eastAsia="zh-CN"/>
        </w:rPr>
        <w:t>Ther</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16</w:t>
      </w:r>
      <w:r w:rsidRPr="00E669A7">
        <w:rPr>
          <w:rFonts w:ascii="Book Antiqua" w:hAnsi="Book Antiqua" w:cs="宋体"/>
          <w:sz w:val="24"/>
          <w:szCs w:val="24"/>
          <w:lang w:val="en-US" w:eastAsia="zh-CN"/>
        </w:rPr>
        <w:t>: 1169-1186 [PMID: 22155900</w:t>
      </w:r>
      <w:r>
        <w:rPr>
          <w:rFonts w:ascii="Book Antiqua" w:hAnsi="Book Antiqua" w:cs="宋体"/>
          <w:sz w:val="24"/>
          <w:szCs w:val="24"/>
          <w:lang w:val="en-US" w:eastAsia="zh-CN"/>
        </w:rPr>
        <w:t xml:space="preserve"> </w:t>
      </w:r>
      <w:r w:rsidRPr="00B253E9">
        <w:rPr>
          <w:rFonts w:ascii="Book Antiqua" w:hAnsi="Book Antiqua" w:cs="宋体"/>
          <w:sz w:val="24"/>
          <w:szCs w:val="24"/>
          <w:lang w:val="en-US" w:eastAsia="zh-CN"/>
        </w:rPr>
        <w:t>DOI: 10.3851/IMP1982</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54 </w:t>
      </w:r>
      <w:r w:rsidRPr="00E669A7">
        <w:rPr>
          <w:rFonts w:ascii="Book Antiqua" w:hAnsi="Book Antiqua" w:cs="宋体"/>
          <w:b/>
          <w:bCs/>
          <w:sz w:val="24"/>
          <w:szCs w:val="24"/>
          <w:lang w:val="en-US" w:eastAsia="zh-CN"/>
        </w:rPr>
        <w:t>Lee JM</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Ahn</w:t>
      </w:r>
      <w:proofErr w:type="spellEnd"/>
      <w:r w:rsidRPr="00E669A7">
        <w:rPr>
          <w:rFonts w:ascii="Book Antiqua" w:hAnsi="Book Antiqua" w:cs="宋体"/>
          <w:sz w:val="24"/>
          <w:szCs w:val="24"/>
          <w:lang w:val="en-US" w:eastAsia="zh-CN"/>
        </w:rPr>
        <w:t xml:space="preserve"> SH, Kim HS, Park H, Chang HY, Kim do Y, Hwang SG, Rim KS, Chon CY, Han KH, Park JY. </w:t>
      </w:r>
      <w:proofErr w:type="gramStart"/>
      <w:r w:rsidRPr="00E669A7">
        <w:rPr>
          <w:rFonts w:ascii="Book Antiqua" w:hAnsi="Book Antiqua" w:cs="宋体"/>
          <w:sz w:val="24"/>
          <w:szCs w:val="24"/>
          <w:lang w:val="en-US" w:eastAsia="zh-CN"/>
        </w:rPr>
        <w:t xml:space="preserve">Quantitative hepatitis B surface antigen and hepatitis B e antigen titers in prediction of treatment response to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w:t>
      </w:r>
      <w:proofErr w:type="gramEnd"/>
      <w:r w:rsidRPr="00E669A7">
        <w:rPr>
          <w:rFonts w:ascii="Book Antiqua" w:hAnsi="Book Antiqua" w:cs="宋体"/>
          <w:sz w:val="24"/>
          <w:szCs w:val="24"/>
          <w:lang w:val="en-US" w:eastAsia="zh-CN"/>
        </w:rPr>
        <w:t xml:space="preserve"> </w:t>
      </w:r>
      <w:proofErr w:type="spellStart"/>
      <w:r w:rsidRPr="00E669A7">
        <w:rPr>
          <w:rFonts w:ascii="Book Antiqua" w:hAnsi="Book Antiqua" w:cs="宋体"/>
          <w:i/>
          <w:iCs/>
          <w:sz w:val="24"/>
          <w:szCs w:val="24"/>
          <w:lang w:val="en-US" w:eastAsia="zh-CN"/>
        </w:rPr>
        <w:t>Hepatology</w:t>
      </w:r>
      <w:proofErr w:type="spellEnd"/>
      <w:r w:rsidRPr="00E669A7">
        <w:rPr>
          <w:rFonts w:ascii="Book Antiqua" w:hAnsi="Book Antiqua" w:cs="宋体"/>
          <w:sz w:val="24"/>
          <w:szCs w:val="24"/>
          <w:lang w:val="en-US" w:eastAsia="zh-CN"/>
        </w:rPr>
        <w:t xml:space="preserve"> 2011; </w:t>
      </w:r>
      <w:r w:rsidRPr="00E669A7">
        <w:rPr>
          <w:rFonts w:ascii="Book Antiqua" w:hAnsi="Book Antiqua" w:cs="宋体"/>
          <w:b/>
          <w:bCs/>
          <w:sz w:val="24"/>
          <w:szCs w:val="24"/>
          <w:lang w:val="en-US" w:eastAsia="zh-CN"/>
        </w:rPr>
        <w:t>53</w:t>
      </w:r>
      <w:r w:rsidRPr="00E669A7">
        <w:rPr>
          <w:rFonts w:ascii="Book Antiqua" w:hAnsi="Book Antiqua" w:cs="宋体"/>
          <w:sz w:val="24"/>
          <w:szCs w:val="24"/>
          <w:lang w:val="en-US" w:eastAsia="zh-CN"/>
        </w:rPr>
        <w:t>: 1486-1493 [PMID: 21520167</w:t>
      </w:r>
      <w:r>
        <w:rPr>
          <w:rFonts w:ascii="Book Antiqua" w:hAnsi="Book Antiqua" w:cs="宋体"/>
          <w:sz w:val="24"/>
          <w:szCs w:val="24"/>
          <w:lang w:val="en-US" w:eastAsia="zh-CN"/>
        </w:rPr>
        <w:t xml:space="preserve"> </w:t>
      </w:r>
      <w:r w:rsidRPr="00417F21">
        <w:rPr>
          <w:rFonts w:ascii="Book Antiqua" w:hAnsi="Book Antiqua" w:cs="宋体"/>
          <w:sz w:val="24"/>
          <w:szCs w:val="24"/>
          <w:lang w:val="en-US" w:eastAsia="zh-CN"/>
        </w:rPr>
        <w:t>DOI: 10.1002/hep.24221</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sidRPr="00E669A7">
        <w:rPr>
          <w:rFonts w:ascii="Book Antiqua" w:hAnsi="Book Antiqua" w:cs="宋体"/>
          <w:sz w:val="24"/>
          <w:szCs w:val="24"/>
          <w:lang w:val="en-US" w:eastAsia="zh-CN"/>
        </w:rPr>
        <w:t xml:space="preserve">55 </w:t>
      </w:r>
      <w:r w:rsidRPr="00E669A7">
        <w:rPr>
          <w:rFonts w:ascii="Book Antiqua" w:hAnsi="Book Antiqua" w:cs="宋体"/>
          <w:b/>
          <w:bCs/>
          <w:sz w:val="24"/>
          <w:szCs w:val="24"/>
          <w:lang w:val="en-US" w:eastAsia="zh-CN"/>
        </w:rPr>
        <w:t>Shin JW</w:t>
      </w:r>
      <w:r w:rsidRPr="00E669A7">
        <w:rPr>
          <w:rFonts w:ascii="Book Antiqua" w:hAnsi="Book Antiqua" w:cs="宋体"/>
          <w:sz w:val="24"/>
          <w:szCs w:val="24"/>
          <w:lang w:val="en-US" w:eastAsia="zh-CN"/>
        </w:rPr>
        <w:t xml:space="preserve">, Jung SW, Park BR, Kim CJ, </w:t>
      </w:r>
      <w:proofErr w:type="spellStart"/>
      <w:r w:rsidRPr="00E669A7">
        <w:rPr>
          <w:rFonts w:ascii="Book Antiqua" w:hAnsi="Book Antiqua" w:cs="宋体"/>
          <w:sz w:val="24"/>
          <w:szCs w:val="24"/>
          <w:lang w:val="en-US" w:eastAsia="zh-CN"/>
        </w:rPr>
        <w:t>Eum</w:t>
      </w:r>
      <w:proofErr w:type="spellEnd"/>
      <w:r w:rsidRPr="00E669A7">
        <w:rPr>
          <w:rFonts w:ascii="Book Antiqua" w:hAnsi="Book Antiqua" w:cs="宋体"/>
          <w:sz w:val="24"/>
          <w:szCs w:val="24"/>
          <w:lang w:val="en-US" w:eastAsia="zh-CN"/>
        </w:rPr>
        <w:t xml:space="preserve"> JB, Kim BG, </w:t>
      </w:r>
      <w:proofErr w:type="spellStart"/>
      <w:r w:rsidRPr="00E669A7">
        <w:rPr>
          <w:rFonts w:ascii="Book Antiqua" w:hAnsi="Book Antiqua" w:cs="宋体"/>
          <w:sz w:val="24"/>
          <w:szCs w:val="24"/>
          <w:lang w:val="en-US" w:eastAsia="zh-CN"/>
        </w:rPr>
        <w:t>Jeong</w:t>
      </w:r>
      <w:proofErr w:type="spellEnd"/>
      <w:r w:rsidRPr="00E669A7">
        <w:rPr>
          <w:rFonts w:ascii="Book Antiqua" w:hAnsi="Book Antiqua" w:cs="宋体"/>
          <w:sz w:val="24"/>
          <w:szCs w:val="24"/>
          <w:lang w:val="en-US" w:eastAsia="zh-CN"/>
        </w:rPr>
        <w:t xml:space="preserve"> ID, Bang SJ, Lee SH, Kim SR, Park NH. Prediction of response to </w:t>
      </w:r>
      <w:proofErr w:type="spellStart"/>
      <w:r w:rsidRPr="00E669A7">
        <w:rPr>
          <w:rFonts w:ascii="Book Antiqua" w:hAnsi="Book Antiqua" w:cs="宋体"/>
          <w:sz w:val="24"/>
          <w:szCs w:val="24"/>
          <w:lang w:val="en-US" w:eastAsia="zh-CN"/>
        </w:rPr>
        <w:t>entecavir</w:t>
      </w:r>
      <w:proofErr w:type="spellEnd"/>
      <w:r w:rsidRPr="00E669A7">
        <w:rPr>
          <w:rFonts w:ascii="Book Antiqua" w:hAnsi="Book Antiqua" w:cs="宋体"/>
          <w:sz w:val="24"/>
          <w:szCs w:val="24"/>
          <w:lang w:val="en-US" w:eastAsia="zh-CN"/>
        </w:rPr>
        <w:t xml:space="preserve"> therapy in patients with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-positive chronic hepatitis B based on on-treatment </w:t>
      </w:r>
      <w:proofErr w:type="spellStart"/>
      <w:r w:rsidRPr="00E669A7">
        <w:rPr>
          <w:rFonts w:ascii="Book Antiqua" w:hAnsi="Book Antiqua" w:cs="宋体"/>
          <w:sz w:val="24"/>
          <w:szCs w:val="24"/>
          <w:lang w:val="en-US" w:eastAsia="zh-CN"/>
        </w:rPr>
        <w:t>HBsAg</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HBeAg</w:t>
      </w:r>
      <w:proofErr w:type="spellEnd"/>
      <w:r w:rsidRPr="00E669A7">
        <w:rPr>
          <w:rFonts w:ascii="Book Antiqua" w:hAnsi="Book Antiqua" w:cs="宋体"/>
          <w:sz w:val="24"/>
          <w:szCs w:val="24"/>
          <w:lang w:val="en-US" w:eastAsia="zh-CN"/>
        </w:rPr>
        <w:t xml:space="preserve"> and HBV DNA levels. </w:t>
      </w:r>
      <w:r w:rsidRPr="00E669A7">
        <w:rPr>
          <w:rFonts w:ascii="Book Antiqua" w:hAnsi="Book Antiqua" w:cs="宋体"/>
          <w:i/>
          <w:iCs/>
          <w:sz w:val="24"/>
          <w:szCs w:val="24"/>
          <w:lang w:val="en-US" w:eastAsia="zh-CN"/>
        </w:rPr>
        <w:t xml:space="preserve">J Viral </w:t>
      </w:r>
      <w:proofErr w:type="spellStart"/>
      <w:r w:rsidRPr="00E669A7">
        <w:rPr>
          <w:rFonts w:ascii="Book Antiqua" w:hAnsi="Book Antiqua" w:cs="宋体"/>
          <w:i/>
          <w:iCs/>
          <w:sz w:val="24"/>
          <w:szCs w:val="24"/>
          <w:lang w:val="en-US" w:eastAsia="zh-CN"/>
        </w:rPr>
        <w:t>Hepat</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19</w:t>
      </w:r>
      <w:r w:rsidRPr="00E669A7">
        <w:rPr>
          <w:rFonts w:ascii="Book Antiqua" w:hAnsi="Book Antiqua" w:cs="宋体"/>
          <w:sz w:val="24"/>
          <w:szCs w:val="24"/>
          <w:lang w:val="en-US" w:eastAsia="zh-CN"/>
        </w:rPr>
        <w:t>: 724-731 [PMID: 22967104</w:t>
      </w:r>
      <w:r>
        <w:rPr>
          <w:rFonts w:ascii="Book Antiqua" w:hAnsi="Book Antiqua" w:cs="宋体"/>
          <w:sz w:val="24"/>
          <w:szCs w:val="24"/>
          <w:lang w:val="en-US" w:eastAsia="zh-CN"/>
        </w:rPr>
        <w:t xml:space="preserve"> </w:t>
      </w:r>
      <w:r w:rsidRPr="00D066A7">
        <w:rPr>
          <w:rFonts w:ascii="Book Antiqua" w:hAnsi="Book Antiqua" w:cs="宋体"/>
          <w:sz w:val="24"/>
          <w:szCs w:val="24"/>
          <w:lang w:val="en-US" w:eastAsia="zh-CN"/>
        </w:rPr>
        <w:t>DOI: 10.1111/j.1365-2893.2012.01599.x</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56 </w:t>
      </w:r>
      <w:proofErr w:type="spellStart"/>
      <w:r w:rsidRPr="00E669A7">
        <w:rPr>
          <w:rFonts w:ascii="Book Antiqua" w:hAnsi="Book Antiqua" w:cs="宋体"/>
          <w:b/>
          <w:sz w:val="24"/>
          <w:szCs w:val="24"/>
          <w:lang w:val="en-US" w:eastAsia="zh-CN"/>
        </w:rPr>
        <w:t>Marcellin</w:t>
      </w:r>
      <w:proofErr w:type="spellEnd"/>
      <w:r w:rsidRPr="00E669A7">
        <w:rPr>
          <w:rFonts w:ascii="Book Antiqua" w:hAnsi="Book Antiqua" w:cs="宋体"/>
          <w:b/>
          <w:sz w:val="24"/>
          <w:szCs w:val="24"/>
          <w:lang w:val="en-US" w:eastAsia="zh-CN"/>
        </w:rPr>
        <w:t xml:space="preserve"> P</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Heathcote</w:t>
      </w:r>
      <w:proofErr w:type="spellEnd"/>
      <w:r w:rsidRPr="00E669A7">
        <w:rPr>
          <w:rFonts w:ascii="Book Antiqua" w:hAnsi="Book Antiqua" w:cs="宋体"/>
          <w:sz w:val="24"/>
          <w:szCs w:val="24"/>
          <w:lang w:val="en-US" w:eastAsia="zh-CN"/>
        </w:rPr>
        <w:t xml:space="preserve"> EJ, </w:t>
      </w:r>
      <w:proofErr w:type="spellStart"/>
      <w:r w:rsidRPr="00E669A7">
        <w:rPr>
          <w:rFonts w:ascii="Book Antiqua" w:hAnsi="Book Antiqua" w:cs="宋体"/>
          <w:sz w:val="24"/>
          <w:szCs w:val="24"/>
          <w:lang w:val="en-US" w:eastAsia="zh-CN"/>
        </w:rPr>
        <w:t>Buti</w:t>
      </w:r>
      <w:proofErr w:type="spellEnd"/>
      <w:r w:rsidRPr="00E669A7">
        <w:rPr>
          <w:rFonts w:ascii="Book Antiqua" w:hAnsi="Book Antiqua" w:cs="宋体"/>
          <w:sz w:val="24"/>
          <w:szCs w:val="24"/>
          <w:lang w:val="en-US" w:eastAsia="zh-CN"/>
        </w:rPr>
        <w:t xml:space="preserve"> M, </w:t>
      </w:r>
      <w:proofErr w:type="spellStart"/>
      <w:r w:rsidRPr="00E669A7">
        <w:rPr>
          <w:rFonts w:ascii="Book Antiqua" w:hAnsi="Book Antiqua" w:cs="宋体"/>
          <w:sz w:val="24"/>
          <w:szCs w:val="24"/>
          <w:lang w:val="en-US" w:eastAsia="zh-CN"/>
        </w:rPr>
        <w:t>Krastev</w:t>
      </w:r>
      <w:proofErr w:type="spellEnd"/>
      <w:r w:rsidRPr="00E669A7">
        <w:rPr>
          <w:rFonts w:ascii="Book Antiqua" w:hAnsi="Book Antiqua" w:cs="宋体"/>
          <w:sz w:val="24"/>
          <w:szCs w:val="24"/>
          <w:lang w:val="en-US" w:eastAsia="zh-CN"/>
        </w:rPr>
        <w:t xml:space="preserve"> Z, Jacobson I, de Man RA, </w:t>
      </w:r>
      <w:proofErr w:type="spellStart"/>
      <w:r w:rsidRPr="00E669A7">
        <w:rPr>
          <w:rFonts w:ascii="Book Antiqua" w:hAnsi="Book Antiqua" w:cs="宋体"/>
          <w:sz w:val="24"/>
          <w:szCs w:val="24"/>
          <w:lang w:val="en-US" w:eastAsia="zh-CN"/>
        </w:rPr>
        <w:t>Dusheiko</w:t>
      </w:r>
      <w:proofErr w:type="spellEnd"/>
      <w:r w:rsidRPr="00E669A7">
        <w:rPr>
          <w:rFonts w:ascii="Book Antiqua" w:hAnsi="Book Antiqua" w:cs="宋体"/>
          <w:sz w:val="24"/>
          <w:szCs w:val="24"/>
          <w:lang w:val="en-US" w:eastAsia="zh-CN"/>
        </w:rPr>
        <w:t xml:space="preserve"> G, </w:t>
      </w:r>
      <w:proofErr w:type="spellStart"/>
      <w:r>
        <w:rPr>
          <w:rFonts w:ascii="Book Antiqua" w:hAnsi="Book Antiqua" w:cs="宋体"/>
          <w:sz w:val="24"/>
          <w:szCs w:val="24"/>
          <w:lang w:val="en-US" w:eastAsia="zh-CN"/>
        </w:rPr>
        <w:t>Zeuzem</w:t>
      </w:r>
      <w:proofErr w:type="spellEnd"/>
      <w:r>
        <w:rPr>
          <w:rFonts w:ascii="Book Antiqua" w:hAnsi="Book Antiqua" w:cs="宋体"/>
          <w:sz w:val="24"/>
          <w:szCs w:val="24"/>
          <w:lang w:val="en-US" w:eastAsia="zh-CN"/>
        </w:rPr>
        <w:t xml:space="preserve"> S, Barnes C, Ng C, </w:t>
      </w:r>
      <w:r w:rsidRPr="00B43F37">
        <w:rPr>
          <w:rFonts w:ascii="Book Antiqua" w:hAnsi="Book Antiqua" w:cs="宋体"/>
          <w:sz w:val="24"/>
          <w:szCs w:val="24"/>
          <w:lang w:val="en-US" w:eastAsia="zh-CN"/>
        </w:rPr>
        <w:t>Lou L.</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HBsAg</w:t>
      </w:r>
      <w:proofErr w:type="spellEnd"/>
      <w:r w:rsidRPr="00E669A7">
        <w:rPr>
          <w:rFonts w:ascii="Book Antiqua" w:hAnsi="Book Antiqua" w:cs="宋体"/>
          <w:sz w:val="24"/>
          <w:szCs w:val="24"/>
          <w:lang w:val="en-US" w:eastAsia="zh-CN"/>
        </w:rPr>
        <w:t xml:space="preserve"> kinetics in patients with chronic hepatitis B (CHB) treated with </w:t>
      </w:r>
      <w:proofErr w:type="spellStart"/>
      <w:r w:rsidRPr="00E669A7">
        <w:rPr>
          <w:rFonts w:ascii="Book Antiqua" w:hAnsi="Book Antiqua" w:cs="宋体"/>
          <w:sz w:val="24"/>
          <w:szCs w:val="24"/>
          <w:lang w:val="en-US" w:eastAsia="zh-CN"/>
        </w:rPr>
        <w:t>tenofovir</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disoproxil</w:t>
      </w:r>
      <w:proofErr w:type="spellEnd"/>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fumarate</w:t>
      </w:r>
      <w:proofErr w:type="spellEnd"/>
      <w:r w:rsidRPr="00E669A7">
        <w:rPr>
          <w:rFonts w:ascii="Book Antiqua" w:hAnsi="Book Antiqua" w:cs="宋体"/>
          <w:sz w:val="24"/>
          <w:szCs w:val="24"/>
          <w:lang w:val="en-US" w:eastAsia="zh-CN"/>
        </w:rPr>
        <w:t xml:space="preserve"> (TDF) for up t</w:t>
      </w:r>
      <w:r>
        <w:rPr>
          <w:rFonts w:ascii="Book Antiqua" w:hAnsi="Book Antiqua" w:cs="宋体"/>
          <w:sz w:val="24"/>
          <w:szCs w:val="24"/>
          <w:lang w:val="en-US" w:eastAsia="zh-CN"/>
        </w:rPr>
        <w:t>o 4 years.</w:t>
      </w:r>
      <w:r w:rsidRPr="00B43F37">
        <w:rPr>
          <w:rFonts w:ascii="Book Antiqua" w:hAnsi="Book Antiqua" w:cs="宋体"/>
          <w:i/>
          <w:sz w:val="24"/>
          <w:szCs w:val="24"/>
          <w:lang w:val="en-US" w:eastAsia="zh-CN"/>
        </w:rPr>
        <w:t xml:space="preserve"> J </w:t>
      </w:r>
      <w:proofErr w:type="spellStart"/>
      <w:r w:rsidRPr="00B43F37">
        <w:rPr>
          <w:rFonts w:ascii="Book Antiqua" w:hAnsi="Book Antiqua" w:cs="宋体"/>
          <w:i/>
          <w:sz w:val="24"/>
          <w:szCs w:val="24"/>
          <w:lang w:val="en-US" w:eastAsia="zh-CN"/>
        </w:rPr>
        <w:t>Hepatol</w:t>
      </w:r>
      <w:proofErr w:type="spellEnd"/>
      <w:r>
        <w:rPr>
          <w:rFonts w:ascii="Book Antiqua" w:hAnsi="Book Antiqua" w:cs="宋体"/>
          <w:sz w:val="24"/>
          <w:szCs w:val="24"/>
          <w:lang w:val="en-US" w:eastAsia="zh-CN"/>
        </w:rPr>
        <w:t xml:space="preserve"> 2011; </w:t>
      </w:r>
      <w:r w:rsidRPr="00B43F37">
        <w:rPr>
          <w:rFonts w:ascii="Book Antiqua" w:hAnsi="Book Antiqua" w:cs="宋体"/>
          <w:b/>
          <w:sz w:val="24"/>
          <w:szCs w:val="24"/>
          <w:lang w:val="en-US" w:eastAsia="zh-CN"/>
        </w:rPr>
        <w:t>54</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Suppl</w:t>
      </w:r>
      <w:proofErr w:type="spellEnd"/>
      <w:r>
        <w:rPr>
          <w:rFonts w:ascii="Book Antiqua" w:hAnsi="Book Antiqua" w:cs="宋体"/>
          <w:sz w:val="24"/>
          <w:szCs w:val="24"/>
          <w:lang w:val="en-US" w:eastAsia="zh-CN"/>
        </w:rPr>
        <w:t xml:space="preserve"> 1</w:t>
      </w:r>
      <w:r w:rsidRPr="00E669A7">
        <w:rPr>
          <w:rFonts w:ascii="Book Antiqua" w:hAnsi="Book Antiqua" w:cs="宋体"/>
          <w:sz w:val="24"/>
          <w:szCs w:val="24"/>
          <w:lang w:val="en-US" w:eastAsia="zh-CN"/>
        </w:rPr>
        <w:t xml:space="preserve">: </w:t>
      </w:r>
      <w:r w:rsidRPr="00B51EC4">
        <w:rPr>
          <w:rFonts w:ascii="Book Antiqua" w:hAnsi="Book Antiqua" w:cs="宋体"/>
          <w:sz w:val="24"/>
          <w:szCs w:val="24"/>
          <w:lang w:val="en-US" w:eastAsia="zh-CN"/>
        </w:rPr>
        <w:t>Abstract 740</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t xml:space="preserve">57 </w:t>
      </w:r>
      <w:proofErr w:type="spellStart"/>
      <w:r w:rsidRPr="00E669A7">
        <w:rPr>
          <w:rFonts w:ascii="Book Antiqua" w:hAnsi="Book Antiqua" w:cs="宋体"/>
          <w:b/>
          <w:bCs/>
          <w:sz w:val="24"/>
          <w:szCs w:val="24"/>
          <w:lang w:val="en-US" w:eastAsia="zh-CN"/>
        </w:rPr>
        <w:t>Scaglione</w:t>
      </w:r>
      <w:proofErr w:type="spellEnd"/>
      <w:r w:rsidRPr="00E669A7">
        <w:rPr>
          <w:rFonts w:ascii="Book Antiqua" w:hAnsi="Book Antiqua" w:cs="宋体"/>
          <w:b/>
          <w:bCs/>
          <w:sz w:val="24"/>
          <w:szCs w:val="24"/>
          <w:lang w:val="en-US" w:eastAsia="zh-CN"/>
        </w:rPr>
        <w:t xml:space="preserve"> SJ</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Lok</w:t>
      </w:r>
      <w:proofErr w:type="spellEnd"/>
      <w:r w:rsidRPr="00E669A7">
        <w:rPr>
          <w:rFonts w:ascii="Book Antiqua" w:hAnsi="Book Antiqua" w:cs="宋体"/>
          <w:sz w:val="24"/>
          <w:szCs w:val="24"/>
          <w:lang w:val="en-US" w:eastAsia="zh-CN"/>
        </w:rPr>
        <w:t xml:space="preserve"> AS.</w:t>
      </w:r>
      <w:proofErr w:type="gramEnd"/>
      <w:r w:rsidRPr="00E669A7">
        <w:rPr>
          <w:rFonts w:ascii="Book Antiqua" w:hAnsi="Book Antiqua" w:cs="宋体"/>
          <w:sz w:val="24"/>
          <w:szCs w:val="24"/>
          <w:lang w:val="en-US" w:eastAsia="zh-CN"/>
        </w:rPr>
        <w:t xml:space="preserve"> </w:t>
      </w:r>
      <w:proofErr w:type="gramStart"/>
      <w:r w:rsidRPr="00E669A7">
        <w:rPr>
          <w:rFonts w:ascii="Book Antiqua" w:hAnsi="Book Antiqua" w:cs="宋体"/>
          <w:sz w:val="24"/>
          <w:szCs w:val="24"/>
          <w:lang w:val="en-US" w:eastAsia="zh-CN"/>
        </w:rPr>
        <w:t>Effectiveness of hepatitis B treatment in clinical practice.</w:t>
      </w:r>
      <w:proofErr w:type="gramEnd"/>
      <w:r w:rsidRPr="00E669A7">
        <w:rPr>
          <w:rFonts w:ascii="Book Antiqua" w:hAnsi="Book Antiqua" w:cs="宋体"/>
          <w:sz w:val="24"/>
          <w:szCs w:val="24"/>
          <w:lang w:val="en-US" w:eastAsia="zh-CN"/>
        </w:rPr>
        <w:t xml:space="preserve"> </w:t>
      </w:r>
      <w:r w:rsidRPr="00E669A7">
        <w:rPr>
          <w:rFonts w:ascii="Book Antiqua" w:hAnsi="Book Antiqua" w:cs="宋体"/>
          <w:i/>
          <w:iCs/>
          <w:sz w:val="24"/>
          <w:szCs w:val="24"/>
          <w:lang w:val="en-US" w:eastAsia="zh-CN"/>
        </w:rPr>
        <w:t>Gastroenterology</w:t>
      </w:r>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142</w:t>
      </w:r>
      <w:r w:rsidRPr="00E669A7">
        <w:rPr>
          <w:rFonts w:ascii="Book Antiqua" w:hAnsi="Book Antiqua" w:cs="宋体"/>
          <w:sz w:val="24"/>
          <w:szCs w:val="24"/>
          <w:lang w:val="en-US" w:eastAsia="zh-CN"/>
        </w:rPr>
        <w:t>: 1360-1368.</w:t>
      </w:r>
      <w:r>
        <w:rPr>
          <w:rFonts w:ascii="Book Antiqua" w:hAnsi="Book Antiqua" w:cs="宋体"/>
          <w:sz w:val="24"/>
          <w:szCs w:val="24"/>
          <w:lang w:val="en-US" w:eastAsia="zh-CN"/>
        </w:rPr>
        <w:t xml:space="preserve"> </w:t>
      </w:r>
      <w:r w:rsidRPr="00E669A7">
        <w:rPr>
          <w:rFonts w:ascii="Book Antiqua" w:hAnsi="Book Antiqua" w:cs="宋体"/>
          <w:sz w:val="24"/>
          <w:szCs w:val="24"/>
          <w:lang w:val="en-US" w:eastAsia="zh-CN"/>
        </w:rPr>
        <w:t>e1 [PMID: 22537444</w:t>
      </w:r>
      <w:r>
        <w:rPr>
          <w:rFonts w:ascii="Book Antiqua" w:hAnsi="Book Antiqua" w:cs="宋体"/>
          <w:sz w:val="24"/>
          <w:szCs w:val="24"/>
          <w:lang w:val="en-US" w:eastAsia="zh-CN"/>
        </w:rPr>
        <w:t xml:space="preserve"> </w:t>
      </w:r>
      <w:r w:rsidRPr="0078270D">
        <w:rPr>
          <w:rFonts w:ascii="Book Antiqua" w:hAnsi="Book Antiqua" w:cs="宋体"/>
          <w:sz w:val="24"/>
          <w:szCs w:val="24"/>
          <w:lang w:val="en-US" w:eastAsia="zh-CN"/>
        </w:rPr>
        <w:t>DOI: 10.1053/j.gastro.2012.01.044</w:t>
      </w:r>
      <w:r w:rsidRPr="00E669A7">
        <w:rPr>
          <w:rFonts w:ascii="Book Antiqua" w:hAnsi="Book Antiqua" w:cs="宋体"/>
          <w:sz w:val="24"/>
          <w:szCs w:val="24"/>
          <w:lang w:val="en-US" w:eastAsia="zh-CN"/>
        </w:rPr>
        <w:t>]</w:t>
      </w:r>
    </w:p>
    <w:p w:rsidR="004C196A" w:rsidRPr="00E669A7" w:rsidRDefault="004C196A" w:rsidP="00E669A7">
      <w:pPr>
        <w:spacing w:after="0" w:line="360" w:lineRule="auto"/>
        <w:jc w:val="both"/>
        <w:rPr>
          <w:rFonts w:ascii="Book Antiqua" w:hAnsi="Book Antiqua" w:cs="宋体"/>
          <w:sz w:val="24"/>
          <w:szCs w:val="24"/>
          <w:lang w:val="en-US" w:eastAsia="zh-CN"/>
        </w:rPr>
      </w:pPr>
      <w:proofErr w:type="gramStart"/>
      <w:r w:rsidRPr="00E669A7">
        <w:rPr>
          <w:rFonts w:ascii="Book Antiqua" w:hAnsi="Book Antiqua" w:cs="宋体"/>
          <w:sz w:val="24"/>
          <w:szCs w:val="24"/>
          <w:lang w:val="en-US" w:eastAsia="zh-CN"/>
        </w:rPr>
        <w:t xml:space="preserve">58 </w:t>
      </w:r>
      <w:proofErr w:type="spellStart"/>
      <w:r w:rsidRPr="00E669A7">
        <w:rPr>
          <w:rFonts w:ascii="Book Antiqua" w:hAnsi="Book Antiqua" w:cs="宋体"/>
          <w:b/>
          <w:bCs/>
          <w:sz w:val="24"/>
          <w:szCs w:val="24"/>
          <w:lang w:val="en-US" w:eastAsia="zh-CN"/>
        </w:rPr>
        <w:t>Chotiyaputta</w:t>
      </w:r>
      <w:proofErr w:type="spellEnd"/>
      <w:r w:rsidRPr="00E669A7">
        <w:rPr>
          <w:rFonts w:ascii="Book Antiqua" w:hAnsi="Book Antiqua" w:cs="宋体"/>
          <w:b/>
          <w:bCs/>
          <w:sz w:val="24"/>
          <w:szCs w:val="24"/>
          <w:lang w:val="en-US" w:eastAsia="zh-CN"/>
        </w:rPr>
        <w:t xml:space="preserve"> W</w:t>
      </w:r>
      <w:r w:rsidRPr="00E669A7">
        <w:rPr>
          <w:rFonts w:ascii="Book Antiqua" w:hAnsi="Book Antiqua" w:cs="宋体"/>
          <w:sz w:val="24"/>
          <w:szCs w:val="24"/>
          <w:lang w:val="en-US" w:eastAsia="zh-CN"/>
        </w:rPr>
        <w:t xml:space="preserve">, </w:t>
      </w:r>
      <w:proofErr w:type="spellStart"/>
      <w:r w:rsidRPr="00E669A7">
        <w:rPr>
          <w:rFonts w:ascii="Book Antiqua" w:hAnsi="Book Antiqua" w:cs="宋体"/>
          <w:sz w:val="24"/>
          <w:szCs w:val="24"/>
          <w:lang w:val="en-US" w:eastAsia="zh-CN"/>
        </w:rPr>
        <w:t>Hongthanakorn</w:t>
      </w:r>
      <w:proofErr w:type="spellEnd"/>
      <w:r w:rsidRPr="00E669A7">
        <w:rPr>
          <w:rFonts w:ascii="Book Antiqua" w:hAnsi="Book Antiqua" w:cs="宋体"/>
          <w:sz w:val="24"/>
          <w:szCs w:val="24"/>
          <w:lang w:val="en-US" w:eastAsia="zh-CN"/>
        </w:rPr>
        <w:t xml:space="preserve"> C, </w:t>
      </w:r>
      <w:proofErr w:type="spellStart"/>
      <w:r w:rsidRPr="00E669A7">
        <w:rPr>
          <w:rFonts w:ascii="Book Antiqua" w:hAnsi="Book Antiqua" w:cs="宋体"/>
          <w:sz w:val="24"/>
          <w:szCs w:val="24"/>
          <w:lang w:val="en-US" w:eastAsia="zh-CN"/>
        </w:rPr>
        <w:t>Oberhelman</w:t>
      </w:r>
      <w:proofErr w:type="spellEnd"/>
      <w:r w:rsidRPr="00E669A7">
        <w:rPr>
          <w:rFonts w:ascii="Book Antiqua" w:hAnsi="Book Antiqua" w:cs="宋体"/>
          <w:sz w:val="24"/>
          <w:szCs w:val="24"/>
          <w:lang w:val="en-US" w:eastAsia="zh-CN"/>
        </w:rPr>
        <w:t xml:space="preserve"> K, Fontana RJ, </w:t>
      </w:r>
      <w:proofErr w:type="spellStart"/>
      <w:r w:rsidRPr="00E669A7">
        <w:rPr>
          <w:rFonts w:ascii="Book Antiqua" w:hAnsi="Book Antiqua" w:cs="宋体"/>
          <w:sz w:val="24"/>
          <w:szCs w:val="24"/>
          <w:lang w:val="en-US" w:eastAsia="zh-CN"/>
        </w:rPr>
        <w:t>Licari</w:t>
      </w:r>
      <w:proofErr w:type="spellEnd"/>
      <w:r w:rsidRPr="00E669A7">
        <w:rPr>
          <w:rFonts w:ascii="Book Antiqua" w:hAnsi="Book Antiqua" w:cs="宋体"/>
          <w:sz w:val="24"/>
          <w:szCs w:val="24"/>
          <w:lang w:val="en-US" w:eastAsia="zh-CN"/>
        </w:rPr>
        <w:t xml:space="preserve"> T, </w:t>
      </w:r>
      <w:proofErr w:type="spellStart"/>
      <w:r w:rsidRPr="00E669A7">
        <w:rPr>
          <w:rFonts w:ascii="Book Antiqua" w:hAnsi="Book Antiqua" w:cs="宋体"/>
          <w:sz w:val="24"/>
          <w:szCs w:val="24"/>
          <w:lang w:val="en-US" w:eastAsia="zh-CN"/>
        </w:rPr>
        <w:t>Lok</w:t>
      </w:r>
      <w:proofErr w:type="spellEnd"/>
      <w:r w:rsidRPr="00E669A7">
        <w:rPr>
          <w:rFonts w:ascii="Book Antiqua" w:hAnsi="Book Antiqua" w:cs="宋体"/>
          <w:sz w:val="24"/>
          <w:szCs w:val="24"/>
          <w:lang w:val="en-US" w:eastAsia="zh-CN"/>
        </w:rPr>
        <w:t xml:space="preserve"> AS.</w:t>
      </w:r>
      <w:proofErr w:type="gramEnd"/>
      <w:r w:rsidRPr="00E669A7">
        <w:rPr>
          <w:rFonts w:ascii="Book Antiqua" w:hAnsi="Book Antiqua" w:cs="宋体"/>
          <w:sz w:val="24"/>
          <w:szCs w:val="24"/>
          <w:lang w:val="en-US" w:eastAsia="zh-CN"/>
        </w:rPr>
        <w:t xml:space="preserve"> Adherence to </w:t>
      </w:r>
      <w:proofErr w:type="spellStart"/>
      <w:proofErr w:type="gramStart"/>
      <w:r w:rsidRPr="00E669A7">
        <w:rPr>
          <w:rFonts w:ascii="Book Antiqua" w:hAnsi="Book Antiqua" w:cs="宋体"/>
          <w:sz w:val="24"/>
          <w:szCs w:val="24"/>
          <w:lang w:val="en-US" w:eastAsia="zh-CN"/>
        </w:rPr>
        <w:t>nucleos</w:t>
      </w:r>
      <w:proofErr w:type="spellEnd"/>
      <w:r w:rsidRPr="00E669A7">
        <w:rPr>
          <w:rFonts w:ascii="Book Antiqua" w:hAnsi="Book Antiqua" w:cs="宋体"/>
          <w:sz w:val="24"/>
          <w:szCs w:val="24"/>
          <w:lang w:val="en-US" w:eastAsia="zh-CN"/>
        </w:rPr>
        <w:t>(</w:t>
      </w:r>
      <w:proofErr w:type="gramEnd"/>
      <w:r w:rsidRPr="00E669A7">
        <w:rPr>
          <w:rFonts w:ascii="Book Antiqua" w:hAnsi="Book Antiqua" w:cs="宋体"/>
          <w:sz w:val="24"/>
          <w:szCs w:val="24"/>
          <w:lang w:val="en-US" w:eastAsia="zh-CN"/>
        </w:rPr>
        <w:t xml:space="preserve">t)ide analogues for chronic hepatitis B in clinical practice </w:t>
      </w:r>
      <w:r w:rsidRPr="00E669A7">
        <w:rPr>
          <w:rFonts w:ascii="Book Antiqua" w:hAnsi="Book Antiqua" w:cs="宋体"/>
          <w:sz w:val="24"/>
          <w:szCs w:val="24"/>
          <w:lang w:val="en-US" w:eastAsia="zh-CN"/>
        </w:rPr>
        <w:lastRenderedPageBreak/>
        <w:t xml:space="preserve">and correlation with </w:t>
      </w:r>
      <w:proofErr w:type="spellStart"/>
      <w:r w:rsidRPr="00E669A7">
        <w:rPr>
          <w:rFonts w:ascii="Book Antiqua" w:hAnsi="Book Antiqua" w:cs="宋体"/>
          <w:sz w:val="24"/>
          <w:szCs w:val="24"/>
          <w:lang w:val="en-US" w:eastAsia="zh-CN"/>
        </w:rPr>
        <w:t>virological</w:t>
      </w:r>
      <w:proofErr w:type="spellEnd"/>
      <w:r w:rsidRPr="00E669A7">
        <w:rPr>
          <w:rFonts w:ascii="Book Antiqua" w:hAnsi="Book Antiqua" w:cs="宋体"/>
          <w:sz w:val="24"/>
          <w:szCs w:val="24"/>
          <w:lang w:val="en-US" w:eastAsia="zh-CN"/>
        </w:rPr>
        <w:t xml:space="preserve"> breakthroughs. </w:t>
      </w:r>
      <w:r w:rsidRPr="00E669A7">
        <w:rPr>
          <w:rFonts w:ascii="Book Antiqua" w:hAnsi="Book Antiqua" w:cs="宋体"/>
          <w:i/>
          <w:iCs/>
          <w:sz w:val="24"/>
          <w:szCs w:val="24"/>
          <w:lang w:val="en-US" w:eastAsia="zh-CN"/>
        </w:rPr>
        <w:t xml:space="preserve">J Viral </w:t>
      </w:r>
      <w:proofErr w:type="spellStart"/>
      <w:r w:rsidRPr="00E669A7">
        <w:rPr>
          <w:rFonts w:ascii="Book Antiqua" w:hAnsi="Book Antiqua" w:cs="宋体"/>
          <w:i/>
          <w:iCs/>
          <w:sz w:val="24"/>
          <w:szCs w:val="24"/>
          <w:lang w:val="en-US" w:eastAsia="zh-CN"/>
        </w:rPr>
        <w:t>Hepat</w:t>
      </w:r>
      <w:proofErr w:type="spellEnd"/>
      <w:r w:rsidRPr="00E669A7">
        <w:rPr>
          <w:rFonts w:ascii="Book Antiqua" w:hAnsi="Book Antiqua" w:cs="宋体"/>
          <w:sz w:val="24"/>
          <w:szCs w:val="24"/>
          <w:lang w:val="en-US" w:eastAsia="zh-CN"/>
        </w:rPr>
        <w:t xml:space="preserve"> 2012; </w:t>
      </w:r>
      <w:r w:rsidRPr="00E669A7">
        <w:rPr>
          <w:rFonts w:ascii="Book Antiqua" w:hAnsi="Book Antiqua" w:cs="宋体"/>
          <w:b/>
          <w:bCs/>
          <w:sz w:val="24"/>
          <w:szCs w:val="24"/>
          <w:lang w:val="en-US" w:eastAsia="zh-CN"/>
        </w:rPr>
        <w:t>19</w:t>
      </w:r>
      <w:r w:rsidRPr="00E669A7">
        <w:rPr>
          <w:rFonts w:ascii="Book Antiqua" w:hAnsi="Book Antiqua" w:cs="宋体"/>
          <w:sz w:val="24"/>
          <w:szCs w:val="24"/>
          <w:lang w:val="en-US" w:eastAsia="zh-CN"/>
        </w:rPr>
        <w:t>: 205-212 [PMID: 22329375</w:t>
      </w:r>
      <w:r>
        <w:rPr>
          <w:rFonts w:ascii="Book Antiqua" w:hAnsi="Book Antiqua" w:cs="宋体"/>
          <w:sz w:val="24"/>
          <w:szCs w:val="24"/>
          <w:lang w:val="en-US" w:eastAsia="zh-CN"/>
        </w:rPr>
        <w:t xml:space="preserve"> </w:t>
      </w:r>
      <w:r w:rsidRPr="002C3EB0">
        <w:rPr>
          <w:rFonts w:ascii="Book Antiqua" w:hAnsi="Book Antiqua" w:cs="宋体"/>
          <w:sz w:val="24"/>
          <w:szCs w:val="24"/>
          <w:lang w:val="en-US" w:eastAsia="zh-CN"/>
        </w:rPr>
        <w:t>DOI: 10.1111/j.1365-2893.2011.01494.x</w:t>
      </w:r>
      <w:r w:rsidRPr="00E669A7">
        <w:rPr>
          <w:rFonts w:ascii="Book Antiqua" w:hAnsi="Book Antiqua" w:cs="宋体"/>
          <w:sz w:val="24"/>
          <w:szCs w:val="24"/>
          <w:lang w:val="en-US" w:eastAsia="zh-CN"/>
        </w:rPr>
        <w:t>]</w:t>
      </w:r>
    </w:p>
    <w:p w:rsidR="004C196A" w:rsidRDefault="004C196A" w:rsidP="003D0557">
      <w:pPr>
        <w:pStyle w:val="a6"/>
        <w:tabs>
          <w:tab w:val="left" w:pos="2895"/>
        </w:tabs>
        <w:spacing w:line="360" w:lineRule="auto"/>
        <w:jc w:val="right"/>
        <w:rPr>
          <w:rFonts w:ascii="Book Antiqua" w:hAnsi="Book Antiqua"/>
          <w:b/>
          <w:sz w:val="24"/>
        </w:rPr>
      </w:pPr>
      <w:r w:rsidRPr="00027A17">
        <w:rPr>
          <w:rFonts w:ascii="Book Antiqua" w:hAnsi="Book Antiqua"/>
          <w:b/>
          <w:sz w:val="24"/>
        </w:rPr>
        <w:t>P-</w:t>
      </w:r>
      <w:proofErr w:type="spellStart"/>
      <w:r w:rsidRPr="00027A17">
        <w:rPr>
          <w:rFonts w:ascii="Book Antiqua" w:hAnsi="Book Antiqua"/>
          <w:b/>
          <w:sz w:val="24"/>
        </w:rPr>
        <w:t>Reviewers</w:t>
      </w:r>
      <w:proofErr w:type="spellEnd"/>
      <w:r w:rsidRPr="00027A17">
        <w:rPr>
          <w:rFonts w:ascii="Book Antiqua" w:hAnsi="Book Antiqua"/>
          <w:b/>
          <w:sz w:val="24"/>
        </w:rPr>
        <w:t xml:space="preserve">: </w:t>
      </w:r>
      <w:proofErr w:type="spellStart"/>
      <w:r w:rsidRPr="00C8359B">
        <w:rPr>
          <w:rFonts w:ascii="Book Antiqua" w:hAnsi="Book Antiqua"/>
          <w:sz w:val="24"/>
        </w:rPr>
        <w:t>Ong</w:t>
      </w:r>
      <w:proofErr w:type="spellEnd"/>
      <w:r w:rsidRPr="00C8359B">
        <w:rPr>
          <w:rFonts w:ascii="Book Antiqua" w:hAnsi="Book Antiqua"/>
          <w:sz w:val="24"/>
        </w:rPr>
        <w:t xml:space="preserve"> HT, </w:t>
      </w:r>
      <w:proofErr w:type="spellStart"/>
      <w:r w:rsidRPr="00C8359B">
        <w:rPr>
          <w:rFonts w:ascii="Book Antiqua" w:hAnsi="Book Antiqua"/>
          <w:sz w:val="24"/>
        </w:rPr>
        <w:t>Rodriguez-Frias</w:t>
      </w:r>
      <w:proofErr w:type="spellEnd"/>
      <w:r w:rsidRPr="00C8359B">
        <w:rPr>
          <w:rFonts w:ascii="Book Antiqua" w:hAnsi="Book Antiqua"/>
          <w:sz w:val="24"/>
        </w:rPr>
        <w:t xml:space="preserve"> F </w:t>
      </w:r>
      <w:r w:rsidRPr="00027A17">
        <w:rPr>
          <w:rFonts w:ascii="Book Antiqua" w:hAnsi="Book Antiqua"/>
          <w:b/>
          <w:sz w:val="24"/>
        </w:rPr>
        <w:t xml:space="preserve"> S-Editor: </w:t>
      </w:r>
      <w:r w:rsidRPr="00027A17">
        <w:rPr>
          <w:rFonts w:ascii="Book Antiqua" w:hAnsi="Book Antiqua"/>
          <w:sz w:val="24"/>
        </w:rPr>
        <w:t>Cui XM</w:t>
      </w:r>
      <w:r w:rsidRPr="00027A17">
        <w:rPr>
          <w:rFonts w:ascii="Book Antiqua" w:hAnsi="Book Antiqua"/>
          <w:b/>
          <w:sz w:val="24"/>
        </w:rPr>
        <w:t xml:space="preserve"> L-Editor:   E-Editor:</w:t>
      </w:r>
    </w:p>
    <w:p w:rsidR="004C196A" w:rsidRPr="00C8359B" w:rsidRDefault="004C196A" w:rsidP="002E6268">
      <w:pPr>
        <w:spacing w:after="0" w:line="360" w:lineRule="auto"/>
        <w:jc w:val="both"/>
        <w:rPr>
          <w:rFonts w:ascii="Book Antiqua" w:hAnsi="Book Antiqua"/>
          <w:sz w:val="24"/>
          <w:szCs w:val="24"/>
          <w:lang w:eastAsia="zh-CN"/>
        </w:rPr>
      </w:pPr>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2"/>
        <w:gridCol w:w="937"/>
        <w:gridCol w:w="937"/>
        <w:gridCol w:w="801"/>
        <w:gridCol w:w="784"/>
        <w:gridCol w:w="804"/>
        <w:gridCol w:w="784"/>
        <w:gridCol w:w="1190"/>
        <w:gridCol w:w="714"/>
        <w:gridCol w:w="771"/>
      </w:tblGrid>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 xml:space="preserve">Characteristic, </w:t>
            </w:r>
            <w:r w:rsidRPr="00903ABC">
              <w:rPr>
                <w:rFonts w:ascii="Book Antiqua" w:hAnsi="Book Antiqua"/>
                <w:i/>
                <w:sz w:val="18"/>
                <w:szCs w:val="18"/>
                <w:lang w:val="en-US"/>
              </w:rPr>
              <w:t>n</w:t>
            </w:r>
            <w:r w:rsidRPr="00903ABC">
              <w:rPr>
                <w:rFonts w:ascii="Book Antiqua" w:hAnsi="Book Antiqua"/>
                <w:sz w:val="18"/>
                <w:szCs w:val="18"/>
                <w:lang w:val="en-US"/>
              </w:rPr>
              <w:t xml:space="preserve"> (%)</w:t>
            </w:r>
            <w:r w:rsidRPr="00903ABC">
              <w:rPr>
                <w:rFonts w:ascii="Book Antiqua" w:hAnsi="Book Antiqua"/>
                <w:sz w:val="18"/>
                <w:szCs w:val="18"/>
                <w:vertAlign w:val="superscript"/>
                <w:lang w:val="en-US" w:eastAsia="zh-CN"/>
              </w:rPr>
              <w:t>1</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ETV-022</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ETV-027</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proofErr w:type="spellStart"/>
            <w:r w:rsidRPr="00903ABC">
              <w:rPr>
                <w:rFonts w:ascii="Book Antiqua" w:hAnsi="Book Antiqua" w:cs="AdvPSPH-R"/>
                <w:sz w:val="18"/>
                <w:szCs w:val="18"/>
                <w:lang w:val="en-US"/>
              </w:rPr>
              <w:t>Oriente</w:t>
            </w:r>
            <w:proofErr w:type="spellEnd"/>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Virgil</w:t>
            </w:r>
          </w:p>
        </w:tc>
        <w:tc>
          <w:tcPr>
            <w:tcW w:w="374"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King</w:t>
            </w:r>
            <w:r w:rsidRPr="00903ABC">
              <w:rPr>
                <w:rFonts w:ascii="Book Antiqua" w:hAnsi="Book Antiqua" w:cs="AdvPSMP1"/>
                <w:sz w:val="18"/>
                <w:szCs w:val="18"/>
                <w:lang w:val="en-US"/>
              </w:rPr>
              <w:t>’</w:t>
            </w:r>
            <w:r w:rsidRPr="00903ABC">
              <w:rPr>
                <w:rFonts w:ascii="Book Antiqua" w:hAnsi="Book Antiqua" w:cs="AdvPSPH-R"/>
                <w:sz w:val="18"/>
                <w:szCs w:val="18"/>
                <w:lang w:val="en-US"/>
              </w:rPr>
              <w:t>s</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College Cohort</w:t>
            </w:r>
          </w:p>
        </w:tc>
        <w:tc>
          <w:tcPr>
            <w:tcW w:w="426"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Italian cohort</w:t>
            </w:r>
          </w:p>
          <w:p w:rsidR="004C196A" w:rsidRPr="00903ABC" w:rsidRDefault="004C196A" w:rsidP="00903ABC">
            <w:pPr>
              <w:spacing w:after="0" w:line="360" w:lineRule="auto"/>
              <w:jc w:val="both"/>
              <w:rPr>
                <w:rFonts w:ascii="Book Antiqua" w:hAnsi="Book Antiqua"/>
                <w:sz w:val="18"/>
                <w:szCs w:val="18"/>
                <w:lang w:val="en-US"/>
              </w:rPr>
            </w:pPr>
          </w:p>
        </w:tc>
        <w:tc>
          <w:tcPr>
            <w:tcW w:w="642"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Argentinean</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cohort</w:t>
            </w:r>
          </w:p>
        </w:tc>
        <w:tc>
          <w:tcPr>
            <w:tcW w:w="417"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Hong Kong</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cohort</w:t>
            </w:r>
          </w:p>
          <w:p w:rsidR="004C196A" w:rsidRPr="00903ABC" w:rsidRDefault="004C196A" w:rsidP="00903ABC">
            <w:pPr>
              <w:spacing w:after="0" w:line="360" w:lineRule="auto"/>
              <w:jc w:val="both"/>
              <w:rPr>
                <w:rFonts w:ascii="Book Antiqua" w:hAnsi="Book Antiqua"/>
                <w:sz w:val="18"/>
                <w:szCs w:val="18"/>
                <w:lang w:val="en-US"/>
              </w:rPr>
            </w:pP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Japan cohort</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Reference</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7</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8</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22</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23</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24</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25</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29</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32</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33</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i/>
                <w:sz w:val="18"/>
                <w:szCs w:val="18"/>
                <w:lang w:val="en-US"/>
              </w:rPr>
            </w:pPr>
            <w:r w:rsidRPr="00903ABC">
              <w:rPr>
                <w:rFonts w:ascii="Book Antiqua" w:hAnsi="Book Antiqua" w:cs="AdvPSPH-I"/>
                <w:i/>
                <w:sz w:val="18"/>
                <w:szCs w:val="18"/>
                <w:lang w:val="en-US"/>
              </w:rPr>
              <w:t>N</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354</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325</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190</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243</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154</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418</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169</w:t>
            </w:r>
          </w:p>
        </w:tc>
        <w:tc>
          <w:tcPr>
            <w:tcW w:w="417"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222</w:t>
            </w:r>
          </w:p>
          <w:p w:rsidR="004C196A" w:rsidRPr="00903ABC" w:rsidRDefault="004C196A" w:rsidP="00903ABC">
            <w:pPr>
              <w:spacing w:after="0" w:line="360" w:lineRule="auto"/>
              <w:jc w:val="both"/>
              <w:rPr>
                <w:rFonts w:ascii="Book Antiqua" w:hAnsi="Book Antiqua"/>
                <w:sz w:val="18"/>
                <w:szCs w:val="18"/>
                <w:lang w:val="en-US"/>
              </w:rPr>
            </w:pP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474</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Age, </w:t>
            </w:r>
            <w:proofErr w:type="spellStart"/>
            <w:r w:rsidRPr="00903ABC">
              <w:rPr>
                <w:rFonts w:ascii="Book Antiqua" w:hAnsi="Book Antiqua"/>
                <w:sz w:val="18"/>
                <w:szCs w:val="18"/>
                <w:lang w:val="en-US"/>
              </w:rPr>
              <w:t>yr</w:t>
            </w:r>
            <w:proofErr w:type="spellEnd"/>
            <w:r w:rsidRPr="00903ABC">
              <w:rPr>
                <w:rFonts w:ascii="Book Antiqua" w:hAnsi="Book Antiqua"/>
                <w:sz w:val="18"/>
                <w:szCs w:val="18"/>
                <w:lang w:val="en-US"/>
              </w:rPr>
              <w:t xml:space="preserve"> (SD or range)</w:t>
            </w:r>
          </w:p>
        </w:tc>
        <w:tc>
          <w:tcPr>
            <w:tcW w:w="49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35 (13)</w:t>
            </w:r>
            <w:r w:rsidRPr="00903ABC">
              <w:rPr>
                <w:rFonts w:ascii="Book Antiqua" w:hAnsi="Book Antiqua" w:cs="AdvPSMP1"/>
                <w:sz w:val="18"/>
                <w:szCs w:val="18"/>
                <w:vertAlign w:val="superscript"/>
                <w:lang w:val="en-US" w:eastAsia="zh-CN"/>
              </w:rPr>
              <w:t>2</w:t>
            </w:r>
          </w:p>
        </w:tc>
        <w:tc>
          <w:tcPr>
            <w:tcW w:w="49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44 (11)</w:t>
            </w:r>
            <w:r w:rsidRPr="00903ABC">
              <w:rPr>
                <w:rFonts w:ascii="Book Antiqua" w:hAnsi="Book Antiqua" w:cs="AdvPSMP1"/>
                <w:sz w:val="18"/>
                <w:szCs w:val="18"/>
                <w:vertAlign w:val="superscript"/>
                <w:lang w:val="en-US" w:eastAsia="zh-CN"/>
              </w:rPr>
              <w:t>2</w:t>
            </w:r>
          </w:p>
        </w:tc>
        <w:tc>
          <w:tcPr>
            <w:tcW w:w="49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44 (35–54)</w:t>
            </w:r>
            <w:r w:rsidRPr="00903ABC">
              <w:rPr>
                <w:rFonts w:ascii="Book Antiqua" w:hAnsi="Book Antiqua" w:cs="AdvPSMP1"/>
                <w:sz w:val="18"/>
                <w:szCs w:val="18"/>
                <w:vertAlign w:val="superscript"/>
                <w:lang w:val="en-US" w:eastAsia="zh-CN"/>
              </w:rPr>
              <w:t>3</w:t>
            </w:r>
          </w:p>
        </w:tc>
        <w:tc>
          <w:tcPr>
            <w:tcW w:w="485"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43 (14)</w:t>
            </w:r>
            <w:r w:rsidRPr="00903ABC">
              <w:rPr>
                <w:rFonts w:ascii="Book Antiqua" w:hAnsi="Book Antiqua" w:cs="AdvPSMP1"/>
                <w:sz w:val="18"/>
                <w:szCs w:val="18"/>
                <w:vertAlign w:val="superscript"/>
                <w:lang w:val="en-US" w:eastAsia="zh-CN"/>
              </w:rPr>
              <w:t>2</w:t>
            </w:r>
          </w:p>
        </w:tc>
        <w:tc>
          <w:tcPr>
            <w:tcW w:w="374"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42</w:t>
            </w:r>
            <w:r w:rsidRPr="00903ABC">
              <w:rPr>
                <w:rFonts w:ascii="Book Antiqua" w:hAnsi="Book Antiqua" w:cs="AdvPSMP1"/>
                <w:sz w:val="18"/>
                <w:szCs w:val="18"/>
                <w:vertAlign w:val="superscript"/>
                <w:lang w:val="en-US" w:eastAsia="zh-CN"/>
              </w:rPr>
              <w:t>3</w:t>
            </w:r>
          </w:p>
        </w:tc>
        <w:tc>
          <w:tcPr>
            <w:tcW w:w="42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58 (18–82)</w:t>
            </w:r>
            <w:r w:rsidRPr="00903ABC">
              <w:rPr>
                <w:rFonts w:ascii="Book Antiqua" w:hAnsi="Book Antiqua" w:cs="AdvPSPH-R"/>
                <w:sz w:val="18"/>
                <w:szCs w:val="18"/>
                <w:vertAlign w:val="superscript"/>
                <w:lang w:val="en-US" w:eastAsia="zh-CN"/>
              </w:rPr>
              <w:t>4</w:t>
            </w:r>
          </w:p>
        </w:tc>
        <w:tc>
          <w:tcPr>
            <w:tcW w:w="64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51 (13)</w:t>
            </w:r>
            <w:r w:rsidRPr="00903ABC">
              <w:rPr>
                <w:rFonts w:ascii="Book Antiqua" w:hAnsi="Book Antiqua" w:cs="AdvPSMP1"/>
                <w:sz w:val="18"/>
                <w:szCs w:val="18"/>
                <w:vertAlign w:val="superscript"/>
                <w:lang w:val="en-US" w:eastAsia="zh-CN"/>
              </w:rPr>
              <w:t>2</w:t>
            </w:r>
          </w:p>
        </w:tc>
        <w:tc>
          <w:tcPr>
            <w:tcW w:w="417"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47 (21–77)</w:t>
            </w:r>
            <w:r w:rsidRPr="00903ABC">
              <w:rPr>
                <w:rFonts w:ascii="Book Antiqua" w:hAnsi="Book Antiqua" w:cs="AdvPSPH-R"/>
                <w:sz w:val="18"/>
                <w:szCs w:val="18"/>
                <w:vertAlign w:val="superscript"/>
                <w:lang w:val="en-US" w:eastAsia="zh-CN"/>
              </w:rPr>
              <w:t>4</w:t>
            </w:r>
          </w:p>
        </w:tc>
        <w:tc>
          <w:tcPr>
            <w:tcW w:w="44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47 (17-82)</w:t>
            </w:r>
            <w:r w:rsidRPr="00903ABC">
              <w:rPr>
                <w:rFonts w:ascii="Book Antiqua" w:hAnsi="Book Antiqua" w:cs="AdvPSPH-R"/>
                <w:sz w:val="18"/>
                <w:szCs w:val="18"/>
                <w:vertAlign w:val="superscript"/>
                <w:lang w:val="en-US" w:eastAsia="zh-CN"/>
              </w:rPr>
              <w:t>4</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Male</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274 (77)</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248 (76)</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139 (73)</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177 (73)</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122 (79)</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316 (76)</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113 (77)</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157 (71)</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321 (67)</w:t>
            </w:r>
          </w:p>
        </w:tc>
      </w:tr>
      <w:tr w:rsidR="004C196A" w:rsidRPr="00903ABC" w:rsidTr="00903ABC">
        <w:trPr>
          <w:trHeight w:val="908"/>
        </w:trPr>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Race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White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Asian</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Other</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140 (40)</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204 (58)</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 (&lt;</w:t>
            </w:r>
            <w:r w:rsidRPr="00903ABC">
              <w:rPr>
                <w:rFonts w:ascii="Book Antiqua" w:hAnsi="Book Antiqua" w:cs="AdvPSPH-R"/>
                <w:sz w:val="18"/>
                <w:szCs w:val="18"/>
                <w:lang w:val="en-US" w:eastAsia="zh-CN"/>
              </w:rPr>
              <w:t xml:space="preserve"> </w:t>
            </w:r>
            <w:r w:rsidRPr="00903ABC">
              <w:rPr>
                <w:rFonts w:ascii="Book Antiqua" w:hAnsi="Book Antiqua" w:cs="AdvPSPH-R"/>
                <w:sz w:val="18"/>
                <w:szCs w:val="18"/>
                <w:lang w:val="en-US"/>
              </w:rPr>
              <w:t>1)</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193 (59)</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122 (38)</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 (&lt;</w:t>
            </w:r>
            <w:r w:rsidRPr="00903ABC">
              <w:rPr>
                <w:rFonts w:ascii="Book Antiqua" w:hAnsi="Book Antiqua" w:cs="AdvPSPH-R"/>
                <w:sz w:val="18"/>
                <w:szCs w:val="18"/>
                <w:lang w:val="en-US" w:eastAsia="zh-CN"/>
              </w:rPr>
              <w:t xml:space="preserve"> </w:t>
            </w:r>
            <w:r w:rsidRPr="00903ABC">
              <w:rPr>
                <w:rFonts w:ascii="Book Antiqua" w:hAnsi="Book Antiqua" w:cs="AdvPSPH-R"/>
                <w:sz w:val="18"/>
                <w:szCs w:val="18"/>
                <w:lang w:val="en-US"/>
              </w:rPr>
              <w:t>1)</w:t>
            </w:r>
          </w:p>
        </w:tc>
        <w:tc>
          <w:tcPr>
            <w:tcW w:w="492"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60 (84)</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18 (9)</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6 (3)</w:t>
            </w:r>
          </w:p>
        </w:tc>
        <w:tc>
          <w:tcPr>
            <w:tcW w:w="485"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114 (47)</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70 (29)</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59 (24)</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642"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143 (85)</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26 (15)</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Region</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Europe 24%, North America 13%, South America 14%, Australia and Asia 49%</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Europe 48%, North America 9%, South America 11%, Australia and Asia 33%</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South America</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Asia</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Asia</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Genotype </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B</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D</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94 (27)</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68 (19)</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111 (31)</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37 (10)</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33 (10)</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46 (14)</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57 (18)</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157 (48)</w:t>
            </w:r>
          </w:p>
        </w:tc>
        <w:tc>
          <w:tcPr>
            <w:tcW w:w="492"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485"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rPr>
            </w:pPr>
            <w:r w:rsidRPr="00903ABC">
              <w:rPr>
                <w:rFonts w:ascii="Book Antiqua" w:hAnsi="Book Antiqua" w:cs="AdvPSPH-R"/>
                <w:sz w:val="18"/>
                <w:szCs w:val="18"/>
              </w:rPr>
              <w:t>40 (22)</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14 (8)</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25 (14)</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91 (50)</w:t>
            </w:r>
          </w:p>
        </w:tc>
        <w:tc>
          <w:tcPr>
            <w:tcW w:w="374"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426"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84 (90)</w:t>
            </w:r>
          </w:p>
        </w:tc>
        <w:tc>
          <w:tcPr>
            <w:tcW w:w="642"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417"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12 (3)</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67 (16)</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336(81)</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 (0)</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proofErr w:type="spellStart"/>
            <w:r w:rsidRPr="00903ABC">
              <w:rPr>
                <w:rFonts w:ascii="Book Antiqua" w:hAnsi="Book Antiqua"/>
                <w:sz w:val="18"/>
                <w:szCs w:val="18"/>
                <w:lang w:val="en-US"/>
              </w:rPr>
              <w:t>HBeAg</w:t>
            </w:r>
            <w:proofErr w:type="spellEnd"/>
            <w:r w:rsidRPr="00903ABC">
              <w:rPr>
                <w:rFonts w:ascii="Book Antiqua" w:hAnsi="Book Antiqua"/>
                <w:sz w:val="18"/>
                <w:szCs w:val="18"/>
                <w:lang w:val="en-US"/>
              </w:rPr>
              <w:t xml:space="preserve"> </w:t>
            </w:r>
            <w:r w:rsidRPr="00903ABC">
              <w:rPr>
                <w:rFonts w:ascii="Book Antiqua" w:hAnsi="Book Antiqua"/>
                <w:sz w:val="18"/>
                <w:szCs w:val="18"/>
                <w:lang w:val="en-US"/>
              </w:rPr>
              <w:lastRenderedPageBreak/>
              <w:t>negative</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lastRenderedPageBreak/>
              <w:t>6 (3)</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322 (99)</w:t>
            </w:r>
          </w:p>
        </w:tc>
        <w:tc>
          <w:tcPr>
            <w:tcW w:w="49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 xml:space="preserve">133 </w:t>
            </w:r>
            <w:r w:rsidRPr="00903ABC">
              <w:rPr>
                <w:rFonts w:ascii="Book Antiqua" w:hAnsi="Book Antiqua" w:cs="AdvPSPH-R"/>
                <w:sz w:val="18"/>
                <w:szCs w:val="18"/>
                <w:lang w:val="en-US"/>
              </w:rPr>
              <w:lastRenderedPageBreak/>
              <w:t>(70)</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lastRenderedPageBreak/>
              <w:t xml:space="preserve">157 </w:t>
            </w:r>
            <w:r w:rsidRPr="00903ABC">
              <w:rPr>
                <w:rFonts w:ascii="Book Antiqua" w:hAnsi="Book Antiqua" w:cs="AdvPSPH-R"/>
                <w:sz w:val="18"/>
                <w:szCs w:val="18"/>
                <w:lang w:val="en-US"/>
              </w:rPr>
              <w:lastRenderedPageBreak/>
              <w:t>(65)</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lastRenderedPageBreak/>
              <w:t xml:space="preserve">106 </w:t>
            </w:r>
            <w:r w:rsidRPr="00903ABC">
              <w:rPr>
                <w:rFonts w:ascii="Book Antiqua" w:hAnsi="Book Antiqua" w:cs="AdvPSPH-R"/>
                <w:sz w:val="18"/>
                <w:szCs w:val="18"/>
                <w:lang w:val="en-US"/>
              </w:rPr>
              <w:lastRenderedPageBreak/>
              <w:t>(69)</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lastRenderedPageBreak/>
              <w:t xml:space="preserve">347 </w:t>
            </w:r>
            <w:r w:rsidRPr="00903ABC">
              <w:rPr>
                <w:rFonts w:ascii="Book Antiqua" w:hAnsi="Book Antiqua" w:cs="AdvPSPH-R"/>
                <w:sz w:val="18"/>
                <w:szCs w:val="18"/>
                <w:lang w:val="en-US"/>
              </w:rPr>
              <w:lastRenderedPageBreak/>
              <w:t>(83)</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lastRenderedPageBreak/>
              <w:t>65 (39)</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 xml:space="preserve">132 </w:t>
            </w:r>
            <w:r w:rsidRPr="00903ABC">
              <w:rPr>
                <w:rFonts w:ascii="Book Antiqua" w:hAnsi="Book Antiqua" w:cs="AdvPSPH-R"/>
                <w:sz w:val="18"/>
                <w:szCs w:val="18"/>
                <w:lang w:val="en-US"/>
              </w:rPr>
              <w:lastRenderedPageBreak/>
              <w:t>(59)</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lastRenderedPageBreak/>
              <w:t xml:space="preserve">252 </w:t>
            </w:r>
            <w:r w:rsidRPr="00903ABC">
              <w:rPr>
                <w:rFonts w:ascii="Book Antiqua" w:hAnsi="Book Antiqua"/>
                <w:sz w:val="18"/>
                <w:szCs w:val="18"/>
                <w:lang w:val="en-US"/>
              </w:rPr>
              <w:lastRenderedPageBreak/>
              <w:t>(53)</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lastRenderedPageBreak/>
              <w:t>HBV DNA, log10 IU/mL</w:t>
            </w:r>
            <w:r w:rsidRPr="00903ABC">
              <w:rPr>
                <w:rFonts w:ascii="Book Antiqua" w:hAnsi="Book Antiqua"/>
                <w:sz w:val="18"/>
                <w:szCs w:val="18"/>
                <w:vertAlign w:val="superscript"/>
                <w:lang w:eastAsia="zh-CN"/>
              </w:rPr>
              <w:t>1</w:t>
            </w:r>
          </w:p>
        </w:tc>
        <w:tc>
          <w:tcPr>
            <w:tcW w:w="49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9.62 (2.01)</w:t>
            </w:r>
            <w:r w:rsidRPr="00903ABC">
              <w:rPr>
                <w:rFonts w:ascii="Book Antiqua" w:hAnsi="Book Antiqua" w:cs="AdvPSPH-R"/>
                <w:sz w:val="18"/>
                <w:szCs w:val="18"/>
                <w:vertAlign w:val="superscript"/>
                <w:lang w:val="en-US" w:eastAsia="zh-CN"/>
              </w:rPr>
              <w:t>2,5</w:t>
            </w:r>
          </w:p>
        </w:tc>
        <w:tc>
          <w:tcPr>
            <w:tcW w:w="49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7.6 (1.8)</w:t>
            </w:r>
            <w:r w:rsidRPr="00903ABC">
              <w:rPr>
                <w:rFonts w:ascii="Book Antiqua" w:hAnsi="Book Antiqua" w:cs="AdvPSPH-R"/>
                <w:sz w:val="18"/>
                <w:szCs w:val="18"/>
                <w:vertAlign w:val="superscript"/>
                <w:lang w:val="en-US" w:eastAsia="zh-CN"/>
              </w:rPr>
              <w:t>2</w:t>
            </w:r>
            <w:r w:rsidRPr="00903ABC">
              <w:rPr>
                <w:rFonts w:ascii="Book Antiqua" w:hAnsi="Book Antiqua" w:cs="AdvPSMP1"/>
                <w:sz w:val="18"/>
                <w:szCs w:val="18"/>
                <w:vertAlign w:val="superscript"/>
                <w:lang w:val="en-US" w:eastAsia="zh-CN"/>
              </w:rPr>
              <w:t>,</w:t>
            </w:r>
            <w:r w:rsidRPr="00903ABC">
              <w:rPr>
                <w:rFonts w:ascii="Book Antiqua" w:hAnsi="Book Antiqua" w:cs="AdvPSPH-R"/>
                <w:sz w:val="18"/>
                <w:szCs w:val="18"/>
                <w:vertAlign w:val="superscript"/>
                <w:lang w:val="en-US" w:eastAsia="zh-CN"/>
              </w:rPr>
              <w:t>5</w:t>
            </w:r>
          </w:p>
        </w:tc>
        <w:tc>
          <w:tcPr>
            <w:tcW w:w="49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5.94 (4.64–7.39)</w:t>
            </w:r>
            <w:r w:rsidRPr="00903ABC">
              <w:rPr>
                <w:rFonts w:ascii="Book Antiqua" w:hAnsi="Book Antiqua" w:cs="AdvPSMP1"/>
                <w:sz w:val="18"/>
                <w:szCs w:val="18"/>
                <w:vertAlign w:val="superscript"/>
                <w:lang w:val="en-US" w:eastAsia="zh-CN"/>
              </w:rPr>
              <w:t>3</w:t>
            </w:r>
          </w:p>
        </w:tc>
        <w:tc>
          <w:tcPr>
            <w:tcW w:w="485"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6.2 ± 1.7</w:t>
            </w:r>
            <w:r w:rsidRPr="00903ABC">
              <w:rPr>
                <w:rFonts w:ascii="Book Antiqua" w:hAnsi="Book Antiqua" w:cs="AdvPSMP1"/>
                <w:sz w:val="18"/>
                <w:szCs w:val="18"/>
                <w:vertAlign w:val="superscript"/>
                <w:lang w:val="en-US" w:eastAsia="zh-CN"/>
              </w:rPr>
              <w:t>3</w:t>
            </w:r>
          </w:p>
        </w:tc>
        <w:tc>
          <w:tcPr>
            <w:tcW w:w="374"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4.6 (0.2)</w:t>
            </w:r>
            <w:r w:rsidRPr="00903ABC">
              <w:rPr>
                <w:rFonts w:ascii="Book Antiqua" w:hAnsi="Book Antiqua" w:cs="AdvPSPH-R"/>
                <w:sz w:val="18"/>
                <w:szCs w:val="18"/>
                <w:vertAlign w:val="superscript"/>
                <w:lang w:val="en-US" w:eastAsia="zh-CN"/>
              </w:rPr>
              <w:t>6</w:t>
            </w:r>
          </w:p>
        </w:tc>
        <w:tc>
          <w:tcPr>
            <w:tcW w:w="426"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6.0 (1.5–9)</w:t>
            </w:r>
            <w:r w:rsidRPr="00903ABC">
              <w:rPr>
                <w:rFonts w:ascii="Book Antiqua" w:hAnsi="Book Antiqua" w:cs="AdvPSPH-R"/>
                <w:sz w:val="18"/>
                <w:szCs w:val="18"/>
                <w:vertAlign w:val="superscript"/>
                <w:lang w:val="en-US" w:eastAsia="zh-CN"/>
              </w:rPr>
              <w:t>4</w:t>
            </w:r>
          </w:p>
        </w:tc>
        <w:tc>
          <w:tcPr>
            <w:tcW w:w="64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6.88 (1.81)</w:t>
            </w:r>
            <w:r w:rsidRPr="00903ABC">
              <w:rPr>
                <w:rFonts w:ascii="Book Antiqua" w:hAnsi="Book Antiqua" w:cs="AdvPSMP1"/>
                <w:sz w:val="18"/>
                <w:szCs w:val="18"/>
                <w:vertAlign w:val="superscript"/>
                <w:lang w:val="en-US" w:eastAsia="zh-CN"/>
              </w:rPr>
              <w:t>2</w:t>
            </w:r>
          </w:p>
        </w:tc>
        <w:tc>
          <w:tcPr>
            <w:tcW w:w="417"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7.1 (4.0–&gt;</w:t>
            </w:r>
            <w:r w:rsidRPr="00903ABC">
              <w:rPr>
                <w:rFonts w:ascii="Book Antiqua" w:hAnsi="Book Antiqua" w:cs="AdvPSPH-R"/>
                <w:sz w:val="18"/>
                <w:szCs w:val="18"/>
                <w:lang w:val="en-US" w:eastAsia="zh-CN"/>
              </w:rPr>
              <w:t xml:space="preserve"> </w:t>
            </w:r>
            <w:r w:rsidRPr="00903ABC">
              <w:rPr>
                <w:rFonts w:ascii="Book Antiqua" w:hAnsi="Book Antiqua" w:cs="AdvPSPH-R"/>
                <w:sz w:val="18"/>
                <w:szCs w:val="18"/>
                <w:lang w:val="en-US"/>
              </w:rPr>
              <w:t>8.8)</w:t>
            </w:r>
            <w:r w:rsidRPr="00903ABC">
              <w:rPr>
                <w:rFonts w:ascii="Book Antiqua" w:hAnsi="Book Antiqua" w:cs="AdvPSPH-R"/>
                <w:sz w:val="18"/>
                <w:szCs w:val="18"/>
                <w:vertAlign w:val="superscript"/>
                <w:lang w:val="en-US" w:eastAsia="zh-CN"/>
              </w:rPr>
              <w:t>4</w:t>
            </w:r>
          </w:p>
        </w:tc>
        <w:tc>
          <w:tcPr>
            <w:tcW w:w="44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rPr>
              <w:t>6.7 (2.6-&gt;</w:t>
            </w:r>
            <w:r w:rsidRPr="00903ABC">
              <w:rPr>
                <w:rFonts w:ascii="Book Antiqua" w:hAnsi="Book Antiqua"/>
                <w:sz w:val="18"/>
                <w:szCs w:val="18"/>
                <w:lang w:eastAsia="zh-CN"/>
              </w:rPr>
              <w:t xml:space="preserve"> </w:t>
            </w:r>
            <w:r w:rsidRPr="00903ABC">
              <w:rPr>
                <w:rFonts w:ascii="Book Antiqua" w:hAnsi="Book Antiqua"/>
                <w:sz w:val="18"/>
                <w:szCs w:val="18"/>
              </w:rPr>
              <w:t>9.0)</w:t>
            </w:r>
            <w:r w:rsidRPr="00903ABC">
              <w:rPr>
                <w:rFonts w:ascii="Book Antiqua" w:hAnsi="Book Antiqua" w:cs="AdvPSPH-R"/>
                <w:sz w:val="18"/>
                <w:szCs w:val="18"/>
                <w:vertAlign w:val="superscript"/>
                <w:lang w:val="en-US" w:eastAsia="zh-CN"/>
              </w:rPr>
              <w:t>4</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ALT, IU/L</w:t>
            </w:r>
            <w:r w:rsidRPr="00903ABC">
              <w:rPr>
                <w:rFonts w:ascii="Book Antiqua" w:hAnsi="Book Antiqua"/>
                <w:sz w:val="18"/>
                <w:szCs w:val="18"/>
                <w:vertAlign w:val="superscript"/>
                <w:lang w:eastAsia="zh-CN"/>
              </w:rPr>
              <w:t>1</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rPr>
              <w:t>140.5 (114.3)</w:t>
            </w:r>
            <w:r w:rsidRPr="00903ABC">
              <w:rPr>
                <w:rFonts w:ascii="Book Antiqua" w:hAnsi="Book Antiqua" w:cs="AdvPSMP1"/>
                <w:sz w:val="18"/>
                <w:szCs w:val="18"/>
                <w:vertAlign w:val="superscript"/>
                <w:lang w:val="en-US" w:eastAsia="zh-CN"/>
              </w:rPr>
              <w:t>2</w:t>
            </w:r>
          </w:p>
        </w:tc>
        <w:tc>
          <w:tcPr>
            <w:tcW w:w="496"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MP1"/>
                <w:sz w:val="18"/>
                <w:szCs w:val="18"/>
              </w:rPr>
              <w:t>141 (114.7)</w:t>
            </w:r>
            <w:r w:rsidRPr="00903ABC">
              <w:rPr>
                <w:rFonts w:ascii="Book Antiqua" w:hAnsi="Book Antiqua" w:cs="AdvPSMP1"/>
                <w:sz w:val="18"/>
                <w:szCs w:val="18"/>
                <w:vertAlign w:val="superscript"/>
                <w:lang w:val="en-US" w:eastAsia="zh-CN"/>
              </w:rPr>
              <w:t>2</w:t>
            </w:r>
          </w:p>
        </w:tc>
        <w:tc>
          <w:tcPr>
            <w:tcW w:w="492"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rPr>
              <w:t>71.5 (44–108)</w:t>
            </w:r>
            <w:r w:rsidRPr="00903ABC">
              <w:rPr>
                <w:rFonts w:ascii="Book Antiqua" w:hAnsi="Book Antiqua" w:cs="AdvPSMP1"/>
                <w:sz w:val="18"/>
                <w:szCs w:val="18"/>
                <w:vertAlign w:val="superscript"/>
                <w:lang w:val="en-US" w:eastAsia="zh-CN"/>
              </w:rPr>
              <w:t>3</w:t>
            </w:r>
          </w:p>
        </w:tc>
        <w:tc>
          <w:tcPr>
            <w:tcW w:w="485"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374"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426"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92 (11-2241)</w:t>
            </w:r>
            <w:r w:rsidRPr="00903ABC">
              <w:rPr>
                <w:rFonts w:ascii="Book Antiqua" w:hAnsi="Book Antiqua" w:cs="AdvPSPH-R"/>
                <w:sz w:val="18"/>
                <w:szCs w:val="18"/>
                <w:vertAlign w:val="superscript"/>
                <w:lang w:val="en-US" w:eastAsia="zh-CN"/>
              </w:rPr>
              <w:t>4</w:t>
            </w:r>
          </w:p>
        </w:tc>
        <w:tc>
          <w:tcPr>
            <w:tcW w:w="642"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bCs/>
                <w:sz w:val="18"/>
                <w:szCs w:val="18"/>
                <w:lang w:val="en-US"/>
              </w:rPr>
              <w:t>139 (231)</w:t>
            </w:r>
            <w:r w:rsidRPr="00903ABC">
              <w:rPr>
                <w:rFonts w:ascii="Book Antiqua" w:hAnsi="Book Antiqua" w:cs="AdvPSPH-R"/>
                <w:bCs/>
                <w:sz w:val="18"/>
                <w:szCs w:val="18"/>
                <w:vertAlign w:val="superscript"/>
                <w:lang w:val="en-US" w:eastAsia="zh-CN"/>
              </w:rPr>
              <w:t>2</w:t>
            </w:r>
          </w:p>
        </w:tc>
        <w:tc>
          <w:tcPr>
            <w:tcW w:w="417"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rPr>
              <w:t>92 (17–2168)</w:t>
            </w:r>
            <w:r w:rsidRPr="00903ABC">
              <w:rPr>
                <w:rFonts w:ascii="Book Antiqua" w:hAnsi="Book Antiqua" w:cs="AdvPSPH-R"/>
                <w:sz w:val="18"/>
                <w:szCs w:val="18"/>
                <w:vertAlign w:val="superscript"/>
                <w:lang w:eastAsia="zh-CN"/>
              </w:rPr>
              <w:t>4</w:t>
            </w:r>
          </w:p>
        </w:tc>
        <w:tc>
          <w:tcPr>
            <w:tcW w:w="449" w:type="pct"/>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70 (8-2121)</w:t>
            </w:r>
            <w:r w:rsidRPr="00903ABC">
              <w:rPr>
                <w:rFonts w:ascii="Book Antiqua" w:hAnsi="Book Antiqua" w:cs="AdvPSPH-R"/>
                <w:sz w:val="18"/>
                <w:szCs w:val="18"/>
                <w:vertAlign w:val="superscript"/>
                <w:lang w:val="en-US" w:eastAsia="zh-CN"/>
              </w:rPr>
              <w:t>4</w:t>
            </w:r>
          </w:p>
        </w:tc>
      </w:tr>
      <w:tr w:rsidR="004C196A" w:rsidRPr="00903ABC" w:rsidTr="00903ABC">
        <w:tc>
          <w:tcPr>
            <w:tcW w:w="72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Cirrhosis</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26/329 (8)</w:t>
            </w:r>
          </w:p>
        </w:tc>
        <w:tc>
          <w:tcPr>
            <w:tcW w:w="49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15/303 (5)</w:t>
            </w:r>
          </w:p>
        </w:tc>
        <w:tc>
          <w:tcPr>
            <w:tcW w:w="49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0</w:t>
            </w:r>
            <w:r w:rsidRPr="00903ABC">
              <w:rPr>
                <w:rFonts w:ascii="Book Antiqua" w:hAnsi="Book Antiqua" w:cs="AdvPSMP1"/>
                <w:sz w:val="18"/>
                <w:szCs w:val="18"/>
                <w:vertAlign w:val="superscript"/>
                <w:lang w:val="en-US" w:eastAsia="zh-CN"/>
              </w:rPr>
              <w:t>7</w:t>
            </w:r>
          </w:p>
        </w:tc>
        <w:tc>
          <w:tcPr>
            <w:tcW w:w="48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57 (24)</w:t>
            </w:r>
          </w:p>
        </w:tc>
        <w:tc>
          <w:tcPr>
            <w:tcW w:w="374"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52 (34)</w:t>
            </w:r>
          </w:p>
        </w:tc>
        <w:tc>
          <w:tcPr>
            <w:tcW w:w="426"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202 (49)</w:t>
            </w:r>
          </w:p>
        </w:tc>
        <w:tc>
          <w:tcPr>
            <w:tcW w:w="64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38 (23)</w:t>
            </w:r>
          </w:p>
        </w:tc>
        <w:tc>
          <w:tcPr>
            <w:tcW w:w="417"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0</w:t>
            </w:r>
          </w:p>
        </w:tc>
        <w:tc>
          <w:tcPr>
            <w:tcW w:w="44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102 (22)</w:t>
            </w:r>
          </w:p>
        </w:tc>
      </w:tr>
    </w:tbl>
    <w:p w:rsidR="004C196A" w:rsidRPr="00260125" w:rsidRDefault="004C196A" w:rsidP="00260125">
      <w:pPr>
        <w:autoSpaceDE w:val="0"/>
        <w:autoSpaceDN w:val="0"/>
        <w:adjustRightInd w:val="0"/>
        <w:spacing w:after="0" w:line="360" w:lineRule="auto"/>
        <w:jc w:val="both"/>
        <w:rPr>
          <w:rFonts w:ascii="Book Antiqua" w:hAnsi="Book Antiqua"/>
          <w:sz w:val="24"/>
          <w:szCs w:val="24"/>
          <w:lang w:val="en-US" w:eastAsia="zh-CN"/>
        </w:rPr>
      </w:pP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9"/>
        <w:gridCol w:w="1249"/>
        <w:gridCol w:w="1249"/>
        <w:gridCol w:w="1249"/>
        <w:gridCol w:w="1249"/>
        <w:gridCol w:w="1249"/>
        <w:gridCol w:w="1249"/>
        <w:gridCol w:w="1249"/>
      </w:tblGrid>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 xml:space="preserve">Characteristic, </w:t>
            </w:r>
            <w:r w:rsidRPr="00903ABC">
              <w:rPr>
                <w:rFonts w:ascii="Book Antiqua" w:hAnsi="Book Antiqua"/>
                <w:i/>
                <w:sz w:val="18"/>
                <w:szCs w:val="18"/>
                <w:lang w:val="en-US"/>
              </w:rPr>
              <w:t>n</w:t>
            </w:r>
            <w:r w:rsidRPr="00903ABC">
              <w:rPr>
                <w:rFonts w:ascii="Book Antiqua" w:hAnsi="Book Antiqua"/>
                <w:sz w:val="18"/>
                <w:szCs w:val="18"/>
                <w:lang w:val="en-US"/>
              </w:rPr>
              <w:t xml:space="preserve"> (%)</w:t>
            </w:r>
            <w:r w:rsidRPr="00903ABC">
              <w:rPr>
                <w:rFonts w:ascii="Book Antiqua" w:hAnsi="Book Antiqua"/>
                <w:sz w:val="18"/>
                <w:szCs w:val="18"/>
                <w:vertAlign w:val="superscript"/>
                <w:lang w:val="en-US" w:eastAsia="zh-CN"/>
              </w:rPr>
              <w:t>1</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China cohort</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China cohort 2</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Taiwan cohort</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Taiwan cohort 2</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U</w:t>
            </w:r>
            <w:r w:rsidRPr="00903ABC">
              <w:rPr>
                <w:rFonts w:ascii="Book Antiqua" w:hAnsi="Book Antiqua"/>
                <w:sz w:val="18"/>
                <w:szCs w:val="18"/>
                <w:lang w:val="en-US" w:eastAsia="zh-CN"/>
              </w:rPr>
              <w:t xml:space="preserve">nited </w:t>
            </w:r>
            <w:r w:rsidRPr="00903ABC">
              <w:rPr>
                <w:rFonts w:ascii="Book Antiqua" w:hAnsi="Book Antiqua"/>
                <w:sz w:val="18"/>
                <w:szCs w:val="18"/>
                <w:lang w:val="en-US"/>
              </w:rPr>
              <w:t>S</w:t>
            </w:r>
            <w:r w:rsidRPr="00903ABC">
              <w:rPr>
                <w:rFonts w:ascii="Book Antiqua" w:hAnsi="Book Antiqua"/>
                <w:sz w:val="18"/>
                <w:szCs w:val="18"/>
                <w:lang w:val="en-US" w:eastAsia="zh-CN"/>
              </w:rPr>
              <w:t>tates</w:t>
            </w:r>
            <w:r w:rsidRPr="00903ABC">
              <w:rPr>
                <w:rFonts w:ascii="Book Antiqua" w:hAnsi="Book Antiqua"/>
                <w:sz w:val="18"/>
                <w:szCs w:val="18"/>
                <w:lang w:val="en-US"/>
              </w:rPr>
              <w:t xml:space="preserve"> cohort</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U</w:t>
            </w:r>
            <w:r w:rsidRPr="00903ABC">
              <w:rPr>
                <w:rFonts w:ascii="Book Antiqua" w:hAnsi="Book Antiqua"/>
                <w:sz w:val="18"/>
                <w:szCs w:val="18"/>
                <w:lang w:val="en-US" w:eastAsia="zh-CN"/>
              </w:rPr>
              <w:t xml:space="preserve">nited </w:t>
            </w:r>
            <w:r w:rsidRPr="00903ABC">
              <w:rPr>
                <w:rFonts w:ascii="Book Antiqua" w:hAnsi="Book Antiqua"/>
                <w:sz w:val="18"/>
                <w:szCs w:val="18"/>
                <w:lang w:val="en-US"/>
              </w:rPr>
              <w:t>S</w:t>
            </w:r>
            <w:r w:rsidRPr="00903ABC">
              <w:rPr>
                <w:rFonts w:ascii="Book Antiqua" w:hAnsi="Book Antiqua"/>
                <w:sz w:val="18"/>
                <w:szCs w:val="18"/>
                <w:lang w:val="en-US" w:eastAsia="zh-CN"/>
              </w:rPr>
              <w:t>tates</w:t>
            </w:r>
            <w:r w:rsidRPr="00903ABC">
              <w:rPr>
                <w:rFonts w:ascii="Book Antiqua" w:hAnsi="Book Antiqua"/>
                <w:sz w:val="18"/>
                <w:szCs w:val="18"/>
                <w:lang w:val="en-US"/>
              </w:rPr>
              <w:t xml:space="preserve"> cohort 2</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Australia</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Reference</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34</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35</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36</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37</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38</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39</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40</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i/>
                <w:sz w:val="18"/>
                <w:szCs w:val="18"/>
                <w:lang w:val="en-US"/>
              </w:rPr>
            </w:pPr>
            <w:r w:rsidRPr="00903ABC">
              <w:rPr>
                <w:rFonts w:ascii="Book Antiqua" w:hAnsi="Book Antiqua" w:cs="AdvPSPH-I"/>
                <w:i/>
                <w:sz w:val="18"/>
                <w:szCs w:val="18"/>
                <w:lang w:val="en-US"/>
              </w:rPr>
              <w:t>N</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230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1768</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98</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248</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169</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136</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163</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Age, </w:t>
            </w:r>
            <w:proofErr w:type="spellStart"/>
            <w:r w:rsidRPr="00903ABC">
              <w:rPr>
                <w:rFonts w:ascii="Book Antiqua" w:hAnsi="Book Antiqua"/>
                <w:sz w:val="18"/>
                <w:szCs w:val="18"/>
                <w:lang w:val="en-US"/>
              </w:rPr>
              <w:t>yr</w:t>
            </w:r>
            <w:proofErr w:type="spellEnd"/>
            <w:r w:rsidRPr="00903ABC">
              <w:rPr>
                <w:rFonts w:ascii="Book Antiqua" w:hAnsi="Book Antiqua"/>
                <w:sz w:val="18"/>
                <w:szCs w:val="18"/>
                <w:lang w:val="en-US"/>
              </w:rPr>
              <w:t xml:space="preserve"> (SD or range)</w:t>
            </w:r>
          </w:p>
        </w:tc>
        <w:tc>
          <w:tcPr>
            <w:tcW w:w="1249" w:type="dxa"/>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rPr>
              <w:t>42 (12)</w:t>
            </w:r>
            <w:r w:rsidRPr="00903ABC">
              <w:rPr>
                <w:rFonts w:ascii="Book Antiqua" w:hAnsi="Book Antiqua" w:cs="AdvPSMP1"/>
                <w:sz w:val="18"/>
                <w:szCs w:val="18"/>
                <w:vertAlign w:val="superscript"/>
                <w:lang w:val="en-US" w:eastAsia="zh-CN"/>
              </w:rPr>
              <w:t>2</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36 (16-70)</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48 (13)</w:t>
            </w:r>
            <w:r w:rsidRPr="00903ABC">
              <w:rPr>
                <w:rFonts w:ascii="Book Antiqua" w:hAnsi="Book Antiqua" w:cs="AdvPSMP1"/>
                <w:sz w:val="18"/>
                <w:szCs w:val="18"/>
                <w:vertAlign w:val="superscript"/>
                <w:lang w:val="en-US" w:eastAsia="zh-CN"/>
              </w:rPr>
              <w:t>2</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39 (17-77)</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39 (12)</w:t>
            </w:r>
            <w:r w:rsidRPr="00903ABC">
              <w:rPr>
                <w:rFonts w:ascii="Book Antiqua" w:hAnsi="Book Antiqua" w:cs="AdvPSMP1"/>
                <w:sz w:val="18"/>
                <w:szCs w:val="18"/>
                <w:vertAlign w:val="superscript"/>
                <w:lang w:val="en-US" w:eastAsia="zh-CN"/>
              </w:rPr>
              <w:t>2</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39 (12)</w:t>
            </w:r>
            <w:r w:rsidRPr="00903ABC">
              <w:rPr>
                <w:rFonts w:ascii="Book Antiqua" w:hAnsi="Book Antiqua" w:cs="AdvPSMP1"/>
                <w:sz w:val="18"/>
                <w:szCs w:val="18"/>
                <w:vertAlign w:val="superscript"/>
                <w:lang w:val="en-US" w:eastAsia="zh-CN"/>
              </w:rPr>
              <w:t>2</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52 (24-86)</w:t>
            </w:r>
            <w:r w:rsidRPr="00903ABC">
              <w:rPr>
                <w:rFonts w:ascii="Book Antiqua" w:hAnsi="Book Antiqua" w:cs="AdvPSPH-R"/>
                <w:sz w:val="18"/>
                <w:szCs w:val="18"/>
                <w:vertAlign w:val="superscript"/>
                <w:lang w:val="en-US" w:eastAsia="zh-CN"/>
              </w:rPr>
              <w:t>4</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Male</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rPr>
              <w:t>196 (85)</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1414 (80)</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67 (68)</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172 (69)</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100 (59)</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83 (61)</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113 (69)</w:t>
            </w:r>
          </w:p>
        </w:tc>
      </w:tr>
      <w:tr w:rsidR="004C196A" w:rsidRPr="00903ABC" w:rsidTr="00903ABC">
        <w:trPr>
          <w:trHeight w:val="908"/>
        </w:trPr>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Race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White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Asian</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Other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1768(100)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7(4)</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162 (96)</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10 (7)</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126 (93)</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Region</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Asia</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Asia</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Asia</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North America</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North America</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Oceania</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Genotype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B</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D</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(61)</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(39)</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(57)</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(41)</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proofErr w:type="spellStart"/>
            <w:r w:rsidRPr="00903ABC">
              <w:rPr>
                <w:rFonts w:ascii="Book Antiqua" w:hAnsi="Book Antiqua"/>
                <w:sz w:val="18"/>
                <w:szCs w:val="18"/>
                <w:lang w:val="en-US"/>
              </w:rPr>
              <w:t>HBeAg</w:t>
            </w:r>
            <w:proofErr w:type="spellEnd"/>
            <w:r w:rsidRPr="00903ABC">
              <w:rPr>
                <w:rFonts w:ascii="Book Antiqua" w:hAnsi="Book Antiqua"/>
                <w:sz w:val="18"/>
                <w:szCs w:val="18"/>
                <w:lang w:val="en-US"/>
              </w:rPr>
              <w:t xml:space="preserve"> negative</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117 (51)</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602 (34)</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57 (58)</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 (0)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 (0)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 (0)</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rPr>
              <w:t>10 (6.1)</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HBV DNA, log10 IU/</w:t>
            </w:r>
            <w:r w:rsidRPr="00903ABC">
              <w:rPr>
                <w:rFonts w:ascii="Book Antiqua" w:hAnsi="Book Antiqua"/>
                <w:sz w:val="18"/>
                <w:szCs w:val="18"/>
                <w:lang w:eastAsia="zh-CN"/>
              </w:rPr>
              <w:t>mL</w:t>
            </w:r>
            <w:r w:rsidRPr="00903ABC">
              <w:rPr>
                <w:rFonts w:ascii="Book Antiqua" w:hAnsi="Book Antiqua"/>
                <w:sz w:val="18"/>
                <w:szCs w:val="18"/>
                <w:vertAlign w:val="superscript"/>
                <w:lang w:eastAsia="zh-CN"/>
              </w:rPr>
              <w:t>1</w:t>
            </w:r>
          </w:p>
        </w:tc>
        <w:tc>
          <w:tcPr>
            <w:tcW w:w="1249" w:type="dxa"/>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rPr>
              <w:t>6.3 ± 1.4</w:t>
            </w:r>
            <w:r w:rsidRPr="00903ABC">
              <w:rPr>
                <w:rFonts w:ascii="Book Antiqua" w:hAnsi="Book Antiqua" w:cs="AdvPSMP1"/>
                <w:sz w:val="18"/>
                <w:szCs w:val="18"/>
                <w:vertAlign w:val="superscript"/>
                <w:lang w:val="en-US" w:eastAsia="zh-CN"/>
              </w:rPr>
              <w:t>3</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6.74 (1.04-9.69)</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cs="AdvOT303e83b8"/>
                <w:color w:val="231F20"/>
                <w:sz w:val="18"/>
                <w:szCs w:val="18"/>
              </w:rPr>
              <w:t xml:space="preserve">6.0 </w:t>
            </w:r>
            <w:r w:rsidRPr="00903ABC">
              <w:rPr>
                <w:rFonts w:ascii="Book Antiqua" w:hAnsi="Book Antiqua"/>
                <w:sz w:val="18"/>
                <w:szCs w:val="18"/>
              </w:rPr>
              <w:t>±</w:t>
            </w:r>
            <w:r w:rsidRPr="00903ABC">
              <w:rPr>
                <w:rFonts w:ascii="Book Antiqua" w:hAnsi="Book Antiqua" w:cs="AdvOT303e83b8"/>
                <w:color w:val="231F20"/>
                <w:sz w:val="18"/>
                <w:szCs w:val="18"/>
              </w:rPr>
              <w:t>1.5</w:t>
            </w:r>
            <w:r w:rsidRPr="00903ABC">
              <w:rPr>
                <w:rFonts w:ascii="Book Antiqua" w:hAnsi="Book Antiqua" w:cs="AdvPSMP1"/>
                <w:sz w:val="18"/>
                <w:szCs w:val="18"/>
                <w:vertAlign w:val="superscript"/>
                <w:lang w:val="en-US" w:eastAsia="zh-CN"/>
              </w:rPr>
              <w:t>3</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7.6 (2.2-13.1)</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7.58 (3.77–9.70)</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rPr>
            </w:pPr>
            <w:r w:rsidRPr="00903ABC">
              <w:rPr>
                <w:rFonts w:ascii="Book Antiqua" w:hAnsi="Book Antiqua" w:cs="AdvOT303e83b8"/>
                <w:color w:val="231F20"/>
                <w:sz w:val="18"/>
                <w:szCs w:val="18"/>
              </w:rPr>
              <w:t>7.48</w:t>
            </w:r>
          </w:p>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(3.8–9.9)</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rPr>
            </w:pPr>
            <w:r w:rsidRPr="00903ABC">
              <w:rPr>
                <w:rFonts w:ascii="Book Antiqua" w:hAnsi="Book Antiqua" w:cs="AdvOT303e83b8"/>
                <w:color w:val="231F20"/>
                <w:sz w:val="18"/>
                <w:szCs w:val="18"/>
              </w:rPr>
              <w:t>NR</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ALT, IU/L</w:t>
            </w:r>
            <w:r w:rsidRPr="00903ABC">
              <w:rPr>
                <w:rFonts w:ascii="Book Antiqua" w:hAnsi="Book Antiqua"/>
                <w:sz w:val="18"/>
                <w:szCs w:val="18"/>
                <w:vertAlign w:val="superscript"/>
                <w:lang w:eastAsia="zh-CN"/>
              </w:rPr>
              <w:t>1</w:t>
            </w:r>
          </w:p>
        </w:tc>
        <w:tc>
          <w:tcPr>
            <w:tcW w:w="1249" w:type="dxa"/>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68(3-2631)</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NR</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138 (21–4190)</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201 (27-2415)</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62 (14–839)</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lang w:eastAsia="zh-CN"/>
              </w:rPr>
            </w:pPr>
            <w:r w:rsidRPr="00903ABC">
              <w:rPr>
                <w:rFonts w:ascii="Book Antiqua" w:hAnsi="Book Antiqua" w:cs="AdvOT303e83b8"/>
                <w:color w:val="231F20"/>
                <w:sz w:val="18"/>
                <w:szCs w:val="18"/>
              </w:rPr>
              <w:t>67 (14–1077)</w:t>
            </w:r>
            <w:r w:rsidRPr="00903ABC">
              <w:rPr>
                <w:rFonts w:ascii="Book Antiqua" w:hAnsi="Book Antiqua" w:cs="AdvPSPH-R"/>
                <w:sz w:val="18"/>
                <w:szCs w:val="18"/>
                <w:vertAlign w:val="superscript"/>
                <w:lang w:val="en-US" w:eastAsia="zh-CN"/>
              </w:rPr>
              <w:t>4</w:t>
            </w:r>
          </w:p>
        </w:tc>
        <w:tc>
          <w:tcPr>
            <w:tcW w:w="1249" w:type="dxa"/>
          </w:tcPr>
          <w:p w:rsidR="004C196A" w:rsidRPr="00903ABC" w:rsidRDefault="004C196A" w:rsidP="00903ABC">
            <w:pPr>
              <w:spacing w:after="0" w:line="360" w:lineRule="auto"/>
              <w:jc w:val="both"/>
              <w:rPr>
                <w:rFonts w:ascii="Book Antiqua" w:hAnsi="Book Antiqua" w:cs="AdvOT303e83b8"/>
                <w:color w:val="231F20"/>
                <w:sz w:val="18"/>
                <w:szCs w:val="18"/>
              </w:rPr>
            </w:pPr>
            <w:r w:rsidRPr="00903ABC">
              <w:rPr>
                <w:rFonts w:ascii="Book Antiqua" w:hAnsi="Book Antiqua" w:cs="AdvOT303e83b8"/>
                <w:color w:val="231F20"/>
                <w:sz w:val="18"/>
                <w:szCs w:val="18"/>
              </w:rPr>
              <w:t>NR</w:t>
            </w:r>
          </w:p>
        </w:tc>
      </w:tr>
      <w:tr w:rsidR="004C196A" w:rsidRPr="00903ABC" w:rsidTr="00903AB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Cirrhosis</w:t>
            </w:r>
          </w:p>
        </w:tc>
        <w:tc>
          <w:tcPr>
            <w:tcW w:w="1249" w:type="dxa"/>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rPr>
              <w:t>74 (32)</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NR</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13 (14)</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39 (16)</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NR</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NR</w:t>
            </w:r>
          </w:p>
        </w:tc>
        <w:tc>
          <w:tcPr>
            <w:tcW w:w="1249" w:type="dxa"/>
          </w:tcPr>
          <w:p w:rsidR="004C196A" w:rsidRPr="00903ABC" w:rsidRDefault="004C196A" w:rsidP="00903ABC">
            <w:pPr>
              <w:spacing w:after="0" w:line="360" w:lineRule="auto"/>
              <w:jc w:val="both"/>
              <w:rPr>
                <w:rFonts w:ascii="Book Antiqua" w:hAnsi="Book Antiqua"/>
                <w:sz w:val="18"/>
                <w:szCs w:val="18"/>
              </w:rPr>
            </w:pPr>
            <w:r w:rsidRPr="00903ABC">
              <w:rPr>
                <w:rFonts w:ascii="Book Antiqua" w:hAnsi="Book Antiqua"/>
                <w:sz w:val="18"/>
                <w:szCs w:val="18"/>
              </w:rPr>
              <w:t>26(16)</w:t>
            </w:r>
          </w:p>
        </w:tc>
      </w:tr>
    </w:tbl>
    <w:p w:rsidR="004C196A" w:rsidRPr="00134D1D" w:rsidRDefault="004C196A" w:rsidP="00240253">
      <w:pPr>
        <w:autoSpaceDE w:val="0"/>
        <w:autoSpaceDN w:val="0"/>
        <w:adjustRightInd w:val="0"/>
        <w:spacing w:after="0" w:line="360" w:lineRule="auto"/>
        <w:jc w:val="both"/>
        <w:rPr>
          <w:rFonts w:ascii="Book Antiqua" w:hAnsi="Book Antiqua" w:cs="AdvPSPH-R"/>
          <w:b/>
          <w:sz w:val="24"/>
          <w:szCs w:val="24"/>
          <w:lang w:val="en-US" w:eastAsia="zh-CN"/>
        </w:rPr>
      </w:pPr>
      <w:r w:rsidRPr="004143DD">
        <w:rPr>
          <w:rFonts w:ascii="Book Antiqua" w:hAnsi="Book Antiqua" w:cs="AdvPSPH-R"/>
          <w:b/>
          <w:sz w:val="24"/>
          <w:szCs w:val="24"/>
          <w:lang w:val="en-US"/>
        </w:rPr>
        <w:t>Table 1</w:t>
      </w:r>
      <w:r>
        <w:rPr>
          <w:rFonts w:ascii="Book Antiqua" w:hAnsi="Book Antiqua" w:cs="AdvPSPH-R"/>
          <w:b/>
          <w:sz w:val="24"/>
          <w:szCs w:val="24"/>
          <w:lang w:val="en-US"/>
        </w:rPr>
        <w:t xml:space="preserve"> </w:t>
      </w:r>
      <w:r w:rsidRPr="00134D1D">
        <w:rPr>
          <w:rFonts w:ascii="Book Antiqua" w:hAnsi="Book Antiqua" w:cs="AdvPSPH-R"/>
          <w:b/>
          <w:sz w:val="24"/>
          <w:szCs w:val="24"/>
          <w:lang w:val="en-US"/>
        </w:rPr>
        <w:t xml:space="preserve">Baseline characteristics of patients included in </w:t>
      </w:r>
      <w:proofErr w:type="spellStart"/>
      <w:r w:rsidRPr="00134D1D">
        <w:rPr>
          <w:rFonts w:ascii="Book Antiqua" w:hAnsi="Book Antiqua" w:cs="AdvPSPH-R"/>
          <w:b/>
          <w:sz w:val="24"/>
          <w:szCs w:val="24"/>
          <w:lang w:val="en-US"/>
        </w:rPr>
        <w:t>entecavir</w:t>
      </w:r>
      <w:proofErr w:type="spellEnd"/>
      <w:r>
        <w:rPr>
          <w:rFonts w:ascii="Book Antiqua" w:hAnsi="Book Antiqua" w:cs="AdvPSPH-R"/>
          <w:b/>
          <w:sz w:val="24"/>
          <w:szCs w:val="24"/>
          <w:lang w:val="en-US"/>
        </w:rPr>
        <w:t xml:space="preserve"> </w:t>
      </w:r>
      <w:proofErr w:type="gramStart"/>
      <w:r w:rsidRPr="00134D1D">
        <w:rPr>
          <w:rFonts w:ascii="Book Antiqua" w:hAnsi="Book Antiqua" w:cs="AdvPSPH-R"/>
          <w:b/>
          <w:sz w:val="24"/>
          <w:szCs w:val="24"/>
          <w:lang w:val="en-US"/>
        </w:rPr>
        <w:t>studies</w:t>
      </w:r>
      <w:r>
        <w:rPr>
          <w:rFonts w:ascii="Book Antiqua" w:hAnsi="Book Antiqua" w:cs="AdvPSPH-R"/>
          <w:b/>
          <w:sz w:val="24"/>
          <w:szCs w:val="24"/>
          <w:vertAlign w:val="superscript"/>
          <w:lang w:val="en-US" w:eastAsia="zh-CN"/>
        </w:rPr>
        <w:t>[</w:t>
      </w:r>
      <w:proofErr w:type="gramEnd"/>
      <w:r>
        <w:rPr>
          <w:rFonts w:ascii="Book Antiqua" w:hAnsi="Book Antiqua" w:cs="AdvPSPH-R"/>
          <w:b/>
          <w:sz w:val="24"/>
          <w:szCs w:val="24"/>
          <w:vertAlign w:val="superscript"/>
          <w:lang w:val="en-US" w:eastAsia="zh-CN"/>
        </w:rPr>
        <w:t>21</w:t>
      </w:r>
      <w:r w:rsidRPr="00134D1D">
        <w:rPr>
          <w:rFonts w:ascii="Book Antiqua" w:hAnsi="Book Antiqua" w:cs="AdvPSPH-R"/>
          <w:b/>
          <w:sz w:val="24"/>
          <w:szCs w:val="24"/>
          <w:vertAlign w:val="superscript"/>
          <w:lang w:val="en-US" w:eastAsia="zh-CN"/>
        </w:rPr>
        <w:t>]</w:t>
      </w:r>
    </w:p>
    <w:p w:rsidR="004C196A" w:rsidRPr="00240253"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r w:rsidRPr="00DA0163">
        <w:rPr>
          <w:rFonts w:ascii="Book Antiqua" w:hAnsi="Book Antiqua" w:cs="AdvPSPH-R"/>
          <w:sz w:val="24"/>
          <w:szCs w:val="24"/>
          <w:vertAlign w:val="superscript"/>
          <w:lang w:val="en-US" w:eastAsia="zh-CN"/>
        </w:rPr>
        <w:lastRenderedPageBreak/>
        <w:t>1</w:t>
      </w:r>
      <w:r w:rsidRPr="00260125">
        <w:rPr>
          <w:rFonts w:ascii="Book Antiqua" w:hAnsi="Book Antiqua" w:cs="AdvPSPH-R"/>
          <w:sz w:val="24"/>
          <w:szCs w:val="24"/>
          <w:lang w:val="en-US"/>
        </w:rPr>
        <w:t>Unless otherwise specified</w:t>
      </w:r>
      <w:r>
        <w:rPr>
          <w:rFonts w:ascii="Book Antiqua" w:hAnsi="Book Antiqua" w:cs="AdvPSPH-R"/>
          <w:sz w:val="24"/>
          <w:szCs w:val="24"/>
          <w:lang w:val="en-US" w:eastAsia="zh-CN"/>
        </w:rPr>
        <w:t xml:space="preserve">; </w:t>
      </w:r>
      <w:r w:rsidRPr="00DA0163">
        <w:rPr>
          <w:rFonts w:ascii="Book Antiqua" w:hAnsi="Book Antiqua" w:cs="AdvPSMP1"/>
          <w:sz w:val="24"/>
          <w:szCs w:val="24"/>
          <w:vertAlign w:val="superscript"/>
          <w:lang w:val="en-US" w:eastAsia="zh-CN"/>
        </w:rPr>
        <w:t>2</w:t>
      </w:r>
      <w:r w:rsidRPr="00260125">
        <w:rPr>
          <w:rFonts w:ascii="Book Antiqua" w:hAnsi="Book Antiqua" w:cs="AdvPSPH-R"/>
          <w:sz w:val="24"/>
          <w:szCs w:val="24"/>
          <w:lang w:val="en-US"/>
        </w:rPr>
        <w:t>Mean (standard deviation)</w:t>
      </w:r>
      <w:r>
        <w:rPr>
          <w:rFonts w:ascii="Book Antiqua" w:hAnsi="Book Antiqua" w:cs="AdvPSPH-R"/>
          <w:sz w:val="24"/>
          <w:szCs w:val="24"/>
          <w:lang w:val="en-US" w:eastAsia="zh-CN"/>
        </w:rPr>
        <w:t xml:space="preserve">; </w:t>
      </w:r>
      <w:r w:rsidRPr="00726E97">
        <w:rPr>
          <w:rFonts w:ascii="Book Antiqua" w:hAnsi="Book Antiqua" w:cs="AdvPSMP1"/>
          <w:sz w:val="24"/>
          <w:szCs w:val="24"/>
          <w:vertAlign w:val="superscript"/>
          <w:lang w:val="en-US" w:eastAsia="zh-CN"/>
        </w:rPr>
        <w:t>3</w:t>
      </w:r>
      <w:r w:rsidRPr="00260125">
        <w:rPr>
          <w:rFonts w:ascii="Book Antiqua" w:hAnsi="Book Antiqua" w:cs="AdvPSPH-R"/>
          <w:sz w:val="24"/>
          <w:szCs w:val="24"/>
          <w:lang w:val="en-US"/>
        </w:rPr>
        <w:t>Median (interquartile range)</w:t>
      </w:r>
      <w:r>
        <w:rPr>
          <w:rFonts w:ascii="Book Antiqua" w:hAnsi="Book Antiqua" w:cs="AdvPSPH-R"/>
          <w:sz w:val="24"/>
          <w:szCs w:val="24"/>
          <w:lang w:val="en-US" w:eastAsia="zh-CN"/>
        </w:rPr>
        <w:t xml:space="preserve">; </w:t>
      </w:r>
      <w:r w:rsidRPr="0038797C">
        <w:rPr>
          <w:rFonts w:ascii="Book Antiqua" w:hAnsi="Book Antiqua" w:cs="AdvPSPH-R"/>
          <w:sz w:val="24"/>
          <w:szCs w:val="24"/>
          <w:vertAlign w:val="superscript"/>
          <w:lang w:val="en-US" w:eastAsia="zh-CN"/>
        </w:rPr>
        <w:t>4</w:t>
      </w:r>
      <w:r w:rsidRPr="00260125">
        <w:rPr>
          <w:rFonts w:ascii="Book Antiqua" w:hAnsi="Book Antiqua" w:cs="AdvPSPH-R"/>
          <w:sz w:val="24"/>
          <w:szCs w:val="24"/>
          <w:lang w:val="en-US"/>
        </w:rPr>
        <w:t>Median (range)</w:t>
      </w:r>
      <w:r>
        <w:rPr>
          <w:rFonts w:ascii="Book Antiqua" w:hAnsi="Book Antiqua" w:cs="AdvPSPH-R"/>
          <w:sz w:val="24"/>
          <w:szCs w:val="24"/>
          <w:lang w:val="en-US" w:eastAsia="zh-CN"/>
        </w:rPr>
        <w:t xml:space="preserve">; </w:t>
      </w:r>
      <w:r w:rsidRPr="003B3FBB">
        <w:rPr>
          <w:rFonts w:ascii="Book Antiqua" w:hAnsi="Book Antiqua" w:cs="AdvPSPH-R"/>
          <w:sz w:val="24"/>
          <w:szCs w:val="24"/>
          <w:vertAlign w:val="superscript"/>
          <w:lang w:val="en-US" w:eastAsia="zh-CN"/>
        </w:rPr>
        <w:t>5</w:t>
      </w:r>
      <w:r w:rsidRPr="00260125">
        <w:rPr>
          <w:rFonts w:ascii="Book Antiqua" w:hAnsi="Book Antiqua" w:cs="AdvPSPH-R"/>
          <w:sz w:val="24"/>
          <w:szCs w:val="24"/>
          <w:lang w:val="en-US"/>
        </w:rPr>
        <w:t>log10 copies/mL</w:t>
      </w:r>
      <w:r>
        <w:rPr>
          <w:rFonts w:ascii="Book Antiqua" w:hAnsi="Book Antiqua" w:cs="AdvPSPH-R"/>
          <w:sz w:val="24"/>
          <w:szCs w:val="24"/>
          <w:lang w:val="en-US" w:eastAsia="zh-CN"/>
        </w:rPr>
        <w:t xml:space="preserve">; </w:t>
      </w:r>
      <w:r w:rsidRPr="003B3FBB">
        <w:rPr>
          <w:rFonts w:ascii="Book Antiqua" w:hAnsi="Book Antiqua" w:cs="AdvPSPH-R"/>
          <w:sz w:val="24"/>
          <w:szCs w:val="24"/>
          <w:vertAlign w:val="superscript"/>
          <w:lang w:val="en-US" w:eastAsia="zh-CN"/>
        </w:rPr>
        <w:t>6</w:t>
      </w:r>
      <w:r w:rsidRPr="00260125">
        <w:rPr>
          <w:rFonts w:ascii="Book Antiqua" w:hAnsi="Book Antiqua" w:cs="AdvPSPH-R"/>
          <w:sz w:val="24"/>
          <w:szCs w:val="24"/>
          <w:lang w:val="en-US"/>
        </w:rPr>
        <w:t>Mean (standard error)</w:t>
      </w:r>
      <w:r>
        <w:rPr>
          <w:rFonts w:ascii="Book Antiqua" w:hAnsi="Book Antiqua" w:cs="AdvPSPH-R"/>
          <w:sz w:val="24"/>
          <w:szCs w:val="24"/>
          <w:lang w:val="en-US" w:eastAsia="zh-CN"/>
        </w:rPr>
        <w:t xml:space="preserve">; </w:t>
      </w:r>
      <w:r w:rsidRPr="003B3FBB">
        <w:rPr>
          <w:rFonts w:ascii="Book Antiqua" w:hAnsi="Book Antiqua" w:cs="AdvPSMP1"/>
          <w:sz w:val="24"/>
          <w:szCs w:val="24"/>
          <w:vertAlign w:val="superscript"/>
          <w:lang w:val="en-US" w:eastAsia="zh-CN"/>
        </w:rPr>
        <w:t>7</w:t>
      </w:r>
      <w:r w:rsidRPr="00260125">
        <w:rPr>
          <w:rFonts w:ascii="Book Antiqua" w:hAnsi="Book Antiqua" w:cs="AdvPSPH-R"/>
          <w:sz w:val="24"/>
          <w:szCs w:val="24"/>
          <w:lang w:val="en-US"/>
        </w:rPr>
        <w:t>Advanced fibrosis in 34%.</w:t>
      </w:r>
      <w:r>
        <w:rPr>
          <w:rFonts w:ascii="Book Antiqua" w:hAnsi="Book Antiqua" w:cs="AdvPSPH-R"/>
          <w:sz w:val="24"/>
          <w:szCs w:val="24"/>
          <w:lang w:val="en-US" w:eastAsia="zh-CN"/>
        </w:rPr>
        <w:t xml:space="preserve"> </w:t>
      </w:r>
      <w:r w:rsidRPr="00260125">
        <w:rPr>
          <w:rFonts w:ascii="Book Antiqua" w:hAnsi="Book Antiqua" w:cs="AdvPSPH-R"/>
          <w:sz w:val="24"/>
          <w:szCs w:val="24"/>
          <w:lang w:val="en-US"/>
        </w:rPr>
        <w:t>ALT</w:t>
      </w:r>
      <w:r>
        <w:rPr>
          <w:rFonts w:ascii="Book Antiqua" w:hAnsi="Book Antiqua" w:cs="AdvPSPH-R"/>
          <w:sz w:val="24"/>
          <w:szCs w:val="24"/>
          <w:lang w:val="en-US" w:eastAsia="zh-CN"/>
        </w:rPr>
        <w:t>: A</w:t>
      </w:r>
      <w:r w:rsidRPr="00260125">
        <w:rPr>
          <w:rFonts w:ascii="Book Antiqua" w:hAnsi="Book Antiqua" w:cs="AdvPSPH-R"/>
          <w:sz w:val="24"/>
          <w:szCs w:val="24"/>
          <w:lang w:val="en-US"/>
        </w:rPr>
        <w:t>lanine transaminase; NR</w:t>
      </w:r>
      <w:r>
        <w:rPr>
          <w:rFonts w:ascii="Book Antiqua" w:hAnsi="Book Antiqua" w:cs="AdvPSPH-R"/>
          <w:sz w:val="24"/>
          <w:szCs w:val="24"/>
          <w:lang w:val="en-US" w:eastAsia="zh-CN"/>
        </w:rPr>
        <w:t>: N</w:t>
      </w:r>
      <w:r w:rsidRPr="00260125">
        <w:rPr>
          <w:rFonts w:ascii="Book Antiqua" w:hAnsi="Book Antiqua" w:cs="AdvPSPH-R"/>
          <w:sz w:val="24"/>
          <w:szCs w:val="24"/>
          <w:lang w:val="en-US"/>
        </w:rPr>
        <w:t>ot reported; NUC</w:t>
      </w:r>
      <w:r>
        <w:rPr>
          <w:rFonts w:ascii="Book Antiqua" w:hAnsi="Book Antiqua" w:cs="AdvPSPH-R"/>
          <w:sz w:val="24"/>
          <w:szCs w:val="24"/>
          <w:lang w:val="en-US" w:eastAsia="zh-CN"/>
        </w:rPr>
        <w:t xml:space="preserve">: </w:t>
      </w:r>
      <w:proofErr w:type="spellStart"/>
      <w:proofErr w:type="gramStart"/>
      <w:r>
        <w:rPr>
          <w:rFonts w:ascii="Book Antiqua" w:hAnsi="Book Antiqua" w:cs="AdvPSPH-R"/>
          <w:sz w:val="24"/>
          <w:szCs w:val="24"/>
          <w:lang w:val="en-US" w:eastAsia="zh-CN"/>
        </w:rPr>
        <w:t>N</w:t>
      </w:r>
      <w:r w:rsidRPr="00260125">
        <w:rPr>
          <w:rFonts w:ascii="Book Antiqua" w:hAnsi="Book Antiqua" w:cs="AdvPSPH-R"/>
          <w:sz w:val="24"/>
          <w:szCs w:val="24"/>
          <w:lang w:val="en-US"/>
        </w:rPr>
        <w:t>ucleos</w:t>
      </w:r>
      <w:proofErr w:type="spellEnd"/>
      <w:r w:rsidRPr="00260125">
        <w:rPr>
          <w:rFonts w:ascii="Book Antiqua" w:hAnsi="Book Antiqua" w:cs="AdvPSPH-R"/>
          <w:sz w:val="24"/>
          <w:szCs w:val="24"/>
          <w:lang w:val="en-US"/>
        </w:rPr>
        <w:t>(</w:t>
      </w:r>
      <w:proofErr w:type="gramEnd"/>
      <w:r w:rsidRPr="00260125">
        <w:rPr>
          <w:rFonts w:ascii="Book Antiqua" w:hAnsi="Book Antiqua" w:cs="AdvPSPH-R"/>
          <w:sz w:val="24"/>
          <w:szCs w:val="24"/>
          <w:lang w:val="en-US"/>
        </w:rPr>
        <w:t>t)ide analogue; VIRGIL</w:t>
      </w:r>
      <w:r>
        <w:rPr>
          <w:rFonts w:ascii="Book Antiqua" w:hAnsi="Book Antiqua" w:cs="AdvPSPH-R"/>
          <w:sz w:val="24"/>
          <w:szCs w:val="24"/>
          <w:lang w:val="en-US" w:eastAsia="zh-CN"/>
        </w:rPr>
        <w:t>:</w:t>
      </w:r>
      <w:r w:rsidRPr="00260125">
        <w:rPr>
          <w:rFonts w:ascii="Book Antiqua" w:hAnsi="Book Antiqua" w:cs="AdvPSPH-R"/>
          <w:sz w:val="24"/>
          <w:szCs w:val="24"/>
          <w:lang w:val="en-US"/>
        </w:rPr>
        <w:t xml:space="preserve"> Vigi</w:t>
      </w:r>
      <w:r>
        <w:rPr>
          <w:rFonts w:ascii="Book Antiqua" w:hAnsi="Book Antiqua" w:cs="AdvPSPH-R"/>
          <w:sz w:val="24"/>
          <w:szCs w:val="24"/>
          <w:lang w:val="en-US"/>
        </w:rPr>
        <w:t xml:space="preserve">lance against </w:t>
      </w:r>
      <w:r>
        <w:rPr>
          <w:rFonts w:ascii="Book Antiqua" w:hAnsi="Book Antiqua" w:cs="AdvPSPH-R"/>
          <w:sz w:val="24"/>
          <w:szCs w:val="24"/>
          <w:lang w:val="en-US" w:eastAsia="zh-CN"/>
        </w:rPr>
        <w:t>v</w:t>
      </w:r>
      <w:r>
        <w:rPr>
          <w:rFonts w:ascii="Book Antiqua" w:hAnsi="Book Antiqua" w:cs="AdvPSPH-R"/>
          <w:sz w:val="24"/>
          <w:szCs w:val="24"/>
          <w:lang w:val="en-US"/>
        </w:rPr>
        <w:t xml:space="preserve">iral </w:t>
      </w:r>
      <w:r>
        <w:rPr>
          <w:rFonts w:ascii="Book Antiqua" w:hAnsi="Book Antiqua" w:cs="AdvPSPH-R"/>
          <w:sz w:val="24"/>
          <w:szCs w:val="24"/>
          <w:lang w:val="en-US" w:eastAsia="zh-CN"/>
        </w:rPr>
        <w:t>r</w:t>
      </w:r>
      <w:r>
        <w:rPr>
          <w:rFonts w:ascii="Book Antiqua" w:hAnsi="Book Antiqua" w:cs="AdvPSPH-R"/>
          <w:sz w:val="24"/>
          <w:szCs w:val="24"/>
          <w:lang w:val="en-US"/>
        </w:rPr>
        <w:t>esistance</w:t>
      </w:r>
      <w:r>
        <w:rPr>
          <w:rFonts w:ascii="Book Antiqua" w:hAnsi="Book Antiqua" w:cs="AdvPSPH-R"/>
          <w:sz w:val="24"/>
          <w:szCs w:val="24"/>
          <w:lang w:val="en-US" w:eastAsia="zh-CN"/>
        </w:rPr>
        <w:t xml:space="preserve">; </w:t>
      </w:r>
      <w:r w:rsidRPr="00260125">
        <w:rPr>
          <w:rFonts w:ascii="Book Antiqua" w:hAnsi="Book Antiqua" w:cs="AdvPSPH-R"/>
          <w:sz w:val="24"/>
          <w:szCs w:val="24"/>
          <w:lang w:val="en-US"/>
        </w:rPr>
        <w:t>ETV</w:t>
      </w:r>
      <w:r>
        <w:rPr>
          <w:rFonts w:ascii="Book Antiqua" w:hAnsi="Book Antiqua" w:cs="AdvPSPH-R"/>
          <w:sz w:val="24"/>
          <w:szCs w:val="24"/>
          <w:lang w:val="en-US" w:eastAsia="zh-CN"/>
        </w:rPr>
        <w:t xml:space="preserve">: </w:t>
      </w:r>
      <w:proofErr w:type="spellStart"/>
      <w:r>
        <w:rPr>
          <w:rFonts w:ascii="Book Antiqua" w:hAnsi="Book Antiqua" w:cs="AdvPSPH-R"/>
          <w:sz w:val="24"/>
          <w:szCs w:val="24"/>
          <w:lang w:val="en-US" w:eastAsia="zh-CN"/>
        </w:rPr>
        <w:t>E</w:t>
      </w:r>
      <w:r w:rsidRPr="00260125">
        <w:rPr>
          <w:rFonts w:ascii="Book Antiqua" w:hAnsi="Book Antiqua" w:cs="AdvPSPH-R"/>
          <w:sz w:val="24"/>
          <w:szCs w:val="24"/>
          <w:lang w:val="en-US"/>
        </w:rPr>
        <w:t>ntecavir</w:t>
      </w:r>
      <w:proofErr w:type="spellEnd"/>
      <w:r>
        <w:rPr>
          <w:rFonts w:ascii="Book Antiqua" w:hAnsi="Book Antiqua" w:cs="AdvPSPH-R"/>
          <w:sz w:val="24"/>
          <w:szCs w:val="24"/>
          <w:lang w:val="en-US" w:eastAsia="zh-CN"/>
        </w:rPr>
        <w:t>.</w:t>
      </w:r>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br w:type="page"/>
      </w:r>
    </w:p>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1163"/>
        <w:gridCol w:w="1156"/>
        <w:gridCol w:w="1139"/>
        <w:gridCol w:w="1458"/>
        <w:gridCol w:w="1638"/>
        <w:gridCol w:w="1181"/>
      </w:tblGrid>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Study [ref]</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Median follow-up (range)</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No.</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patients</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Cut-off (assay</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limit) (IU/mL)</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HBV DNA</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undetectable,</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HBeAg</w:t>
            </w:r>
            <w:proofErr w:type="spellEnd"/>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seroconversion</w:t>
            </w:r>
            <w:proofErr w:type="spellEnd"/>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MP1"/>
                <w:sz w:val="18"/>
                <w:szCs w:val="18"/>
                <w:lang w:val="en-US" w:eastAsia="zh-CN"/>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r w:rsidRPr="00903ABC">
              <w:rPr>
                <w:rFonts w:ascii="Book Antiqua" w:hAnsi="Book Antiqua" w:cs="AdvPSMP1"/>
                <w:sz w:val="18"/>
                <w:szCs w:val="18"/>
                <w:vertAlign w:val="superscript"/>
                <w:lang w:val="en-US" w:eastAsia="zh-CN"/>
              </w:rPr>
              <w:t>3</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HBsAg</w:t>
            </w:r>
            <w:proofErr w:type="spellEnd"/>
            <w:r w:rsidRPr="00903ABC">
              <w:rPr>
                <w:rFonts w:ascii="Book Antiqua" w:hAnsi="Book Antiqua" w:cs="AdvPSPH-R"/>
                <w:sz w:val="18"/>
                <w:szCs w:val="18"/>
                <w:lang w:val="en-US"/>
              </w:rPr>
              <w:t xml:space="preserve"> loss,</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ORIENTE </w:t>
            </w:r>
            <w:r w:rsidRPr="00903ABC">
              <w:rPr>
                <w:rFonts w:ascii="Book Antiqua" w:hAnsi="Book Antiqua" w:cs="AdvPSPH-R"/>
                <w:sz w:val="18"/>
                <w:szCs w:val="18"/>
                <w:vertAlign w:val="superscript"/>
                <w:lang w:val="en-US" w:eastAsia="zh-CN"/>
              </w:rPr>
              <w:t>[22]</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52 </w:t>
            </w:r>
            <w:proofErr w:type="spellStart"/>
            <w:r w:rsidRPr="00903ABC">
              <w:rPr>
                <w:rFonts w:ascii="Book Antiqua" w:hAnsi="Book Antiqua" w:cs="AdvPSPH-R"/>
                <w:sz w:val="18"/>
                <w:szCs w:val="18"/>
                <w:lang w:val="en-US"/>
              </w:rPr>
              <w:t>wk</w:t>
            </w:r>
            <w:proofErr w:type="spellEnd"/>
            <w:r w:rsidRPr="00903ABC">
              <w:rPr>
                <w:rFonts w:ascii="Book Antiqua" w:hAnsi="Book Antiqua" w:cs="AdvPSPH-R"/>
                <w:sz w:val="18"/>
                <w:szCs w:val="18"/>
                <w:lang w:val="en-US"/>
              </w:rPr>
              <w:t xml:space="preserve"> (46–53)</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190</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82 (115/141)</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21 (12/57)</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 (2/190)</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VIRGIL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23</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19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 xml:space="preserve"> (3–45)</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243</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74 (126/171)</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15 (13/86)</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 (3/243)</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King</w:t>
            </w:r>
            <w:r w:rsidRPr="00903ABC">
              <w:rPr>
                <w:rFonts w:ascii="Book Antiqua" w:hAnsi="Book Antiqua" w:cs="AdvPSMP1"/>
                <w:sz w:val="18"/>
                <w:szCs w:val="18"/>
                <w:lang w:val="en-US"/>
              </w:rPr>
              <w:t>’</w:t>
            </w:r>
            <w:r w:rsidRPr="00903ABC">
              <w:rPr>
                <w:rFonts w:ascii="Book Antiqua" w:hAnsi="Book Antiqua" w:cs="AdvPSPH-R"/>
                <w:sz w:val="18"/>
                <w:szCs w:val="18"/>
                <w:lang w:val="en-US"/>
              </w:rPr>
              <w:t xml:space="preserve">s College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24</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28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 xml:space="preserve"> (NR)</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154</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 (NR)</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 (NR)</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Italian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25</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58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 xml:space="preserve"> (2–80)</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418</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99 (93/94)</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52</w:t>
            </w:r>
            <w:r w:rsidRPr="00903ABC">
              <w:rPr>
                <w:rFonts w:ascii="Book Antiqua" w:hAnsi="Book Antiqua" w:cs="AdvPSPH-R"/>
                <w:sz w:val="18"/>
                <w:szCs w:val="18"/>
                <w:vertAlign w:val="superscript"/>
                <w:lang w:val="en-US" w:eastAsia="zh-CN"/>
              </w:rPr>
              <w:t>7</w:t>
            </w:r>
            <w:r w:rsidRPr="00903ABC">
              <w:rPr>
                <w:rFonts w:ascii="Book Antiqua" w:hAnsi="Book Antiqua" w:cs="AdvPSPH-R"/>
                <w:sz w:val="18"/>
                <w:szCs w:val="18"/>
                <w:lang w:val="en-US"/>
              </w:rPr>
              <w:t xml:space="preserve"> (31 patients)</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33</w:t>
            </w:r>
            <w:r w:rsidRPr="00903ABC">
              <w:rPr>
                <w:rFonts w:ascii="Book Antiqua" w:hAnsi="Book Antiqua" w:cs="AdvPSPH-R"/>
                <w:sz w:val="18"/>
                <w:szCs w:val="18"/>
                <w:vertAlign w:val="superscript"/>
                <w:lang w:val="en-US" w:eastAsia="zh-CN"/>
              </w:rPr>
              <w:t>7</w:t>
            </w:r>
            <w:r w:rsidRPr="00903ABC">
              <w:rPr>
                <w:rFonts w:ascii="Book Antiqua" w:hAnsi="Book Antiqua" w:cs="AdvPSPH-R"/>
                <w:sz w:val="18"/>
                <w:szCs w:val="18"/>
                <w:lang w:val="en-US"/>
              </w:rPr>
              <w:t xml:space="preserve"> (15 patients)</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Argentinean cohort </w:t>
            </w:r>
            <w:r w:rsidRPr="00903ABC">
              <w:rPr>
                <w:rFonts w:ascii="Book Antiqua" w:hAnsi="Book Antiqua" w:cs="AdvPSPH-R"/>
                <w:sz w:val="18"/>
                <w:szCs w:val="18"/>
                <w:vertAlign w:val="superscript"/>
                <w:lang w:val="en-US" w:eastAsia="zh-CN"/>
              </w:rPr>
              <w:t>[29]</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181 </w:t>
            </w:r>
            <w:proofErr w:type="spellStart"/>
            <w:r w:rsidRPr="00903ABC">
              <w:rPr>
                <w:rFonts w:ascii="Book Antiqua" w:hAnsi="Book Antiqua" w:cs="AdvPSPH-R"/>
                <w:sz w:val="18"/>
                <w:szCs w:val="18"/>
                <w:lang w:val="en-US"/>
              </w:rPr>
              <w:t>wk</w:t>
            </w:r>
            <w:proofErr w:type="spellEnd"/>
            <w:r w:rsidRPr="00903ABC">
              <w:rPr>
                <w:rFonts w:ascii="Book Antiqua" w:hAnsi="Book Antiqua" w:cs="AdvPSPH-R"/>
                <w:sz w:val="18"/>
                <w:szCs w:val="18"/>
                <w:lang w:val="en-US"/>
              </w:rPr>
              <w:t xml:space="preserve"> (108–248)</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169</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6</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100 (34/34)</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68 (71/104)</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14 (23/169)</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Hong Kong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32</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3 </w:t>
            </w:r>
            <w:proofErr w:type="spellStart"/>
            <w:r w:rsidRPr="00903ABC">
              <w:rPr>
                <w:rFonts w:ascii="Book Antiqua" w:hAnsi="Book Antiqua" w:cs="AdvPSPH-R"/>
                <w:sz w:val="18"/>
                <w:szCs w:val="18"/>
                <w:lang w:val="en-US"/>
              </w:rPr>
              <w:t>yr</w:t>
            </w:r>
            <w:proofErr w:type="spellEnd"/>
            <w:r w:rsidRPr="00903ABC">
              <w:rPr>
                <w:rFonts w:ascii="Book Antiqua" w:hAnsi="Book Antiqua" w:cs="AdvPSPH-R"/>
                <w:sz w:val="18"/>
                <w:szCs w:val="18"/>
                <w:lang w:val="en-US"/>
              </w:rPr>
              <w:t xml:space="preserve"> (12–60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222</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90 (51/57)</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53 (16/30)</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0.5 (1/222)</w:t>
            </w:r>
            <w:r w:rsidRPr="00903ABC">
              <w:rPr>
                <w:rFonts w:ascii="Book Antiqua" w:hAnsi="Book Antiqua" w:cs="AdvPSPH-R"/>
                <w:sz w:val="18"/>
                <w:szCs w:val="18"/>
                <w:vertAlign w:val="superscript"/>
                <w:lang w:val="en-US" w:eastAsia="zh-CN"/>
              </w:rPr>
              <w:t>7</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Japan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33</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 xml:space="preserve">2.37 </w:t>
            </w:r>
            <w:proofErr w:type="spellStart"/>
            <w:r w:rsidRPr="00903ABC">
              <w:rPr>
                <w:rFonts w:ascii="Book Antiqua" w:hAnsi="Book Antiqua" w:cs="AdvPSPH-R"/>
                <w:sz w:val="18"/>
                <w:szCs w:val="18"/>
              </w:rPr>
              <w:t>yr</w:t>
            </w:r>
            <w:proofErr w:type="spellEnd"/>
            <w:r w:rsidRPr="00903ABC">
              <w:rPr>
                <w:rFonts w:ascii="Book Antiqua" w:hAnsi="Book Antiqua" w:cs="AdvPSPH-R"/>
                <w:sz w:val="18"/>
                <w:szCs w:val="18"/>
              </w:rPr>
              <w:t xml:space="preserve"> (0.5-7.2)</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473</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96 (70/73)</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42 (93/222)</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0.2 (1/474)</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China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34</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 xml:space="preserve">27.5 </w:t>
            </w:r>
            <w:proofErr w:type="spellStart"/>
            <w:r w:rsidRPr="00903ABC">
              <w:rPr>
                <w:rFonts w:ascii="Book Antiqua" w:hAnsi="Book Antiqua" w:cs="AdvPSPH-R"/>
                <w:sz w:val="18"/>
                <w:szCs w:val="18"/>
              </w:rPr>
              <w:t>mo</w:t>
            </w:r>
            <w:proofErr w:type="spellEnd"/>
            <w:r w:rsidRPr="00903ABC">
              <w:rPr>
                <w:rFonts w:ascii="Book Antiqua" w:hAnsi="Book Antiqua" w:cs="AdvPSPH-R"/>
                <w:sz w:val="18"/>
                <w:szCs w:val="18"/>
              </w:rPr>
              <w:t xml:space="preserve"> (3-73)</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230</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100 (NR)</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15 (17/113)</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0.4 (1/230)</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China cohort 2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35</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 xml:space="preserve">191 </w:t>
            </w:r>
            <w:proofErr w:type="spellStart"/>
            <w:r w:rsidRPr="00903ABC">
              <w:rPr>
                <w:rFonts w:ascii="Book Antiqua" w:hAnsi="Book Antiqua" w:cs="AdvPSPH-R"/>
                <w:sz w:val="18"/>
                <w:szCs w:val="18"/>
              </w:rPr>
              <w:t>wk</w:t>
            </w:r>
            <w:proofErr w:type="spellEnd"/>
            <w:r w:rsidRPr="00903ABC">
              <w:rPr>
                <w:rFonts w:ascii="Book Antiqua" w:hAnsi="Book Antiqua" w:cs="AdvPSPH-R"/>
                <w:sz w:val="18"/>
                <w:szCs w:val="18"/>
              </w:rPr>
              <w:t xml:space="preserve"> (1-233)</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1768</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83 (1327/1597)</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Taiwan cohort </w:t>
            </w:r>
            <w:r w:rsidRPr="00903ABC">
              <w:rPr>
                <w:rFonts w:ascii="Book Antiqua" w:hAnsi="Book Antiqua" w:cs="AdvPSPH-R"/>
                <w:sz w:val="18"/>
                <w:szCs w:val="18"/>
                <w:vertAlign w:val="superscript"/>
                <w:lang w:val="en-US"/>
              </w:rPr>
              <w:t>[36]</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eastAsia="zh-CN"/>
              </w:rPr>
            </w:pPr>
            <w:r w:rsidRPr="00903ABC">
              <w:rPr>
                <w:rFonts w:ascii="Book Antiqua" w:hAnsi="Book Antiqua" w:cs="AdvPSPH-R"/>
                <w:sz w:val="18"/>
                <w:szCs w:val="18"/>
              </w:rPr>
              <w:t xml:space="preserve">144 </w:t>
            </w:r>
            <w:proofErr w:type="spellStart"/>
            <w:r w:rsidRPr="00903ABC">
              <w:rPr>
                <w:rFonts w:ascii="Book Antiqua" w:hAnsi="Book Antiqua" w:cs="AdvPSPH-R"/>
                <w:sz w:val="18"/>
                <w:szCs w:val="18"/>
              </w:rPr>
              <w:t>wk</w:t>
            </w:r>
            <w:proofErr w:type="spellEnd"/>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98</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95 (93/98)</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 (5/40)</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 (0/98)</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Taiwan cohort 2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37</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 xml:space="preserve">25.3 </w:t>
            </w:r>
            <w:proofErr w:type="spellStart"/>
            <w:r w:rsidRPr="00903ABC">
              <w:rPr>
                <w:rFonts w:ascii="Book Antiqua" w:hAnsi="Book Antiqua" w:cs="AdvPSPH-R"/>
                <w:sz w:val="18"/>
                <w:szCs w:val="18"/>
              </w:rPr>
              <w:t>mo</w:t>
            </w:r>
            <w:proofErr w:type="spellEnd"/>
            <w:r w:rsidRPr="00903ABC">
              <w:rPr>
                <w:rFonts w:ascii="Book Antiqua" w:hAnsi="Book Antiqua" w:cs="AdvPSPH-R"/>
                <w:sz w:val="18"/>
                <w:szCs w:val="18"/>
              </w:rPr>
              <w:t xml:space="preserve"> (12-69)</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248</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6</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82 (33/40)</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28 (64/231)</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U</w:t>
            </w:r>
            <w:r w:rsidRPr="00903ABC">
              <w:rPr>
                <w:rFonts w:ascii="Book Antiqua" w:hAnsi="Book Antiqua" w:cs="AdvPSPH-R"/>
                <w:sz w:val="18"/>
                <w:szCs w:val="18"/>
                <w:lang w:val="en-US" w:eastAsia="zh-CN"/>
              </w:rPr>
              <w:t xml:space="preserve">nited </w:t>
            </w:r>
            <w:r w:rsidRPr="00903ABC">
              <w:rPr>
                <w:rFonts w:ascii="Book Antiqua" w:hAnsi="Book Antiqua" w:cs="AdvPSPH-R"/>
                <w:sz w:val="18"/>
                <w:szCs w:val="18"/>
                <w:lang w:val="en-US"/>
              </w:rPr>
              <w:t>S</w:t>
            </w:r>
            <w:r w:rsidRPr="00903ABC">
              <w:rPr>
                <w:rFonts w:ascii="Book Antiqua" w:hAnsi="Book Antiqua" w:cs="AdvPSPH-R"/>
                <w:sz w:val="18"/>
                <w:szCs w:val="18"/>
                <w:lang w:val="en-US" w:eastAsia="zh-CN"/>
              </w:rPr>
              <w:t>tates</w:t>
            </w:r>
            <w:r w:rsidRPr="00903ABC">
              <w:rPr>
                <w:rFonts w:ascii="Book Antiqua" w:hAnsi="Book Antiqua" w:cs="AdvPSPH-R"/>
                <w:sz w:val="18"/>
                <w:szCs w:val="18"/>
                <w:lang w:val="en-US"/>
              </w:rPr>
              <w:t xml:space="preserve">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38</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25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 xml:space="preserve"> (6–68)</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169</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44 (75/169)</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 (12/151)</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U</w:t>
            </w:r>
            <w:r w:rsidRPr="00903ABC">
              <w:rPr>
                <w:rFonts w:ascii="Book Antiqua" w:hAnsi="Book Antiqua" w:cs="AdvPSPH-R"/>
                <w:sz w:val="18"/>
                <w:szCs w:val="18"/>
                <w:lang w:val="en-US" w:eastAsia="zh-CN"/>
              </w:rPr>
              <w:t xml:space="preserve">nited </w:t>
            </w:r>
            <w:r w:rsidRPr="00903ABC">
              <w:rPr>
                <w:rFonts w:ascii="Book Antiqua" w:hAnsi="Book Antiqua" w:cs="AdvPSPH-R"/>
                <w:sz w:val="18"/>
                <w:szCs w:val="18"/>
                <w:lang w:val="en-US"/>
              </w:rPr>
              <w:t>S</w:t>
            </w:r>
            <w:r w:rsidRPr="00903ABC">
              <w:rPr>
                <w:rFonts w:ascii="Book Antiqua" w:hAnsi="Book Antiqua" w:cs="AdvPSPH-R"/>
                <w:sz w:val="18"/>
                <w:szCs w:val="18"/>
                <w:lang w:val="en-US" w:eastAsia="zh-CN"/>
              </w:rPr>
              <w:t>tates</w:t>
            </w:r>
            <w:r w:rsidRPr="00903ABC">
              <w:rPr>
                <w:rFonts w:ascii="Book Antiqua" w:hAnsi="Book Antiqua" w:cs="AdvPSPH-R"/>
                <w:sz w:val="18"/>
                <w:szCs w:val="18"/>
                <w:lang w:val="en-US"/>
              </w:rPr>
              <w:t xml:space="preserve"> cohort 2 </w:t>
            </w:r>
            <w:r w:rsidRPr="00903ABC">
              <w:rPr>
                <w:rFonts w:ascii="Book Antiqua" w:hAnsi="Book Antiqua" w:cs="AdvPSPH-R"/>
                <w:sz w:val="18"/>
                <w:szCs w:val="18"/>
                <w:vertAlign w:val="superscript"/>
                <w:lang w:val="en-US" w:eastAsia="zh-CN"/>
              </w:rPr>
              <w:t>[39]</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36 </w:t>
            </w:r>
            <w:proofErr w:type="spellStart"/>
            <w:r w:rsidRPr="00903ABC">
              <w:rPr>
                <w:rFonts w:ascii="Book Antiqua" w:hAnsi="Book Antiqua" w:cs="AdvPSPH-R"/>
                <w:sz w:val="18"/>
                <w:szCs w:val="18"/>
                <w:lang w:val="en-US"/>
              </w:rPr>
              <w:t>mo</w:t>
            </w:r>
            <w:proofErr w:type="spellEnd"/>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136</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85 (115/136)</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30 (41/136)</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 (0/136)</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Australia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40</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 xml:space="preserve">26 </w:t>
            </w:r>
            <w:proofErr w:type="spellStart"/>
            <w:r w:rsidRPr="00903ABC">
              <w:rPr>
                <w:rFonts w:ascii="Book Antiqua" w:hAnsi="Book Antiqua" w:cs="AdvPSPH-R"/>
                <w:sz w:val="18"/>
                <w:szCs w:val="18"/>
              </w:rPr>
              <w:t>mo</w:t>
            </w:r>
            <w:proofErr w:type="spellEnd"/>
            <w:r w:rsidRPr="00903ABC">
              <w:rPr>
                <w:rFonts w:ascii="Book Antiqua" w:hAnsi="Book Antiqua" w:cs="AdvPSPH-R"/>
                <w:sz w:val="18"/>
                <w:szCs w:val="18"/>
              </w:rPr>
              <w:t xml:space="preserve"> (3-46)</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163</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rPr>
            </w:pPr>
            <w:r w:rsidRPr="00903ABC">
              <w:rPr>
                <w:rFonts w:ascii="Book Antiqua" w:hAnsi="Book Antiqua" w:cs="AdvPSPH-R"/>
                <w:sz w:val="18"/>
                <w:szCs w:val="18"/>
              </w:rPr>
              <w:t>82 (134/163)</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43 (66/153)</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0.6 (1/163)</w:t>
            </w:r>
          </w:p>
        </w:tc>
      </w:tr>
    </w:tbl>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p>
    <w:p w:rsidR="004C196A" w:rsidRPr="00313B3E"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r w:rsidRPr="00260125">
        <w:rPr>
          <w:rFonts w:ascii="Book Antiqua" w:hAnsi="Book Antiqua" w:cs="AdvPSPH-R"/>
          <w:b/>
          <w:sz w:val="24"/>
          <w:szCs w:val="24"/>
          <w:lang w:val="en-US"/>
        </w:rPr>
        <w:lastRenderedPageBreak/>
        <w:t>Table 2</w:t>
      </w:r>
      <w:r>
        <w:rPr>
          <w:rFonts w:ascii="Book Antiqua" w:hAnsi="Book Antiqua" w:cs="AdvPSPH-R"/>
          <w:b/>
          <w:sz w:val="24"/>
          <w:szCs w:val="24"/>
          <w:lang w:val="en-US"/>
        </w:rPr>
        <w:t xml:space="preserve"> </w:t>
      </w:r>
      <w:r w:rsidRPr="002B26ED">
        <w:rPr>
          <w:rFonts w:ascii="Book Antiqua" w:hAnsi="Book Antiqua" w:cs="AdvPSPH-R"/>
          <w:b/>
          <w:sz w:val="24"/>
          <w:szCs w:val="24"/>
          <w:lang w:val="en-US"/>
        </w:rPr>
        <w:t xml:space="preserve">Summary of efficacy results from real-life studies of </w:t>
      </w:r>
      <w:proofErr w:type="spellStart"/>
      <w:r w:rsidRPr="002B26ED">
        <w:rPr>
          <w:rFonts w:ascii="Book Antiqua" w:hAnsi="Book Antiqua" w:cs="AdvPSPH-R"/>
          <w:b/>
          <w:sz w:val="24"/>
          <w:szCs w:val="24"/>
          <w:lang w:val="en-US"/>
        </w:rPr>
        <w:t>entecavir</w:t>
      </w:r>
      <w:proofErr w:type="spellEnd"/>
      <w:r w:rsidRPr="002B26ED">
        <w:rPr>
          <w:rFonts w:ascii="Book Antiqua" w:hAnsi="Book Antiqua" w:cs="AdvPSPH-R"/>
          <w:b/>
          <w:sz w:val="24"/>
          <w:szCs w:val="24"/>
          <w:lang w:val="en-US"/>
        </w:rPr>
        <w:t xml:space="preserve"> in </w:t>
      </w:r>
      <w:proofErr w:type="spellStart"/>
      <w:proofErr w:type="gramStart"/>
      <w:r w:rsidRPr="002B26ED">
        <w:rPr>
          <w:rFonts w:ascii="Book Antiqua" w:hAnsi="Book Antiqua" w:cs="AdvPSPH-R"/>
          <w:b/>
          <w:sz w:val="24"/>
          <w:szCs w:val="24"/>
          <w:lang w:val="en-US" w:eastAsia="zh-CN"/>
        </w:rPr>
        <w:t>n</w:t>
      </w:r>
      <w:r w:rsidRPr="002B26ED">
        <w:rPr>
          <w:rFonts w:ascii="Book Antiqua" w:hAnsi="Book Antiqua" w:cs="AdvPSPH-R"/>
          <w:b/>
          <w:sz w:val="24"/>
          <w:szCs w:val="24"/>
          <w:lang w:val="en-US"/>
        </w:rPr>
        <w:t>ucleos</w:t>
      </w:r>
      <w:proofErr w:type="spellEnd"/>
      <w:r w:rsidRPr="002B26ED">
        <w:rPr>
          <w:rFonts w:ascii="Book Antiqua" w:hAnsi="Book Antiqua" w:cs="AdvPSPH-R"/>
          <w:b/>
          <w:sz w:val="24"/>
          <w:szCs w:val="24"/>
          <w:lang w:val="en-US"/>
        </w:rPr>
        <w:t>(</w:t>
      </w:r>
      <w:proofErr w:type="gramEnd"/>
      <w:r w:rsidRPr="002B26ED">
        <w:rPr>
          <w:rFonts w:ascii="Book Antiqua" w:hAnsi="Book Antiqua" w:cs="AdvPSPH-R"/>
          <w:b/>
          <w:sz w:val="24"/>
          <w:szCs w:val="24"/>
          <w:lang w:val="en-US"/>
        </w:rPr>
        <w:t>t)ide analogue-naïve patients</w:t>
      </w:r>
      <w:r>
        <w:rPr>
          <w:rFonts w:ascii="Book Antiqua" w:hAnsi="Book Antiqua" w:cs="AdvPSPH-R"/>
          <w:b/>
          <w:sz w:val="24"/>
          <w:szCs w:val="24"/>
          <w:vertAlign w:val="superscript"/>
          <w:lang w:val="en-US" w:eastAsia="zh-CN"/>
        </w:rPr>
        <w:t>[21</w:t>
      </w:r>
      <w:r w:rsidRPr="002B26ED">
        <w:rPr>
          <w:rFonts w:ascii="Book Antiqua" w:hAnsi="Book Antiqua" w:cs="AdvPSPH-R"/>
          <w:b/>
          <w:sz w:val="24"/>
          <w:szCs w:val="24"/>
          <w:vertAlign w:val="superscript"/>
          <w:lang w:val="en-US" w:eastAsia="zh-CN"/>
        </w:rPr>
        <w:t>]</w:t>
      </w:r>
    </w:p>
    <w:p w:rsidR="004C196A" w:rsidRDefault="004C196A" w:rsidP="00260125">
      <w:pPr>
        <w:spacing w:after="0" w:line="360" w:lineRule="auto"/>
        <w:jc w:val="both"/>
        <w:rPr>
          <w:rFonts w:ascii="Book Antiqua" w:hAnsi="Book Antiqua" w:cs="AdvPSPH-R"/>
          <w:sz w:val="24"/>
          <w:szCs w:val="24"/>
          <w:lang w:val="en-US" w:eastAsia="zh-CN"/>
        </w:rPr>
      </w:pPr>
      <w:r w:rsidRPr="00DA0163">
        <w:rPr>
          <w:rFonts w:ascii="Book Antiqua" w:hAnsi="Book Antiqua" w:cs="AdvPSPH-R"/>
          <w:sz w:val="24"/>
          <w:szCs w:val="24"/>
          <w:vertAlign w:val="superscript"/>
          <w:lang w:val="en-US" w:eastAsia="zh-CN"/>
        </w:rPr>
        <w:t>1</w:t>
      </w:r>
      <w:r w:rsidRPr="00260125">
        <w:rPr>
          <w:rFonts w:ascii="Book Antiqua" w:hAnsi="Book Antiqua" w:cs="AdvPSPH-R"/>
          <w:sz w:val="24"/>
          <w:szCs w:val="24"/>
          <w:lang w:val="en-US"/>
        </w:rPr>
        <w:t>Unless otherwise specified</w:t>
      </w:r>
      <w:r>
        <w:rPr>
          <w:rFonts w:ascii="Book Antiqua" w:hAnsi="Book Antiqua" w:cs="AdvPSPH-R"/>
          <w:sz w:val="24"/>
          <w:szCs w:val="24"/>
          <w:lang w:val="en-US" w:eastAsia="zh-CN"/>
        </w:rPr>
        <w:t xml:space="preserve">; </w:t>
      </w:r>
      <w:r w:rsidRPr="00726E97">
        <w:rPr>
          <w:rFonts w:ascii="Book Antiqua" w:hAnsi="Book Antiqua" w:cs="AdvPSMP1"/>
          <w:sz w:val="24"/>
          <w:szCs w:val="24"/>
          <w:vertAlign w:val="superscript"/>
          <w:lang w:val="en-US" w:eastAsia="zh-CN"/>
        </w:rPr>
        <w:t>3</w:t>
      </w:r>
      <w:r w:rsidRPr="00260125">
        <w:rPr>
          <w:rFonts w:ascii="Book Antiqua" w:hAnsi="Book Antiqua" w:cs="AdvPSPH-R"/>
          <w:sz w:val="24"/>
          <w:szCs w:val="24"/>
          <w:lang w:val="en-US"/>
        </w:rPr>
        <w:t>Median (interquartile range)</w:t>
      </w:r>
      <w:r>
        <w:rPr>
          <w:rFonts w:ascii="Book Antiqua" w:hAnsi="Book Antiqua" w:cs="AdvPSPH-R"/>
          <w:sz w:val="24"/>
          <w:szCs w:val="24"/>
          <w:lang w:val="en-US" w:eastAsia="zh-CN"/>
        </w:rPr>
        <w:t xml:space="preserve">; </w:t>
      </w:r>
      <w:r w:rsidRPr="003B3FBB">
        <w:rPr>
          <w:rFonts w:ascii="Book Antiqua" w:hAnsi="Book Antiqua" w:cs="AdvPSMP1"/>
          <w:sz w:val="24"/>
          <w:szCs w:val="24"/>
          <w:vertAlign w:val="superscript"/>
          <w:lang w:val="en-US" w:eastAsia="zh-CN"/>
        </w:rPr>
        <w:t>7</w:t>
      </w:r>
      <w:r w:rsidRPr="00260125">
        <w:rPr>
          <w:rFonts w:ascii="Book Antiqua" w:hAnsi="Book Antiqua" w:cs="AdvPSPH-R"/>
          <w:sz w:val="24"/>
          <w:szCs w:val="24"/>
          <w:lang w:val="en-US"/>
        </w:rPr>
        <w:t>Advanced fibrosis in 34%.</w:t>
      </w:r>
    </w:p>
    <w:p w:rsidR="004C196A" w:rsidRDefault="004C196A" w:rsidP="00260125">
      <w:pPr>
        <w:spacing w:after="0" w:line="360" w:lineRule="auto"/>
        <w:jc w:val="both"/>
        <w:rPr>
          <w:rFonts w:ascii="Book Antiqua" w:hAnsi="Book Antiqua" w:cs="AdvPSPH-R"/>
          <w:sz w:val="24"/>
          <w:szCs w:val="24"/>
          <w:lang w:val="en-US" w:eastAsia="zh-CN"/>
        </w:rPr>
      </w:pPr>
    </w:p>
    <w:p w:rsidR="004C196A" w:rsidRDefault="004C196A" w:rsidP="00260125">
      <w:pPr>
        <w:spacing w:after="0" w:line="360" w:lineRule="auto"/>
        <w:jc w:val="both"/>
        <w:rPr>
          <w:rFonts w:ascii="Book Antiqua" w:hAnsi="Book Antiqua" w:cs="AdvPSPH-R"/>
          <w:sz w:val="24"/>
          <w:szCs w:val="24"/>
          <w:lang w:val="en-US" w:eastAsia="zh-CN"/>
        </w:rPr>
      </w:pPr>
    </w:p>
    <w:p w:rsidR="004C196A" w:rsidRDefault="004C196A" w:rsidP="00260125">
      <w:pPr>
        <w:spacing w:after="0" w:line="360" w:lineRule="auto"/>
        <w:jc w:val="both"/>
        <w:rPr>
          <w:rFonts w:ascii="Book Antiqua" w:hAnsi="Book Antiqua" w:cs="AdvPSPH-R"/>
          <w:sz w:val="24"/>
          <w:szCs w:val="24"/>
          <w:lang w:val="en-US" w:eastAsia="zh-CN"/>
        </w:rPr>
      </w:pPr>
    </w:p>
    <w:p w:rsidR="004C196A" w:rsidRPr="00260125" w:rsidRDefault="004C196A" w:rsidP="00260125">
      <w:pPr>
        <w:spacing w:after="0" w:line="360" w:lineRule="auto"/>
        <w:jc w:val="both"/>
        <w:rPr>
          <w:rFonts w:ascii="Book Antiqua" w:hAnsi="Book Antiqua"/>
          <w:sz w:val="24"/>
          <w:szCs w:val="24"/>
          <w:lang w:val="en-US"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266"/>
        <w:gridCol w:w="1266"/>
        <w:gridCol w:w="1255"/>
        <w:gridCol w:w="1235"/>
        <w:gridCol w:w="1235"/>
        <w:gridCol w:w="949"/>
      </w:tblGrid>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 xml:space="preserve">Characteristic, </w:t>
            </w:r>
            <w:r w:rsidRPr="00903ABC">
              <w:rPr>
                <w:rFonts w:ascii="Book Antiqua" w:hAnsi="Book Antiqua"/>
                <w:i/>
                <w:sz w:val="18"/>
                <w:szCs w:val="18"/>
                <w:lang w:val="en-US"/>
              </w:rPr>
              <w:t>n</w:t>
            </w:r>
            <w:r w:rsidRPr="00903ABC">
              <w:rPr>
                <w:rFonts w:ascii="Book Antiqua" w:hAnsi="Book Antiqua"/>
                <w:sz w:val="18"/>
                <w:szCs w:val="18"/>
                <w:lang w:val="en-US"/>
              </w:rPr>
              <w:t xml:space="preserve"> (%)</w:t>
            </w:r>
            <w:r w:rsidRPr="00903ABC">
              <w:rPr>
                <w:rFonts w:ascii="Book Antiqua" w:hAnsi="Book Antiqua"/>
                <w:sz w:val="18"/>
                <w:szCs w:val="18"/>
                <w:vertAlign w:val="superscript"/>
                <w:lang w:val="en-US" w:eastAsia="zh-CN"/>
              </w:rPr>
              <w:t>1</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Study 103</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Study 102</w:t>
            </w:r>
          </w:p>
        </w:tc>
        <w:tc>
          <w:tcPr>
            <w:tcW w:w="693"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King</w:t>
            </w:r>
            <w:r w:rsidRPr="00903ABC">
              <w:rPr>
                <w:rFonts w:ascii="Book Antiqua" w:hAnsi="Book Antiqua" w:cs="AdvPSMP1"/>
                <w:sz w:val="18"/>
                <w:szCs w:val="18"/>
                <w:lang w:val="en-US"/>
              </w:rPr>
              <w:t>’</w:t>
            </w:r>
            <w:r w:rsidRPr="00903ABC">
              <w:rPr>
                <w:rFonts w:ascii="Book Antiqua" w:hAnsi="Book Antiqua" w:cs="AdvPSPH-R"/>
                <w:sz w:val="18"/>
                <w:szCs w:val="18"/>
                <w:lang w:val="en-US"/>
              </w:rPr>
              <w:t>s</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College Cohort</w:t>
            </w:r>
          </w:p>
        </w:tc>
        <w:tc>
          <w:tcPr>
            <w:tcW w:w="682"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U</w:t>
            </w:r>
            <w:r w:rsidRPr="00903ABC">
              <w:rPr>
                <w:rFonts w:ascii="Book Antiqua" w:hAnsi="Book Antiqua" w:cs="AdvPSPH-R"/>
                <w:sz w:val="18"/>
                <w:szCs w:val="18"/>
                <w:lang w:val="en-US" w:eastAsia="zh-CN"/>
              </w:rPr>
              <w:t xml:space="preserve">nited </w:t>
            </w:r>
            <w:r w:rsidRPr="00903ABC">
              <w:rPr>
                <w:rFonts w:ascii="Book Antiqua" w:hAnsi="Book Antiqua" w:cs="AdvPSPH-R"/>
                <w:sz w:val="18"/>
                <w:szCs w:val="18"/>
                <w:lang w:val="en-US"/>
              </w:rPr>
              <w:t>S</w:t>
            </w:r>
            <w:r w:rsidRPr="00903ABC">
              <w:rPr>
                <w:rFonts w:ascii="Book Antiqua" w:hAnsi="Book Antiqua" w:cs="AdvPSPH-R"/>
                <w:sz w:val="18"/>
                <w:szCs w:val="18"/>
                <w:lang w:val="en-US" w:eastAsia="zh-CN"/>
              </w:rPr>
              <w:t>tates</w:t>
            </w:r>
            <w:r w:rsidRPr="00903ABC">
              <w:rPr>
                <w:rFonts w:ascii="Book Antiqua" w:hAnsi="Book Antiqua" w:cs="AdvPSPH-R"/>
                <w:sz w:val="18"/>
                <w:szCs w:val="18"/>
                <w:lang w:val="en-US"/>
              </w:rPr>
              <w:t xml:space="preserve"> cohort</w:t>
            </w:r>
          </w:p>
          <w:p w:rsidR="004C196A" w:rsidRPr="00903ABC" w:rsidRDefault="004C196A" w:rsidP="00903ABC">
            <w:pPr>
              <w:spacing w:after="0" w:line="360" w:lineRule="auto"/>
              <w:jc w:val="both"/>
              <w:rPr>
                <w:rFonts w:ascii="Book Antiqua" w:hAnsi="Book Antiqua"/>
                <w:sz w:val="18"/>
                <w:szCs w:val="18"/>
                <w:lang w:val="en-US"/>
              </w:rPr>
            </w:pPr>
          </w:p>
        </w:tc>
        <w:tc>
          <w:tcPr>
            <w:tcW w:w="682" w:type="pct"/>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European cohort</w:t>
            </w:r>
          </w:p>
          <w:p w:rsidR="004C196A" w:rsidRPr="00903ABC" w:rsidRDefault="004C196A" w:rsidP="00903ABC">
            <w:pPr>
              <w:spacing w:after="0" w:line="360" w:lineRule="auto"/>
              <w:jc w:val="both"/>
              <w:rPr>
                <w:rFonts w:ascii="Book Antiqua" w:hAnsi="Book Antiqua"/>
                <w:sz w:val="18"/>
                <w:szCs w:val="18"/>
                <w:lang w:val="en-US"/>
              </w:rPr>
            </w:pP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German cohort</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Reference</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14</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14</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24</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38</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42</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43</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i/>
                <w:sz w:val="18"/>
                <w:szCs w:val="18"/>
                <w:lang w:val="en-US"/>
              </w:rPr>
            </w:pPr>
            <w:r w:rsidRPr="00903ABC">
              <w:rPr>
                <w:rFonts w:ascii="Book Antiqua" w:hAnsi="Book Antiqua" w:cs="AdvPSPH-I"/>
                <w:i/>
                <w:sz w:val="18"/>
                <w:szCs w:val="18"/>
                <w:lang w:val="en-US"/>
              </w:rPr>
              <w:t>N</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176</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250</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60</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28</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302</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184</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Age, </w:t>
            </w:r>
            <w:proofErr w:type="spellStart"/>
            <w:r w:rsidRPr="00903ABC">
              <w:rPr>
                <w:rFonts w:ascii="Book Antiqua" w:hAnsi="Book Antiqua"/>
                <w:sz w:val="18"/>
                <w:szCs w:val="18"/>
                <w:lang w:val="en-US"/>
              </w:rPr>
              <w:t>yr</w:t>
            </w:r>
            <w:proofErr w:type="spellEnd"/>
            <w:r w:rsidRPr="00903ABC">
              <w:rPr>
                <w:rFonts w:ascii="Book Antiqua" w:hAnsi="Book Antiqua"/>
                <w:sz w:val="18"/>
                <w:szCs w:val="18"/>
                <w:lang w:val="en-US"/>
              </w:rPr>
              <w:t xml:space="preserve"> (SD or range)</w:t>
            </w:r>
          </w:p>
        </w:tc>
        <w:tc>
          <w:tcPr>
            <w:tcW w:w="69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34 (11)</w:t>
            </w:r>
            <w:r w:rsidRPr="00903ABC">
              <w:rPr>
                <w:rFonts w:ascii="Book Antiqua" w:hAnsi="Book Antiqua" w:cs="AdvPSMP1"/>
                <w:sz w:val="18"/>
                <w:szCs w:val="18"/>
                <w:vertAlign w:val="superscript"/>
                <w:lang w:val="en-US" w:eastAsia="zh-CN"/>
              </w:rPr>
              <w:t>2</w:t>
            </w:r>
          </w:p>
        </w:tc>
        <w:tc>
          <w:tcPr>
            <w:tcW w:w="69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44 (11)</w:t>
            </w:r>
            <w:r w:rsidRPr="00903ABC">
              <w:rPr>
                <w:rFonts w:ascii="Book Antiqua" w:hAnsi="Book Antiqua" w:cs="AdvPSMP1"/>
                <w:sz w:val="18"/>
                <w:szCs w:val="18"/>
                <w:vertAlign w:val="superscript"/>
                <w:lang w:val="en-US" w:eastAsia="zh-CN"/>
              </w:rPr>
              <w:t>2</w:t>
            </w:r>
          </w:p>
        </w:tc>
        <w:tc>
          <w:tcPr>
            <w:tcW w:w="693"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40</w:t>
            </w:r>
            <w:r w:rsidRPr="00903ABC">
              <w:rPr>
                <w:rFonts w:ascii="Book Antiqua" w:hAnsi="Book Antiqua" w:cs="AdvPSMP1"/>
                <w:sz w:val="18"/>
                <w:szCs w:val="18"/>
                <w:vertAlign w:val="superscript"/>
                <w:lang w:val="en-US" w:eastAsia="zh-CN"/>
              </w:rPr>
              <w:t>3</w:t>
            </w:r>
          </w:p>
        </w:tc>
        <w:tc>
          <w:tcPr>
            <w:tcW w:w="68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36 (9)</w:t>
            </w:r>
            <w:r w:rsidRPr="00903ABC">
              <w:rPr>
                <w:rFonts w:ascii="Book Antiqua" w:hAnsi="Book Antiqua" w:cs="AdvPSMP1"/>
                <w:sz w:val="18"/>
                <w:szCs w:val="18"/>
                <w:vertAlign w:val="superscript"/>
                <w:lang w:val="en-US" w:eastAsia="zh-CN"/>
              </w:rPr>
              <w:t>2</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55 (19-80)</w:t>
            </w:r>
          </w:p>
        </w:tc>
        <w:tc>
          <w:tcPr>
            <w:tcW w:w="525"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t>44 (14)</w:t>
            </w:r>
            <w:r w:rsidRPr="00903ABC">
              <w:rPr>
                <w:rFonts w:ascii="Book Antiqua" w:hAnsi="Book Antiqua" w:cs="AdvPSMP1"/>
                <w:sz w:val="18"/>
                <w:szCs w:val="18"/>
                <w:vertAlign w:val="superscript"/>
                <w:lang w:val="en-US" w:eastAsia="zh-CN"/>
              </w:rPr>
              <w:t>2</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Male</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119 (68)</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193 (77)</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30 (50)</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16 (58)</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222 (74)</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127 (69)</w:t>
            </w:r>
          </w:p>
        </w:tc>
      </w:tr>
      <w:tr w:rsidR="004C196A" w:rsidRPr="00903ABC" w:rsidTr="00903ABC">
        <w:trPr>
          <w:trHeight w:val="908"/>
        </w:trPr>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Race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White</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Asian</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  Other</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92 (52)</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64 (36)</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20 (11)</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161 (64)</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63 (25)</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26 (10)</w:t>
            </w:r>
          </w:p>
        </w:tc>
        <w:tc>
          <w:tcPr>
            <w:tcW w:w="693"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p w:rsidR="004C196A" w:rsidRPr="00903ABC" w:rsidRDefault="004C196A" w:rsidP="00903ABC">
            <w:pPr>
              <w:spacing w:after="0" w:line="360" w:lineRule="auto"/>
              <w:jc w:val="both"/>
              <w:rPr>
                <w:rFonts w:ascii="Book Antiqua" w:hAnsi="Book Antiqua"/>
                <w:sz w:val="18"/>
                <w:szCs w:val="18"/>
                <w:lang w:val="en-US"/>
              </w:rPr>
            </w:pPr>
          </w:p>
        </w:tc>
        <w:tc>
          <w:tcPr>
            <w:tcW w:w="682" w:type="pct"/>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 (4)</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27 (96)</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140 (76)</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Region</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Europe 55%, North America 27%, Australia and Asia 18%</w:t>
            </w:r>
          </w:p>
        </w:tc>
        <w:tc>
          <w:tcPr>
            <w:tcW w:w="69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lang w:val="en-US"/>
              </w:rPr>
              <w:t>Europe 63%, North America 21%, Australia and Asia 16%</w:t>
            </w:r>
            <w:r w:rsidRPr="00903ABC">
              <w:rPr>
                <w:rFonts w:ascii="Book Antiqua" w:hAnsi="Book Antiqua" w:cs="AdvPSPH-R"/>
                <w:sz w:val="18"/>
                <w:szCs w:val="18"/>
                <w:vertAlign w:val="superscript"/>
                <w:lang w:val="en-US" w:eastAsia="zh-CN"/>
              </w:rPr>
              <w:t>4</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North America</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Europe</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 xml:space="preserve">Genotype </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A</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B</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w:t>
            </w:r>
          </w:p>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D</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94 (27)</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68 (19)</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111 (31)</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55/173 (32)</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33 (10)</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46 (14)</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57 (18)</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156/243 (64)</w:t>
            </w:r>
          </w:p>
        </w:tc>
        <w:tc>
          <w:tcPr>
            <w:tcW w:w="693"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682" w:type="pct"/>
          </w:tcPr>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18 (65)</w:t>
            </w:r>
          </w:p>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 (35)</w:t>
            </w:r>
          </w:p>
        </w:tc>
        <w:tc>
          <w:tcPr>
            <w:tcW w:w="682"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c>
          <w:tcPr>
            <w:tcW w:w="525"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NR</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proofErr w:type="spellStart"/>
            <w:r w:rsidRPr="00903ABC">
              <w:rPr>
                <w:rFonts w:ascii="Book Antiqua" w:hAnsi="Book Antiqua"/>
                <w:sz w:val="18"/>
                <w:szCs w:val="18"/>
                <w:lang w:val="en-US"/>
              </w:rPr>
              <w:t>HBeAg</w:t>
            </w:r>
            <w:proofErr w:type="spellEnd"/>
            <w:r w:rsidRPr="00903ABC">
              <w:rPr>
                <w:rFonts w:ascii="Book Antiqua" w:hAnsi="Book Antiqua"/>
                <w:sz w:val="18"/>
                <w:szCs w:val="18"/>
                <w:lang w:val="en-US"/>
              </w:rPr>
              <w:t xml:space="preserve"> negative</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0 (0)</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250 (100)</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lang w:val="en-US"/>
              </w:rPr>
              <w:t>46 (77)</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0 (0)</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241 (80)</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127 (69)</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t xml:space="preserve">HBV DNA, log10 </w:t>
            </w:r>
            <w:r w:rsidRPr="00903ABC">
              <w:rPr>
                <w:rFonts w:ascii="Book Antiqua" w:hAnsi="Book Antiqua"/>
                <w:sz w:val="18"/>
                <w:szCs w:val="18"/>
              </w:rPr>
              <w:lastRenderedPageBreak/>
              <w:t>IU/mL</w:t>
            </w:r>
            <w:r w:rsidRPr="00903ABC">
              <w:rPr>
                <w:rFonts w:ascii="Book Antiqua" w:hAnsi="Book Antiqua"/>
                <w:sz w:val="18"/>
                <w:szCs w:val="18"/>
                <w:vertAlign w:val="superscript"/>
                <w:lang w:eastAsia="zh-CN"/>
              </w:rPr>
              <w:t>1</w:t>
            </w:r>
          </w:p>
        </w:tc>
        <w:tc>
          <w:tcPr>
            <w:tcW w:w="69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rPr>
              <w:lastRenderedPageBreak/>
              <w:t>8.64 (1.076)</w:t>
            </w:r>
            <w:r w:rsidRPr="00903ABC">
              <w:rPr>
                <w:rFonts w:ascii="Book Antiqua" w:hAnsi="Book Antiqua" w:cs="AdvPSMP1"/>
                <w:sz w:val="18"/>
                <w:szCs w:val="18"/>
                <w:vertAlign w:val="superscript"/>
                <w:lang w:val="en-US" w:eastAsia="zh-CN"/>
              </w:rPr>
              <w:t>2,5</w:t>
            </w:r>
          </w:p>
        </w:tc>
        <w:tc>
          <w:tcPr>
            <w:tcW w:w="699"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rPr>
              <w:t>6.86 (1.31)</w:t>
            </w:r>
            <w:r w:rsidRPr="00903ABC">
              <w:rPr>
                <w:rFonts w:ascii="Book Antiqua" w:hAnsi="Book Antiqua" w:cs="AdvPSMP1"/>
                <w:sz w:val="18"/>
                <w:szCs w:val="18"/>
                <w:vertAlign w:val="superscript"/>
                <w:lang w:val="en-US" w:eastAsia="zh-CN"/>
              </w:rPr>
              <w:t>2,</w:t>
            </w:r>
            <w:r w:rsidRPr="00903ABC">
              <w:rPr>
                <w:rFonts w:ascii="Book Antiqua" w:hAnsi="Book Antiqua" w:cs="AdvPSPH-R"/>
                <w:sz w:val="18"/>
                <w:szCs w:val="18"/>
                <w:vertAlign w:val="superscript"/>
                <w:lang w:val="en-US" w:eastAsia="zh-CN"/>
              </w:rPr>
              <w:t>5</w:t>
            </w:r>
          </w:p>
        </w:tc>
        <w:tc>
          <w:tcPr>
            <w:tcW w:w="693"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cs="AdvPSPH-R"/>
                <w:sz w:val="18"/>
                <w:szCs w:val="18"/>
              </w:rPr>
              <w:t>4.2 (0.3)</w:t>
            </w:r>
            <w:r w:rsidRPr="00903ABC">
              <w:rPr>
                <w:rFonts w:ascii="Book Antiqua" w:hAnsi="Book Antiqua" w:cs="AdvPSMP1"/>
                <w:sz w:val="18"/>
                <w:szCs w:val="18"/>
                <w:vertAlign w:val="superscript"/>
                <w:lang w:val="en-US" w:eastAsia="zh-CN"/>
              </w:rPr>
              <w:t>6</w:t>
            </w:r>
          </w:p>
        </w:tc>
        <w:tc>
          <w:tcPr>
            <w:tcW w:w="68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rPr>
              <w:t>7.74 (3.34–</w:t>
            </w:r>
            <w:r w:rsidRPr="00903ABC">
              <w:rPr>
                <w:rFonts w:ascii="Book Antiqua" w:hAnsi="Book Antiqua"/>
                <w:sz w:val="18"/>
                <w:szCs w:val="18"/>
              </w:rPr>
              <w:lastRenderedPageBreak/>
              <w:t>8.66)</w:t>
            </w:r>
            <w:r w:rsidRPr="00903ABC">
              <w:rPr>
                <w:rFonts w:ascii="Book Antiqua" w:hAnsi="Book Antiqua"/>
                <w:sz w:val="18"/>
                <w:szCs w:val="18"/>
                <w:vertAlign w:val="superscript"/>
                <w:lang w:val="en-US" w:eastAsia="zh-CN"/>
              </w:rPr>
              <w:t>3</w:t>
            </w:r>
          </w:p>
        </w:tc>
        <w:tc>
          <w:tcPr>
            <w:tcW w:w="682" w:type="pct"/>
          </w:tcPr>
          <w:p w:rsidR="004C196A" w:rsidRPr="00903ABC" w:rsidRDefault="004C196A" w:rsidP="00903ABC">
            <w:pPr>
              <w:spacing w:after="0" w:line="360" w:lineRule="auto"/>
              <w:jc w:val="both"/>
              <w:rPr>
                <w:rFonts w:ascii="Book Antiqua" w:hAnsi="Book Antiqua"/>
                <w:sz w:val="18"/>
                <w:szCs w:val="18"/>
                <w:lang w:val="en-US" w:eastAsia="zh-CN"/>
              </w:rPr>
            </w:pPr>
            <w:r w:rsidRPr="00903ABC">
              <w:rPr>
                <w:rFonts w:ascii="Book Antiqua" w:hAnsi="Book Antiqua"/>
                <w:sz w:val="18"/>
                <w:szCs w:val="18"/>
                <w:lang w:val="en-US"/>
              </w:rPr>
              <w:lastRenderedPageBreak/>
              <w:t>5.9 (1.4-&gt;9)</w:t>
            </w:r>
            <w:r w:rsidRPr="00903ABC">
              <w:rPr>
                <w:rFonts w:ascii="Book Antiqua" w:hAnsi="Book Antiqua"/>
                <w:sz w:val="18"/>
                <w:szCs w:val="18"/>
                <w:vertAlign w:val="superscript"/>
                <w:lang w:val="en-US" w:eastAsia="zh-CN"/>
              </w:rPr>
              <w:t>3</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6.9</w:t>
            </w: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eastAsia="zh-CN"/>
              </w:rPr>
            </w:pPr>
            <w:r w:rsidRPr="00903ABC">
              <w:rPr>
                <w:rFonts w:ascii="Book Antiqua" w:hAnsi="Book Antiqua"/>
                <w:sz w:val="18"/>
                <w:szCs w:val="18"/>
              </w:rPr>
              <w:lastRenderedPageBreak/>
              <w:t>ALT, IU/L</w:t>
            </w:r>
            <w:r w:rsidRPr="00903ABC">
              <w:rPr>
                <w:rFonts w:ascii="Book Antiqua" w:hAnsi="Book Antiqua"/>
                <w:sz w:val="18"/>
                <w:szCs w:val="18"/>
                <w:vertAlign w:val="superscript"/>
                <w:lang w:eastAsia="zh-CN"/>
              </w:rPr>
              <w:t>1</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rPr>
              <w:t>142 (102.81)</w:t>
            </w:r>
            <w:r w:rsidRPr="00903ABC">
              <w:rPr>
                <w:rFonts w:ascii="Book Antiqua" w:hAnsi="Book Antiqua" w:cs="AdvPSMP1"/>
                <w:sz w:val="18"/>
                <w:szCs w:val="18"/>
                <w:vertAlign w:val="superscript"/>
                <w:lang w:val="en-US" w:eastAsia="zh-CN"/>
              </w:rPr>
              <w:t>2</w:t>
            </w:r>
          </w:p>
        </w:tc>
        <w:tc>
          <w:tcPr>
            <w:tcW w:w="699"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MP1"/>
                <w:sz w:val="18"/>
                <w:szCs w:val="18"/>
              </w:rPr>
              <w:t>127.5 (101.21)</w:t>
            </w:r>
            <w:r w:rsidRPr="00903ABC">
              <w:rPr>
                <w:rFonts w:ascii="Book Antiqua" w:hAnsi="Book Antiqua" w:cs="AdvPSMP1"/>
                <w:sz w:val="18"/>
                <w:szCs w:val="18"/>
                <w:vertAlign w:val="superscript"/>
                <w:lang w:val="en-US" w:eastAsia="zh-CN"/>
              </w:rPr>
              <w:t>2</w:t>
            </w:r>
          </w:p>
        </w:tc>
        <w:tc>
          <w:tcPr>
            <w:tcW w:w="693" w:type="pct"/>
          </w:tcPr>
          <w:p w:rsidR="004C196A" w:rsidRPr="00903ABC" w:rsidRDefault="004C196A" w:rsidP="00903ABC">
            <w:pPr>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NR</w:t>
            </w:r>
          </w:p>
        </w:tc>
        <w:tc>
          <w:tcPr>
            <w:tcW w:w="682"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rPr>
              <w:t>52.5 (8–468)</w:t>
            </w:r>
            <w:r w:rsidRPr="00903ABC">
              <w:rPr>
                <w:rFonts w:ascii="Book Antiqua" w:hAnsi="Book Antiqua"/>
                <w:sz w:val="18"/>
                <w:szCs w:val="18"/>
                <w:vertAlign w:val="superscript"/>
                <w:lang w:val="en-US" w:eastAsia="zh-CN"/>
              </w:rPr>
              <w:t>3</w:t>
            </w:r>
          </w:p>
        </w:tc>
        <w:tc>
          <w:tcPr>
            <w:tcW w:w="682" w:type="pct"/>
          </w:tcPr>
          <w:p w:rsidR="004C196A" w:rsidRPr="00903ABC" w:rsidRDefault="004C196A" w:rsidP="00903ABC">
            <w:pPr>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88 (11-3733)</w:t>
            </w:r>
            <w:r w:rsidRPr="00903ABC">
              <w:rPr>
                <w:rFonts w:ascii="Book Antiqua" w:hAnsi="Book Antiqua" w:cs="AdvPSMP1"/>
                <w:sz w:val="18"/>
                <w:szCs w:val="18"/>
                <w:vertAlign w:val="superscript"/>
                <w:lang w:val="en-US" w:eastAsia="zh-CN"/>
              </w:rPr>
              <w:t>3</w:t>
            </w:r>
          </w:p>
        </w:tc>
        <w:tc>
          <w:tcPr>
            <w:tcW w:w="525" w:type="pct"/>
          </w:tcPr>
          <w:p w:rsidR="004C196A" w:rsidRPr="00903ABC" w:rsidRDefault="004C196A" w:rsidP="00903ABC">
            <w:pPr>
              <w:spacing w:after="0" w:line="360" w:lineRule="auto"/>
              <w:jc w:val="both"/>
              <w:rPr>
                <w:rFonts w:ascii="Book Antiqua" w:hAnsi="Book Antiqua" w:cs="AdvPSPH-R"/>
                <w:sz w:val="18"/>
                <w:szCs w:val="18"/>
                <w:lang w:val="en-US"/>
              </w:rPr>
            </w:pPr>
          </w:p>
        </w:tc>
      </w:tr>
      <w:tr w:rsidR="004C196A" w:rsidRPr="00903ABC" w:rsidTr="00903ABC">
        <w:tc>
          <w:tcPr>
            <w:tcW w:w="1021"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Cirrhosis</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rPr>
              <w:t>34/172 (20)</w:t>
            </w:r>
          </w:p>
        </w:tc>
        <w:tc>
          <w:tcPr>
            <w:tcW w:w="699"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rPr>
              <w:t>47/250 (19)</w:t>
            </w:r>
          </w:p>
        </w:tc>
        <w:tc>
          <w:tcPr>
            <w:tcW w:w="693"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cs="AdvPSPH-R"/>
                <w:sz w:val="18"/>
                <w:szCs w:val="18"/>
              </w:rPr>
              <w:t>14 (23)</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NR</w:t>
            </w:r>
          </w:p>
        </w:tc>
        <w:tc>
          <w:tcPr>
            <w:tcW w:w="682"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105 (35)</w:t>
            </w:r>
          </w:p>
        </w:tc>
        <w:tc>
          <w:tcPr>
            <w:tcW w:w="525" w:type="pct"/>
          </w:tcPr>
          <w:p w:rsidR="004C196A" w:rsidRPr="00903ABC" w:rsidRDefault="004C196A" w:rsidP="00903ABC">
            <w:pPr>
              <w:spacing w:after="0" w:line="360" w:lineRule="auto"/>
              <w:jc w:val="both"/>
              <w:rPr>
                <w:rFonts w:ascii="Book Antiqua" w:hAnsi="Book Antiqua"/>
                <w:sz w:val="18"/>
                <w:szCs w:val="18"/>
                <w:lang w:val="en-US"/>
              </w:rPr>
            </w:pPr>
            <w:r w:rsidRPr="00903ABC">
              <w:rPr>
                <w:rFonts w:ascii="Book Antiqua" w:hAnsi="Book Antiqua"/>
                <w:sz w:val="18"/>
                <w:szCs w:val="18"/>
                <w:lang w:val="en-US"/>
              </w:rPr>
              <w:t>20 (11)</w:t>
            </w:r>
          </w:p>
        </w:tc>
      </w:tr>
    </w:tbl>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p>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r w:rsidRPr="00260125">
        <w:rPr>
          <w:rFonts w:ascii="Book Antiqua" w:hAnsi="Book Antiqua" w:cs="AdvPSPH-R"/>
          <w:b/>
          <w:sz w:val="24"/>
          <w:szCs w:val="24"/>
          <w:lang w:val="en-US"/>
        </w:rPr>
        <w:t>Table 3</w:t>
      </w:r>
      <w:r>
        <w:rPr>
          <w:rFonts w:ascii="Book Antiqua" w:hAnsi="Book Antiqua" w:cs="AdvPSPH-R"/>
          <w:b/>
          <w:sz w:val="24"/>
          <w:szCs w:val="24"/>
          <w:lang w:val="en-US"/>
        </w:rPr>
        <w:t xml:space="preserve"> </w:t>
      </w:r>
      <w:r w:rsidRPr="003E19BD">
        <w:rPr>
          <w:rFonts w:ascii="Book Antiqua" w:hAnsi="Book Antiqua" w:cs="AdvPSPH-R"/>
          <w:b/>
          <w:sz w:val="24"/>
          <w:szCs w:val="24"/>
          <w:lang w:val="en-US"/>
        </w:rPr>
        <w:t xml:space="preserve">Baseline characteristics of patients included in </w:t>
      </w:r>
      <w:proofErr w:type="spellStart"/>
      <w:r w:rsidRPr="003E19BD">
        <w:rPr>
          <w:rFonts w:ascii="Book Antiqua" w:hAnsi="Book Antiqua" w:cs="AdvPSPH-R"/>
          <w:b/>
          <w:sz w:val="24"/>
          <w:szCs w:val="24"/>
          <w:lang w:val="en-US"/>
        </w:rPr>
        <w:t>tenofovir</w:t>
      </w:r>
      <w:proofErr w:type="spellEnd"/>
      <w:r>
        <w:rPr>
          <w:rFonts w:ascii="Book Antiqua" w:hAnsi="Book Antiqua" w:cs="AdvPSPH-R"/>
          <w:b/>
          <w:sz w:val="24"/>
          <w:szCs w:val="24"/>
          <w:lang w:val="en-US"/>
        </w:rPr>
        <w:t xml:space="preserve"> </w:t>
      </w:r>
      <w:proofErr w:type="gramStart"/>
      <w:r w:rsidRPr="003E19BD">
        <w:rPr>
          <w:rFonts w:ascii="Book Antiqua" w:hAnsi="Book Antiqua" w:cs="AdvPSPH-R"/>
          <w:b/>
          <w:sz w:val="24"/>
          <w:szCs w:val="24"/>
          <w:lang w:val="en-US"/>
        </w:rPr>
        <w:t>studies</w:t>
      </w:r>
      <w:r w:rsidRPr="003E19BD">
        <w:rPr>
          <w:rFonts w:ascii="Book Antiqua" w:hAnsi="Book Antiqua" w:cs="AdvPSPH-R"/>
          <w:b/>
          <w:sz w:val="24"/>
          <w:szCs w:val="24"/>
          <w:vertAlign w:val="superscript"/>
          <w:lang w:val="en-US" w:eastAsia="zh-CN"/>
        </w:rPr>
        <w:t>[</w:t>
      </w:r>
      <w:proofErr w:type="gramEnd"/>
      <w:r w:rsidRPr="003E19BD">
        <w:rPr>
          <w:rFonts w:ascii="Book Antiqua" w:hAnsi="Book Antiqua" w:cs="AdvPSPH-R"/>
          <w:b/>
          <w:sz w:val="24"/>
          <w:szCs w:val="24"/>
          <w:vertAlign w:val="superscript"/>
          <w:lang w:val="en-US" w:eastAsia="zh-CN"/>
        </w:rPr>
        <w:t>2</w:t>
      </w:r>
      <w:r>
        <w:rPr>
          <w:rFonts w:ascii="Book Antiqua" w:hAnsi="Book Antiqua" w:cs="AdvPSPH-R"/>
          <w:b/>
          <w:sz w:val="24"/>
          <w:szCs w:val="24"/>
          <w:vertAlign w:val="superscript"/>
          <w:lang w:val="en-US" w:eastAsia="zh-CN"/>
        </w:rPr>
        <w:t>1</w:t>
      </w:r>
      <w:r w:rsidRPr="003E19BD">
        <w:rPr>
          <w:rFonts w:ascii="Book Antiqua" w:hAnsi="Book Antiqua" w:cs="AdvPSPH-R"/>
          <w:b/>
          <w:sz w:val="24"/>
          <w:szCs w:val="24"/>
          <w:vertAlign w:val="superscript"/>
          <w:lang w:val="en-US" w:eastAsia="zh-CN"/>
        </w:rPr>
        <w:t>]</w:t>
      </w:r>
    </w:p>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r w:rsidRPr="003E19BD">
        <w:rPr>
          <w:rFonts w:ascii="Book Antiqua" w:hAnsi="Book Antiqua" w:cs="AdvPSPH-R"/>
          <w:sz w:val="24"/>
          <w:szCs w:val="24"/>
          <w:vertAlign w:val="superscript"/>
          <w:lang w:val="en-US" w:eastAsia="zh-CN"/>
        </w:rPr>
        <w:t>1</w:t>
      </w:r>
      <w:r w:rsidRPr="00260125">
        <w:rPr>
          <w:rFonts w:ascii="Book Antiqua" w:hAnsi="Book Antiqua" w:cs="AdvPSPH-R"/>
          <w:sz w:val="24"/>
          <w:szCs w:val="24"/>
          <w:lang w:val="en-US"/>
        </w:rPr>
        <w:t>Unless otherwise specified</w:t>
      </w:r>
      <w:r>
        <w:rPr>
          <w:rFonts w:ascii="Book Antiqua" w:hAnsi="Book Antiqua" w:cs="AdvPSPH-R"/>
          <w:sz w:val="24"/>
          <w:szCs w:val="24"/>
          <w:lang w:val="en-US" w:eastAsia="zh-CN"/>
        </w:rPr>
        <w:t xml:space="preserve">; </w:t>
      </w:r>
      <w:r w:rsidRPr="003E19BD">
        <w:rPr>
          <w:rFonts w:ascii="Book Antiqua" w:hAnsi="Book Antiqua" w:cs="AdvPSMP1"/>
          <w:sz w:val="24"/>
          <w:szCs w:val="24"/>
          <w:vertAlign w:val="superscript"/>
          <w:lang w:val="en-US" w:eastAsia="zh-CN"/>
        </w:rPr>
        <w:t>2</w:t>
      </w:r>
      <w:r w:rsidRPr="00260125">
        <w:rPr>
          <w:rFonts w:ascii="Book Antiqua" w:hAnsi="Book Antiqua" w:cs="AdvPSPH-R"/>
          <w:sz w:val="24"/>
          <w:szCs w:val="24"/>
          <w:lang w:val="en-US"/>
        </w:rPr>
        <w:t>Mean (standard deviation)</w:t>
      </w:r>
      <w:r>
        <w:rPr>
          <w:rFonts w:ascii="Book Antiqua" w:hAnsi="Book Antiqua" w:cs="AdvPSPH-R"/>
          <w:sz w:val="24"/>
          <w:szCs w:val="24"/>
          <w:lang w:val="en-US" w:eastAsia="zh-CN"/>
        </w:rPr>
        <w:t xml:space="preserve">; </w:t>
      </w:r>
      <w:r w:rsidRPr="003E19BD">
        <w:rPr>
          <w:rFonts w:ascii="Book Antiqua" w:hAnsi="Book Antiqua" w:cs="AdvPSMP1"/>
          <w:sz w:val="24"/>
          <w:szCs w:val="24"/>
          <w:vertAlign w:val="superscript"/>
          <w:lang w:val="en-US" w:eastAsia="zh-CN"/>
        </w:rPr>
        <w:t>3</w:t>
      </w:r>
      <w:r w:rsidRPr="00260125">
        <w:rPr>
          <w:rFonts w:ascii="Book Antiqua" w:hAnsi="Book Antiqua" w:cs="AdvPSPH-R"/>
          <w:sz w:val="24"/>
          <w:szCs w:val="24"/>
          <w:lang w:val="en-US"/>
        </w:rPr>
        <w:t>Median (range)</w:t>
      </w:r>
      <w:r>
        <w:rPr>
          <w:rFonts w:ascii="Book Antiqua" w:hAnsi="Book Antiqua" w:cs="AdvPSPH-R"/>
          <w:sz w:val="24"/>
          <w:szCs w:val="24"/>
          <w:lang w:val="en-US" w:eastAsia="zh-CN"/>
        </w:rPr>
        <w:t xml:space="preserve">; </w:t>
      </w:r>
      <w:r w:rsidRPr="003E19BD">
        <w:rPr>
          <w:rFonts w:ascii="Book Antiqua" w:hAnsi="Book Antiqua" w:cs="AdvPSPH-R"/>
          <w:sz w:val="24"/>
          <w:szCs w:val="24"/>
          <w:vertAlign w:val="superscript"/>
          <w:lang w:val="en-US" w:eastAsia="zh-CN"/>
        </w:rPr>
        <w:t>4</w:t>
      </w:r>
      <w:r w:rsidRPr="00260125">
        <w:rPr>
          <w:rFonts w:ascii="Book Antiqua" w:hAnsi="Book Antiqua" w:cs="AdvPSPH-R"/>
          <w:sz w:val="24"/>
          <w:szCs w:val="24"/>
          <w:lang w:val="en-US"/>
        </w:rPr>
        <w:t>Australia or New Zealand</w:t>
      </w:r>
      <w:r>
        <w:rPr>
          <w:rFonts w:ascii="Book Antiqua" w:hAnsi="Book Antiqua" w:cs="AdvPSPH-R"/>
          <w:sz w:val="24"/>
          <w:szCs w:val="24"/>
          <w:lang w:val="en-US" w:eastAsia="zh-CN"/>
        </w:rPr>
        <w:t xml:space="preserve">; </w:t>
      </w:r>
      <w:r w:rsidRPr="003E19BD">
        <w:rPr>
          <w:rFonts w:ascii="Book Antiqua" w:hAnsi="Book Antiqua" w:cs="AdvPSPH-R"/>
          <w:sz w:val="24"/>
          <w:szCs w:val="24"/>
          <w:vertAlign w:val="superscript"/>
          <w:lang w:val="en-US" w:eastAsia="zh-CN"/>
        </w:rPr>
        <w:t>5</w:t>
      </w:r>
      <w:r w:rsidRPr="00260125">
        <w:rPr>
          <w:rFonts w:ascii="Book Antiqua" w:hAnsi="Book Antiqua" w:cs="AdvPSPH-R"/>
          <w:sz w:val="24"/>
          <w:szCs w:val="24"/>
          <w:lang w:val="en-US"/>
        </w:rPr>
        <w:t>log10 copies/Ml</w:t>
      </w:r>
      <w:r>
        <w:rPr>
          <w:rFonts w:ascii="Book Antiqua" w:hAnsi="Book Antiqua" w:cs="AdvPSPH-R"/>
          <w:sz w:val="24"/>
          <w:szCs w:val="24"/>
          <w:lang w:val="en-US" w:eastAsia="zh-CN"/>
        </w:rPr>
        <w:t xml:space="preserve">; </w:t>
      </w:r>
      <w:r w:rsidRPr="003E19BD">
        <w:rPr>
          <w:rFonts w:ascii="Book Antiqua" w:hAnsi="Book Antiqua" w:cs="AdvPSPH-R"/>
          <w:sz w:val="24"/>
          <w:szCs w:val="24"/>
          <w:vertAlign w:val="superscript"/>
          <w:lang w:val="en-US" w:eastAsia="zh-CN"/>
        </w:rPr>
        <w:t>6</w:t>
      </w:r>
      <w:r w:rsidRPr="00260125">
        <w:rPr>
          <w:rFonts w:ascii="Book Antiqua" w:hAnsi="Book Antiqua" w:cs="AdvPSPH-R"/>
          <w:sz w:val="24"/>
          <w:szCs w:val="24"/>
          <w:lang w:val="en-US"/>
        </w:rPr>
        <w:t>Mean (standard error).</w:t>
      </w:r>
      <w:r>
        <w:rPr>
          <w:rFonts w:ascii="Book Antiqua" w:hAnsi="Book Antiqua" w:cs="AdvPSPH-R"/>
          <w:sz w:val="24"/>
          <w:szCs w:val="24"/>
          <w:lang w:val="en-US"/>
        </w:rPr>
        <w:t xml:space="preserve"> </w:t>
      </w:r>
      <w:r w:rsidRPr="00260125">
        <w:rPr>
          <w:rFonts w:ascii="Book Antiqua" w:hAnsi="Book Antiqua" w:cs="AdvPSPH-R"/>
          <w:sz w:val="24"/>
          <w:szCs w:val="24"/>
          <w:lang w:val="en-US"/>
        </w:rPr>
        <w:t>ALT</w:t>
      </w:r>
      <w:r>
        <w:rPr>
          <w:rFonts w:ascii="Book Antiqua" w:hAnsi="Book Antiqua" w:cs="AdvPSPH-R"/>
          <w:sz w:val="24"/>
          <w:szCs w:val="24"/>
          <w:lang w:val="en-US" w:eastAsia="zh-CN"/>
        </w:rPr>
        <w:t>: A</w:t>
      </w:r>
      <w:r w:rsidRPr="00260125">
        <w:rPr>
          <w:rFonts w:ascii="Book Antiqua" w:hAnsi="Book Antiqua" w:cs="AdvPSPH-R"/>
          <w:sz w:val="24"/>
          <w:szCs w:val="24"/>
          <w:lang w:val="en-US"/>
        </w:rPr>
        <w:t>lanine transaminase; NR</w:t>
      </w:r>
      <w:r>
        <w:rPr>
          <w:rFonts w:ascii="Book Antiqua" w:hAnsi="Book Antiqua" w:cs="AdvPSPH-R"/>
          <w:sz w:val="24"/>
          <w:szCs w:val="24"/>
          <w:lang w:val="en-US" w:eastAsia="zh-CN"/>
        </w:rPr>
        <w:t>: N</w:t>
      </w:r>
      <w:r w:rsidRPr="00260125">
        <w:rPr>
          <w:rFonts w:ascii="Book Antiqua" w:hAnsi="Book Antiqua" w:cs="AdvPSPH-R"/>
          <w:sz w:val="24"/>
          <w:szCs w:val="24"/>
          <w:lang w:val="en-US"/>
        </w:rPr>
        <w:t>ot reported.</w:t>
      </w: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p>
    <w:p w:rsidR="004C196A" w:rsidRPr="00260125" w:rsidRDefault="004C196A" w:rsidP="00260125">
      <w:pPr>
        <w:spacing w:after="0" w:line="360" w:lineRule="auto"/>
        <w:jc w:val="both"/>
        <w:rPr>
          <w:rFonts w:ascii="Book Antiqua" w:hAnsi="Book Antiqua"/>
          <w:sz w:val="24"/>
          <w:szCs w:val="24"/>
          <w:lang w:val="en-US"/>
        </w:rPr>
      </w:pPr>
      <w:r w:rsidRPr="00260125">
        <w:rPr>
          <w:rFonts w:ascii="Book Antiqua" w:hAnsi="Book Antiqua"/>
          <w:sz w:val="24"/>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1163"/>
        <w:gridCol w:w="1156"/>
        <w:gridCol w:w="1139"/>
        <w:gridCol w:w="1458"/>
        <w:gridCol w:w="1638"/>
        <w:gridCol w:w="1181"/>
      </w:tblGrid>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Study [ref]</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Median follow-up (range)</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No.</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patients</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Cut-off (assay</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limit) (IU/mL)</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HBV DNA</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undetectable,</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HBeAg</w:t>
            </w:r>
            <w:proofErr w:type="spellEnd"/>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seroconversion</w:t>
            </w:r>
            <w:proofErr w:type="spellEnd"/>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MP1"/>
                <w:sz w:val="18"/>
                <w:szCs w:val="18"/>
                <w:lang w:val="en-US" w:eastAsia="zh-CN"/>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r w:rsidRPr="00903ABC">
              <w:rPr>
                <w:rFonts w:ascii="Book Antiqua" w:hAnsi="Book Antiqua" w:cs="AdvPSMP1"/>
                <w:sz w:val="18"/>
                <w:szCs w:val="18"/>
                <w:vertAlign w:val="superscript"/>
                <w:lang w:val="en-US" w:eastAsia="zh-CN"/>
              </w:rPr>
              <w:t>3</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roofErr w:type="spellStart"/>
            <w:r w:rsidRPr="00903ABC">
              <w:rPr>
                <w:rFonts w:ascii="Book Antiqua" w:hAnsi="Book Antiqua" w:cs="AdvPSPH-R"/>
                <w:sz w:val="18"/>
                <w:szCs w:val="18"/>
                <w:lang w:val="en-US"/>
              </w:rPr>
              <w:t>HBsAg</w:t>
            </w:r>
            <w:proofErr w:type="spellEnd"/>
            <w:r w:rsidRPr="00903ABC">
              <w:rPr>
                <w:rFonts w:ascii="Book Antiqua" w:hAnsi="Book Antiqua" w:cs="AdvPSPH-R"/>
                <w:sz w:val="18"/>
                <w:szCs w:val="18"/>
                <w:lang w:val="en-US"/>
              </w:rPr>
              <w:t xml:space="preserve"> loss,</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w:t>
            </w:r>
            <w:r w:rsidRPr="00903ABC">
              <w:rPr>
                <w:rFonts w:ascii="Book Antiqua" w:hAnsi="Book Antiqua" w:cs="AdvPSPH-I"/>
                <w:i/>
                <w:sz w:val="18"/>
                <w:szCs w:val="18"/>
                <w:lang w:val="en-US"/>
              </w:rPr>
              <w:t>n</w:t>
            </w:r>
            <w:r w:rsidRPr="00903ABC">
              <w:rPr>
                <w:rFonts w:ascii="Book Antiqua" w:hAnsi="Book Antiqua" w:cs="AdvPSPH-R"/>
                <w:sz w:val="18"/>
                <w:szCs w:val="18"/>
                <w:lang w:val="en-US"/>
              </w:rPr>
              <w:t>/</w:t>
            </w:r>
            <w:r w:rsidRPr="00903ABC">
              <w:rPr>
                <w:rFonts w:ascii="Book Antiqua" w:hAnsi="Book Antiqua" w:cs="AdvPSPH-I"/>
                <w:i/>
                <w:sz w:val="18"/>
                <w:szCs w:val="18"/>
                <w:lang w:val="en-US"/>
              </w:rPr>
              <w:t>N</w:t>
            </w:r>
            <w:r w:rsidRPr="00903ABC">
              <w:rPr>
                <w:rFonts w:ascii="Book Antiqua" w:hAnsi="Book Antiqua" w:cs="AdvPSPH-R"/>
                <w:sz w:val="18"/>
                <w:szCs w:val="18"/>
                <w:vertAlign w:val="superscript"/>
                <w:lang w:val="en-US" w:eastAsia="zh-CN"/>
              </w:rPr>
              <w:t>1</w:t>
            </w:r>
            <w:r w:rsidRPr="00903ABC">
              <w:rPr>
                <w:rFonts w:ascii="Book Antiqua" w:hAnsi="Book Antiqua" w:cs="AdvPSPH-R"/>
                <w:sz w:val="18"/>
                <w:szCs w:val="18"/>
                <w:lang w:val="en-US"/>
              </w:rPr>
              <w:t>)</w:t>
            </w:r>
          </w:p>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King</w:t>
            </w:r>
            <w:r w:rsidRPr="00903ABC">
              <w:rPr>
                <w:rFonts w:ascii="Book Antiqua" w:hAnsi="Book Antiqua" w:cs="AdvPSMP1"/>
                <w:sz w:val="18"/>
                <w:szCs w:val="18"/>
                <w:lang w:val="en-US"/>
              </w:rPr>
              <w:t>’</w:t>
            </w:r>
            <w:r w:rsidRPr="00903ABC">
              <w:rPr>
                <w:rFonts w:ascii="Book Antiqua" w:hAnsi="Book Antiqua" w:cs="AdvPSPH-R"/>
                <w:sz w:val="18"/>
                <w:szCs w:val="18"/>
                <w:lang w:val="en-US"/>
              </w:rPr>
              <w:t xml:space="preserve">s College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24</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12 </w:t>
            </w:r>
            <w:proofErr w:type="spellStart"/>
            <w:r w:rsidRPr="00903ABC">
              <w:rPr>
                <w:rFonts w:ascii="Book Antiqua" w:hAnsi="Book Antiqua" w:cs="AdvPSPH-R"/>
                <w:sz w:val="18"/>
                <w:szCs w:val="18"/>
                <w:lang w:val="en-US"/>
              </w:rPr>
              <w:t>mo</w:t>
            </w:r>
            <w:proofErr w:type="spellEnd"/>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60</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76 (33/43)</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7 (2/24)</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 (0/60)</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U</w:t>
            </w:r>
            <w:r w:rsidRPr="00903ABC">
              <w:rPr>
                <w:rFonts w:ascii="Book Antiqua" w:hAnsi="Book Antiqua" w:cs="AdvPSPH-R"/>
                <w:sz w:val="18"/>
                <w:szCs w:val="18"/>
                <w:lang w:val="en-US" w:eastAsia="zh-CN"/>
              </w:rPr>
              <w:t xml:space="preserve">nited </w:t>
            </w:r>
            <w:r w:rsidRPr="00903ABC">
              <w:rPr>
                <w:rFonts w:ascii="Book Antiqua" w:hAnsi="Book Antiqua" w:cs="AdvPSPH-R"/>
                <w:sz w:val="18"/>
                <w:szCs w:val="18"/>
                <w:lang w:val="en-US"/>
              </w:rPr>
              <w:t>S</w:t>
            </w:r>
            <w:r w:rsidRPr="00903ABC">
              <w:rPr>
                <w:rFonts w:ascii="Book Antiqua" w:hAnsi="Book Antiqua" w:cs="AdvPSPH-R"/>
                <w:sz w:val="18"/>
                <w:szCs w:val="18"/>
                <w:lang w:val="en-US" w:eastAsia="zh-CN"/>
              </w:rPr>
              <w:t>tates</w:t>
            </w:r>
            <w:r w:rsidRPr="00903ABC">
              <w:rPr>
                <w:rFonts w:ascii="Book Antiqua" w:hAnsi="Book Antiqua" w:cs="AdvPSPH-R"/>
                <w:sz w:val="18"/>
                <w:szCs w:val="18"/>
                <w:lang w:val="en-US"/>
              </w:rPr>
              <w:t xml:space="preserve">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38</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rPr>
              <w:t xml:space="preserve">12 </w:t>
            </w:r>
            <w:proofErr w:type="spellStart"/>
            <w:r w:rsidRPr="00903ABC">
              <w:rPr>
                <w:rFonts w:ascii="Book Antiqua" w:hAnsi="Book Antiqua" w:cs="AdvPSPH-R"/>
                <w:sz w:val="18"/>
                <w:szCs w:val="18"/>
              </w:rPr>
              <w:t>mo</w:t>
            </w:r>
            <w:proofErr w:type="spellEnd"/>
            <w:r w:rsidRPr="00903ABC">
              <w:rPr>
                <w:rFonts w:ascii="Book Antiqua" w:hAnsi="Book Antiqua" w:cs="AdvPSPH-R"/>
                <w:sz w:val="18"/>
                <w:szCs w:val="18"/>
              </w:rPr>
              <w:t xml:space="preserve"> (6–23)</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28</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100</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82 (23/28)</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 (7/28)</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0 (0/28)</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European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42</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33 </w:t>
            </w:r>
            <w:proofErr w:type="spellStart"/>
            <w:r w:rsidRPr="00903ABC">
              <w:rPr>
                <w:rFonts w:ascii="Book Antiqua" w:hAnsi="Book Antiqua" w:cs="AdvPSPH-R"/>
                <w:sz w:val="18"/>
                <w:szCs w:val="18"/>
                <w:lang w:val="en-US"/>
              </w:rPr>
              <w:t>mo</w:t>
            </w:r>
            <w:proofErr w:type="spellEnd"/>
            <w:r w:rsidRPr="00903ABC">
              <w:rPr>
                <w:rFonts w:ascii="Book Antiqua" w:hAnsi="Book Antiqua" w:cs="AdvPSPH-R"/>
                <w:sz w:val="18"/>
                <w:szCs w:val="18"/>
                <w:lang w:val="en-US"/>
              </w:rPr>
              <w:t xml:space="preserve"> (0-66)</w:t>
            </w:r>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302</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12</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97 (91/94)</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36 (18/61)</w:t>
            </w:r>
            <w:r w:rsidRPr="00903ABC">
              <w:rPr>
                <w:rFonts w:ascii="Book Antiqua" w:hAnsi="Book Antiqua" w:cs="AdvPSPH-R"/>
                <w:sz w:val="18"/>
                <w:szCs w:val="18"/>
                <w:vertAlign w:val="superscript"/>
                <w:lang w:val="en-US" w:eastAsia="zh-CN"/>
              </w:rPr>
              <w:t>4</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13 (8)</w:t>
            </w:r>
          </w:p>
        </w:tc>
      </w:tr>
      <w:tr w:rsidR="004C196A" w:rsidRPr="00903ABC" w:rsidTr="00903ABC">
        <w:tc>
          <w:tcPr>
            <w:tcW w:w="131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eastAsia="zh-CN"/>
              </w:rPr>
            </w:pPr>
            <w:r w:rsidRPr="00903ABC">
              <w:rPr>
                <w:rFonts w:ascii="Book Antiqua" w:hAnsi="Book Antiqua" w:cs="AdvPSPH-R"/>
                <w:sz w:val="18"/>
                <w:szCs w:val="18"/>
                <w:lang w:val="en-US"/>
              </w:rPr>
              <w:t xml:space="preserve">German cohort </w:t>
            </w:r>
            <w:r w:rsidRPr="00903ABC">
              <w:rPr>
                <w:rFonts w:ascii="Book Antiqua" w:hAnsi="Book Antiqua" w:cs="AdvPSPH-R"/>
                <w:sz w:val="18"/>
                <w:szCs w:val="18"/>
                <w:vertAlign w:val="superscript"/>
                <w:lang w:val="en-US" w:eastAsia="zh-CN"/>
              </w:rPr>
              <w:t>[</w:t>
            </w:r>
            <w:r w:rsidRPr="00903ABC">
              <w:rPr>
                <w:rFonts w:ascii="Book Antiqua" w:hAnsi="Book Antiqua" w:cs="AdvPSPH-R"/>
                <w:sz w:val="18"/>
                <w:szCs w:val="18"/>
                <w:vertAlign w:val="superscript"/>
                <w:lang w:val="en-US"/>
              </w:rPr>
              <w:t>43</w:t>
            </w:r>
            <w:r w:rsidRPr="00903ABC">
              <w:rPr>
                <w:rFonts w:ascii="Book Antiqua" w:hAnsi="Book Antiqua" w:cs="AdvPSPH-R"/>
                <w:sz w:val="18"/>
                <w:szCs w:val="18"/>
                <w:vertAlign w:val="superscript"/>
                <w:lang w:val="en-US" w:eastAsia="zh-CN"/>
              </w:rPr>
              <w:t>]</w:t>
            </w:r>
          </w:p>
        </w:tc>
        <w:tc>
          <w:tcPr>
            <w:tcW w:w="1163"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 xml:space="preserve">24 </w:t>
            </w:r>
            <w:proofErr w:type="spellStart"/>
            <w:r w:rsidRPr="00903ABC">
              <w:rPr>
                <w:rFonts w:ascii="Book Antiqua" w:hAnsi="Book Antiqua" w:cs="AdvPSPH-R"/>
                <w:sz w:val="18"/>
                <w:szCs w:val="18"/>
                <w:lang w:val="en-US"/>
              </w:rPr>
              <w:t>mo</w:t>
            </w:r>
            <w:proofErr w:type="spellEnd"/>
          </w:p>
        </w:tc>
        <w:tc>
          <w:tcPr>
            <w:tcW w:w="1156"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184</w:t>
            </w:r>
          </w:p>
        </w:tc>
        <w:tc>
          <w:tcPr>
            <w:tcW w:w="1139"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69</w:t>
            </w:r>
          </w:p>
        </w:tc>
        <w:tc>
          <w:tcPr>
            <w:tcW w:w="145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92 (170/184)</w:t>
            </w:r>
          </w:p>
        </w:tc>
        <w:tc>
          <w:tcPr>
            <w:tcW w:w="1638"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20 (NR)</w:t>
            </w:r>
          </w:p>
        </w:tc>
        <w:tc>
          <w:tcPr>
            <w:tcW w:w="1181" w:type="dxa"/>
          </w:tcPr>
          <w:p w:rsidR="004C196A" w:rsidRPr="00903ABC" w:rsidRDefault="004C196A" w:rsidP="00903ABC">
            <w:pPr>
              <w:autoSpaceDE w:val="0"/>
              <w:autoSpaceDN w:val="0"/>
              <w:adjustRightInd w:val="0"/>
              <w:spacing w:after="0" w:line="360" w:lineRule="auto"/>
              <w:jc w:val="both"/>
              <w:rPr>
                <w:rFonts w:ascii="Book Antiqua" w:hAnsi="Book Antiqua" w:cs="AdvPSPH-R"/>
                <w:sz w:val="18"/>
                <w:szCs w:val="18"/>
                <w:lang w:val="en-US"/>
              </w:rPr>
            </w:pPr>
            <w:r w:rsidRPr="00903ABC">
              <w:rPr>
                <w:rFonts w:ascii="Book Antiqua" w:hAnsi="Book Antiqua" w:cs="AdvPSPH-R"/>
                <w:sz w:val="18"/>
                <w:szCs w:val="18"/>
                <w:lang w:val="en-US"/>
              </w:rPr>
              <w:t>5 (NR)</w:t>
            </w:r>
          </w:p>
        </w:tc>
      </w:tr>
    </w:tbl>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p>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eastAsia="zh-CN"/>
        </w:rPr>
      </w:pPr>
      <w:r w:rsidRPr="00260125">
        <w:rPr>
          <w:rFonts w:ascii="Book Antiqua" w:hAnsi="Book Antiqua" w:cs="AdvPSPH-R"/>
          <w:b/>
          <w:sz w:val="24"/>
          <w:szCs w:val="24"/>
          <w:lang w:val="en-US"/>
        </w:rPr>
        <w:t>Table 4</w:t>
      </w:r>
      <w:r>
        <w:rPr>
          <w:rFonts w:ascii="Book Antiqua" w:hAnsi="Book Antiqua" w:cs="AdvPSPH-R"/>
          <w:b/>
          <w:sz w:val="24"/>
          <w:szCs w:val="24"/>
          <w:lang w:val="en-US" w:eastAsia="zh-CN"/>
        </w:rPr>
        <w:t xml:space="preserve"> </w:t>
      </w:r>
      <w:r w:rsidRPr="00AA6DD5">
        <w:rPr>
          <w:rFonts w:ascii="Book Antiqua" w:hAnsi="Book Antiqua" w:cs="AdvPSPH-R"/>
          <w:b/>
          <w:sz w:val="24"/>
          <w:szCs w:val="24"/>
          <w:lang w:val="en-US"/>
        </w:rPr>
        <w:t xml:space="preserve">Summary of efficacy results from real-life studies of </w:t>
      </w:r>
      <w:proofErr w:type="spellStart"/>
      <w:r>
        <w:rPr>
          <w:rFonts w:ascii="Book Antiqua" w:hAnsi="Book Antiqua" w:cs="AdvPSPH-R"/>
          <w:b/>
          <w:sz w:val="24"/>
          <w:szCs w:val="24"/>
          <w:lang w:val="en-US"/>
        </w:rPr>
        <w:t>tenofovir</w:t>
      </w:r>
      <w:proofErr w:type="spellEnd"/>
      <w:r>
        <w:rPr>
          <w:rFonts w:ascii="Book Antiqua" w:hAnsi="Book Antiqua" w:cs="AdvPSPH-R"/>
          <w:b/>
          <w:sz w:val="24"/>
          <w:szCs w:val="24"/>
          <w:lang w:val="en-US"/>
        </w:rPr>
        <w:t xml:space="preserve"> in </w:t>
      </w:r>
      <w:proofErr w:type="spellStart"/>
      <w:proofErr w:type="gramStart"/>
      <w:r w:rsidRPr="00AA6DD5">
        <w:rPr>
          <w:rFonts w:ascii="Book Antiqua" w:hAnsi="Book Antiqua" w:cs="AdvPSPH-R"/>
          <w:b/>
          <w:sz w:val="24"/>
          <w:szCs w:val="24"/>
          <w:lang w:val="en-US" w:eastAsia="zh-CN"/>
        </w:rPr>
        <w:t>n</w:t>
      </w:r>
      <w:r w:rsidRPr="00AA6DD5">
        <w:rPr>
          <w:rFonts w:ascii="Book Antiqua" w:hAnsi="Book Antiqua" w:cs="AdvPSPH-R"/>
          <w:b/>
          <w:sz w:val="24"/>
          <w:szCs w:val="24"/>
          <w:lang w:val="en-US"/>
        </w:rPr>
        <w:t>ucleos</w:t>
      </w:r>
      <w:proofErr w:type="spellEnd"/>
      <w:r w:rsidRPr="00AA6DD5">
        <w:rPr>
          <w:rFonts w:ascii="Book Antiqua" w:hAnsi="Book Antiqua" w:cs="AdvPSPH-R"/>
          <w:b/>
          <w:sz w:val="24"/>
          <w:szCs w:val="24"/>
          <w:lang w:val="en-US"/>
        </w:rPr>
        <w:t>(</w:t>
      </w:r>
      <w:proofErr w:type="gramEnd"/>
      <w:r w:rsidRPr="00AA6DD5">
        <w:rPr>
          <w:rFonts w:ascii="Book Antiqua" w:hAnsi="Book Antiqua" w:cs="AdvPSPH-R"/>
          <w:b/>
          <w:sz w:val="24"/>
          <w:szCs w:val="24"/>
          <w:lang w:val="en-US"/>
        </w:rPr>
        <w:t>t)ide analogue</w:t>
      </w:r>
      <w:r>
        <w:rPr>
          <w:rFonts w:ascii="Book Antiqua" w:hAnsi="Book Antiqua" w:cs="AdvPSPH-R"/>
          <w:b/>
          <w:sz w:val="24"/>
          <w:szCs w:val="24"/>
          <w:lang w:val="en-US"/>
        </w:rPr>
        <w:t>-naïve patients</w:t>
      </w:r>
    </w:p>
    <w:p w:rsidR="004C196A" w:rsidRPr="00260125" w:rsidRDefault="004C196A" w:rsidP="00260125">
      <w:pPr>
        <w:autoSpaceDE w:val="0"/>
        <w:autoSpaceDN w:val="0"/>
        <w:adjustRightInd w:val="0"/>
        <w:spacing w:after="0" w:line="360" w:lineRule="auto"/>
        <w:jc w:val="both"/>
        <w:rPr>
          <w:rFonts w:ascii="Book Antiqua" w:hAnsi="Book Antiqua" w:cs="AdvPSPH-R"/>
          <w:sz w:val="24"/>
          <w:szCs w:val="24"/>
          <w:lang w:val="en-US"/>
        </w:rPr>
      </w:pPr>
    </w:p>
    <w:p w:rsidR="004C196A" w:rsidRPr="00260125" w:rsidRDefault="004C196A" w:rsidP="00BA1829">
      <w:pPr>
        <w:autoSpaceDE w:val="0"/>
        <w:autoSpaceDN w:val="0"/>
        <w:adjustRightInd w:val="0"/>
        <w:spacing w:after="0" w:line="360" w:lineRule="auto"/>
        <w:jc w:val="both"/>
        <w:rPr>
          <w:rFonts w:ascii="Book Antiqua" w:hAnsi="Book Antiqua" w:cs="AdvPSPH-R"/>
          <w:sz w:val="24"/>
          <w:szCs w:val="24"/>
          <w:lang w:val="en-US"/>
        </w:rPr>
      </w:pPr>
      <w:r w:rsidRPr="00AC1873">
        <w:rPr>
          <w:rFonts w:ascii="Book Antiqua" w:hAnsi="Book Antiqua" w:cs="AdvPSPH-R"/>
          <w:sz w:val="24"/>
          <w:szCs w:val="24"/>
          <w:vertAlign w:val="superscript"/>
          <w:lang w:val="en-US" w:eastAsia="zh-CN"/>
        </w:rPr>
        <w:t>1</w:t>
      </w:r>
      <w:r w:rsidRPr="00AC1873">
        <w:rPr>
          <w:rFonts w:ascii="Book Antiqua" w:hAnsi="Book Antiqua" w:cs="AdvPSPH-R"/>
          <w:i/>
          <w:sz w:val="24"/>
          <w:szCs w:val="24"/>
          <w:lang w:val="en-US"/>
        </w:rPr>
        <w:t>N</w:t>
      </w:r>
      <w:r w:rsidRPr="00260125">
        <w:rPr>
          <w:rFonts w:ascii="Book Antiqua" w:hAnsi="Book Antiqua" w:cs="AdvPSPH-R"/>
          <w:sz w:val="24"/>
          <w:szCs w:val="24"/>
          <w:lang w:val="en-US"/>
        </w:rPr>
        <w:t xml:space="preserve"> = number of patients on treatment, unless stated otherwise</w:t>
      </w:r>
      <w:r>
        <w:rPr>
          <w:rFonts w:ascii="Book Antiqua" w:hAnsi="Book Antiqua" w:cs="AdvPSPH-R"/>
          <w:sz w:val="24"/>
          <w:szCs w:val="24"/>
          <w:lang w:val="en-US" w:eastAsia="zh-CN"/>
        </w:rPr>
        <w:t xml:space="preserve">; </w:t>
      </w:r>
      <w:r w:rsidRPr="00AC1873">
        <w:rPr>
          <w:rFonts w:ascii="Book Antiqua" w:hAnsi="Book Antiqua" w:cs="AdvPSMP1"/>
          <w:sz w:val="24"/>
          <w:szCs w:val="24"/>
          <w:vertAlign w:val="superscript"/>
          <w:lang w:val="en-US" w:eastAsia="zh-CN"/>
        </w:rPr>
        <w:t>3</w:t>
      </w:r>
      <w:r w:rsidRPr="00260125">
        <w:rPr>
          <w:rFonts w:ascii="Book Antiqua" w:hAnsi="Book Antiqua" w:cs="AdvPSPH-R"/>
          <w:sz w:val="24"/>
          <w:szCs w:val="24"/>
          <w:lang w:val="en-US"/>
        </w:rPr>
        <w:t xml:space="preserve">Among those </w:t>
      </w:r>
      <w:proofErr w:type="spellStart"/>
      <w:r w:rsidRPr="00260125">
        <w:rPr>
          <w:rFonts w:ascii="Book Antiqua" w:hAnsi="Book Antiqua" w:cs="AdvPSPH-R"/>
          <w:sz w:val="24"/>
          <w:szCs w:val="24"/>
          <w:lang w:val="en-US"/>
        </w:rPr>
        <w:t>HBeAg</w:t>
      </w:r>
      <w:proofErr w:type="spellEnd"/>
      <w:r w:rsidRPr="00260125">
        <w:rPr>
          <w:rFonts w:ascii="Book Antiqua" w:hAnsi="Book Antiqua" w:cs="AdvPSPH-R"/>
          <w:sz w:val="24"/>
          <w:szCs w:val="24"/>
          <w:lang w:val="en-US"/>
        </w:rPr>
        <w:t xml:space="preserve"> (+) at baseline</w:t>
      </w:r>
      <w:r>
        <w:rPr>
          <w:rFonts w:ascii="Book Antiqua" w:hAnsi="Book Antiqua" w:cs="AdvPSPH-R"/>
          <w:sz w:val="24"/>
          <w:szCs w:val="24"/>
          <w:lang w:val="en-US" w:eastAsia="zh-CN"/>
        </w:rPr>
        <w:t xml:space="preserve">; </w:t>
      </w:r>
      <w:r w:rsidRPr="00AC1873">
        <w:rPr>
          <w:rFonts w:ascii="Book Antiqua" w:hAnsi="Book Antiqua" w:cs="AdvPSPH-R"/>
          <w:sz w:val="24"/>
          <w:szCs w:val="24"/>
          <w:vertAlign w:val="superscript"/>
          <w:lang w:val="en-US" w:eastAsia="zh-CN"/>
        </w:rPr>
        <w:t>4</w:t>
      </w:r>
      <w:r w:rsidRPr="00260125">
        <w:rPr>
          <w:rFonts w:ascii="Book Antiqua" w:hAnsi="Book Antiqua" w:cs="AdvPSPH-R"/>
          <w:sz w:val="24"/>
          <w:szCs w:val="24"/>
          <w:lang w:val="en-US"/>
        </w:rPr>
        <w:t>Kaplan–Meier estimate. NR</w:t>
      </w:r>
      <w:r>
        <w:rPr>
          <w:rFonts w:ascii="Book Antiqua" w:hAnsi="Book Antiqua" w:cs="AdvPSPH-R"/>
          <w:sz w:val="24"/>
          <w:szCs w:val="24"/>
          <w:lang w:val="en-US" w:eastAsia="zh-CN"/>
        </w:rPr>
        <w:t>: N</w:t>
      </w:r>
      <w:r w:rsidRPr="00260125">
        <w:rPr>
          <w:rFonts w:ascii="Book Antiqua" w:hAnsi="Book Antiqua" w:cs="AdvPSPH-R"/>
          <w:sz w:val="24"/>
          <w:szCs w:val="24"/>
          <w:lang w:val="en-US"/>
        </w:rPr>
        <w:t>ot reported.</w:t>
      </w:r>
      <w:r w:rsidRPr="00BA1829">
        <w:rPr>
          <w:rFonts w:ascii="Book Antiqua" w:hAnsi="Book Antiqua" w:cs="AdvPSPH-R"/>
          <w:sz w:val="24"/>
          <w:szCs w:val="24"/>
          <w:lang w:val="en-US"/>
        </w:rPr>
        <w:t xml:space="preserve"> </w:t>
      </w:r>
      <w:proofErr w:type="spellStart"/>
      <w:r w:rsidRPr="00260125">
        <w:rPr>
          <w:rFonts w:ascii="Book Antiqua" w:hAnsi="Book Antiqua" w:cs="AdvPSPH-R"/>
          <w:sz w:val="24"/>
          <w:szCs w:val="24"/>
          <w:lang w:val="en-US"/>
        </w:rPr>
        <w:t>HBeAg</w:t>
      </w:r>
      <w:proofErr w:type="spellEnd"/>
      <w:r>
        <w:rPr>
          <w:rFonts w:ascii="Book Antiqua" w:hAnsi="Book Antiqua" w:cs="AdvPSPH-R"/>
          <w:sz w:val="24"/>
          <w:szCs w:val="24"/>
          <w:lang w:val="en-US" w:eastAsia="zh-CN"/>
        </w:rPr>
        <w:t>: E</w:t>
      </w:r>
      <w:r w:rsidRPr="00260125">
        <w:rPr>
          <w:rFonts w:ascii="Book Antiqua" w:hAnsi="Book Antiqua" w:cs="AdvPSPH-R"/>
          <w:sz w:val="24"/>
          <w:szCs w:val="24"/>
          <w:lang w:val="en-US"/>
        </w:rPr>
        <w:t xml:space="preserve"> antigen; </w:t>
      </w:r>
      <w:proofErr w:type="spellStart"/>
      <w:r w:rsidRPr="00260125">
        <w:rPr>
          <w:rFonts w:ascii="Book Antiqua" w:hAnsi="Book Antiqua" w:cs="AdvPSPH-R"/>
          <w:sz w:val="24"/>
          <w:szCs w:val="24"/>
          <w:lang w:val="en-US"/>
        </w:rPr>
        <w:t>HBsAg</w:t>
      </w:r>
      <w:proofErr w:type="spellEnd"/>
      <w:r>
        <w:rPr>
          <w:rFonts w:ascii="Book Antiqua" w:hAnsi="Book Antiqua" w:cs="AdvPSPH-R"/>
          <w:sz w:val="24"/>
          <w:szCs w:val="24"/>
          <w:lang w:val="en-US" w:eastAsia="zh-CN"/>
        </w:rPr>
        <w:t>: S</w:t>
      </w:r>
      <w:r w:rsidRPr="00260125">
        <w:rPr>
          <w:rFonts w:ascii="Book Antiqua" w:hAnsi="Book Antiqua" w:cs="AdvPSPH-R"/>
          <w:sz w:val="24"/>
          <w:szCs w:val="24"/>
          <w:lang w:val="en-US"/>
        </w:rPr>
        <w:t>urface antigen; HBV</w:t>
      </w:r>
      <w:r>
        <w:rPr>
          <w:rFonts w:ascii="Book Antiqua" w:hAnsi="Book Antiqua" w:cs="AdvPSPH-R"/>
          <w:sz w:val="24"/>
          <w:szCs w:val="24"/>
          <w:lang w:val="en-US" w:eastAsia="zh-CN"/>
        </w:rPr>
        <w:t>: H</w:t>
      </w:r>
      <w:r w:rsidRPr="00260125">
        <w:rPr>
          <w:rFonts w:ascii="Book Antiqua" w:hAnsi="Book Antiqua" w:cs="AdvPSPH-R"/>
          <w:sz w:val="24"/>
          <w:szCs w:val="24"/>
          <w:lang w:val="en-US"/>
        </w:rPr>
        <w:t>epatitis B virus; NR</w:t>
      </w:r>
      <w:r>
        <w:rPr>
          <w:rFonts w:ascii="Book Antiqua" w:hAnsi="Book Antiqua" w:cs="AdvPSPH-R"/>
          <w:sz w:val="24"/>
          <w:szCs w:val="24"/>
          <w:lang w:val="en-US" w:eastAsia="zh-CN"/>
        </w:rPr>
        <w:t>: N</w:t>
      </w:r>
      <w:r w:rsidRPr="00260125">
        <w:rPr>
          <w:rFonts w:ascii="Book Antiqua" w:hAnsi="Book Antiqua" w:cs="AdvPSPH-R"/>
          <w:sz w:val="24"/>
          <w:szCs w:val="24"/>
          <w:lang w:val="en-US"/>
        </w:rPr>
        <w:t>ot reported; NUC</w:t>
      </w:r>
      <w:r>
        <w:rPr>
          <w:rFonts w:ascii="Book Antiqua" w:hAnsi="Book Antiqua" w:cs="AdvPSPH-R"/>
          <w:sz w:val="24"/>
          <w:szCs w:val="24"/>
          <w:lang w:val="en-US" w:eastAsia="zh-CN"/>
        </w:rPr>
        <w:t xml:space="preserve">: </w:t>
      </w:r>
      <w:proofErr w:type="spellStart"/>
      <w:proofErr w:type="gramStart"/>
      <w:r>
        <w:rPr>
          <w:rFonts w:ascii="Book Antiqua" w:hAnsi="Book Antiqua" w:cs="AdvPSPH-R"/>
          <w:sz w:val="24"/>
          <w:szCs w:val="24"/>
          <w:lang w:val="en-US" w:eastAsia="zh-CN"/>
        </w:rPr>
        <w:t>N</w:t>
      </w:r>
      <w:r w:rsidRPr="00260125">
        <w:rPr>
          <w:rFonts w:ascii="Book Antiqua" w:hAnsi="Book Antiqua" w:cs="AdvPSPH-R"/>
          <w:sz w:val="24"/>
          <w:szCs w:val="24"/>
          <w:lang w:val="en-US"/>
        </w:rPr>
        <w:t>ucleos</w:t>
      </w:r>
      <w:proofErr w:type="spellEnd"/>
      <w:r w:rsidRPr="00260125">
        <w:rPr>
          <w:rFonts w:ascii="Book Antiqua" w:hAnsi="Book Antiqua" w:cs="AdvPSPH-R"/>
          <w:sz w:val="24"/>
          <w:szCs w:val="24"/>
          <w:lang w:val="en-US"/>
        </w:rPr>
        <w:t>(</w:t>
      </w:r>
      <w:proofErr w:type="gramEnd"/>
      <w:r w:rsidRPr="00260125">
        <w:rPr>
          <w:rFonts w:ascii="Book Antiqua" w:hAnsi="Book Antiqua" w:cs="AdvPSPH-R"/>
          <w:sz w:val="24"/>
          <w:szCs w:val="24"/>
          <w:lang w:val="en-US"/>
        </w:rPr>
        <w:t>t)ide analogue.</w:t>
      </w: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rPr>
      </w:pPr>
    </w:p>
    <w:p w:rsidR="004C196A" w:rsidRPr="00260125" w:rsidRDefault="004C196A" w:rsidP="00260125">
      <w:pPr>
        <w:spacing w:after="0" w:line="360" w:lineRule="auto"/>
        <w:jc w:val="both"/>
        <w:rPr>
          <w:rFonts w:ascii="Book Antiqua" w:hAnsi="Book Antiqua"/>
          <w:sz w:val="24"/>
          <w:szCs w:val="24"/>
          <w:lang w:val="en-US" w:eastAsia="zh-CN"/>
        </w:rPr>
      </w:pPr>
    </w:p>
    <w:sectPr w:rsidR="004C196A" w:rsidRPr="00260125" w:rsidSect="00D709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6B" w:rsidRDefault="00C8586B" w:rsidP="00A12671">
      <w:pPr>
        <w:spacing w:after="0" w:line="240" w:lineRule="auto"/>
      </w:pPr>
      <w:r>
        <w:separator/>
      </w:r>
    </w:p>
  </w:endnote>
  <w:endnote w:type="continuationSeparator" w:id="0">
    <w:p w:rsidR="00C8586B" w:rsidRDefault="00C8586B" w:rsidP="00A1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AdvPSPH-I">
    <w:panose1 w:val="00000000000000000000"/>
    <w:charset w:val="00"/>
    <w:family w:val="roman"/>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OT303e83b8">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6B" w:rsidRDefault="00C8586B" w:rsidP="00A12671">
      <w:pPr>
        <w:spacing w:after="0" w:line="240" w:lineRule="auto"/>
      </w:pPr>
      <w:r>
        <w:separator/>
      </w:r>
    </w:p>
  </w:footnote>
  <w:footnote w:type="continuationSeparator" w:id="0">
    <w:p w:rsidR="00C8586B" w:rsidRDefault="00C8586B" w:rsidP="00A12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EA7"/>
    <w:multiLevelType w:val="hybridMultilevel"/>
    <w:tmpl w:val="417809E0"/>
    <w:lvl w:ilvl="0" w:tplc="191230A8">
      <w:start w:val="1"/>
      <w:numFmt w:val="decimal"/>
      <w:lvlText w:val="%1."/>
      <w:lvlJc w:val="left"/>
      <w:pPr>
        <w:ind w:left="360" w:hanging="360"/>
      </w:pPr>
      <w:rPr>
        <w:rFonts w:cs="Times New Roman"/>
        <w:b w:val="0"/>
        <w:color w:val="auto"/>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
    <w:nsid w:val="755501FA"/>
    <w:multiLevelType w:val="hybridMultilevel"/>
    <w:tmpl w:val="4EB6365A"/>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55"/>
    <w:rsid w:val="00002E06"/>
    <w:rsid w:val="00007900"/>
    <w:rsid w:val="0001379C"/>
    <w:rsid w:val="000144A5"/>
    <w:rsid w:val="00023678"/>
    <w:rsid w:val="000276E8"/>
    <w:rsid w:val="00027A17"/>
    <w:rsid w:val="000305AF"/>
    <w:rsid w:val="0003606B"/>
    <w:rsid w:val="00043C57"/>
    <w:rsid w:val="00050042"/>
    <w:rsid w:val="00052FCD"/>
    <w:rsid w:val="00054E7B"/>
    <w:rsid w:val="00056488"/>
    <w:rsid w:val="00070946"/>
    <w:rsid w:val="00073E7C"/>
    <w:rsid w:val="00080A98"/>
    <w:rsid w:val="00085839"/>
    <w:rsid w:val="00085B2E"/>
    <w:rsid w:val="00092706"/>
    <w:rsid w:val="00093DE8"/>
    <w:rsid w:val="00095563"/>
    <w:rsid w:val="000A04F7"/>
    <w:rsid w:val="000A10EC"/>
    <w:rsid w:val="000B45C4"/>
    <w:rsid w:val="000B6C7D"/>
    <w:rsid w:val="000C62A3"/>
    <w:rsid w:val="000C69CE"/>
    <w:rsid w:val="000D0397"/>
    <w:rsid w:val="000D0D23"/>
    <w:rsid w:val="000E2111"/>
    <w:rsid w:val="000E5D01"/>
    <w:rsid w:val="000F527C"/>
    <w:rsid w:val="0010096E"/>
    <w:rsid w:val="00102E9B"/>
    <w:rsid w:val="001052B6"/>
    <w:rsid w:val="00117B01"/>
    <w:rsid w:val="00123810"/>
    <w:rsid w:val="00124181"/>
    <w:rsid w:val="00127537"/>
    <w:rsid w:val="001300B4"/>
    <w:rsid w:val="00131563"/>
    <w:rsid w:val="00134D1D"/>
    <w:rsid w:val="00134D40"/>
    <w:rsid w:val="00135648"/>
    <w:rsid w:val="001409CC"/>
    <w:rsid w:val="001548D6"/>
    <w:rsid w:val="001629CC"/>
    <w:rsid w:val="00165A96"/>
    <w:rsid w:val="0016702C"/>
    <w:rsid w:val="001673C9"/>
    <w:rsid w:val="00167570"/>
    <w:rsid w:val="0017191B"/>
    <w:rsid w:val="00177168"/>
    <w:rsid w:val="00182138"/>
    <w:rsid w:val="0019175C"/>
    <w:rsid w:val="001965E3"/>
    <w:rsid w:val="0019673C"/>
    <w:rsid w:val="0019764B"/>
    <w:rsid w:val="001A27ED"/>
    <w:rsid w:val="001A5647"/>
    <w:rsid w:val="001B0986"/>
    <w:rsid w:val="001B2B89"/>
    <w:rsid w:val="001B7BC0"/>
    <w:rsid w:val="001C2BC9"/>
    <w:rsid w:val="001C30DA"/>
    <w:rsid w:val="001C31C8"/>
    <w:rsid w:val="001C47E2"/>
    <w:rsid w:val="001D2A87"/>
    <w:rsid w:val="001D2DC4"/>
    <w:rsid w:val="001D3A58"/>
    <w:rsid w:val="001D70C7"/>
    <w:rsid w:val="001D76DA"/>
    <w:rsid w:val="001E5101"/>
    <w:rsid w:val="001E742F"/>
    <w:rsid w:val="001F13A7"/>
    <w:rsid w:val="001F4020"/>
    <w:rsid w:val="001F791B"/>
    <w:rsid w:val="001F797C"/>
    <w:rsid w:val="00205752"/>
    <w:rsid w:val="00215968"/>
    <w:rsid w:val="00233723"/>
    <w:rsid w:val="00233C88"/>
    <w:rsid w:val="00234C51"/>
    <w:rsid w:val="00240253"/>
    <w:rsid w:val="00244664"/>
    <w:rsid w:val="002467F1"/>
    <w:rsid w:val="00254623"/>
    <w:rsid w:val="00260125"/>
    <w:rsid w:val="00261667"/>
    <w:rsid w:val="002628F9"/>
    <w:rsid w:val="00262E02"/>
    <w:rsid w:val="002638FC"/>
    <w:rsid w:val="00283488"/>
    <w:rsid w:val="00286A65"/>
    <w:rsid w:val="00287DEC"/>
    <w:rsid w:val="002922B9"/>
    <w:rsid w:val="00293D6D"/>
    <w:rsid w:val="00295E64"/>
    <w:rsid w:val="0029767C"/>
    <w:rsid w:val="002A03F0"/>
    <w:rsid w:val="002A3E44"/>
    <w:rsid w:val="002B26ED"/>
    <w:rsid w:val="002B2C49"/>
    <w:rsid w:val="002C3EB0"/>
    <w:rsid w:val="002C4D5A"/>
    <w:rsid w:val="002D0B04"/>
    <w:rsid w:val="002D5FE8"/>
    <w:rsid w:val="002D75C3"/>
    <w:rsid w:val="002E6268"/>
    <w:rsid w:val="002E7934"/>
    <w:rsid w:val="002F137F"/>
    <w:rsid w:val="0030059C"/>
    <w:rsid w:val="003014B6"/>
    <w:rsid w:val="00301897"/>
    <w:rsid w:val="0030335F"/>
    <w:rsid w:val="003052F0"/>
    <w:rsid w:val="00307036"/>
    <w:rsid w:val="00307288"/>
    <w:rsid w:val="00313B3E"/>
    <w:rsid w:val="00314F74"/>
    <w:rsid w:val="00314FC8"/>
    <w:rsid w:val="00324821"/>
    <w:rsid w:val="00324AF6"/>
    <w:rsid w:val="0034279F"/>
    <w:rsid w:val="00351C2E"/>
    <w:rsid w:val="003600B0"/>
    <w:rsid w:val="00361CC6"/>
    <w:rsid w:val="0038167E"/>
    <w:rsid w:val="0038797C"/>
    <w:rsid w:val="0039602E"/>
    <w:rsid w:val="003A5364"/>
    <w:rsid w:val="003A5E9E"/>
    <w:rsid w:val="003B06B2"/>
    <w:rsid w:val="003B1B55"/>
    <w:rsid w:val="003B3FBB"/>
    <w:rsid w:val="003B6102"/>
    <w:rsid w:val="003C616F"/>
    <w:rsid w:val="003C790C"/>
    <w:rsid w:val="003D0557"/>
    <w:rsid w:val="003D3118"/>
    <w:rsid w:val="003D6943"/>
    <w:rsid w:val="003E19BD"/>
    <w:rsid w:val="003E65A4"/>
    <w:rsid w:val="003E669F"/>
    <w:rsid w:val="003F021E"/>
    <w:rsid w:val="004143DD"/>
    <w:rsid w:val="00414921"/>
    <w:rsid w:val="0041596D"/>
    <w:rsid w:val="00415C35"/>
    <w:rsid w:val="00417F21"/>
    <w:rsid w:val="00422BD7"/>
    <w:rsid w:val="004269EF"/>
    <w:rsid w:val="00452ADD"/>
    <w:rsid w:val="00452EC9"/>
    <w:rsid w:val="00461298"/>
    <w:rsid w:val="00461FD6"/>
    <w:rsid w:val="00480C26"/>
    <w:rsid w:val="0048234E"/>
    <w:rsid w:val="00482EDF"/>
    <w:rsid w:val="00483454"/>
    <w:rsid w:val="00483522"/>
    <w:rsid w:val="00495401"/>
    <w:rsid w:val="004A11F3"/>
    <w:rsid w:val="004A5DCD"/>
    <w:rsid w:val="004A64BB"/>
    <w:rsid w:val="004C090E"/>
    <w:rsid w:val="004C196A"/>
    <w:rsid w:val="004C2E73"/>
    <w:rsid w:val="004C45C0"/>
    <w:rsid w:val="004D28EC"/>
    <w:rsid w:val="004E71C3"/>
    <w:rsid w:val="004F4B42"/>
    <w:rsid w:val="005075D6"/>
    <w:rsid w:val="00510123"/>
    <w:rsid w:val="0051293B"/>
    <w:rsid w:val="00513711"/>
    <w:rsid w:val="00524A39"/>
    <w:rsid w:val="00525117"/>
    <w:rsid w:val="00525B8D"/>
    <w:rsid w:val="00526596"/>
    <w:rsid w:val="00545061"/>
    <w:rsid w:val="00545A11"/>
    <w:rsid w:val="00551C9A"/>
    <w:rsid w:val="00553036"/>
    <w:rsid w:val="0055368C"/>
    <w:rsid w:val="0056187E"/>
    <w:rsid w:val="005646EE"/>
    <w:rsid w:val="00564DDB"/>
    <w:rsid w:val="00565BB2"/>
    <w:rsid w:val="00571CC4"/>
    <w:rsid w:val="00584EB6"/>
    <w:rsid w:val="005929AA"/>
    <w:rsid w:val="0059641E"/>
    <w:rsid w:val="005A1BA0"/>
    <w:rsid w:val="005A35C7"/>
    <w:rsid w:val="005B0A54"/>
    <w:rsid w:val="005C5963"/>
    <w:rsid w:val="005D2B1E"/>
    <w:rsid w:val="005E177A"/>
    <w:rsid w:val="005F1244"/>
    <w:rsid w:val="005F3553"/>
    <w:rsid w:val="005F427C"/>
    <w:rsid w:val="005F4E9F"/>
    <w:rsid w:val="005F664B"/>
    <w:rsid w:val="00600DAF"/>
    <w:rsid w:val="00603501"/>
    <w:rsid w:val="0060454D"/>
    <w:rsid w:val="00606548"/>
    <w:rsid w:val="006144A2"/>
    <w:rsid w:val="00614D88"/>
    <w:rsid w:val="00616336"/>
    <w:rsid w:val="0061705F"/>
    <w:rsid w:val="00622227"/>
    <w:rsid w:val="0063230D"/>
    <w:rsid w:val="0063596D"/>
    <w:rsid w:val="006411E2"/>
    <w:rsid w:val="0064280B"/>
    <w:rsid w:val="00643AFD"/>
    <w:rsid w:val="00651597"/>
    <w:rsid w:val="00651F24"/>
    <w:rsid w:val="00655BE6"/>
    <w:rsid w:val="006571B0"/>
    <w:rsid w:val="006603FD"/>
    <w:rsid w:val="006637AC"/>
    <w:rsid w:val="00671E31"/>
    <w:rsid w:val="00673EE3"/>
    <w:rsid w:val="00677312"/>
    <w:rsid w:val="006803FB"/>
    <w:rsid w:val="006849D7"/>
    <w:rsid w:val="00692FDA"/>
    <w:rsid w:val="0069646A"/>
    <w:rsid w:val="00696BBE"/>
    <w:rsid w:val="00696D2C"/>
    <w:rsid w:val="00697EED"/>
    <w:rsid w:val="006A15E0"/>
    <w:rsid w:val="006B493A"/>
    <w:rsid w:val="006B4955"/>
    <w:rsid w:val="006B5D64"/>
    <w:rsid w:val="006B6B56"/>
    <w:rsid w:val="006C4042"/>
    <w:rsid w:val="006C5FD9"/>
    <w:rsid w:val="006D0221"/>
    <w:rsid w:val="006D027C"/>
    <w:rsid w:val="006D1C4B"/>
    <w:rsid w:val="006D4E41"/>
    <w:rsid w:val="006E2887"/>
    <w:rsid w:val="006E70A4"/>
    <w:rsid w:val="006F2682"/>
    <w:rsid w:val="00704B02"/>
    <w:rsid w:val="00726A7D"/>
    <w:rsid w:val="00726E97"/>
    <w:rsid w:val="00737454"/>
    <w:rsid w:val="00744233"/>
    <w:rsid w:val="00747812"/>
    <w:rsid w:val="00750032"/>
    <w:rsid w:val="00757119"/>
    <w:rsid w:val="00760A4C"/>
    <w:rsid w:val="00763CEF"/>
    <w:rsid w:val="00772542"/>
    <w:rsid w:val="007769A0"/>
    <w:rsid w:val="00777449"/>
    <w:rsid w:val="00780B2F"/>
    <w:rsid w:val="007818E2"/>
    <w:rsid w:val="0078270D"/>
    <w:rsid w:val="007902F6"/>
    <w:rsid w:val="007949FE"/>
    <w:rsid w:val="007A4689"/>
    <w:rsid w:val="007A6C66"/>
    <w:rsid w:val="007A71CD"/>
    <w:rsid w:val="007C2495"/>
    <w:rsid w:val="007C4341"/>
    <w:rsid w:val="007E247B"/>
    <w:rsid w:val="007E512E"/>
    <w:rsid w:val="007E6659"/>
    <w:rsid w:val="00801CC6"/>
    <w:rsid w:val="00803DA7"/>
    <w:rsid w:val="00807CB9"/>
    <w:rsid w:val="0081001B"/>
    <w:rsid w:val="00810056"/>
    <w:rsid w:val="00812FAD"/>
    <w:rsid w:val="0081708C"/>
    <w:rsid w:val="00826E7D"/>
    <w:rsid w:val="00827DB1"/>
    <w:rsid w:val="008371D8"/>
    <w:rsid w:val="00846D33"/>
    <w:rsid w:val="00855D27"/>
    <w:rsid w:val="00856786"/>
    <w:rsid w:val="0086019A"/>
    <w:rsid w:val="0087192B"/>
    <w:rsid w:val="0087670D"/>
    <w:rsid w:val="00882B9D"/>
    <w:rsid w:val="008847E0"/>
    <w:rsid w:val="00890D1A"/>
    <w:rsid w:val="00895F5F"/>
    <w:rsid w:val="008A014F"/>
    <w:rsid w:val="008A423D"/>
    <w:rsid w:val="008A4A3D"/>
    <w:rsid w:val="008A64BD"/>
    <w:rsid w:val="008B793B"/>
    <w:rsid w:val="008C1B1D"/>
    <w:rsid w:val="008E2615"/>
    <w:rsid w:val="008E502A"/>
    <w:rsid w:val="008E5FA7"/>
    <w:rsid w:val="008E6761"/>
    <w:rsid w:val="008E71F6"/>
    <w:rsid w:val="008E77F4"/>
    <w:rsid w:val="008F139F"/>
    <w:rsid w:val="0090067D"/>
    <w:rsid w:val="0090145E"/>
    <w:rsid w:val="00903ABC"/>
    <w:rsid w:val="009110C2"/>
    <w:rsid w:val="0091136E"/>
    <w:rsid w:val="009136C8"/>
    <w:rsid w:val="00913FA2"/>
    <w:rsid w:val="009172F9"/>
    <w:rsid w:val="00920DCF"/>
    <w:rsid w:val="00922B5C"/>
    <w:rsid w:val="009241A3"/>
    <w:rsid w:val="00926557"/>
    <w:rsid w:val="00930E76"/>
    <w:rsid w:val="00934A42"/>
    <w:rsid w:val="009373F9"/>
    <w:rsid w:val="009379E9"/>
    <w:rsid w:val="00937DBF"/>
    <w:rsid w:val="009429E2"/>
    <w:rsid w:val="009477ED"/>
    <w:rsid w:val="009519B9"/>
    <w:rsid w:val="00957728"/>
    <w:rsid w:val="0096040C"/>
    <w:rsid w:val="0096040D"/>
    <w:rsid w:val="00960968"/>
    <w:rsid w:val="00977380"/>
    <w:rsid w:val="00977C3E"/>
    <w:rsid w:val="00984885"/>
    <w:rsid w:val="00984E80"/>
    <w:rsid w:val="00986357"/>
    <w:rsid w:val="0098739E"/>
    <w:rsid w:val="00990DFE"/>
    <w:rsid w:val="009A02A5"/>
    <w:rsid w:val="009A0D88"/>
    <w:rsid w:val="009A35F0"/>
    <w:rsid w:val="009A54AB"/>
    <w:rsid w:val="009A7426"/>
    <w:rsid w:val="009B062B"/>
    <w:rsid w:val="009B0A8B"/>
    <w:rsid w:val="009B158B"/>
    <w:rsid w:val="009C0958"/>
    <w:rsid w:val="009C2F57"/>
    <w:rsid w:val="009C664A"/>
    <w:rsid w:val="009C7D50"/>
    <w:rsid w:val="009D1018"/>
    <w:rsid w:val="009D190A"/>
    <w:rsid w:val="009D25E0"/>
    <w:rsid w:val="009D2B7E"/>
    <w:rsid w:val="009E22DF"/>
    <w:rsid w:val="009E2D94"/>
    <w:rsid w:val="00A12671"/>
    <w:rsid w:val="00A16433"/>
    <w:rsid w:val="00A205F2"/>
    <w:rsid w:val="00A21311"/>
    <w:rsid w:val="00A24A0F"/>
    <w:rsid w:val="00A24A6E"/>
    <w:rsid w:val="00A24D45"/>
    <w:rsid w:val="00A26237"/>
    <w:rsid w:val="00A27320"/>
    <w:rsid w:val="00A30516"/>
    <w:rsid w:val="00A31CC1"/>
    <w:rsid w:val="00A6269E"/>
    <w:rsid w:val="00A647E7"/>
    <w:rsid w:val="00A65B8F"/>
    <w:rsid w:val="00A86C4A"/>
    <w:rsid w:val="00A9090F"/>
    <w:rsid w:val="00AA2BC7"/>
    <w:rsid w:val="00AA4C10"/>
    <w:rsid w:val="00AA502B"/>
    <w:rsid w:val="00AA6DD5"/>
    <w:rsid w:val="00AB1859"/>
    <w:rsid w:val="00AC06AD"/>
    <w:rsid w:val="00AC1873"/>
    <w:rsid w:val="00AD19A1"/>
    <w:rsid w:val="00AE5AEB"/>
    <w:rsid w:val="00AF7267"/>
    <w:rsid w:val="00B0503E"/>
    <w:rsid w:val="00B10007"/>
    <w:rsid w:val="00B13A8C"/>
    <w:rsid w:val="00B13CA6"/>
    <w:rsid w:val="00B14248"/>
    <w:rsid w:val="00B203F5"/>
    <w:rsid w:val="00B23013"/>
    <w:rsid w:val="00B253E9"/>
    <w:rsid w:val="00B27289"/>
    <w:rsid w:val="00B32A1D"/>
    <w:rsid w:val="00B3347F"/>
    <w:rsid w:val="00B33E23"/>
    <w:rsid w:val="00B35EC7"/>
    <w:rsid w:val="00B43F37"/>
    <w:rsid w:val="00B44B6A"/>
    <w:rsid w:val="00B47256"/>
    <w:rsid w:val="00B47D96"/>
    <w:rsid w:val="00B51EC4"/>
    <w:rsid w:val="00B54529"/>
    <w:rsid w:val="00B56C90"/>
    <w:rsid w:val="00B63BF4"/>
    <w:rsid w:val="00B67A7A"/>
    <w:rsid w:val="00B70E72"/>
    <w:rsid w:val="00B72091"/>
    <w:rsid w:val="00B853C1"/>
    <w:rsid w:val="00B91DAE"/>
    <w:rsid w:val="00B934E7"/>
    <w:rsid w:val="00BA1829"/>
    <w:rsid w:val="00BB169E"/>
    <w:rsid w:val="00BB3348"/>
    <w:rsid w:val="00BB3C43"/>
    <w:rsid w:val="00BB6CA9"/>
    <w:rsid w:val="00BD311D"/>
    <w:rsid w:val="00BD330B"/>
    <w:rsid w:val="00BD5606"/>
    <w:rsid w:val="00BE1744"/>
    <w:rsid w:val="00BE2326"/>
    <w:rsid w:val="00BE277A"/>
    <w:rsid w:val="00BE51BF"/>
    <w:rsid w:val="00BF22FD"/>
    <w:rsid w:val="00BF2D70"/>
    <w:rsid w:val="00BF426A"/>
    <w:rsid w:val="00BF6EDD"/>
    <w:rsid w:val="00C05FB7"/>
    <w:rsid w:val="00C062AB"/>
    <w:rsid w:val="00C06819"/>
    <w:rsid w:val="00C075C4"/>
    <w:rsid w:val="00C248BF"/>
    <w:rsid w:val="00C25CF3"/>
    <w:rsid w:val="00C27A67"/>
    <w:rsid w:val="00C3081F"/>
    <w:rsid w:val="00C30AB0"/>
    <w:rsid w:val="00C40F1D"/>
    <w:rsid w:val="00C44CFC"/>
    <w:rsid w:val="00C51C15"/>
    <w:rsid w:val="00C52243"/>
    <w:rsid w:val="00C5469E"/>
    <w:rsid w:val="00C61C9E"/>
    <w:rsid w:val="00C65152"/>
    <w:rsid w:val="00C65C8A"/>
    <w:rsid w:val="00C831FA"/>
    <w:rsid w:val="00C83369"/>
    <w:rsid w:val="00C8359B"/>
    <w:rsid w:val="00C8586B"/>
    <w:rsid w:val="00C91569"/>
    <w:rsid w:val="00CA6458"/>
    <w:rsid w:val="00CB2D47"/>
    <w:rsid w:val="00CB6483"/>
    <w:rsid w:val="00CC0EA9"/>
    <w:rsid w:val="00CC20DC"/>
    <w:rsid w:val="00CC746D"/>
    <w:rsid w:val="00CD0E07"/>
    <w:rsid w:val="00CD2BA2"/>
    <w:rsid w:val="00CD6F9A"/>
    <w:rsid w:val="00CE0DCD"/>
    <w:rsid w:val="00CE4E95"/>
    <w:rsid w:val="00CE62C0"/>
    <w:rsid w:val="00CE739A"/>
    <w:rsid w:val="00CF1917"/>
    <w:rsid w:val="00CF6CF9"/>
    <w:rsid w:val="00D002F0"/>
    <w:rsid w:val="00D020E9"/>
    <w:rsid w:val="00D066A7"/>
    <w:rsid w:val="00D1119A"/>
    <w:rsid w:val="00D140D0"/>
    <w:rsid w:val="00D14DAC"/>
    <w:rsid w:val="00D16533"/>
    <w:rsid w:val="00D17AF5"/>
    <w:rsid w:val="00D22B45"/>
    <w:rsid w:val="00D256EA"/>
    <w:rsid w:val="00D30FCC"/>
    <w:rsid w:val="00D3115D"/>
    <w:rsid w:val="00D34FFC"/>
    <w:rsid w:val="00D40C8E"/>
    <w:rsid w:val="00D4529A"/>
    <w:rsid w:val="00D463B4"/>
    <w:rsid w:val="00D5211F"/>
    <w:rsid w:val="00D52612"/>
    <w:rsid w:val="00D5535A"/>
    <w:rsid w:val="00D55BDF"/>
    <w:rsid w:val="00D633AF"/>
    <w:rsid w:val="00D67537"/>
    <w:rsid w:val="00D709BA"/>
    <w:rsid w:val="00D70A39"/>
    <w:rsid w:val="00D81642"/>
    <w:rsid w:val="00D87156"/>
    <w:rsid w:val="00D90B42"/>
    <w:rsid w:val="00D94421"/>
    <w:rsid w:val="00D952B3"/>
    <w:rsid w:val="00DA0163"/>
    <w:rsid w:val="00DA36BF"/>
    <w:rsid w:val="00DA3E93"/>
    <w:rsid w:val="00DA7C4D"/>
    <w:rsid w:val="00DB01A7"/>
    <w:rsid w:val="00DB0522"/>
    <w:rsid w:val="00DB71A9"/>
    <w:rsid w:val="00DC31E2"/>
    <w:rsid w:val="00DC4C82"/>
    <w:rsid w:val="00DD2752"/>
    <w:rsid w:val="00DD35A8"/>
    <w:rsid w:val="00DD4102"/>
    <w:rsid w:val="00DD4220"/>
    <w:rsid w:val="00DD5E09"/>
    <w:rsid w:val="00DE06AE"/>
    <w:rsid w:val="00DE301D"/>
    <w:rsid w:val="00DE5DF8"/>
    <w:rsid w:val="00DE763C"/>
    <w:rsid w:val="00E00CEB"/>
    <w:rsid w:val="00E02BF9"/>
    <w:rsid w:val="00E046AE"/>
    <w:rsid w:val="00E1007A"/>
    <w:rsid w:val="00E13BAA"/>
    <w:rsid w:val="00E2177A"/>
    <w:rsid w:val="00E237DB"/>
    <w:rsid w:val="00E36A46"/>
    <w:rsid w:val="00E41AD3"/>
    <w:rsid w:val="00E552A3"/>
    <w:rsid w:val="00E60CCF"/>
    <w:rsid w:val="00E669A7"/>
    <w:rsid w:val="00E71430"/>
    <w:rsid w:val="00E75AC4"/>
    <w:rsid w:val="00E81711"/>
    <w:rsid w:val="00E82807"/>
    <w:rsid w:val="00E8583D"/>
    <w:rsid w:val="00E86CB3"/>
    <w:rsid w:val="00E922A2"/>
    <w:rsid w:val="00E96851"/>
    <w:rsid w:val="00EA1FD4"/>
    <w:rsid w:val="00EA4679"/>
    <w:rsid w:val="00EA7F95"/>
    <w:rsid w:val="00EB7D83"/>
    <w:rsid w:val="00EC687C"/>
    <w:rsid w:val="00ED22D1"/>
    <w:rsid w:val="00ED70CA"/>
    <w:rsid w:val="00EE4043"/>
    <w:rsid w:val="00EF12E2"/>
    <w:rsid w:val="00EF2449"/>
    <w:rsid w:val="00EF63D9"/>
    <w:rsid w:val="00EF7FF3"/>
    <w:rsid w:val="00F03CDD"/>
    <w:rsid w:val="00F12BD3"/>
    <w:rsid w:val="00F131D0"/>
    <w:rsid w:val="00F16745"/>
    <w:rsid w:val="00F16D25"/>
    <w:rsid w:val="00F17012"/>
    <w:rsid w:val="00F2227B"/>
    <w:rsid w:val="00F3221D"/>
    <w:rsid w:val="00F349E0"/>
    <w:rsid w:val="00F413C4"/>
    <w:rsid w:val="00F55F07"/>
    <w:rsid w:val="00F56165"/>
    <w:rsid w:val="00F734CF"/>
    <w:rsid w:val="00F745A0"/>
    <w:rsid w:val="00F757F5"/>
    <w:rsid w:val="00F7678A"/>
    <w:rsid w:val="00F857B7"/>
    <w:rsid w:val="00F859EE"/>
    <w:rsid w:val="00F92B93"/>
    <w:rsid w:val="00FA24D2"/>
    <w:rsid w:val="00FC568C"/>
    <w:rsid w:val="00FC64A0"/>
    <w:rsid w:val="00FC6CE3"/>
    <w:rsid w:val="00FC7620"/>
    <w:rsid w:val="00FE2221"/>
    <w:rsid w:val="00FE4B8B"/>
    <w:rsid w:val="00FE7699"/>
    <w:rsid w:val="00FF1F12"/>
    <w:rsid w:val="00FF6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BA"/>
    <w:pPr>
      <w:spacing w:after="200" w:line="276" w:lineRule="auto"/>
    </w:pPr>
    <w:rPr>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512E"/>
    <w:pPr>
      <w:ind w:left="720"/>
      <w:contextualSpacing/>
    </w:pPr>
  </w:style>
  <w:style w:type="paragraph" w:customStyle="1" w:styleId="Default">
    <w:name w:val="Default"/>
    <w:uiPriority w:val="99"/>
    <w:rsid w:val="006B4955"/>
    <w:pPr>
      <w:autoSpaceDE w:val="0"/>
      <w:autoSpaceDN w:val="0"/>
      <w:adjustRightInd w:val="0"/>
    </w:pPr>
    <w:rPr>
      <w:rFonts w:ascii="Arial" w:hAnsi="Arial" w:cs="Arial"/>
      <w:color w:val="000000"/>
      <w:kern w:val="0"/>
      <w:sz w:val="24"/>
      <w:szCs w:val="24"/>
      <w:lang w:val="es-AR" w:eastAsia="es-AR"/>
    </w:rPr>
  </w:style>
  <w:style w:type="character" w:customStyle="1" w:styleId="apple-converted-space">
    <w:name w:val="apple-converted-space"/>
    <w:basedOn w:val="a0"/>
    <w:uiPriority w:val="99"/>
    <w:rsid w:val="00E02BF9"/>
    <w:rPr>
      <w:rFonts w:cs="Times New Roman"/>
    </w:rPr>
  </w:style>
  <w:style w:type="table" w:styleId="a4">
    <w:name w:val="Table Grid"/>
    <w:basedOn w:val="a1"/>
    <w:uiPriority w:val="99"/>
    <w:rsid w:val="007C249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0"/>
    <w:uiPriority w:val="99"/>
    <w:semiHidden/>
    <w:rsid w:val="000B45C4"/>
    <w:rPr>
      <w:rFonts w:cs="Times New Roman"/>
      <w:sz w:val="21"/>
      <w:szCs w:val="21"/>
    </w:rPr>
  </w:style>
  <w:style w:type="paragraph" w:styleId="a6">
    <w:name w:val="annotation text"/>
    <w:basedOn w:val="a"/>
    <w:link w:val="Char"/>
    <w:uiPriority w:val="99"/>
    <w:rsid w:val="000B45C4"/>
  </w:style>
  <w:style w:type="character" w:customStyle="1" w:styleId="Char">
    <w:name w:val="批注文字 Char"/>
    <w:basedOn w:val="a0"/>
    <w:link w:val="a6"/>
    <w:uiPriority w:val="99"/>
    <w:locked/>
    <w:rsid w:val="000B45C4"/>
    <w:rPr>
      <w:rFonts w:cs="Times New Roman"/>
    </w:rPr>
  </w:style>
  <w:style w:type="paragraph" w:styleId="a7">
    <w:name w:val="annotation subject"/>
    <w:basedOn w:val="a6"/>
    <w:next w:val="a6"/>
    <w:link w:val="Char0"/>
    <w:uiPriority w:val="99"/>
    <w:semiHidden/>
    <w:rsid w:val="000B45C4"/>
    <w:rPr>
      <w:b/>
      <w:bCs/>
    </w:rPr>
  </w:style>
  <w:style w:type="character" w:customStyle="1" w:styleId="Char0">
    <w:name w:val="批注主题 Char"/>
    <w:basedOn w:val="Char"/>
    <w:link w:val="a7"/>
    <w:uiPriority w:val="99"/>
    <w:semiHidden/>
    <w:locked/>
    <w:rsid w:val="000B45C4"/>
    <w:rPr>
      <w:rFonts w:cs="Times New Roman"/>
      <w:b/>
      <w:bCs/>
    </w:rPr>
  </w:style>
  <w:style w:type="paragraph" w:styleId="a8">
    <w:name w:val="Balloon Text"/>
    <w:basedOn w:val="a"/>
    <w:link w:val="Char1"/>
    <w:uiPriority w:val="99"/>
    <w:semiHidden/>
    <w:rsid w:val="000B45C4"/>
    <w:pPr>
      <w:spacing w:after="0" w:line="240" w:lineRule="auto"/>
    </w:pPr>
    <w:rPr>
      <w:sz w:val="18"/>
      <w:szCs w:val="18"/>
    </w:rPr>
  </w:style>
  <w:style w:type="character" w:customStyle="1" w:styleId="Char1">
    <w:name w:val="批注框文本 Char"/>
    <w:basedOn w:val="a0"/>
    <w:link w:val="a8"/>
    <w:uiPriority w:val="99"/>
    <w:semiHidden/>
    <w:locked/>
    <w:rsid w:val="000B45C4"/>
    <w:rPr>
      <w:rFonts w:cs="Times New Roman"/>
      <w:sz w:val="18"/>
      <w:szCs w:val="18"/>
    </w:rPr>
  </w:style>
  <w:style w:type="paragraph" w:styleId="a9">
    <w:name w:val="header"/>
    <w:basedOn w:val="a"/>
    <w:link w:val="Char2"/>
    <w:uiPriority w:val="99"/>
    <w:rsid w:val="00A126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A12671"/>
    <w:rPr>
      <w:rFonts w:cs="Times New Roman"/>
      <w:sz w:val="18"/>
      <w:szCs w:val="18"/>
    </w:rPr>
  </w:style>
  <w:style w:type="paragraph" w:styleId="aa">
    <w:name w:val="footer"/>
    <w:basedOn w:val="a"/>
    <w:link w:val="Char3"/>
    <w:uiPriority w:val="99"/>
    <w:rsid w:val="00A1267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A1267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BA"/>
    <w:pPr>
      <w:spacing w:after="200" w:line="276" w:lineRule="auto"/>
    </w:pPr>
    <w:rPr>
      <w:kern w:val="0"/>
      <w:sz w:val="22"/>
      <w:lang w:val="es-A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512E"/>
    <w:pPr>
      <w:ind w:left="720"/>
      <w:contextualSpacing/>
    </w:pPr>
  </w:style>
  <w:style w:type="paragraph" w:customStyle="1" w:styleId="Default">
    <w:name w:val="Default"/>
    <w:uiPriority w:val="99"/>
    <w:rsid w:val="006B4955"/>
    <w:pPr>
      <w:autoSpaceDE w:val="0"/>
      <w:autoSpaceDN w:val="0"/>
      <w:adjustRightInd w:val="0"/>
    </w:pPr>
    <w:rPr>
      <w:rFonts w:ascii="Arial" w:hAnsi="Arial" w:cs="Arial"/>
      <w:color w:val="000000"/>
      <w:kern w:val="0"/>
      <w:sz w:val="24"/>
      <w:szCs w:val="24"/>
      <w:lang w:val="es-AR" w:eastAsia="es-AR"/>
    </w:rPr>
  </w:style>
  <w:style w:type="character" w:customStyle="1" w:styleId="apple-converted-space">
    <w:name w:val="apple-converted-space"/>
    <w:basedOn w:val="a0"/>
    <w:uiPriority w:val="99"/>
    <w:rsid w:val="00E02BF9"/>
    <w:rPr>
      <w:rFonts w:cs="Times New Roman"/>
    </w:rPr>
  </w:style>
  <w:style w:type="table" w:styleId="a4">
    <w:name w:val="Table Grid"/>
    <w:basedOn w:val="a1"/>
    <w:uiPriority w:val="99"/>
    <w:rsid w:val="007C249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0"/>
    <w:uiPriority w:val="99"/>
    <w:semiHidden/>
    <w:rsid w:val="000B45C4"/>
    <w:rPr>
      <w:rFonts w:cs="Times New Roman"/>
      <w:sz w:val="21"/>
      <w:szCs w:val="21"/>
    </w:rPr>
  </w:style>
  <w:style w:type="paragraph" w:styleId="a6">
    <w:name w:val="annotation text"/>
    <w:basedOn w:val="a"/>
    <w:link w:val="Char"/>
    <w:uiPriority w:val="99"/>
    <w:rsid w:val="000B45C4"/>
  </w:style>
  <w:style w:type="character" w:customStyle="1" w:styleId="Char">
    <w:name w:val="批注文字 Char"/>
    <w:basedOn w:val="a0"/>
    <w:link w:val="a6"/>
    <w:uiPriority w:val="99"/>
    <w:locked/>
    <w:rsid w:val="000B45C4"/>
    <w:rPr>
      <w:rFonts w:cs="Times New Roman"/>
    </w:rPr>
  </w:style>
  <w:style w:type="paragraph" w:styleId="a7">
    <w:name w:val="annotation subject"/>
    <w:basedOn w:val="a6"/>
    <w:next w:val="a6"/>
    <w:link w:val="Char0"/>
    <w:uiPriority w:val="99"/>
    <w:semiHidden/>
    <w:rsid w:val="000B45C4"/>
    <w:rPr>
      <w:b/>
      <w:bCs/>
    </w:rPr>
  </w:style>
  <w:style w:type="character" w:customStyle="1" w:styleId="Char0">
    <w:name w:val="批注主题 Char"/>
    <w:basedOn w:val="Char"/>
    <w:link w:val="a7"/>
    <w:uiPriority w:val="99"/>
    <w:semiHidden/>
    <w:locked/>
    <w:rsid w:val="000B45C4"/>
    <w:rPr>
      <w:rFonts w:cs="Times New Roman"/>
      <w:b/>
      <w:bCs/>
    </w:rPr>
  </w:style>
  <w:style w:type="paragraph" w:styleId="a8">
    <w:name w:val="Balloon Text"/>
    <w:basedOn w:val="a"/>
    <w:link w:val="Char1"/>
    <w:uiPriority w:val="99"/>
    <w:semiHidden/>
    <w:rsid w:val="000B45C4"/>
    <w:pPr>
      <w:spacing w:after="0" w:line="240" w:lineRule="auto"/>
    </w:pPr>
    <w:rPr>
      <w:sz w:val="18"/>
      <w:szCs w:val="18"/>
    </w:rPr>
  </w:style>
  <w:style w:type="character" w:customStyle="1" w:styleId="Char1">
    <w:name w:val="批注框文本 Char"/>
    <w:basedOn w:val="a0"/>
    <w:link w:val="a8"/>
    <w:uiPriority w:val="99"/>
    <w:semiHidden/>
    <w:locked/>
    <w:rsid w:val="000B45C4"/>
    <w:rPr>
      <w:rFonts w:cs="Times New Roman"/>
      <w:sz w:val="18"/>
      <w:szCs w:val="18"/>
    </w:rPr>
  </w:style>
  <w:style w:type="paragraph" w:styleId="a9">
    <w:name w:val="header"/>
    <w:basedOn w:val="a"/>
    <w:link w:val="Char2"/>
    <w:uiPriority w:val="99"/>
    <w:rsid w:val="00A126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A12671"/>
    <w:rPr>
      <w:rFonts w:cs="Times New Roman"/>
      <w:sz w:val="18"/>
      <w:szCs w:val="18"/>
    </w:rPr>
  </w:style>
  <w:style w:type="paragraph" w:styleId="aa">
    <w:name w:val="footer"/>
    <w:basedOn w:val="a"/>
    <w:link w:val="Char3"/>
    <w:uiPriority w:val="99"/>
    <w:rsid w:val="00A1267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A1267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4765">
      <w:marLeft w:val="0"/>
      <w:marRight w:val="0"/>
      <w:marTop w:val="0"/>
      <w:marBottom w:val="0"/>
      <w:divBdr>
        <w:top w:val="none" w:sz="0" w:space="0" w:color="auto"/>
        <w:left w:val="none" w:sz="0" w:space="0" w:color="auto"/>
        <w:bottom w:val="none" w:sz="0" w:space="0" w:color="auto"/>
        <w:right w:val="none" w:sz="0" w:space="0" w:color="auto"/>
      </w:divBdr>
    </w:div>
    <w:div w:id="756484768">
      <w:marLeft w:val="0"/>
      <w:marRight w:val="0"/>
      <w:marTop w:val="0"/>
      <w:marBottom w:val="0"/>
      <w:divBdr>
        <w:top w:val="none" w:sz="0" w:space="0" w:color="auto"/>
        <w:left w:val="none" w:sz="0" w:space="0" w:color="auto"/>
        <w:bottom w:val="none" w:sz="0" w:space="0" w:color="auto"/>
        <w:right w:val="none" w:sz="0" w:space="0" w:color="auto"/>
      </w:divBdr>
      <w:divsChild>
        <w:div w:id="756484841">
          <w:marLeft w:val="0"/>
          <w:marRight w:val="0"/>
          <w:marTop w:val="0"/>
          <w:marBottom w:val="0"/>
          <w:divBdr>
            <w:top w:val="none" w:sz="0" w:space="0" w:color="auto"/>
            <w:left w:val="none" w:sz="0" w:space="0" w:color="auto"/>
            <w:bottom w:val="none" w:sz="0" w:space="0" w:color="auto"/>
            <w:right w:val="none" w:sz="0" w:space="0" w:color="auto"/>
          </w:divBdr>
          <w:divsChild>
            <w:div w:id="756484766">
              <w:marLeft w:val="0"/>
              <w:marRight w:val="0"/>
              <w:marTop w:val="0"/>
              <w:marBottom w:val="0"/>
              <w:divBdr>
                <w:top w:val="none" w:sz="0" w:space="0" w:color="auto"/>
                <w:left w:val="none" w:sz="0" w:space="0" w:color="auto"/>
                <w:bottom w:val="none" w:sz="0" w:space="0" w:color="auto"/>
                <w:right w:val="none" w:sz="0" w:space="0" w:color="auto"/>
              </w:divBdr>
            </w:div>
            <w:div w:id="756484767">
              <w:marLeft w:val="0"/>
              <w:marRight w:val="0"/>
              <w:marTop w:val="0"/>
              <w:marBottom w:val="0"/>
              <w:divBdr>
                <w:top w:val="none" w:sz="0" w:space="0" w:color="auto"/>
                <w:left w:val="none" w:sz="0" w:space="0" w:color="auto"/>
                <w:bottom w:val="none" w:sz="0" w:space="0" w:color="auto"/>
                <w:right w:val="none" w:sz="0" w:space="0" w:color="auto"/>
              </w:divBdr>
            </w:div>
            <w:div w:id="756484770">
              <w:marLeft w:val="0"/>
              <w:marRight w:val="0"/>
              <w:marTop w:val="0"/>
              <w:marBottom w:val="0"/>
              <w:divBdr>
                <w:top w:val="none" w:sz="0" w:space="0" w:color="auto"/>
                <w:left w:val="none" w:sz="0" w:space="0" w:color="auto"/>
                <w:bottom w:val="none" w:sz="0" w:space="0" w:color="auto"/>
                <w:right w:val="none" w:sz="0" w:space="0" w:color="auto"/>
              </w:divBdr>
            </w:div>
            <w:div w:id="756484771">
              <w:marLeft w:val="0"/>
              <w:marRight w:val="0"/>
              <w:marTop w:val="0"/>
              <w:marBottom w:val="0"/>
              <w:divBdr>
                <w:top w:val="none" w:sz="0" w:space="0" w:color="auto"/>
                <w:left w:val="none" w:sz="0" w:space="0" w:color="auto"/>
                <w:bottom w:val="none" w:sz="0" w:space="0" w:color="auto"/>
                <w:right w:val="none" w:sz="0" w:space="0" w:color="auto"/>
              </w:divBdr>
            </w:div>
            <w:div w:id="756484772">
              <w:marLeft w:val="0"/>
              <w:marRight w:val="0"/>
              <w:marTop w:val="0"/>
              <w:marBottom w:val="0"/>
              <w:divBdr>
                <w:top w:val="none" w:sz="0" w:space="0" w:color="auto"/>
                <w:left w:val="none" w:sz="0" w:space="0" w:color="auto"/>
                <w:bottom w:val="none" w:sz="0" w:space="0" w:color="auto"/>
                <w:right w:val="none" w:sz="0" w:space="0" w:color="auto"/>
              </w:divBdr>
            </w:div>
            <w:div w:id="756484774">
              <w:marLeft w:val="0"/>
              <w:marRight w:val="0"/>
              <w:marTop w:val="0"/>
              <w:marBottom w:val="0"/>
              <w:divBdr>
                <w:top w:val="none" w:sz="0" w:space="0" w:color="auto"/>
                <w:left w:val="none" w:sz="0" w:space="0" w:color="auto"/>
                <w:bottom w:val="none" w:sz="0" w:space="0" w:color="auto"/>
                <w:right w:val="none" w:sz="0" w:space="0" w:color="auto"/>
              </w:divBdr>
            </w:div>
            <w:div w:id="756484775">
              <w:marLeft w:val="0"/>
              <w:marRight w:val="0"/>
              <w:marTop w:val="0"/>
              <w:marBottom w:val="0"/>
              <w:divBdr>
                <w:top w:val="none" w:sz="0" w:space="0" w:color="auto"/>
                <w:left w:val="none" w:sz="0" w:space="0" w:color="auto"/>
                <w:bottom w:val="none" w:sz="0" w:space="0" w:color="auto"/>
                <w:right w:val="none" w:sz="0" w:space="0" w:color="auto"/>
              </w:divBdr>
            </w:div>
            <w:div w:id="756484776">
              <w:marLeft w:val="0"/>
              <w:marRight w:val="0"/>
              <w:marTop w:val="0"/>
              <w:marBottom w:val="0"/>
              <w:divBdr>
                <w:top w:val="none" w:sz="0" w:space="0" w:color="auto"/>
                <w:left w:val="none" w:sz="0" w:space="0" w:color="auto"/>
                <w:bottom w:val="none" w:sz="0" w:space="0" w:color="auto"/>
                <w:right w:val="none" w:sz="0" w:space="0" w:color="auto"/>
              </w:divBdr>
            </w:div>
            <w:div w:id="756484777">
              <w:marLeft w:val="0"/>
              <w:marRight w:val="0"/>
              <w:marTop w:val="0"/>
              <w:marBottom w:val="0"/>
              <w:divBdr>
                <w:top w:val="none" w:sz="0" w:space="0" w:color="auto"/>
                <w:left w:val="none" w:sz="0" w:space="0" w:color="auto"/>
                <w:bottom w:val="none" w:sz="0" w:space="0" w:color="auto"/>
                <w:right w:val="none" w:sz="0" w:space="0" w:color="auto"/>
              </w:divBdr>
            </w:div>
            <w:div w:id="756484778">
              <w:marLeft w:val="0"/>
              <w:marRight w:val="0"/>
              <w:marTop w:val="0"/>
              <w:marBottom w:val="0"/>
              <w:divBdr>
                <w:top w:val="none" w:sz="0" w:space="0" w:color="auto"/>
                <w:left w:val="none" w:sz="0" w:space="0" w:color="auto"/>
                <w:bottom w:val="none" w:sz="0" w:space="0" w:color="auto"/>
                <w:right w:val="none" w:sz="0" w:space="0" w:color="auto"/>
              </w:divBdr>
            </w:div>
            <w:div w:id="756484779">
              <w:marLeft w:val="0"/>
              <w:marRight w:val="0"/>
              <w:marTop w:val="0"/>
              <w:marBottom w:val="0"/>
              <w:divBdr>
                <w:top w:val="none" w:sz="0" w:space="0" w:color="auto"/>
                <w:left w:val="none" w:sz="0" w:space="0" w:color="auto"/>
                <w:bottom w:val="none" w:sz="0" w:space="0" w:color="auto"/>
                <w:right w:val="none" w:sz="0" w:space="0" w:color="auto"/>
              </w:divBdr>
            </w:div>
            <w:div w:id="756484780">
              <w:marLeft w:val="0"/>
              <w:marRight w:val="0"/>
              <w:marTop w:val="0"/>
              <w:marBottom w:val="0"/>
              <w:divBdr>
                <w:top w:val="none" w:sz="0" w:space="0" w:color="auto"/>
                <w:left w:val="none" w:sz="0" w:space="0" w:color="auto"/>
                <w:bottom w:val="none" w:sz="0" w:space="0" w:color="auto"/>
                <w:right w:val="none" w:sz="0" w:space="0" w:color="auto"/>
              </w:divBdr>
            </w:div>
            <w:div w:id="756484781">
              <w:marLeft w:val="0"/>
              <w:marRight w:val="0"/>
              <w:marTop w:val="0"/>
              <w:marBottom w:val="0"/>
              <w:divBdr>
                <w:top w:val="none" w:sz="0" w:space="0" w:color="auto"/>
                <w:left w:val="none" w:sz="0" w:space="0" w:color="auto"/>
                <w:bottom w:val="none" w:sz="0" w:space="0" w:color="auto"/>
                <w:right w:val="none" w:sz="0" w:space="0" w:color="auto"/>
              </w:divBdr>
            </w:div>
            <w:div w:id="756484782">
              <w:marLeft w:val="0"/>
              <w:marRight w:val="0"/>
              <w:marTop w:val="0"/>
              <w:marBottom w:val="0"/>
              <w:divBdr>
                <w:top w:val="none" w:sz="0" w:space="0" w:color="auto"/>
                <w:left w:val="none" w:sz="0" w:space="0" w:color="auto"/>
                <w:bottom w:val="none" w:sz="0" w:space="0" w:color="auto"/>
                <w:right w:val="none" w:sz="0" w:space="0" w:color="auto"/>
              </w:divBdr>
            </w:div>
            <w:div w:id="756484784">
              <w:marLeft w:val="0"/>
              <w:marRight w:val="0"/>
              <w:marTop w:val="0"/>
              <w:marBottom w:val="0"/>
              <w:divBdr>
                <w:top w:val="none" w:sz="0" w:space="0" w:color="auto"/>
                <w:left w:val="none" w:sz="0" w:space="0" w:color="auto"/>
                <w:bottom w:val="none" w:sz="0" w:space="0" w:color="auto"/>
                <w:right w:val="none" w:sz="0" w:space="0" w:color="auto"/>
              </w:divBdr>
            </w:div>
            <w:div w:id="756484785">
              <w:marLeft w:val="0"/>
              <w:marRight w:val="0"/>
              <w:marTop w:val="0"/>
              <w:marBottom w:val="0"/>
              <w:divBdr>
                <w:top w:val="none" w:sz="0" w:space="0" w:color="auto"/>
                <w:left w:val="none" w:sz="0" w:space="0" w:color="auto"/>
                <w:bottom w:val="none" w:sz="0" w:space="0" w:color="auto"/>
                <w:right w:val="none" w:sz="0" w:space="0" w:color="auto"/>
              </w:divBdr>
            </w:div>
            <w:div w:id="756484786">
              <w:marLeft w:val="0"/>
              <w:marRight w:val="0"/>
              <w:marTop w:val="0"/>
              <w:marBottom w:val="0"/>
              <w:divBdr>
                <w:top w:val="none" w:sz="0" w:space="0" w:color="auto"/>
                <w:left w:val="none" w:sz="0" w:space="0" w:color="auto"/>
                <w:bottom w:val="none" w:sz="0" w:space="0" w:color="auto"/>
                <w:right w:val="none" w:sz="0" w:space="0" w:color="auto"/>
              </w:divBdr>
            </w:div>
            <w:div w:id="756484788">
              <w:marLeft w:val="0"/>
              <w:marRight w:val="0"/>
              <w:marTop w:val="0"/>
              <w:marBottom w:val="0"/>
              <w:divBdr>
                <w:top w:val="none" w:sz="0" w:space="0" w:color="auto"/>
                <w:left w:val="none" w:sz="0" w:space="0" w:color="auto"/>
                <w:bottom w:val="none" w:sz="0" w:space="0" w:color="auto"/>
                <w:right w:val="none" w:sz="0" w:space="0" w:color="auto"/>
              </w:divBdr>
            </w:div>
            <w:div w:id="756484789">
              <w:marLeft w:val="0"/>
              <w:marRight w:val="0"/>
              <w:marTop w:val="0"/>
              <w:marBottom w:val="0"/>
              <w:divBdr>
                <w:top w:val="none" w:sz="0" w:space="0" w:color="auto"/>
                <w:left w:val="none" w:sz="0" w:space="0" w:color="auto"/>
                <w:bottom w:val="none" w:sz="0" w:space="0" w:color="auto"/>
                <w:right w:val="none" w:sz="0" w:space="0" w:color="auto"/>
              </w:divBdr>
            </w:div>
            <w:div w:id="756484790">
              <w:marLeft w:val="0"/>
              <w:marRight w:val="0"/>
              <w:marTop w:val="0"/>
              <w:marBottom w:val="0"/>
              <w:divBdr>
                <w:top w:val="none" w:sz="0" w:space="0" w:color="auto"/>
                <w:left w:val="none" w:sz="0" w:space="0" w:color="auto"/>
                <w:bottom w:val="none" w:sz="0" w:space="0" w:color="auto"/>
                <w:right w:val="none" w:sz="0" w:space="0" w:color="auto"/>
              </w:divBdr>
            </w:div>
            <w:div w:id="756484791">
              <w:marLeft w:val="0"/>
              <w:marRight w:val="0"/>
              <w:marTop w:val="0"/>
              <w:marBottom w:val="0"/>
              <w:divBdr>
                <w:top w:val="none" w:sz="0" w:space="0" w:color="auto"/>
                <w:left w:val="none" w:sz="0" w:space="0" w:color="auto"/>
                <w:bottom w:val="none" w:sz="0" w:space="0" w:color="auto"/>
                <w:right w:val="none" w:sz="0" w:space="0" w:color="auto"/>
              </w:divBdr>
            </w:div>
            <w:div w:id="756484794">
              <w:marLeft w:val="0"/>
              <w:marRight w:val="0"/>
              <w:marTop w:val="0"/>
              <w:marBottom w:val="0"/>
              <w:divBdr>
                <w:top w:val="none" w:sz="0" w:space="0" w:color="auto"/>
                <w:left w:val="none" w:sz="0" w:space="0" w:color="auto"/>
                <w:bottom w:val="none" w:sz="0" w:space="0" w:color="auto"/>
                <w:right w:val="none" w:sz="0" w:space="0" w:color="auto"/>
              </w:divBdr>
            </w:div>
            <w:div w:id="756484795">
              <w:marLeft w:val="0"/>
              <w:marRight w:val="0"/>
              <w:marTop w:val="0"/>
              <w:marBottom w:val="0"/>
              <w:divBdr>
                <w:top w:val="none" w:sz="0" w:space="0" w:color="auto"/>
                <w:left w:val="none" w:sz="0" w:space="0" w:color="auto"/>
                <w:bottom w:val="none" w:sz="0" w:space="0" w:color="auto"/>
                <w:right w:val="none" w:sz="0" w:space="0" w:color="auto"/>
              </w:divBdr>
            </w:div>
            <w:div w:id="756484796">
              <w:marLeft w:val="0"/>
              <w:marRight w:val="0"/>
              <w:marTop w:val="0"/>
              <w:marBottom w:val="0"/>
              <w:divBdr>
                <w:top w:val="none" w:sz="0" w:space="0" w:color="auto"/>
                <w:left w:val="none" w:sz="0" w:space="0" w:color="auto"/>
                <w:bottom w:val="none" w:sz="0" w:space="0" w:color="auto"/>
                <w:right w:val="none" w:sz="0" w:space="0" w:color="auto"/>
              </w:divBdr>
            </w:div>
            <w:div w:id="756484797">
              <w:marLeft w:val="0"/>
              <w:marRight w:val="0"/>
              <w:marTop w:val="0"/>
              <w:marBottom w:val="0"/>
              <w:divBdr>
                <w:top w:val="none" w:sz="0" w:space="0" w:color="auto"/>
                <w:left w:val="none" w:sz="0" w:space="0" w:color="auto"/>
                <w:bottom w:val="none" w:sz="0" w:space="0" w:color="auto"/>
                <w:right w:val="none" w:sz="0" w:space="0" w:color="auto"/>
              </w:divBdr>
            </w:div>
            <w:div w:id="756484798">
              <w:marLeft w:val="0"/>
              <w:marRight w:val="0"/>
              <w:marTop w:val="0"/>
              <w:marBottom w:val="0"/>
              <w:divBdr>
                <w:top w:val="none" w:sz="0" w:space="0" w:color="auto"/>
                <w:left w:val="none" w:sz="0" w:space="0" w:color="auto"/>
                <w:bottom w:val="none" w:sz="0" w:space="0" w:color="auto"/>
                <w:right w:val="none" w:sz="0" w:space="0" w:color="auto"/>
              </w:divBdr>
            </w:div>
            <w:div w:id="756484799">
              <w:marLeft w:val="0"/>
              <w:marRight w:val="0"/>
              <w:marTop w:val="0"/>
              <w:marBottom w:val="0"/>
              <w:divBdr>
                <w:top w:val="none" w:sz="0" w:space="0" w:color="auto"/>
                <w:left w:val="none" w:sz="0" w:space="0" w:color="auto"/>
                <w:bottom w:val="none" w:sz="0" w:space="0" w:color="auto"/>
                <w:right w:val="none" w:sz="0" w:space="0" w:color="auto"/>
              </w:divBdr>
            </w:div>
            <w:div w:id="756484800">
              <w:marLeft w:val="0"/>
              <w:marRight w:val="0"/>
              <w:marTop w:val="0"/>
              <w:marBottom w:val="0"/>
              <w:divBdr>
                <w:top w:val="none" w:sz="0" w:space="0" w:color="auto"/>
                <w:left w:val="none" w:sz="0" w:space="0" w:color="auto"/>
                <w:bottom w:val="none" w:sz="0" w:space="0" w:color="auto"/>
                <w:right w:val="none" w:sz="0" w:space="0" w:color="auto"/>
              </w:divBdr>
            </w:div>
            <w:div w:id="756484801">
              <w:marLeft w:val="0"/>
              <w:marRight w:val="0"/>
              <w:marTop w:val="0"/>
              <w:marBottom w:val="0"/>
              <w:divBdr>
                <w:top w:val="none" w:sz="0" w:space="0" w:color="auto"/>
                <w:left w:val="none" w:sz="0" w:space="0" w:color="auto"/>
                <w:bottom w:val="none" w:sz="0" w:space="0" w:color="auto"/>
                <w:right w:val="none" w:sz="0" w:space="0" w:color="auto"/>
              </w:divBdr>
            </w:div>
            <w:div w:id="756484803">
              <w:marLeft w:val="0"/>
              <w:marRight w:val="0"/>
              <w:marTop w:val="0"/>
              <w:marBottom w:val="0"/>
              <w:divBdr>
                <w:top w:val="none" w:sz="0" w:space="0" w:color="auto"/>
                <w:left w:val="none" w:sz="0" w:space="0" w:color="auto"/>
                <w:bottom w:val="none" w:sz="0" w:space="0" w:color="auto"/>
                <w:right w:val="none" w:sz="0" w:space="0" w:color="auto"/>
              </w:divBdr>
            </w:div>
            <w:div w:id="756484805">
              <w:marLeft w:val="0"/>
              <w:marRight w:val="0"/>
              <w:marTop w:val="0"/>
              <w:marBottom w:val="0"/>
              <w:divBdr>
                <w:top w:val="none" w:sz="0" w:space="0" w:color="auto"/>
                <w:left w:val="none" w:sz="0" w:space="0" w:color="auto"/>
                <w:bottom w:val="none" w:sz="0" w:space="0" w:color="auto"/>
                <w:right w:val="none" w:sz="0" w:space="0" w:color="auto"/>
              </w:divBdr>
            </w:div>
            <w:div w:id="756484807">
              <w:marLeft w:val="0"/>
              <w:marRight w:val="0"/>
              <w:marTop w:val="0"/>
              <w:marBottom w:val="0"/>
              <w:divBdr>
                <w:top w:val="none" w:sz="0" w:space="0" w:color="auto"/>
                <w:left w:val="none" w:sz="0" w:space="0" w:color="auto"/>
                <w:bottom w:val="none" w:sz="0" w:space="0" w:color="auto"/>
                <w:right w:val="none" w:sz="0" w:space="0" w:color="auto"/>
              </w:divBdr>
            </w:div>
            <w:div w:id="756484811">
              <w:marLeft w:val="0"/>
              <w:marRight w:val="0"/>
              <w:marTop w:val="0"/>
              <w:marBottom w:val="0"/>
              <w:divBdr>
                <w:top w:val="none" w:sz="0" w:space="0" w:color="auto"/>
                <w:left w:val="none" w:sz="0" w:space="0" w:color="auto"/>
                <w:bottom w:val="none" w:sz="0" w:space="0" w:color="auto"/>
                <w:right w:val="none" w:sz="0" w:space="0" w:color="auto"/>
              </w:divBdr>
            </w:div>
            <w:div w:id="756484812">
              <w:marLeft w:val="0"/>
              <w:marRight w:val="0"/>
              <w:marTop w:val="0"/>
              <w:marBottom w:val="0"/>
              <w:divBdr>
                <w:top w:val="none" w:sz="0" w:space="0" w:color="auto"/>
                <w:left w:val="none" w:sz="0" w:space="0" w:color="auto"/>
                <w:bottom w:val="none" w:sz="0" w:space="0" w:color="auto"/>
                <w:right w:val="none" w:sz="0" w:space="0" w:color="auto"/>
              </w:divBdr>
            </w:div>
            <w:div w:id="756484817">
              <w:marLeft w:val="0"/>
              <w:marRight w:val="0"/>
              <w:marTop w:val="0"/>
              <w:marBottom w:val="0"/>
              <w:divBdr>
                <w:top w:val="none" w:sz="0" w:space="0" w:color="auto"/>
                <w:left w:val="none" w:sz="0" w:space="0" w:color="auto"/>
                <w:bottom w:val="none" w:sz="0" w:space="0" w:color="auto"/>
                <w:right w:val="none" w:sz="0" w:space="0" w:color="auto"/>
              </w:divBdr>
            </w:div>
            <w:div w:id="756484820">
              <w:marLeft w:val="0"/>
              <w:marRight w:val="0"/>
              <w:marTop w:val="0"/>
              <w:marBottom w:val="0"/>
              <w:divBdr>
                <w:top w:val="none" w:sz="0" w:space="0" w:color="auto"/>
                <w:left w:val="none" w:sz="0" w:space="0" w:color="auto"/>
                <w:bottom w:val="none" w:sz="0" w:space="0" w:color="auto"/>
                <w:right w:val="none" w:sz="0" w:space="0" w:color="auto"/>
              </w:divBdr>
            </w:div>
            <w:div w:id="756484821">
              <w:marLeft w:val="0"/>
              <w:marRight w:val="0"/>
              <w:marTop w:val="0"/>
              <w:marBottom w:val="0"/>
              <w:divBdr>
                <w:top w:val="none" w:sz="0" w:space="0" w:color="auto"/>
                <w:left w:val="none" w:sz="0" w:space="0" w:color="auto"/>
                <w:bottom w:val="none" w:sz="0" w:space="0" w:color="auto"/>
                <w:right w:val="none" w:sz="0" w:space="0" w:color="auto"/>
              </w:divBdr>
            </w:div>
            <w:div w:id="756484823">
              <w:marLeft w:val="0"/>
              <w:marRight w:val="0"/>
              <w:marTop w:val="0"/>
              <w:marBottom w:val="0"/>
              <w:divBdr>
                <w:top w:val="none" w:sz="0" w:space="0" w:color="auto"/>
                <w:left w:val="none" w:sz="0" w:space="0" w:color="auto"/>
                <w:bottom w:val="none" w:sz="0" w:space="0" w:color="auto"/>
                <w:right w:val="none" w:sz="0" w:space="0" w:color="auto"/>
              </w:divBdr>
            </w:div>
            <w:div w:id="756484824">
              <w:marLeft w:val="0"/>
              <w:marRight w:val="0"/>
              <w:marTop w:val="0"/>
              <w:marBottom w:val="0"/>
              <w:divBdr>
                <w:top w:val="none" w:sz="0" w:space="0" w:color="auto"/>
                <w:left w:val="none" w:sz="0" w:space="0" w:color="auto"/>
                <w:bottom w:val="none" w:sz="0" w:space="0" w:color="auto"/>
                <w:right w:val="none" w:sz="0" w:space="0" w:color="auto"/>
              </w:divBdr>
            </w:div>
            <w:div w:id="756484826">
              <w:marLeft w:val="0"/>
              <w:marRight w:val="0"/>
              <w:marTop w:val="0"/>
              <w:marBottom w:val="0"/>
              <w:divBdr>
                <w:top w:val="none" w:sz="0" w:space="0" w:color="auto"/>
                <w:left w:val="none" w:sz="0" w:space="0" w:color="auto"/>
                <w:bottom w:val="none" w:sz="0" w:space="0" w:color="auto"/>
                <w:right w:val="none" w:sz="0" w:space="0" w:color="auto"/>
              </w:divBdr>
            </w:div>
            <w:div w:id="756484828">
              <w:marLeft w:val="0"/>
              <w:marRight w:val="0"/>
              <w:marTop w:val="0"/>
              <w:marBottom w:val="0"/>
              <w:divBdr>
                <w:top w:val="none" w:sz="0" w:space="0" w:color="auto"/>
                <w:left w:val="none" w:sz="0" w:space="0" w:color="auto"/>
                <w:bottom w:val="none" w:sz="0" w:space="0" w:color="auto"/>
                <w:right w:val="none" w:sz="0" w:space="0" w:color="auto"/>
              </w:divBdr>
            </w:div>
            <w:div w:id="756484830">
              <w:marLeft w:val="0"/>
              <w:marRight w:val="0"/>
              <w:marTop w:val="0"/>
              <w:marBottom w:val="0"/>
              <w:divBdr>
                <w:top w:val="none" w:sz="0" w:space="0" w:color="auto"/>
                <w:left w:val="none" w:sz="0" w:space="0" w:color="auto"/>
                <w:bottom w:val="none" w:sz="0" w:space="0" w:color="auto"/>
                <w:right w:val="none" w:sz="0" w:space="0" w:color="auto"/>
              </w:divBdr>
            </w:div>
            <w:div w:id="756484831">
              <w:marLeft w:val="0"/>
              <w:marRight w:val="0"/>
              <w:marTop w:val="0"/>
              <w:marBottom w:val="0"/>
              <w:divBdr>
                <w:top w:val="none" w:sz="0" w:space="0" w:color="auto"/>
                <w:left w:val="none" w:sz="0" w:space="0" w:color="auto"/>
                <w:bottom w:val="none" w:sz="0" w:space="0" w:color="auto"/>
                <w:right w:val="none" w:sz="0" w:space="0" w:color="auto"/>
              </w:divBdr>
            </w:div>
            <w:div w:id="756484833">
              <w:marLeft w:val="0"/>
              <w:marRight w:val="0"/>
              <w:marTop w:val="0"/>
              <w:marBottom w:val="0"/>
              <w:divBdr>
                <w:top w:val="none" w:sz="0" w:space="0" w:color="auto"/>
                <w:left w:val="none" w:sz="0" w:space="0" w:color="auto"/>
                <w:bottom w:val="none" w:sz="0" w:space="0" w:color="auto"/>
                <w:right w:val="none" w:sz="0" w:space="0" w:color="auto"/>
              </w:divBdr>
            </w:div>
            <w:div w:id="756484834">
              <w:marLeft w:val="0"/>
              <w:marRight w:val="0"/>
              <w:marTop w:val="0"/>
              <w:marBottom w:val="0"/>
              <w:divBdr>
                <w:top w:val="none" w:sz="0" w:space="0" w:color="auto"/>
                <w:left w:val="none" w:sz="0" w:space="0" w:color="auto"/>
                <w:bottom w:val="none" w:sz="0" w:space="0" w:color="auto"/>
                <w:right w:val="none" w:sz="0" w:space="0" w:color="auto"/>
              </w:divBdr>
            </w:div>
            <w:div w:id="756484835">
              <w:marLeft w:val="0"/>
              <w:marRight w:val="0"/>
              <w:marTop w:val="0"/>
              <w:marBottom w:val="0"/>
              <w:divBdr>
                <w:top w:val="none" w:sz="0" w:space="0" w:color="auto"/>
                <w:left w:val="none" w:sz="0" w:space="0" w:color="auto"/>
                <w:bottom w:val="none" w:sz="0" w:space="0" w:color="auto"/>
                <w:right w:val="none" w:sz="0" w:space="0" w:color="auto"/>
              </w:divBdr>
            </w:div>
            <w:div w:id="756484836">
              <w:marLeft w:val="0"/>
              <w:marRight w:val="0"/>
              <w:marTop w:val="0"/>
              <w:marBottom w:val="0"/>
              <w:divBdr>
                <w:top w:val="none" w:sz="0" w:space="0" w:color="auto"/>
                <w:left w:val="none" w:sz="0" w:space="0" w:color="auto"/>
                <w:bottom w:val="none" w:sz="0" w:space="0" w:color="auto"/>
                <w:right w:val="none" w:sz="0" w:space="0" w:color="auto"/>
              </w:divBdr>
            </w:div>
            <w:div w:id="756484837">
              <w:marLeft w:val="0"/>
              <w:marRight w:val="0"/>
              <w:marTop w:val="0"/>
              <w:marBottom w:val="0"/>
              <w:divBdr>
                <w:top w:val="none" w:sz="0" w:space="0" w:color="auto"/>
                <w:left w:val="none" w:sz="0" w:space="0" w:color="auto"/>
                <w:bottom w:val="none" w:sz="0" w:space="0" w:color="auto"/>
                <w:right w:val="none" w:sz="0" w:space="0" w:color="auto"/>
              </w:divBdr>
            </w:div>
            <w:div w:id="756484838">
              <w:marLeft w:val="0"/>
              <w:marRight w:val="0"/>
              <w:marTop w:val="0"/>
              <w:marBottom w:val="0"/>
              <w:divBdr>
                <w:top w:val="none" w:sz="0" w:space="0" w:color="auto"/>
                <w:left w:val="none" w:sz="0" w:space="0" w:color="auto"/>
                <w:bottom w:val="none" w:sz="0" w:space="0" w:color="auto"/>
                <w:right w:val="none" w:sz="0" w:space="0" w:color="auto"/>
              </w:divBdr>
            </w:div>
            <w:div w:id="756484839">
              <w:marLeft w:val="0"/>
              <w:marRight w:val="0"/>
              <w:marTop w:val="0"/>
              <w:marBottom w:val="0"/>
              <w:divBdr>
                <w:top w:val="none" w:sz="0" w:space="0" w:color="auto"/>
                <w:left w:val="none" w:sz="0" w:space="0" w:color="auto"/>
                <w:bottom w:val="none" w:sz="0" w:space="0" w:color="auto"/>
                <w:right w:val="none" w:sz="0" w:space="0" w:color="auto"/>
              </w:divBdr>
            </w:div>
            <w:div w:id="756484840">
              <w:marLeft w:val="0"/>
              <w:marRight w:val="0"/>
              <w:marTop w:val="0"/>
              <w:marBottom w:val="0"/>
              <w:divBdr>
                <w:top w:val="none" w:sz="0" w:space="0" w:color="auto"/>
                <w:left w:val="none" w:sz="0" w:space="0" w:color="auto"/>
                <w:bottom w:val="none" w:sz="0" w:space="0" w:color="auto"/>
                <w:right w:val="none" w:sz="0" w:space="0" w:color="auto"/>
              </w:divBdr>
            </w:div>
            <w:div w:id="756484843">
              <w:marLeft w:val="0"/>
              <w:marRight w:val="0"/>
              <w:marTop w:val="0"/>
              <w:marBottom w:val="0"/>
              <w:divBdr>
                <w:top w:val="none" w:sz="0" w:space="0" w:color="auto"/>
                <w:left w:val="none" w:sz="0" w:space="0" w:color="auto"/>
                <w:bottom w:val="none" w:sz="0" w:space="0" w:color="auto"/>
                <w:right w:val="none" w:sz="0" w:space="0" w:color="auto"/>
              </w:divBdr>
            </w:div>
            <w:div w:id="756484844">
              <w:marLeft w:val="0"/>
              <w:marRight w:val="0"/>
              <w:marTop w:val="0"/>
              <w:marBottom w:val="0"/>
              <w:divBdr>
                <w:top w:val="none" w:sz="0" w:space="0" w:color="auto"/>
                <w:left w:val="none" w:sz="0" w:space="0" w:color="auto"/>
                <w:bottom w:val="none" w:sz="0" w:space="0" w:color="auto"/>
                <w:right w:val="none" w:sz="0" w:space="0" w:color="auto"/>
              </w:divBdr>
            </w:div>
            <w:div w:id="756484845">
              <w:marLeft w:val="0"/>
              <w:marRight w:val="0"/>
              <w:marTop w:val="0"/>
              <w:marBottom w:val="0"/>
              <w:divBdr>
                <w:top w:val="none" w:sz="0" w:space="0" w:color="auto"/>
                <w:left w:val="none" w:sz="0" w:space="0" w:color="auto"/>
                <w:bottom w:val="none" w:sz="0" w:space="0" w:color="auto"/>
                <w:right w:val="none" w:sz="0" w:space="0" w:color="auto"/>
              </w:divBdr>
            </w:div>
            <w:div w:id="756484846">
              <w:marLeft w:val="0"/>
              <w:marRight w:val="0"/>
              <w:marTop w:val="0"/>
              <w:marBottom w:val="0"/>
              <w:divBdr>
                <w:top w:val="none" w:sz="0" w:space="0" w:color="auto"/>
                <w:left w:val="none" w:sz="0" w:space="0" w:color="auto"/>
                <w:bottom w:val="none" w:sz="0" w:space="0" w:color="auto"/>
                <w:right w:val="none" w:sz="0" w:space="0" w:color="auto"/>
              </w:divBdr>
            </w:div>
            <w:div w:id="756484848">
              <w:marLeft w:val="0"/>
              <w:marRight w:val="0"/>
              <w:marTop w:val="0"/>
              <w:marBottom w:val="0"/>
              <w:divBdr>
                <w:top w:val="none" w:sz="0" w:space="0" w:color="auto"/>
                <w:left w:val="none" w:sz="0" w:space="0" w:color="auto"/>
                <w:bottom w:val="none" w:sz="0" w:space="0" w:color="auto"/>
                <w:right w:val="none" w:sz="0" w:space="0" w:color="auto"/>
              </w:divBdr>
            </w:div>
            <w:div w:id="756484849">
              <w:marLeft w:val="0"/>
              <w:marRight w:val="0"/>
              <w:marTop w:val="0"/>
              <w:marBottom w:val="0"/>
              <w:divBdr>
                <w:top w:val="none" w:sz="0" w:space="0" w:color="auto"/>
                <w:left w:val="none" w:sz="0" w:space="0" w:color="auto"/>
                <w:bottom w:val="none" w:sz="0" w:space="0" w:color="auto"/>
                <w:right w:val="none" w:sz="0" w:space="0" w:color="auto"/>
              </w:divBdr>
            </w:div>
            <w:div w:id="756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4769">
      <w:marLeft w:val="0"/>
      <w:marRight w:val="0"/>
      <w:marTop w:val="0"/>
      <w:marBottom w:val="0"/>
      <w:divBdr>
        <w:top w:val="none" w:sz="0" w:space="0" w:color="auto"/>
        <w:left w:val="none" w:sz="0" w:space="0" w:color="auto"/>
        <w:bottom w:val="none" w:sz="0" w:space="0" w:color="auto"/>
        <w:right w:val="none" w:sz="0" w:space="0" w:color="auto"/>
      </w:divBdr>
    </w:div>
    <w:div w:id="756484773">
      <w:marLeft w:val="0"/>
      <w:marRight w:val="0"/>
      <w:marTop w:val="0"/>
      <w:marBottom w:val="0"/>
      <w:divBdr>
        <w:top w:val="none" w:sz="0" w:space="0" w:color="auto"/>
        <w:left w:val="none" w:sz="0" w:space="0" w:color="auto"/>
        <w:bottom w:val="none" w:sz="0" w:space="0" w:color="auto"/>
        <w:right w:val="none" w:sz="0" w:space="0" w:color="auto"/>
      </w:divBdr>
    </w:div>
    <w:div w:id="756484783">
      <w:marLeft w:val="0"/>
      <w:marRight w:val="0"/>
      <w:marTop w:val="0"/>
      <w:marBottom w:val="0"/>
      <w:divBdr>
        <w:top w:val="none" w:sz="0" w:space="0" w:color="auto"/>
        <w:left w:val="none" w:sz="0" w:space="0" w:color="auto"/>
        <w:bottom w:val="none" w:sz="0" w:space="0" w:color="auto"/>
        <w:right w:val="none" w:sz="0" w:space="0" w:color="auto"/>
      </w:divBdr>
    </w:div>
    <w:div w:id="756484787">
      <w:marLeft w:val="0"/>
      <w:marRight w:val="0"/>
      <w:marTop w:val="0"/>
      <w:marBottom w:val="0"/>
      <w:divBdr>
        <w:top w:val="none" w:sz="0" w:space="0" w:color="auto"/>
        <w:left w:val="none" w:sz="0" w:space="0" w:color="auto"/>
        <w:bottom w:val="none" w:sz="0" w:space="0" w:color="auto"/>
        <w:right w:val="none" w:sz="0" w:space="0" w:color="auto"/>
      </w:divBdr>
    </w:div>
    <w:div w:id="756484792">
      <w:marLeft w:val="0"/>
      <w:marRight w:val="0"/>
      <w:marTop w:val="0"/>
      <w:marBottom w:val="0"/>
      <w:divBdr>
        <w:top w:val="none" w:sz="0" w:space="0" w:color="auto"/>
        <w:left w:val="none" w:sz="0" w:space="0" w:color="auto"/>
        <w:bottom w:val="none" w:sz="0" w:space="0" w:color="auto"/>
        <w:right w:val="none" w:sz="0" w:space="0" w:color="auto"/>
      </w:divBdr>
    </w:div>
    <w:div w:id="756484793">
      <w:marLeft w:val="0"/>
      <w:marRight w:val="0"/>
      <w:marTop w:val="0"/>
      <w:marBottom w:val="0"/>
      <w:divBdr>
        <w:top w:val="none" w:sz="0" w:space="0" w:color="auto"/>
        <w:left w:val="none" w:sz="0" w:space="0" w:color="auto"/>
        <w:bottom w:val="none" w:sz="0" w:space="0" w:color="auto"/>
        <w:right w:val="none" w:sz="0" w:space="0" w:color="auto"/>
      </w:divBdr>
    </w:div>
    <w:div w:id="756484802">
      <w:marLeft w:val="0"/>
      <w:marRight w:val="0"/>
      <w:marTop w:val="0"/>
      <w:marBottom w:val="0"/>
      <w:divBdr>
        <w:top w:val="none" w:sz="0" w:space="0" w:color="auto"/>
        <w:left w:val="none" w:sz="0" w:space="0" w:color="auto"/>
        <w:bottom w:val="none" w:sz="0" w:space="0" w:color="auto"/>
        <w:right w:val="none" w:sz="0" w:space="0" w:color="auto"/>
      </w:divBdr>
      <w:divsChild>
        <w:div w:id="756484829">
          <w:marLeft w:val="0"/>
          <w:marRight w:val="0"/>
          <w:marTop w:val="0"/>
          <w:marBottom w:val="117"/>
          <w:divBdr>
            <w:top w:val="none" w:sz="0" w:space="0" w:color="auto"/>
            <w:left w:val="none" w:sz="0" w:space="0" w:color="auto"/>
            <w:bottom w:val="none" w:sz="0" w:space="0" w:color="auto"/>
            <w:right w:val="none" w:sz="0" w:space="0" w:color="auto"/>
          </w:divBdr>
          <w:divsChild>
            <w:div w:id="7564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4804">
      <w:marLeft w:val="0"/>
      <w:marRight w:val="0"/>
      <w:marTop w:val="0"/>
      <w:marBottom w:val="0"/>
      <w:divBdr>
        <w:top w:val="none" w:sz="0" w:space="0" w:color="auto"/>
        <w:left w:val="none" w:sz="0" w:space="0" w:color="auto"/>
        <w:bottom w:val="none" w:sz="0" w:space="0" w:color="auto"/>
        <w:right w:val="none" w:sz="0" w:space="0" w:color="auto"/>
      </w:divBdr>
      <w:divsChild>
        <w:div w:id="756484814">
          <w:marLeft w:val="0"/>
          <w:marRight w:val="0"/>
          <w:marTop w:val="34"/>
          <w:marBottom w:val="34"/>
          <w:divBdr>
            <w:top w:val="none" w:sz="0" w:space="0" w:color="auto"/>
            <w:left w:val="none" w:sz="0" w:space="0" w:color="auto"/>
            <w:bottom w:val="none" w:sz="0" w:space="0" w:color="auto"/>
            <w:right w:val="none" w:sz="0" w:space="0" w:color="auto"/>
          </w:divBdr>
        </w:div>
      </w:divsChild>
    </w:div>
    <w:div w:id="756484806">
      <w:marLeft w:val="0"/>
      <w:marRight w:val="0"/>
      <w:marTop w:val="0"/>
      <w:marBottom w:val="0"/>
      <w:divBdr>
        <w:top w:val="none" w:sz="0" w:space="0" w:color="auto"/>
        <w:left w:val="none" w:sz="0" w:space="0" w:color="auto"/>
        <w:bottom w:val="none" w:sz="0" w:space="0" w:color="auto"/>
        <w:right w:val="none" w:sz="0" w:space="0" w:color="auto"/>
      </w:divBdr>
    </w:div>
    <w:div w:id="756484808">
      <w:marLeft w:val="0"/>
      <w:marRight w:val="0"/>
      <w:marTop w:val="0"/>
      <w:marBottom w:val="0"/>
      <w:divBdr>
        <w:top w:val="none" w:sz="0" w:space="0" w:color="auto"/>
        <w:left w:val="none" w:sz="0" w:space="0" w:color="auto"/>
        <w:bottom w:val="none" w:sz="0" w:space="0" w:color="auto"/>
        <w:right w:val="none" w:sz="0" w:space="0" w:color="auto"/>
      </w:divBdr>
    </w:div>
    <w:div w:id="756484809">
      <w:marLeft w:val="0"/>
      <w:marRight w:val="0"/>
      <w:marTop w:val="0"/>
      <w:marBottom w:val="0"/>
      <w:divBdr>
        <w:top w:val="none" w:sz="0" w:space="0" w:color="auto"/>
        <w:left w:val="none" w:sz="0" w:space="0" w:color="auto"/>
        <w:bottom w:val="none" w:sz="0" w:space="0" w:color="auto"/>
        <w:right w:val="none" w:sz="0" w:space="0" w:color="auto"/>
      </w:divBdr>
    </w:div>
    <w:div w:id="756484810">
      <w:marLeft w:val="0"/>
      <w:marRight w:val="0"/>
      <w:marTop w:val="0"/>
      <w:marBottom w:val="0"/>
      <w:divBdr>
        <w:top w:val="none" w:sz="0" w:space="0" w:color="auto"/>
        <w:left w:val="none" w:sz="0" w:space="0" w:color="auto"/>
        <w:bottom w:val="none" w:sz="0" w:space="0" w:color="auto"/>
        <w:right w:val="none" w:sz="0" w:space="0" w:color="auto"/>
      </w:divBdr>
      <w:divsChild>
        <w:div w:id="756484815">
          <w:marLeft w:val="0"/>
          <w:marRight w:val="0"/>
          <w:marTop w:val="34"/>
          <w:marBottom w:val="34"/>
          <w:divBdr>
            <w:top w:val="none" w:sz="0" w:space="0" w:color="auto"/>
            <w:left w:val="none" w:sz="0" w:space="0" w:color="auto"/>
            <w:bottom w:val="none" w:sz="0" w:space="0" w:color="auto"/>
            <w:right w:val="none" w:sz="0" w:space="0" w:color="auto"/>
          </w:divBdr>
        </w:div>
      </w:divsChild>
    </w:div>
    <w:div w:id="756484813">
      <w:marLeft w:val="0"/>
      <w:marRight w:val="0"/>
      <w:marTop w:val="0"/>
      <w:marBottom w:val="0"/>
      <w:divBdr>
        <w:top w:val="none" w:sz="0" w:space="0" w:color="auto"/>
        <w:left w:val="none" w:sz="0" w:space="0" w:color="auto"/>
        <w:bottom w:val="none" w:sz="0" w:space="0" w:color="auto"/>
        <w:right w:val="none" w:sz="0" w:space="0" w:color="auto"/>
      </w:divBdr>
    </w:div>
    <w:div w:id="756484816">
      <w:marLeft w:val="0"/>
      <w:marRight w:val="0"/>
      <w:marTop w:val="0"/>
      <w:marBottom w:val="0"/>
      <w:divBdr>
        <w:top w:val="none" w:sz="0" w:space="0" w:color="auto"/>
        <w:left w:val="none" w:sz="0" w:space="0" w:color="auto"/>
        <w:bottom w:val="none" w:sz="0" w:space="0" w:color="auto"/>
        <w:right w:val="none" w:sz="0" w:space="0" w:color="auto"/>
      </w:divBdr>
    </w:div>
    <w:div w:id="756484818">
      <w:marLeft w:val="0"/>
      <w:marRight w:val="0"/>
      <w:marTop w:val="0"/>
      <w:marBottom w:val="0"/>
      <w:divBdr>
        <w:top w:val="none" w:sz="0" w:space="0" w:color="auto"/>
        <w:left w:val="none" w:sz="0" w:space="0" w:color="auto"/>
        <w:bottom w:val="none" w:sz="0" w:space="0" w:color="auto"/>
        <w:right w:val="none" w:sz="0" w:space="0" w:color="auto"/>
      </w:divBdr>
    </w:div>
    <w:div w:id="756484819">
      <w:marLeft w:val="0"/>
      <w:marRight w:val="0"/>
      <w:marTop w:val="0"/>
      <w:marBottom w:val="0"/>
      <w:divBdr>
        <w:top w:val="none" w:sz="0" w:space="0" w:color="auto"/>
        <w:left w:val="none" w:sz="0" w:space="0" w:color="auto"/>
        <w:bottom w:val="none" w:sz="0" w:space="0" w:color="auto"/>
        <w:right w:val="none" w:sz="0" w:space="0" w:color="auto"/>
      </w:divBdr>
    </w:div>
    <w:div w:id="756484822">
      <w:marLeft w:val="0"/>
      <w:marRight w:val="0"/>
      <w:marTop w:val="0"/>
      <w:marBottom w:val="0"/>
      <w:divBdr>
        <w:top w:val="none" w:sz="0" w:space="0" w:color="auto"/>
        <w:left w:val="none" w:sz="0" w:space="0" w:color="auto"/>
        <w:bottom w:val="none" w:sz="0" w:space="0" w:color="auto"/>
        <w:right w:val="none" w:sz="0" w:space="0" w:color="auto"/>
      </w:divBdr>
    </w:div>
    <w:div w:id="756484825">
      <w:marLeft w:val="0"/>
      <w:marRight w:val="0"/>
      <w:marTop w:val="0"/>
      <w:marBottom w:val="0"/>
      <w:divBdr>
        <w:top w:val="none" w:sz="0" w:space="0" w:color="auto"/>
        <w:left w:val="none" w:sz="0" w:space="0" w:color="auto"/>
        <w:bottom w:val="none" w:sz="0" w:space="0" w:color="auto"/>
        <w:right w:val="none" w:sz="0" w:space="0" w:color="auto"/>
      </w:divBdr>
    </w:div>
    <w:div w:id="756484827">
      <w:marLeft w:val="0"/>
      <w:marRight w:val="0"/>
      <w:marTop w:val="0"/>
      <w:marBottom w:val="0"/>
      <w:divBdr>
        <w:top w:val="none" w:sz="0" w:space="0" w:color="auto"/>
        <w:left w:val="none" w:sz="0" w:space="0" w:color="auto"/>
        <w:bottom w:val="none" w:sz="0" w:space="0" w:color="auto"/>
        <w:right w:val="none" w:sz="0" w:space="0" w:color="auto"/>
      </w:divBdr>
    </w:div>
    <w:div w:id="756484832">
      <w:marLeft w:val="0"/>
      <w:marRight w:val="0"/>
      <w:marTop w:val="0"/>
      <w:marBottom w:val="0"/>
      <w:divBdr>
        <w:top w:val="none" w:sz="0" w:space="0" w:color="auto"/>
        <w:left w:val="none" w:sz="0" w:space="0" w:color="auto"/>
        <w:bottom w:val="none" w:sz="0" w:space="0" w:color="auto"/>
        <w:right w:val="none" w:sz="0" w:space="0" w:color="auto"/>
      </w:divBdr>
    </w:div>
    <w:div w:id="75648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9412</Words>
  <Characters>53654</Characters>
  <Application>Microsoft Office Word</Application>
  <DocSecurity>0</DocSecurity>
  <Lines>447</Lines>
  <Paragraphs>125</Paragraphs>
  <ScaleCrop>false</ScaleCrop>
  <Company>Hewlett-Packard</Company>
  <LinksUpToDate>false</LinksUpToDate>
  <CharactersWithSpaces>62941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Ridruejo</dc:creator>
  <cp:lastModifiedBy>LS Ma</cp:lastModifiedBy>
  <cp:revision>2</cp:revision>
  <dcterms:created xsi:type="dcterms:W3CDTF">2014-01-01T21:10:00Z</dcterms:created>
  <dcterms:modified xsi:type="dcterms:W3CDTF">2014-01-01T21:10:00Z</dcterms:modified>
</cp:coreProperties>
</file>