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8A227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Name of Journal: </w:t>
      </w:r>
      <w:r w:rsidRPr="004E727A">
        <w:rPr>
          <w:rFonts w:ascii="Book Antiqua" w:eastAsia="Book Antiqua" w:hAnsi="Book Antiqua" w:cs="Book Antiqua"/>
          <w:i/>
          <w:color w:val="000000"/>
        </w:rPr>
        <w:t>World Journal of Gastroenterology</w:t>
      </w:r>
    </w:p>
    <w:p w14:paraId="6558737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NO: </w:t>
      </w:r>
      <w:r w:rsidRPr="004E727A">
        <w:rPr>
          <w:rFonts w:ascii="Book Antiqua" w:eastAsia="Book Antiqua" w:hAnsi="Book Antiqua" w:cs="Book Antiqua"/>
          <w:color w:val="000000"/>
        </w:rPr>
        <w:t>63922</w:t>
      </w:r>
    </w:p>
    <w:p w14:paraId="0D516B7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Type: </w:t>
      </w:r>
      <w:r w:rsidRPr="004E727A">
        <w:rPr>
          <w:rFonts w:ascii="Book Antiqua" w:eastAsia="Book Antiqua" w:hAnsi="Book Antiqua" w:cs="Book Antiqua"/>
          <w:color w:val="000000"/>
        </w:rPr>
        <w:t>FRONTIER</w:t>
      </w:r>
    </w:p>
    <w:p w14:paraId="0794EE5B" w14:textId="77777777" w:rsidR="00A77B3E" w:rsidRPr="004E727A" w:rsidRDefault="00A77B3E">
      <w:pPr>
        <w:spacing w:line="360" w:lineRule="auto"/>
        <w:jc w:val="both"/>
        <w:rPr>
          <w:rFonts w:ascii="Book Antiqua" w:hAnsi="Book Antiqua"/>
        </w:rPr>
      </w:pPr>
    </w:p>
    <w:p w14:paraId="7788D40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Fecal microbiota transplantation for irritable bowel syndrome</w:t>
      </w:r>
      <w:r w:rsidR="003D1EB9" w:rsidRPr="004E727A">
        <w:rPr>
          <w:rFonts w:ascii="Book Antiqua" w:eastAsia="Book Antiqua" w:hAnsi="Book Antiqua" w:cs="Book Antiqua"/>
          <w:b/>
          <w:color w:val="000000"/>
        </w:rPr>
        <w:t xml:space="preserve">: </w:t>
      </w:r>
      <w:r w:rsidR="003D1EB9" w:rsidRPr="004E727A">
        <w:rPr>
          <w:rFonts w:ascii="Book Antiqua" w:hAnsi="Book Antiqua" w:cs="Book Antiqua"/>
          <w:b/>
          <w:color w:val="000000"/>
          <w:lang w:eastAsia="zh-CN"/>
        </w:rPr>
        <w:t>A</w:t>
      </w:r>
      <w:r w:rsidRPr="004E727A">
        <w:rPr>
          <w:rFonts w:ascii="Book Antiqua" w:eastAsia="Book Antiqua" w:hAnsi="Book Antiqua" w:cs="Book Antiqua"/>
          <w:b/>
          <w:color w:val="000000"/>
        </w:rPr>
        <w:t>n intervention for the 21</w:t>
      </w:r>
      <w:r w:rsidRPr="004E727A">
        <w:rPr>
          <w:rFonts w:ascii="Book Antiqua" w:eastAsia="Book Antiqua" w:hAnsi="Book Antiqua" w:cs="Book Antiqua"/>
          <w:b/>
          <w:color w:val="000000"/>
          <w:vertAlign w:val="superscript"/>
        </w:rPr>
        <w:t>st</w:t>
      </w:r>
      <w:r w:rsidRPr="004E727A">
        <w:rPr>
          <w:rFonts w:ascii="Book Antiqua" w:eastAsia="Book Antiqua" w:hAnsi="Book Antiqua" w:cs="Book Antiqua"/>
          <w:b/>
          <w:color w:val="000000"/>
        </w:rPr>
        <w:t xml:space="preserve"> century</w:t>
      </w:r>
    </w:p>
    <w:p w14:paraId="573AE882" w14:textId="77777777" w:rsidR="00A77B3E" w:rsidRPr="004E727A" w:rsidRDefault="00A77B3E">
      <w:pPr>
        <w:spacing w:line="360" w:lineRule="auto"/>
        <w:jc w:val="both"/>
        <w:rPr>
          <w:rFonts w:ascii="Book Antiqua" w:hAnsi="Book Antiqua"/>
        </w:rPr>
      </w:pPr>
    </w:p>
    <w:p w14:paraId="09F6A6A9" w14:textId="77777777" w:rsidR="00A77B3E" w:rsidRPr="004E727A" w:rsidRDefault="00737FE9">
      <w:pPr>
        <w:spacing w:line="360" w:lineRule="auto"/>
        <w:jc w:val="both"/>
        <w:rPr>
          <w:rFonts w:ascii="Book Antiqua" w:hAnsi="Book Antiqua"/>
        </w:rPr>
      </w:pPr>
      <w:bookmarkStart w:id="0" w:name="OLE_LINK51"/>
      <w:bookmarkStart w:id="1" w:name="OLE_LINK52"/>
      <w:bookmarkStart w:id="2" w:name="OLE_LINK53"/>
      <w:r w:rsidRPr="004E727A">
        <w:rPr>
          <w:rFonts w:ascii="Book Antiqua" w:eastAsia="Book Antiqua" w:hAnsi="Book Antiqua" w:cs="Book Antiqua"/>
          <w:color w:val="000000"/>
        </w:rPr>
        <w:t>El-Salhy M</w:t>
      </w:r>
      <w:bookmarkEnd w:id="0"/>
      <w:bookmarkEnd w:id="1"/>
      <w:bookmarkEnd w:id="2"/>
      <w:r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et al</w:t>
      </w:r>
      <w:r w:rsidRPr="004E727A">
        <w:rPr>
          <w:rFonts w:ascii="Book Antiqua" w:eastAsia="Book Antiqua" w:hAnsi="Book Antiqua" w:cs="Book Antiqua"/>
          <w:color w:val="000000"/>
        </w:rPr>
        <w:t>. FMT for IBS</w:t>
      </w:r>
    </w:p>
    <w:p w14:paraId="5664564B" w14:textId="77777777" w:rsidR="00A77B3E" w:rsidRPr="004E727A" w:rsidRDefault="00A77B3E">
      <w:pPr>
        <w:spacing w:line="360" w:lineRule="auto"/>
        <w:jc w:val="both"/>
        <w:rPr>
          <w:rFonts w:ascii="Book Antiqua" w:hAnsi="Book Antiqua"/>
        </w:rPr>
      </w:pPr>
    </w:p>
    <w:p w14:paraId="624F5E3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Magdy El-Salhy, Tanisa Patcharatrakul, Sutep Gonlachanvit</w:t>
      </w:r>
    </w:p>
    <w:p w14:paraId="19DEAEE4" w14:textId="77777777" w:rsidR="00A77B3E" w:rsidRPr="004E727A" w:rsidRDefault="00A77B3E">
      <w:pPr>
        <w:spacing w:line="360" w:lineRule="auto"/>
        <w:jc w:val="both"/>
        <w:rPr>
          <w:rFonts w:ascii="Book Antiqua" w:hAnsi="Book Antiqua"/>
        </w:rPr>
      </w:pPr>
    </w:p>
    <w:p w14:paraId="0EE80FD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Magdy El-Salhy, </w:t>
      </w:r>
      <w:bookmarkStart w:id="3" w:name="OLE_LINK5"/>
      <w:bookmarkStart w:id="4" w:name="OLE_LINK6"/>
      <w:r w:rsidR="002217D3" w:rsidRPr="004E727A">
        <w:rPr>
          <w:rFonts w:ascii="Book Antiqua" w:eastAsia="Book Antiqua" w:hAnsi="Book Antiqua" w:cs="Book Antiqua"/>
          <w:color w:val="000000"/>
        </w:rPr>
        <w:t>Department of</w:t>
      </w:r>
      <w:bookmarkEnd w:id="3"/>
      <w:bookmarkEnd w:id="4"/>
      <w:r w:rsidR="002217D3"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Medicine, </w:t>
      </w:r>
      <w:r w:rsidR="002217D3" w:rsidRPr="004E727A">
        <w:rPr>
          <w:rFonts w:ascii="Book Antiqua" w:eastAsia="Book Antiqua" w:hAnsi="Book Antiqua" w:cs="Book Antiqua"/>
          <w:color w:val="000000"/>
        </w:rPr>
        <w:t xml:space="preserve">Stord Helse Fonna Hospital and </w:t>
      </w:r>
      <w:r w:rsidR="002217D3" w:rsidRPr="004E727A">
        <w:rPr>
          <w:rFonts w:ascii="Book Antiqua" w:hAnsi="Book Antiqua" w:cs="Book Antiqua"/>
          <w:color w:val="000000"/>
          <w:lang w:eastAsia="zh-CN"/>
        </w:rPr>
        <w:t>U</w:t>
      </w:r>
      <w:r w:rsidRPr="004E727A">
        <w:rPr>
          <w:rFonts w:ascii="Book Antiqua" w:eastAsia="Book Antiqua" w:hAnsi="Book Antiqua" w:cs="Book Antiqua"/>
          <w:color w:val="000000"/>
        </w:rPr>
        <w:t>niversity of Bergen, Stord 5416, Norway</w:t>
      </w:r>
    </w:p>
    <w:p w14:paraId="77B34DC4" w14:textId="77777777" w:rsidR="00A77B3E" w:rsidRPr="004E727A" w:rsidRDefault="00A77B3E">
      <w:pPr>
        <w:spacing w:line="360" w:lineRule="auto"/>
        <w:jc w:val="both"/>
        <w:rPr>
          <w:rFonts w:ascii="Book Antiqua" w:hAnsi="Book Antiqua"/>
        </w:rPr>
      </w:pPr>
    </w:p>
    <w:p w14:paraId="34BB42AD" w14:textId="4A35223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Tanisa Patcharatrakul,</w:t>
      </w:r>
      <w:r w:rsidR="002217D3" w:rsidRPr="004E727A">
        <w:rPr>
          <w:rFonts w:ascii="Book Antiqua" w:hAnsi="Book Antiqua" w:cs="Book Antiqua"/>
          <w:b/>
          <w:bCs/>
          <w:color w:val="000000"/>
          <w:lang w:eastAsia="zh-CN"/>
        </w:rPr>
        <w:t xml:space="preserve"> </w:t>
      </w:r>
      <w:r w:rsidR="002217D3" w:rsidRPr="004E727A">
        <w:rPr>
          <w:rFonts w:ascii="Book Antiqua" w:eastAsia="Book Antiqua" w:hAnsi="Book Antiqua" w:cs="Book Antiqua"/>
          <w:b/>
          <w:bCs/>
          <w:color w:val="000000"/>
        </w:rPr>
        <w:t>Sutep Gonlachanvit,</w:t>
      </w:r>
      <w:r w:rsidRPr="004E727A">
        <w:rPr>
          <w:rFonts w:ascii="Book Antiqua" w:eastAsia="Book Antiqua" w:hAnsi="Book Antiqua" w:cs="Book Antiqua"/>
          <w:b/>
          <w:bCs/>
          <w:color w:val="000000"/>
        </w:rPr>
        <w:t xml:space="preserve"> </w:t>
      </w:r>
      <w:r w:rsidR="00A763CD" w:rsidRPr="00A763CD">
        <w:rPr>
          <w:rFonts w:ascii="Book Antiqua" w:eastAsia="Book Antiqua" w:hAnsi="Book Antiqua" w:cs="Book Antiqua"/>
          <w:color w:val="000000"/>
        </w:rPr>
        <w:t>Department of Medicine, King Chulalongkorn Memorial Hospital and Center of Excellence in Neurogastroenterology and Motility, Chulalongkorn University, Bangkok 10330, Thailand</w:t>
      </w:r>
    </w:p>
    <w:p w14:paraId="0EF9C509" w14:textId="77777777" w:rsidR="00A77B3E" w:rsidRPr="004E727A" w:rsidRDefault="00A77B3E">
      <w:pPr>
        <w:spacing w:line="360" w:lineRule="auto"/>
        <w:jc w:val="both"/>
        <w:rPr>
          <w:rFonts w:ascii="Book Antiqua" w:hAnsi="Book Antiqua"/>
          <w:lang w:eastAsia="zh-CN"/>
        </w:rPr>
      </w:pPr>
    </w:p>
    <w:p w14:paraId="1F08AA1C" w14:textId="3CC79014"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Author contributions: </w:t>
      </w:r>
      <w:r w:rsidR="002217D3" w:rsidRPr="004E727A">
        <w:rPr>
          <w:rFonts w:ascii="Book Antiqua" w:eastAsia="Book Antiqua" w:hAnsi="Book Antiqua" w:cs="Book Antiqua"/>
          <w:color w:val="000000"/>
        </w:rPr>
        <w:t>El-Salhy M,</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Pat</w:t>
      </w:r>
      <w:r w:rsidR="002217D3" w:rsidRPr="004E727A">
        <w:rPr>
          <w:rFonts w:ascii="Book Antiqua" w:eastAsia="Book Antiqua" w:hAnsi="Book Antiqua" w:cs="Book Antiqua"/>
          <w:color w:val="000000"/>
        </w:rPr>
        <w:t>charatrakul T, and Gonlachanvit</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S collected the literature and discus</w:t>
      </w:r>
      <w:r w:rsidR="002217D3" w:rsidRPr="004E727A">
        <w:rPr>
          <w:rFonts w:ascii="Book Antiqua" w:eastAsia="Book Antiqua" w:hAnsi="Book Antiqua" w:cs="Book Antiqua"/>
          <w:color w:val="000000"/>
        </w:rPr>
        <w:t>sed the content of the frontier</w:t>
      </w:r>
      <w:r w:rsidR="002217D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El-S</w:t>
      </w:r>
      <w:r w:rsidR="002217D3" w:rsidRPr="004E727A">
        <w:rPr>
          <w:rFonts w:ascii="Book Antiqua" w:eastAsia="Book Antiqua" w:hAnsi="Book Antiqua" w:cs="Book Antiqua"/>
          <w:color w:val="000000"/>
        </w:rPr>
        <w:t>alhy M wrote the first draft of</w:t>
      </w:r>
      <w:r w:rsidR="002217D3" w:rsidRPr="004E727A">
        <w:rPr>
          <w:rFonts w:ascii="Book Antiqua" w:hAnsi="Book Antiqua" w:cs="Book Antiqua"/>
          <w:color w:val="000000"/>
          <w:lang w:eastAsia="zh-CN"/>
        </w:rPr>
        <w:t xml:space="preserve"> </w:t>
      </w:r>
      <w:r w:rsidR="002217D3" w:rsidRPr="004E727A">
        <w:rPr>
          <w:rFonts w:ascii="Book Antiqua" w:eastAsia="Book Antiqua" w:hAnsi="Book Antiqua" w:cs="Book Antiqua"/>
          <w:color w:val="000000"/>
        </w:rPr>
        <w:t>the manuscript</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Patc</w:t>
      </w:r>
      <w:r w:rsidR="002217D3" w:rsidRPr="004E727A">
        <w:rPr>
          <w:rFonts w:ascii="Book Antiqua" w:eastAsia="Book Antiqua" w:hAnsi="Book Antiqua" w:cs="Book Antiqua"/>
          <w:color w:val="000000"/>
        </w:rPr>
        <w:t>haratrakul T and Gonlachanvit</w:t>
      </w:r>
      <w:r w:rsidR="0027088F" w:rsidRPr="004E727A">
        <w:rPr>
          <w:rFonts w:ascii="Book Antiqua" w:eastAsia="Book Antiqua" w:hAnsi="Book Antiqua" w:cs="Book Antiqua"/>
          <w:color w:val="000000"/>
        </w:rPr>
        <w:t xml:space="preserve"> </w:t>
      </w:r>
      <w:r w:rsidR="002217D3" w:rsidRPr="004E727A">
        <w:rPr>
          <w:rFonts w:ascii="Book Antiqua" w:eastAsia="Book Antiqua" w:hAnsi="Book Antiqua" w:cs="Book Antiqua"/>
          <w:color w:val="000000"/>
        </w:rPr>
        <w:t>S</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critically revised the manuscript for important intellectual content.</w:t>
      </w:r>
    </w:p>
    <w:p w14:paraId="2A72C4B9" w14:textId="77777777" w:rsidR="00A77B3E" w:rsidRPr="004E727A" w:rsidRDefault="00A77B3E">
      <w:pPr>
        <w:spacing w:line="360" w:lineRule="auto"/>
        <w:jc w:val="both"/>
        <w:rPr>
          <w:rFonts w:ascii="Book Antiqua" w:hAnsi="Book Antiqua"/>
        </w:rPr>
      </w:pPr>
    </w:p>
    <w:p w14:paraId="0FF1AAC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Supported by </w:t>
      </w:r>
      <w:r w:rsidR="002217D3" w:rsidRPr="004E727A">
        <w:rPr>
          <w:rFonts w:ascii="Book Antiqua" w:hAnsi="Book Antiqua" w:cs="Book Antiqua"/>
          <w:bCs/>
          <w:color w:val="000000"/>
          <w:lang w:eastAsia="zh-CN"/>
        </w:rPr>
        <w:t>the</w:t>
      </w:r>
      <w:r w:rsidR="002217D3" w:rsidRPr="004E727A">
        <w:rPr>
          <w:rFonts w:ascii="Book Antiqua" w:hAnsi="Book Antiqua" w:cs="Book Antiqua"/>
          <w:b/>
          <w:bCs/>
          <w:color w:val="000000"/>
          <w:lang w:eastAsia="zh-CN"/>
        </w:rPr>
        <w:t xml:space="preserve"> </w:t>
      </w:r>
      <w:r w:rsidR="002217D3" w:rsidRPr="004E727A">
        <w:rPr>
          <w:rFonts w:ascii="Book Antiqua" w:eastAsia="Book Antiqua" w:hAnsi="Book Antiqua" w:cs="Book Antiqua"/>
          <w:color w:val="000000"/>
        </w:rPr>
        <w:t>Helse Fonna</w:t>
      </w:r>
      <w:r w:rsidR="002217D3" w:rsidRPr="004E727A">
        <w:rPr>
          <w:rFonts w:ascii="Book Antiqua" w:hAnsi="Book Antiqua" w:cs="Book Antiqua"/>
          <w:color w:val="000000"/>
          <w:lang w:eastAsia="zh-CN"/>
        </w:rPr>
        <w:t>, N</w:t>
      </w:r>
      <w:r w:rsidR="002217D3" w:rsidRPr="004E727A">
        <w:rPr>
          <w:rFonts w:ascii="Book Antiqua" w:eastAsia="Book Antiqua" w:hAnsi="Book Antiqua" w:cs="Book Antiqua"/>
          <w:color w:val="000000"/>
        </w:rPr>
        <w:t>o. 40415</w:t>
      </w:r>
      <w:r w:rsidRPr="004E727A">
        <w:rPr>
          <w:rFonts w:ascii="Book Antiqua" w:eastAsia="Book Antiqua" w:hAnsi="Book Antiqua" w:cs="Book Antiqua"/>
          <w:color w:val="000000"/>
        </w:rPr>
        <w:t>.</w:t>
      </w:r>
    </w:p>
    <w:p w14:paraId="453239C9" w14:textId="77777777" w:rsidR="00A77B3E" w:rsidRPr="004E727A" w:rsidRDefault="00A77B3E">
      <w:pPr>
        <w:spacing w:line="360" w:lineRule="auto"/>
        <w:jc w:val="both"/>
        <w:rPr>
          <w:rFonts w:ascii="Book Antiqua" w:hAnsi="Book Antiqua"/>
        </w:rPr>
      </w:pPr>
    </w:p>
    <w:p w14:paraId="32DFC08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Corresponding author: Magdy El-Salhy, BSc, MD, PhD, Chief Doctor, Professor, </w:t>
      </w:r>
      <w:r w:rsidR="0058541E" w:rsidRPr="004E727A">
        <w:rPr>
          <w:rFonts w:ascii="Book Antiqua" w:eastAsia="Book Antiqua" w:hAnsi="Book Antiqua" w:cs="Book Antiqua"/>
          <w:color w:val="000000"/>
        </w:rPr>
        <w:t xml:space="preserve">Department of </w:t>
      </w:r>
      <w:r w:rsidRPr="004E727A">
        <w:rPr>
          <w:rFonts w:ascii="Book Antiqua" w:eastAsia="Book Antiqua" w:hAnsi="Book Antiqua" w:cs="Book Antiqua"/>
          <w:color w:val="000000"/>
        </w:rPr>
        <w:t xml:space="preserve">Medicine, </w:t>
      </w:r>
      <w:r w:rsidR="0058541E" w:rsidRPr="004E727A">
        <w:rPr>
          <w:rFonts w:ascii="Book Antiqua" w:eastAsia="Book Antiqua" w:hAnsi="Book Antiqua" w:cs="Book Antiqua"/>
          <w:color w:val="000000"/>
        </w:rPr>
        <w:t xml:space="preserve">Stord Helse Fonna Hospital and </w:t>
      </w:r>
      <w:r w:rsidR="0058541E" w:rsidRPr="004E727A">
        <w:rPr>
          <w:rFonts w:ascii="Book Antiqua" w:hAnsi="Book Antiqua" w:cs="Book Antiqua"/>
          <w:color w:val="000000"/>
          <w:lang w:eastAsia="zh-CN"/>
        </w:rPr>
        <w:t>U</w:t>
      </w:r>
      <w:r w:rsidRPr="004E727A">
        <w:rPr>
          <w:rFonts w:ascii="Book Antiqua" w:eastAsia="Book Antiqua" w:hAnsi="Book Antiqua" w:cs="Book Antiqua"/>
          <w:color w:val="000000"/>
        </w:rPr>
        <w:t>niversity of Bergen, Tysevegen 64, Stord 5416, Norway. magdy.elsalhy@sklbb.no</w:t>
      </w:r>
    </w:p>
    <w:p w14:paraId="4CE96264" w14:textId="77777777" w:rsidR="00A77B3E" w:rsidRPr="004E727A" w:rsidRDefault="00A77B3E">
      <w:pPr>
        <w:spacing w:line="360" w:lineRule="auto"/>
        <w:jc w:val="both"/>
        <w:rPr>
          <w:rFonts w:ascii="Book Antiqua" w:hAnsi="Book Antiqua"/>
        </w:rPr>
      </w:pPr>
    </w:p>
    <w:p w14:paraId="3070796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lastRenderedPageBreak/>
        <w:t xml:space="preserve">Received: </w:t>
      </w:r>
      <w:r w:rsidRPr="004E727A">
        <w:rPr>
          <w:rFonts w:ascii="Book Antiqua" w:eastAsia="Book Antiqua" w:hAnsi="Book Antiqua" w:cs="Book Antiqua"/>
          <w:color w:val="000000"/>
        </w:rPr>
        <w:t>February 5, 2021</w:t>
      </w:r>
    </w:p>
    <w:p w14:paraId="65ED8362" w14:textId="77777777"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b/>
          <w:bCs/>
          <w:color w:val="000000"/>
        </w:rPr>
        <w:t xml:space="preserve">Revised: </w:t>
      </w:r>
      <w:r w:rsidR="0058541E" w:rsidRPr="004E727A">
        <w:rPr>
          <w:rFonts w:ascii="Book Antiqua" w:hAnsi="Book Antiqua" w:cs="Book Antiqua"/>
          <w:bCs/>
          <w:color w:val="000000"/>
          <w:lang w:eastAsia="zh-CN"/>
        </w:rPr>
        <w:t>April 3, 2021</w:t>
      </w:r>
    </w:p>
    <w:p w14:paraId="63D63E2F" w14:textId="3869DFE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Accepted: </w:t>
      </w:r>
      <w:r w:rsidR="00CA72F2">
        <w:rPr>
          <w:rFonts w:ascii="Book Antiqua" w:eastAsiaTheme="minorEastAsia" w:hAnsi="Book Antiqua" w:cs="Book Antiqua" w:hint="eastAsia"/>
          <w:bCs/>
          <w:color w:val="000000"/>
          <w:lang w:eastAsia="zh-CN"/>
        </w:rPr>
        <w:t>May</w:t>
      </w:r>
      <w:r w:rsidR="00CA72F2" w:rsidRPr="004E727A">
        <w:rPr>
          <w:rFonts w:ascii="Book Antiqua" w:hAnsi="Book Antiqua" w:cs="Book Antiqua"/>
          <w:bCs/>
          <w:color w:val="000000"/>
          <w:lang w:eastAsia="zh-CN"/>
        </w:rPr>
        <w:t xml:space="preserve"> </w:t>
      </w:r>
      <w:r w:rsidR="00CA72F2">
        <w:rPr>
          <w:rFonts w:ascii="Book Antiqua" w:eastAsiaTheme="minorEastAsia" w:hAnsi="Book Antiqua" w:cs="Book Antiqua" w:hint="eastAsia"/>
          <w:bCs/>
          <w:color w:val="000000"/>
          <w:lang w:eastAsia="zh-CN"/>
        </w:rPr>
        <w:t>22</w:t>
      </w:r>
      <w:r w:rsidR="00CA72F2" w:rsidRPr="004E727A">
        <w:rPr>
          <w:rFonts w:ascii="Book Antiqua" w:hAnsi="Book Antiqua" w:cs="Book Antiqua"/>
          <w:bCs/>
          <w:color w:val="000000"/>
          <w:lang w:eastAsia="zh-CN"/>
        </w:rPr>
        <w:t>, 2021</w:t>
      </w:r>
    </w:p>
    <w:p w14:paraId="2D1C8D62" w14:textId="20D956D4"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Published online: </w:t>
      </w:r>
      <w:r w:rsidR="00922018" w:rsidRPr="002F4ED8">
        <w:rPr>
          <w:rFonts w:ascii="Book Antiqua" w:eastAsia="Book Antiqua" w:hAnsi="Book Antiqua" w:cs="Book Antiqua"/>
          <w:bCs/>
        </w:rPr>
        <w:t>June</w:t>
      </w:r>
      <w:r w:rsidR="00922018">
        <w:rPr>
          <w:rFonts w:ascii="Book Antiqua" w:hAnsi="Book Antiqua" w:cs="Book Antiqua" w:hint="eastAsia"/>
          <w:bCs/>
        </w:rPr>
        <w:t xml:space="preserve"> 14</w:t>
      </w:r>
      <w:r w:rsidR="00922018" w:rsidRPr="00435A42">
        <w:rPr>
          <w:rFonts w:ascii="Book Antiqua" w:eastAsia="Book Antiqua" w:hAnsi="Book Antiqua" w:cs="Book Antiqua"/>
        </w:rPr>
        <w:t>, 2021</w:t>
      </w:r>
    </w:p>
    <w:p w14:paraId="3B68A931" w14:textId="77777777" w:rsidR="00A77B3E" w:rsidRPr="004E727A" w:rsidRDefault="00A77B3E">
      <w:pPr>
        <w:spacing w:line="360" w:lineRule="auto"/>
        <w:jc w:val="both"/>
        <w:rPr>
          <w:rFonts w:ascii="Book Antiqua" w:hAnsi="Book Antiqua"/>
        </w:rPr>
        <w:sectPr w:rsidR="00A77B3E" w:rsidRPr="004E727A" w:rsidSect="00072648">
          <w:footerReference w:type="default" r:id="rId7"/>
          <w:pgSz w:w="12240" w:h="15840"/>
          <w:pgMar w:top="1440" w:right="1440" w:bottom="1440" w:left="1440" w:header="720" w:footer="720" w:gutter="0"/>
          <w:cols w:space="720"/>
          <w:docGrid w:linePitch="360"/>
        </w:sectPr>
      </w:pPr>
    </w:p>
    <w:p w14:paraId="392F864E"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Abstract</w:t>
      </w:r>
    </w:p>
    <w:p w14:paraId="6F403F71" w14:textId="77777777" w:rsidR="00A77B3E" w:rsidRPr="004E727A" w:rsidRDefault="00737FE9">
      <w:pPr>
        <w:spacing w:line="360" w:lineRule="auto"/>
        <w:jc w:val="both"/>
        <w:rPr>
          <w:rFonts w:ascii="Book Antiqua" w:hAnsi="Book Antiqua"/>
        </w:rPr>
      </w:pPr>
      <w:bookmarkStart w:id="5" w:name="OLE_LINK34"/>
      <w:bookmarkStart w:id="6" w:name="OLE_LINK35"/>
      <w:bookmarkStart w:id="7" w:name="OLE_LINK73"/>
      <w:bookmarkStart w:id="8" w:name="OLE_LINK74"/>
      <w:bookmarkStart w:id="9" w:name="OLE_LINK77"/>
      <w:r w:rsidRPr="004E727A">
        <w:rPr>
          <w:rFonts w:ascii="Book Antiqua" w:eastAsia="Book Antiqua" w:hAnsi="Book Antiqua" w:cs="Book Antiqua"/>
          <w:color w:val="000000"/>
        </w:rPr>
        <w:t>Irritable bowel syndrome</w:t>
      </w:r>
      <w:bookmarkEnd w:id="5"/>
      <w:bookmarkEnd w:id="6"/>
      <w:bookmarkEnd w:id="7"/>
      <w:bookmarkEnd w:id="8"/>
      <w:bookmarkEnd w:id="9"/>
      <w:r w:rsidRPr="004E727A">
        <w:rPr>
          <w:rFonts w:ascii="Book Antiqua" w:eastAsia="Book Antiqua" w:hAnsi="Book Antiqua" w:cs="Book Antiqua"/>
          <w:color w:val="000000"/>
        </w:rPr>
        <w:t xml:space="preserve"> (IBS) affects about 12% of the global population. Although IBS does not develop into a serious disease or increase mortality, it results in a considerable reduction in the quality of life. The etiology of IBS is not known, but the intestinal microbiota appears to play a pivotal role in its pathophysiology. There is no effective treatment for IBS, and so the applied treatments clinically focus on symptom relief. </w:t>
      </w:r>
      <w:bookmarkStart w:id="10" w:name="OLE_LINK36"/>
      <w:bookmarkStart w:id="11" w:name="OLE_LINK37"/>
      <w:bookmarkStart w:id="12" w:name="OLE_LINK79"/>
      <w:r w:rsidRPr="004E727A">
        <w:rPr>
          <w:rFonts w:ascii="Book Antiqua" w:eastAsia="Book Antiqua" w:hAnsi="Book Antiqua" w:cs="Book Antiqua"/>
          <w:color w:val="000000"/>
        </w:rPr>
        <w:t>Fecal microbiota transplantation</w:t>
      </w:r>
      <w:bookmarkEnd w:id="10"/>
      <w:bookmarkEnd w:id="11"/>
      <w:bookmarkEnd w:id="12"/>
      <w:r w:rsidRPr="004E727A">
        <w:rPr>
          <w:rFonts w:ascii="Book Antiqua" w:eastAsia="Book Antiqua" w:hAnsi="Book Antiqua" w:cs="Book Antiqua"/>
          <w:color w:val="000000"/>
        </w:rPr>
        <w:t xml:space="preserve"> (FMT), an old Chinese treatment, has been applied to IBS patients in seven randomized controlled trials (RCTs). Positive effects on IBS symptoms in various degrees were obtained in four of these RCTs, while there was no effect in the remaining three. Across the seven RCTs there were marked differences in the selection processes for the donor and treated patients, the transplant dose, the route of administration, and the methods used to measure how the patients responded to FMT. The present frontier discusses these differences and proposes (1) criteria for selecting </w:t>
      </w:r>
      <w:r w:rsidR="00437CE3" w:rsidRPr="004E727A">
        <w:rPr>
          <w:rFonts w:ascii="Book Antiqua" w:eastAsia="Book Antiqua" w:hAnsi="Book Antiqua" w:cs="Book Antiqua"/>
          <w:color w:val="000000"/>
        </w:rPr>
        <w:t>an effective donor (superdonor)</w:t>
      </w:r>
      <w:r w:rsidR="00437CE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(2) selection criteria for pat</w:t>
      </w:r>
      <w:r w:rsidR="00437CE3" w:rsidRPr="004E727A">
        <w:rPr>
          <w:rFonts w:ascii="Book Antiqua" w:eastAsia="Book Antiqua" w:hAnsi="Book Antiqua" w:cs="Book Antiqua"/>
          <w:color w:val="000000"/>
        </w:rPr>
        <w:t>ients that are suitable for FMT</w:t>
      </w:r>
      <w:r w:rsidR="00437CE3" w:rsidRPr="004E727A">
        <w:rPr>
          <w:rFonts w:ascii="Book Antiqua" w:hAnsi="Book Antiqua" w:cs="Book Antiqua"/>
          <w:color w:val="000000"/>
          <w:lang w:eastAsia="zh-CN"/>
        </w:rPr>
        <w:t>;</w:t>
      </w:r>
      <w:r w:rsidR="00437CE3" w:rsidRPr="004E727A">
        <w:rPr>
          <w:rFonts w:ascii="Book Antiqua" w:eastAsia="Book Antiqua" w:hAnsi="Book Antiqua" w:cs="Book Antiqua"/>
          <w:color w:val="000000"/>
        </w:rPr>
        <w:t xml:space="preserve"> (3) the optimal FMT dose</w:t>
      </w:r>
      <w:r w:rsidR="00437CE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and (4) the route of transplant administration. FMT appears to be safe, with only mild, self-limiting side effects</w:t>
      </w:r>
      <w:r w:rsidRPr="004E727A">
        <w:rPr>
          <w:rFonts w:ascii="Book Antiqua" w:eastAsia="Book Antiqua" w:hAnsi="Book Antiqua" w:cs="Book Antiqua"/>
          <w:color w:val="000000"/>
          <w:shd w:val="clear" w:color="auto" w:fill="FFFFFF"/>
        </w:rPr>
        <w:t> of abdominal pain, cramping, tenderness, diarrhea, and constipation. Although it is early to speculate about the mechanisms underlying the effects of FMT, the available data suggest that changes in the intestinal bacteria accompanied by changes in fermentation patterns and fermentation products (specifically short-chain fatty acids) play an important role in improving the IBS symptoms seen after FMT. FMT appears to be a promising treatment for IBS, but further studies are needed before it can be applied in everyday clinical practice.</w:t>
      </w:r>
    </w:p>
    <w:p w14:paraId="0ECEBB7A" w14:textId="77777777" w:rsidR="00A77B3E" w:rsidRPr="004E727A" w:rsidRDefault="00A77B3E">
      <w:pPr>
        <w:spacing w:line="360" w:lineRule="auto"/>
        <w:jc w:val="both"/>
        <w:rPr>
          <w:rFonts w:ascii="Book Antiqua" w:hAnsi="Book Antiqua"/>
        </w:rPr>
      </w:pPr>
    </w:p>
    <w:p w14:paraId="2BFB00A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Key Words: </w:t>
      </w:r>
      <w:r w:rsidRPr="004E727A">
        <w:rPr>
          <w:rFonts w:ascii="Book Antiqua" w:eastAsia="Book Antiqua" w:hAnsi="Book Antiqua" w:cs="Book Antiqua"/>
          <w:color w:val="000000"/>
        </w:rPr>
        <w:t>Butyric acid; Enteroendocrine cells; Etiology; Microbiota; Short-chain fatty acids; Superdonor; Therapy</w:t>
      </w:r>
    </w:p>
    <w:p w14:paraId="3167E325" w14:textId="77777777" w:rsidR="00955DDB" w:rsidRDefault="00955DDB" w:rsidP="00955DDB">
      <w:pPr>
        <w:spacing w:line="360" w:lineRule="auto"/>
        <w:jc w:val="both"/>
        <w:rPr>
          <w:lang w:eastAsia="zh-CN"/>
        </w:rPr>
      </w:pPr>
    </w:p>
    <w:p w14:paraId="7981D0F7" w14:textId="77777777" w:rsidR="00955DDB" w:rsidRPr="00026CB8" w:rsidRDefault="00955DDB" w:rsidP="00955DDB">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5755C004" w14:textId="77777777" w:rsidR="00A77B3E" w:rsidRPr="004E727A" w:rsidRDefault="00A77B3E">
      <w:pPr>
        <w:spacing w:line="360" w:lineRule="auto"/>
        <w:jc w:val="both"/>
        <w:rPr>
          <w:rFonts w:ascii="Book Antiqua" w:hAnsi="Book Antiqua"/>
        </w:rPr>
      </w:pPr>
    </w:p>
    <w:p w14:paraId="374FC69F" w14:textId="59A90048" w:rsidR="00860B59" w:rsidRDefault="00860B59">
      <w:pPr>
        <w:spacing w:line="360" w:lineRule="auto"/>
        <w:jc w:val="both"/>
        <w:rPr>
          <w:rFonts w:ascii="Book Antiqua" w:eastAsiaTheme="minorEastAsia" w:hAnsi="Book Antiqua" w:cs="Book Antiqua" w:hint="eastAsia"/>
          <w:lang w:eastAsia="zh-CN"/>
        </w:rPr>
      </w:pPr>
      <w:r w:rsidRPr="00860B59">
        <w:rPr>
          <w:rFonts w:ascii="Book Antiqua" w:eastAsiaTheme="minorEastAsia" w:hAnsi="Book Antiqua" w:cs="Book Antiqua" w:hint="eastAsia"/>
          <w:b/>
          <w:color w:val="000000"/>
          <w:lang w:eastAsia="zh-CN"/>
        </w:rPr>
        <w:t xml:space="preserve">Citation: </w:t>
      </w:r>
      <w:r w:rsidR="00737FE9" w:rsidRPr="004E727A">
        <w:rPr>
          <w:rFonts w:ascii="Book Antiqua" w:eastAsia="Book Antiqua" w:hAnsi="Book Antiqua" w:cs="Book Antiqua"/>
          <w:color w:val="000000"/>
        </w:rPr>
        <w:t>El-Salhy M, Patcharatrakul T, Gonlachanvit S. Fecal microbiota transplantation for irritable bowel syndrome</w:t>
      </w:r>
      <w:r w:rsidR="00437CE3" w:rsidRPr="004E727A">
        <w:rPr>
          <w:rFonts w:ascii="Book Antiqua" w:eastAsia="Book Antiqua" w:hAnsi="Book Antiqua" w:cs="Book Antiqua"/>
          <w:color w:val="000000"/>
        </w:rPr>
        <w:t xml:space="preserve">: </w:t>
      </w:r>
      <w:r w:rsidR="00437CE3" w:rsidRPr="004E727A">
        <w:rPr>
          <w:rFonts w:ascii="Book Antiqua" w:hAnsi="Book Antiqua" w:cs="Book Antiqua"/>
          <w:color w:val="000000"/>
          <w:lang w:eastAsia="zh-CN"/>
        </w:rPr>
        <w:t>A</w:t>
      </w:r>
      <w:r w:rsidR="00737FE9" w:rsidRPr="004E727A">
        <w:rPr>
          <w:rFonts w:ascii="Book Antiqua" w:eastAsia="Book Antiqua" w:hAnsi="Book Antiqua" w:cs="Book Antiqua"/>
          <w:color w:val="000000"/>
        </w:rPr>
        <w:t>n intervention for the 21</w:t>
      </w:r>
      <w:r w:rsidR="00737FE9" w:rsidRPr="004E727A">
        <w:rPr>
          <w:rFonts w:ascii="Book Antiqua" w:eastAsia="Book Antiqua" w:hAnsi="Book Antiqua" w:cs="Book Antiqua"/>
          <w:color w:val="000000"/>
          <w:vertAlign w:val="superscript"/>
        </w:rPr>
        <w:t>st</w:t>
      </w:r>
      <w:r w:rsidR="00737FE9" w:rsidRPr="004E727A">
        <w:rPr>
          <w:rFonts w:ascii="Book Antiqua" w:eastAsia="Book Antiqua" w:hAnsi="Book Antiqua" w:cs="Book Antiqua"/>
          <w:color w:val="000000"/>
        </w:rPr>
        <w:t xml:space="preserve"> century. </w:t>
      </w:r>
      <w:r w:rsidR="00737FE9" w:rsidRPr="004E727A">
        <w:rPr>
          <w:rFonts w:ascii="Book Antiqua" w:eastAsia="Book Antiqua" w:hAnsi="Book Antiqua" w:cs="Book Antiqua"/>
          <w:i/>
          <w:iCs/>
          <w:color w:val="000000"/>
        </w:rPr>
        <w:t>World J Gastroenterol</w:t>
      </w:r>
      <w:r w:rsidR="00737FE9" w:rsidRPr="004E727A">
        <w:rPr>
          <w:rFonts w:ascii="Book Antiqua" w:eastAsia="Book Antiqua" w:hAnsi="Book Antiqua" w:cs="Book Antiqua"/>
          <w:color w:val="000000"/>
        </w:rPr>
        <w:t xml:space="preserve"> </w:t>
      </w:r>
      <w:r w:rsidR="00242D1F" w:rsidRPr="0032360E">
        <w:rPr>
          <w:rFonts w:ascii="Book Antiqua" w:eastAsia="Book Antiqua" w:hAnsi="Book Antiqua" w:cs="Book Antiqua"/>
        </w:rPr>
        <w:t>202</w:t>
      </w:r>
      <w:r w:rsidR="00242D1F">
        <w:rPr>
          <w:rFonts w:ascii="Book Antiqua" w:hAnsi="Book Antiqua" w:cs="Book Antiqua" w:hint="eastAsia"/>
        </w:rPr>
        <w:t>1</w:t>
      </w:r>
      <w:r w:rsidR="00242D1F" w:rsidRPr="0032360E">
        <w:rPr>
          <w:rFonts w:ascii="Book Antiqua" w:eastAsia="Book Antiqua" w:hAnsi="Book Antiqua" w:cs="Book Antiqua"/>
        </w:rPr>
        <w:t>; 2</w:t>
      </w:r>
      <w:r w:rsidR="00242D1F">
        <w:rPr>
          <w:rFonts w:ascii="Book Antiqua" w:hAnsi="Book Antiqua" w:cs="Book Antiqua" w:hint="eastAsia"/>
        </w:rPr>
        <w:t>7</w:t>
      </w:r>
      <w:r w:rsidR="00242D1F" w:rsidRPr="0032360E">
        <w:rPr>
          <w:rFonts w:ascii="Book Antiqua" w:eastAsia="Book Antiqua" w:hAnsi="Book Antiqua" w:cs="Book Antiqua"/>
        </w:rPr>
        <w:t>(</w:t>
      </w:r>
      <w:r w:rsidR="00242D1F">
        <w:rPr>
          <w:rFonts w:ascii="Book Antiqua" w:hAnsi="Book Antiqua" w:cs="Book Antiqua" w:hint="eastAsia"/>
        </w:rPr>
        <w:t>22</w:t>
      </w:r>
      <w:r w:rsidR="00242D1F" w:rsidRPr="0032360E">
        <w:rPr>
          <w:rFonts w:ascii="Book Antiqua" w:eastAsia="Book Antiqua" w:hAnsi="Book Antiqua" w:cs="Book Antiqua"/>
        </w:rPr>
        <w:t xml:space="preserve">): </w:t>
      </w:r>
      <w:r w:rsidRPr="00860B59">
        <w:rPr>
          <w:rFonts w:ascii="Book Antiqua" w:hAnsi="Book Antiqua" w:cs="Book Antiqua"/>
        </w:rPr>
        <w:t>2921-2943</w:t>
      </w:r>
      <w:r w:rsidR="00242D1F" w:rsidRPr="0032360E">
        <w:rPr>
          <w:rFonts w:ascii="Book Antiqua" w:eastAsia="Book Antiqua" w:hAnsi="Book Antiqua" w:cs="Book Antiqua"/>
        </w:rPr>
        <w:t xml:space="preserve">  </w:t>
      </w:r>
    </w:p>
    <w:p w14:paraId="388B7C00" w14:textId="0A8384C0" w:rsidR="00860B59" w:rsidRDefault="00242D1F">
      <w:pPr>
        <w:spacing w:line="360" w:lineRule="auto"/>
        <w:jc w:val="both"/>
        <w:rPr>
          <w:rFonts w:ascii="Book Antiqua" w:eastAsiaTheme="minorEastAsia" w:hAnsi="Book Antiqua" w:cs="Book Antiqua" w:hint="eastAsia"/>
          <w:lang w:eastAsia="zh-CN"/>
        </w:rPr>
      </w:pPr>
      <w:r w:rsidRPr="00860B59">
        <w:rPr>
          <w:rFonts w:ascii="Book Antiqua" w:eastAsia="Book Antiqua" w:hAnsi="Book Antiqua" w:cs="Book Antiqua"/>
          <w:b/>
        </w:rPr>
        <w:t xml:space="preserve">URL: </w:t>
      </w:r>
      <w:r w:rsidRPr="0032360E">
        <w:rPr>
          <w:rFonts w:ascii="Book Antiqua" w:eastAsia="Book Antiqua" w:hAnsi="Book Antiqua" w:cs="Book Antiqua"/>
        </w:rPr>
        <w:t>https://www.wjgnet.com/1007-9327/full/v2</w:t>
      </w:r>
      <w:r>
        <w:rPr>
          <w:rFonts w:ascii="Book Antiqua" w:hAnsi="Book Antiqua" w:cs="Book Antiqua" w:hint="eastAsia"/>
        </w:rPr>
        <w:t>7</w:t>
      </w:r>
      <w:r w:rsidRPr="0032360E">
        <w:rPr>
          <w:rFonts w:ascii="Book Antiqua" w:eastAsia="Book Antiqua" w:hAnsi="Book Antiqua" w:cs="Book Antiqua"/>
        </w:rPr>
        <w:t>/i</w:t>
      </w:r>
      <w:r>
        <w:rPr>
          <w:rFonts w:ascii="Book Antiqua" w:hAnsi="Book Antiqua" w:cs="Book Antiqua" w:hint="eastAsia"/>
        </w:rPr>
        <w:t>22</w:t>
      </w:r>
      <w:r w:rsidRPr="0032360E">
        <w:rPr>
          <w:rFonts w:ascii="Book Antiqua" w:eastAsia="Book Antiqua" w:hAnsi="Book Antiqua" w:cs="Book Antiqua"/>
        </w:rPr>
        <w:t>/</w:t>
      </w:r>
      <w:r w:rsidR="00860B59" w:rsidRPr="00860B59">
        <w:rPr>
          <w:rFonts w:ascii="Book Antiqua" w:hAnsi="Book Antiqua" w:cs="Book Antiqua"/>
        </w:rPr>
        <w:t>2921</w:t>
      </w:r>
      <w:r w:rsidRPr="0032360E">
        <w:rPr>
          <w:rFonts w:ascii="Book Antiqua" w:eastAsia="Book Antiqua" w:hAnsi="Book Antiqua" w:cs="Book Antiqua"/>
        </w:rPr>
        <w:t xml:space="preserve">.htm  </w:t>
      </w:r>
    </w:p>
    <w:p w14:paraId="0FB44B1F" w14:textId="5A20CC70" w:rsidR="00A77B3E" w:rsidRPr="004E727A" w:rsidRDefault="00242D1F">
      <w:pPr>
        <w:spacing w:line="360" w:lineRule="auto"/>
        <w:jc w:val="both"/>
        <w:rPr>
          <w:rFonts w:ascii="Book Antiqua" w:hAnsi="Book Antiqua"/>
        </w:rPr>
      </w:pPr>
      <w:r w:rsidRPr="00860B59">
        <w:rPr>
          <w:rFonts w:ascii="Book Antiqua" w:eastAsia="Book Antiqua" w:hAnsi="Book Antiqua" w:cs="Book Antiqua"/>
          <w:b/>
        </w:rPr>
        <w:t xml:space="preserve">DOI: </w:t>
      </w:r>
      <w:r w:rsidRPr="0032360E">
        <w:rPr>
          <w:rFonts w:ascii="Book Antiqua" w:eastAsia="Book Antiqua" w:hAnsi="Book Antiqua" w:cs="Book Antiqua"/>
        </w:rPr>
        <w:t>https://dx.doi.org/10.3748/wjg.v2</w:t>
      </w:r>
      <w:r>
        <w:rPr>
          <w:rFonts w:ascii="Book Antiqua" w:hAnsi="Book Antiqua" w:cs="Book Antiqua" w:hint="eastAsia"/>
        </w:rPr>
        <w:t>7</w:t>
      </w:r>
      <w:r w:rsidRPr="0032360E">
        <w:rPr>
          <w:rFonts w:ascii="Book Antiqua" w:eastAsia="Book Antiqua" w:hAnsi="Book Antiqua" w:cs="Book Antiqua"/>
        </w:rPr>
        <w:t>.i</w:t>
      </w:r>
      <w:r>
        <w:rPr>
          <w:rFonts w:ascii="Book Antiqua" w:hAnsi="Book Antiqua" w:cs="Book Antiqua" w:hint="eastAsia"/>
        </w:rPr>
        <w:t>22</w:t>
      </w:r>
      <w:r w:rsidRPr="0032360E">
        <w:rPr>
          <w:rFonts w:ascii="Book Antiqua" w:eastAsia="Book Antiqua" w:hAnsi="Book Antiqua" w:cs="Book Antiqua"/>
        </w:rPr>
        <w:t>.</w:t>
      </w:r>
      <w:r w:rsidR="00860B59" w:rsidRPr="00860B59">
        <w:rPr>
          <w:rFonts w:ascii="Book Antiqua" w:hAnsi="Book Antiqua" w:cs="Book Antiqua"/>
        </w:rPr>
        <w:t>2921</w:t>
      </w:r>
    </w:p>
    <w:p w14:paraId="12B2ACCC" w14:textId="77777777" w:rsidR="00A77B3E" w:rsidRPr="004E727A" w:rsidRDefault="00A77B3E">
      <w:pPr>
        <w:spacing w:line="360" w:lineRule="auto"/>
        <w:jc w:val="both"/>
        <w:rPr>
          <w:rFonts w:ascii="Book Antiqua" w:hAnsi="Book Antiqua"/>
        </w:rPr>
      </w:pPr>
    </w:p>
    <w:p w14:paraId="6B9BBAF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Core Tip: </w:t>
      </w:r>
      <w:r w:rsidRPr="004E727A">
        <w:rPr>
          <w:rFonts w:ascii="Book Antiqua" w:eastAsia="Book Antiqua" w:hAnsi="Book Antiqua" w:cs="Book Antiqua"/>
          <w:color w:val="000000"/>
        </w:rPr>
        <w:t>Irritable bowel syndrome (IBS) is a common gastrointestinal disorder. There is no effective treatment for IBS, but fecal microbiota transplantation (FMT) seems promising. Some randomized controlled trials (RCTs) have shown that FMT improved the symptoms and quality of life of IBS patients, but others have found no such effects. The discrepancies between the outcomes of these RCTs are due to the selection processes for the donor and treated patients, the dose of transplant used, and the route of administration. Further studies are needed to optimize the FMT conditions in IBS patients.</w:t>
      </w:r>
    </w:p>
    <w:p w14:paraId="5061748B" w14:textId="77777777" w:rsidR="00A77B3E" w:rsidRPr="004E727A" w:rsidRDefault="00437CE3">
      <w:pPr>
        <w:spacing w:line="360" w:lineRule="auto"/>
        <w:jc w:val="both"/>
        <w:rPr>
          <w:rFonts w:ascii="Book Antiqua" w:hAnsi="Book Antiqua"/>
        </w:rPr>
      </w:pPr>
      <w:r w:rsidRPr="004E727A">
        <w:rPr>
          <w:rFonts w:ascii="Book Antiqua" w:eastAsia="Book Antiqua" w:hAnsi="Book Antiqua" w:cs="Book Antiqua"/>
          <w:b/>
          <w:caps/>
          <w:color w:val="000000"/>
          <w:u w:val="single"/>
        </w:rPr>
        <w:br w:type="page"/>
      </w:r>
      <w:r w:rsidR="00737FE9" w:rsidRPr="004E727A">
        <w:rPr>
          <w:rFonts w:ascii="Book Antiqua" w:eastAsia="Book Antiqua" w:hAnsi="Book Antiqua" w:cs="Book Antiqua"/>
          <w:b/>
          <w:caps/>
          <w:color w:val="000000"/>
          <w:u w:val="single"/>
        </w:rPr>
        <w:t>INTRODUCTION</w:t>
      </w:r>
    </w:p>
    <w:p w14:paraId="45C0E36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Irritable bowel syndrome (IBS) is a common gastrointestinal disorder with a prevalence of 12.1% worldwide</w:t>
      </w:r>
      <w:r w:rsidR="005970C0" w:rsidRPr="004E727A">
        <w:rPr>
          <w:rFonts w:ascii="Book Antiqua" w:eastAsia="Book Antiqua" w:hAnsi="Book Antiqua" w:cs="Book Antiqua"/>
          <w:color w:val="000000"/>
          <w:szCs w:val="30"/>
          <w:vertAlign w:val="superscript"/>
        </w:rPr>
        <w:t>[1,</w:t>
      </w:r>
      <w:r w:rsidRPr="004E727A">
        <w:rPr>
          <w:rFonts w:ascii="Book Antiqua" w:eastAsia="Book Antiqua" w:hAnsi="Book Antiqua" w:cs="Book Antiqua"/>
          <w:color w:val="000000"/>
          <w:szCs w:val="30"/>
          <w:vertAlign w:val="superscript"/>
        </w:rPr>
        <w:t>2]</w:t>
      </w:r>
      <w:r w:rsidRPr="004E727A">
        <w:rPr>
          <w:rFonts w:ascii="Book Antiqua" w:eastAsia="Book Antiqua" w:hAnsi="Book Antiqua" w:cs="Book Antiqua"/>
          <w:color w:val="000000"/>
        </w:rPr>
        <w:t>. Although IBS does not increase mortality, it considerably reduces the quality of life</w:t>
      </w:r>
      <w:r w:rsidRPr="004E727A">
        <w:rPr>
          <w:rFonts w:ascii="Book Antiqua" w:eastAsia="Book Antiqua" w:hAnsi="Book Antiqua" w:cs="Book Antiqua"/>
          <w:color w:val="000000"/>
          <w:szCs w:val="30"/>
          <w:vertAlign w:val="superscript"/>
        </w:rPr>
        <w:t>[3]</w:t>
      </w:r>
      <w:r w:rsidRPr="004E727A">
        <w:rPr>
          <w:rFonts w:ascii="Book Antiqua" w:eastAsia="Book Antiqua" w:hAnsi="Book Antiqua" w:cs="Book Antiqua"/>
          <w:color w:val="000000"/>
        </w:rPr>
        <w:t>. The etiology of IBS is not known, but several factors appear to be involved in its pathophysiology, including genetics, diet, the intestinal microbiota, enteroendocrine cells, low-grade inflammation, and stress</w:t>
      </w:r>
      <w:r w:rsidR="005970C0" w:rsidRPr="004E727A">
        <w:rPr>
          <w:rFonts w:ascii="Book Antiqua" w:eastAsia="Book Antiqua" w:hAnsi="Book Antiqua" w:cs="Book Antiqua"/>
          <w:color w:val="000000"/>
          <w:szCs w:val="30"/>
          <w:vertAlign w:val="superscript"/>
        </w:rPr>
        <w:t>[2,</w:t>
      </w:r>
      <w:r w:rsidRPr="004E727A">
        <w:rPr>
          <w:rFonts w:ascii="Book Antiqua" w:eastAsia="Book Antiqua" w:hAnsi="Book Antiqua" w:cs="Book Antiqua"/>
          <w:color w:val="000000"/>
          <w:szCs w:val="30"/>
          <w:vertAlign w:val="superscript"/>
        </w:rPr>
        <w:t>4]</w:t>
      </w:r>
      <w:r w:rsidRPr="004E727A">
        <w:rPr>
          <w:rFonts w:ascii="Book Antiqua" w:eastAsia="Book Antiqua" w:hAnsi="Book Antiqua" w:cs="Book Antiqua"/>
          <w:color w:val="000000"/>
        </w:rPr>
        <w:t>. An effective treatment for IBS is lacking, and so the interventions applied to IBS patients clinically are aimed at symptom relief</w:t>
      </w:r>
      <w:r w:rsidRPr="004E727A">
        <w:rPr>
          <w:rFonts w:ascii="Book Antiqua" w:eastAsia="Book Antiqua" w:hAnsi="Book Antiqua" w:cs="Book Antiqua"/>
          <w:color w:val="000000"/>
          <w:szCs w:val="30"/>
          <w:vertAlign w:val="superscript"/>
        </w:rPr>
        <w:t>[5]</w:t>
      </w:r>
      <w:r w:rsidRPr="004E727A">
        <w:rPr>
          <w:rFonts w:ascii="Book Antiqua" w:eastAsia="Book Antiqua" w:hAnsi="Book Antiqua" w:cs="Book Antiqua"/>
          <w:color w:val="000000"/>
        </w:rPr>
        <w:t>.</w:t>
      </w:r>
    </w:p>
    <w:p w14:paraId="13E1616E" w14:textId="1D815D43" w:rsidR="00A77B3E" w:rsidRPr="004E727A" w:rsidRDefault="00737FE9" w:rsidP="005970C0">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human</w:t>
      </w:r>
      <w:r w:rsidRPr="004E727A">
        <w:rPr>
          <w:rFonts w:ascii="Book Antiqua" w:eastAsia="Book Antiqua" w:hAnsi="Book Antiqua" w:cs="Book Antiqua"/>
          <w:color w:val="000000"/>
          <w:szCs w:val="30"/>
          <w:vertAlign w:val="superscript"/>
        </w:rPr>
        <w:t> </w:t>
      </w:r>
      <w:r w:rsidRPr="004E727A">
        <w:rPr>
          <w:rFonts w:ascii="Book Antiqua" w:eastAsia="Book Antiqua" w:hAnsi="Book Antiqua" w:cs="Book Antiqua"/>
          <w:color w:val="000000"/>
        </w:rPr>
        <w:t xml:space="preserve">intestine is colonized by more than </w:t>
      </w:r>
      <w:r w:rsidR="00660356" w:rsidRPr="004E727A">
        <w:rPr>
          <w:rFonts w:ascii="Book Antiqua" w:eastAsia="Book Antiqua" w:hAnsi="Book Antiqua" w:cs="Book Antiqua"/>
          <w:color w:val="000000"/>
        </w:rPr>
        <w:t>10</w:t>
      </w:r>
      <w:r w:rsidR="00660356" w:rsidRPr="004E727A">
        <w:rPr>
          <w:rFonts w:ascii="Book Antiqua" w:eastAsiaTheme="minorEastAsia" w:hAnsi="Book Antiqua" w:cs="Book Antiqua"/>
          <w:color w:val="000000"/>
          <w:vertAlign w:val="superscript"/>
          <w:lang w:eastAsia="zh-CN"/>
        </w:rPr>
        <w:t xml:space="preserve"> </w:t>
      </w:r>
      <w:r w:rsidR="00660356" w:rsidRPr="004E727A">
        <w:rPr>
          <w:rFonts w:ascii="Book Antiqua" w:hAnsi="Book Antiqua" w:cs="Book Antiqua"/>
          <w:color w:val="000000"/>
          <w:szCs w:val="30"/>
          <w:lang w:eastAsia="zh-CN"/>
        </w:rPr>
        <w:t>microorganisms</w:t>
      </w:r>
      <w:r w:rsidRPr="004E727A">
        <w:rPr>
          <w:rFonts w:ascii="Book Antiqua" w:eastAsia="Book Antiqua" w:hAnsi="Book Antiqua" w:cs="Book Antiqua"/>
          <w:color w:val="000000"/>
        </w:rPr>
        <w:t>, including archaea, fungi, viruses, and bacteria</w:t>
      </w:r>
      <w:r w:rsidR="005970C0" w:rsidRPr="004E727A">
        <w:rPr>
          <w:rFonts w:ascii="Book Antiqua" w:eastAsia="Book Antiqua" w:hAnsi="Book Antiqua" w:cs="Book Antiqua"/>
          <w:color w:val="000000"/>
          <w:szCs w:val="30"/>
          <w:vertAlign w:val="superscript"/>
        </w:rPr>
        <w:t>[6,</w:t>
      </w:r>
      <w:r w:rsidRPr="004E727A">
        <w:rPr>
          <w:rFonts w:ascii="Book Antiqua" w:eastAsia="Book Antiqua" w:hAnsi="Book Antiqua" w:cs="Book Antiqua"/>
          <w:color w:val="000000"/>
          <w:szCs w:val="30"/>
          <w:vertAlign w:val="superscript"/>
        </w:rPr>
        <w:t>7]</w:t>
      </w:r>
      <w:r w:rsidRPr="004E727A">
        <w:rPr>
          <w:rFonts w:ascii="Book Antiqua" w:eastAsia="Book Antiqua" w:hAnsi="Book Antiqua" w:cs="Book Antiqua"/>
          <w:color w:val="000000"/>
        </w:rPr>
        <w:t>, spanning 2172 bacteria species belonging to 12 different bacteria phyla</w:t>
      </w:r>
      <w:r w:rsidRPr="004E727A">
        <w:rPr>
          <w:rFonts w:ascii="Book Antiqua" w:eastAsia="Book Antiqua" w:hAnsi="Book Antiqua" w:cs="Book Antiqua"/>
          <w:color w:val="000000"/>
          <w:szCs w:val="30"/>
          <w:shd w:val="clear" w:color="auto" w:fill="FFFFFF"/>
          <w:vertAlign w:val="superscript"/>
        </w:rPr>
        <w:t>[8]</w:t>
      </w:r>
      <w:r w:rsidRPr="004E727A">
        <w:rPr>
          <w:rFonts w:ascii="Book Antiqua" w:eastAsia="Book Antiqua" w:hAnsi="Book Antiqua" w:cs="Book Antiqua"/>
          <w:color w:val="000000"/>
        </w:rPr>
        <w:t>. Bacteria belonging</w:t>
      </w:r>
      <w:r w:rsidRPr="004E727A">
        <w:rPr>
          <w:rFonts w:ascii="Book Antiqua" w:eastAsia="Book Antiqua" w:hAnsi="Book Antiqua" w:cs="Book Antiqua"/>
          <w:color w:val="000000"/>
          <w:shd w:val="clear" w:color="auto" w:fill="FFFFFF"/>
        </w:rPr>
        <w:t xml:space="preserve"> to </w:t>
      </w:r>
      <w:r w:rsidRPr="004E727A">
        <w:rPr>
          <w:rFonts w:ascii="Book Antiqua" w:eastAsia="Book Antiqua" w:hAnsi="Book Antiqua" w:cs="Book Antiqua"/>
          <w:i/>
          <w:color w:val="000000"/>
          <w:shd w:val="clear" w:color="auto" w:fill="FFFFFF"/>
        </w:rPr>
        <w:t>Firmicutes</w:t>
      </w:r>
      <w:r w:rsidRPr="004E727A">
        <w:rPr>
          <w:rFonts w:ascii="Book Antiqua" w:eastAsia="Book Antiqua" w:hAnsi="Book Antiqua" w:cs="Book Antiqua"/>
          <w:color w:val="000000"/>
          <w:shd w:val="clear" w:color="auto" w:fill="FFFFFF"/>
        </w:rPr>
        <w:t xml:space="preserve"> and </w:t>
      </w:r>
      <w:r w:rsidRPr="004E727A">
        <w:rPr>
          <w:rFonts w:ascii="Book Antiqua" w:eastAsia="Book Antiqua" w:hAnsi="Book Antiqua" w:cs="Book Antiqua"/>
          <w:i/>
          <w:color w:val="000000"/>
          <w:shd w:val="clear" w:color="auto" w:fill="FFFFFF"/>
        </w:rPr>
        <w:t>Bacteroidetes</w:t>
      </w:r>
      <w:r w:rsidRPr="004E727A">
        <w:rPr>
          <w:rFonts w:ascii="Book Antiqua" w:eastAsia="Book Antiqua" w:hAnsi="Book Antiqua" w:cs="Book Antiqua"/>
          <w:color w:val="000000"/>
          <w:shd w:val="clear" w:color="auto" w:fill="FFFFFF"/>
        </w:rPr>
        <w:t xml:space="preserve"> phyla dominate the bacterial population in the intestine of healthy subjects, and they combine with a few members from the </w:t>
      </w:r>
      <w:r w:rsidRPr="004E727A">
        <w:rPr>
          <w:rFonts w:ascii="Book Antiqua" w:eastAsia="Book Antiqua" w:hAnsi="Book Antiqua" w:cs="Book Antiqua"/>
          <w:i/>
          <w:color w:val="000000"/>
          <w:shd w:val="clear" w:color="auto" w:fill="FFFFFF"/>
        </w:rPr>
        <w:t>Proteobacteria</w:t>
      </w:r>
      <w:r w:rsidRPr="004E727A">
        <w:rPr>
          <w:rFonts w:ascii="Book Antiqua" w:eastAsia="Book Antiqua" w:hAnsi="Book Antiqua" w:cs="Book Antiqua"/>
          <w:color w:val="000000"/>
          <w:shd w:val="clear" w:color="auto" w:fill="FFFFFF"/>
        </w:rPr>
        <w:t xml:space="preserve"> and </w:t>
      </w:r>
      <w:r w:rsidRPr="004E727A">
        <w:rPr>
          <w:rFonts w:ascii="Book Antiqua" w:eastAsia="Book Antiqua" w:hAnsi="Book Antiqua" w:cs="Book Antiqua"/>
          <w:i/>
          <w:color w:val="000000"/>
          <w:shd w:val="clear" w:color="auto" w:fill="FFFFFF"/>
        </w:rPr>
        <w:t>Actinobacteria</w:t>
      </w:r>
      <w:r w:rsidRPr="004E727A">
        <w:rPr>
          <w:rFonts w:ascii="Book Antiqua" w:eastAsia="Book Antiqua" w:hAnsi="Book Antiqua" w:cs="Book Antiqua"/>
          <w:color w:val="000000"/>
          <w:shd w:val="clear" w:color="auto" w:fill="FFFFFF"/>
        </w:rPr>
        <w:t xml:space="preserve"> phyla</w:t>
      </w:r>
      <w:r w:rsidR="005970C0" w:rsidRPr="004E727A">
        <w:rPr>
          <w:rFonts w:ascii="Book Antiqua" w:eastAsia="Book Antiqua" w:hAnsi="Book Antiqua" w:cs="Book Antiqua"/>
          <w:color w:val="000000"/>
          <w:szCs w:val="30"/>
          <w:vertAlign w:val="superscript"/>
        </w:rPr>
        <w:t>[8,</w:t>
      </w:r>
      <w:r w:rsidRPr="004E727A">
        <w:rPr>
          <w:rFonts w:ascii="Book Antiqua" w:eastAsia="Book Antiqua" w:hAnsi="Book Antiqua" w:cs="Book Antiqua"/>
          <w:color w:val="000000"/>
          <w:szCs w:val="30"/>
          <w:vertAlign w:val="superscript"/>
        </w:rPr>
        <w:t>9]</w:t>
      </w:r>
      <w:r w:rsidRPr="004E727A">
        <w:rPr>
          <w:rFonts w:ascii="Book Antiqua" w:eastAsia="Book Antiqua" w:hAnsi="Book Antiqua" w:cs="Book Antiqua"/>
          <w:color w:val="000000"/>
        </w:rPr>
        <w:t>. The intestinal bacterial composition varies between individuals due to </w:t>
      </w:r>
      <w:r w:rsidRPr="004E727A">
        <w:rPr>
          <w:rFonts w:ascii="Book Antiqua" w:eastAsia="Book Antiqua" w:hAnsi="Book Antiqua" w:cs="Book Antiqua"/>
          <w:color w:val="000000"/>
          <w:shd w:val="clear" w:color="auto" w:fill="FFFFFF"/>
        </w:rPr>
        <w:t>both genetic and environmental factors</w:t>
      </w:r>
      <w:r w:rsidR="005970C0" w:rsidRPr="004E727A">
        <w:rPr>
          <w:rFonts w:ascii="Book Antiqua" w:eastAsia="Book Antiqua" w:hAnsi="Book Antiqua" w:cs="Book Antiqua"/>
          <w:color w:val="000000"/>
          <w:szCs w:val="30"/>
          <w:shd w:val="clear" w:color="auto" w:fill="FFFFFF"/>
          <w:vertAlign w:val="superscript"/>
        </w:rPr>
        <w:t>[6,</w:t>
      </w:r>
      <w:r w:rsidRPr="004E727A">
        <w:rPr>
          <w:rFonts w:ascii="Book Antiqua" w:eastAsia="Book Antiqua" w:hAnsi="Book Antiqua" w:cs="Book Antiqua"/>
          <w:color w:val="000000"/>
          <w:szCs w:val="30"/>
          <w:shd w:val="clear" w:color="auto" w:fill="FFFFFF"/>
          <w:vertAlign w:val="superscript"/>
        </w:rPr>
        <w:t>10]</w:t>
      </w:r>
      <w:r w:rsidRPr="004E727A">
        <w:rPr>
          <w:rFonts w:ascii="Book Antiqua" w:eastAsia="Book Antiqua" w:hAnsi="Book Antiqua" w:cs="Book Antiqua"/>
          <w:color w:val="000000"/>
          <w:shd w:val="clear" w:color="auto" w:fill="FFFFFF"/>
        </w:rPr>
        <w:t>. These environmental factors include diet, the frequency of antibiotic treatment, the intake of nonantibiotic drugs, geographical location, surgery, smoking, and depression</w:t>
      </w:r>
      <w:r w:rsidR="005970C0" w:rsidRPr="004E727A">
        <w:rPr>
          <w:rFonts w:ascii="Book Antiqua" w:eastAsia="Book Antiqua" w:hAnsi="Book Antiqua" w:cs="Book Antiqua"/>
          <w:color w:val="000000"/>
          <w:szCs w:val="30"/>
          <w:shd w:val="clear" w:color="auto" w:fill="FFFFFF"/>
          <w:vertAlign w:val="superscript"/>
        </w:rPr>
        <w:t>[6,10,</w:t>
      </w:r>
      <w:r w:rsidRPr="004E727A">
        <w:rPr>
          <w:rFonts w:ascii="Book Antiqua" w:eastAsia="Book Antiqua" w:hAnsi="Book Antiqua" w:cs="Book Antiqua"/>
          <w:color w:val="000000"/>
          <w:szCs w:val="30"/>
          <w:shd w:val="clear" w:color="auto" w:fill="FFFFFF"/>
          <w:vertAlign w:val="superscript"/>
        </w:rPr>
        <w:t>11]</w:t>
      </w:r>
      <w:r w:rsidRPr="004E727A">
        <w:rPr>
          <w:rFonts w:ascii="Book Antiqua" w:eastAsia="Book Antiqua" w:hAnsi="Book Antiqua" w:cs="Book Antiqua"/>
          <w:color w:val="000000"/>
          <w:shd w:val="clear" w:color="auto" w:fill="FFFFFF"/>
        </w:rPr>
        <w:t>. A l</w:t>
      </w:r>
      <w:r w:rsidRPr="004E727A">
        <w:rPr>
          <w:rFonts w:ascii="Book Antiqua" w:eastAsia="Book Antiqua" w:hAnsi="Book Antiqua" w:cs="Book Antiqua"/>
          <w:color w:val="000000"/>
        </w:rPr>
        <w:t>ow intestinal bacterial diversity </w:t>
      </w:r>
      <w:r w:rsidRPr="004E727A">
        <w:rPr>
          <w:rFonts w:ascii="Book Antiqua" w:eastAsia="Book Antiqua" w:hAnsi="Book Antiqua" w:cs="Book Antiqua"/>
          <w:color w:val="000000"/>
          <w:shd w:val="clear" w:color="auto" w:fill="FFFFFF"/>
        </w:rPr>
        <w:t>(dysbiosis) is found in several diseases</w:t>
      </w:r>
      <w:r w:rsidR="005970C0" w:rsidRPr="004E727A">
        <w:rPr>
          <w:rFonts w:ascii="Book Antiqua" w:eastAsia="Book Antiqua" w:hAnsi="Book Antiqua" w:cs="Book Antiqua"/>
          <w:color w:val="000000"/>
          <w:szCs w:val="30"/>
          <w:shd w:val="clear" w:color="auto" w:fill="FFFFFF"/>
          <w:vertAlign w:val="superscript"/>
        </w:rPr>
        <w:t>[10,</w:t>
      </w:r>
      <w:r w:rsidRPr="004E727A">
        <w:rPr>
          <w:rFonts w:ascii="Book Antiqua" w:eastAsia="Book Antiqua" w:hAnsi="Book Antiqua" w:cs="Book Antiqua"/>
          <w:color w:val="000000"/>
          <w:szCs w:val="30"/>
          <w:shd w:val="clear" w:color="auto" w:fill="FFFFFF"/>
          <w:vertAlign w:val="superscript"/>
        </w:rPr>
        <w:t>12]</w:t>
      </w:r>
      <w:r w:rsidRPr="004E727A">
        <w:rPr>
          <w:rFonts w:ascii="Book Antiqua" w:eastAsia="Book Antiqua" w:hAnsi="Book Antiqua" w:cs="Book Antiqua"/>
          <w:color w:val="000000"/>
          <w:shd w:val="clear" w:color="auto" w:fill="FFFFFF"/>
        </w:rPr>
        <w:t>.</w:t>
      </w:r>
    </w:p>
    <w:p w14:paraId="48637F78" w14:textId="180EEE49" w:rsidR="00A77B3E" w:rsidRPr="004E727A" w:rsidRDefault="00737FE9" w:rsidP="00952859">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intestinal bacterial composition in IBS patients deviates from that of healthy subjects</w:t>
      </w:r>
      <w:r w:rsidR="00952859"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13-15]</w:t>
      </w:r>
      <w:r w:rsidRPr="004E727A">
        <w:rPr>
          <w:rFonts w:ascii="Book Antiqua" w:eastAsia="Book Antiqua" w:hAnsi="Book Antiqua" w:cs="Book Antiqua"/>
          <w:color w:val="000000"/>
        </w:rPr>
        <w:t>. Compared with healthy subjects, IBS patients have a lower abundance</w:t>
      </w:r>
      <w:r w:rsidR="00952859" w:rsidRPr="004E727A">
        <w:rPr>
          <w:rFonts w:ascii="Book Antiqua" w:eastAsia="Book Antiqua" w:hAnsi="Book Antiqua" w:cs="Book Antiqua"/>
          <w:color w:val="000000"/>
        </w:rPr>
        <w:t xml:space="preserve"> of butyrate-producing bacteria</w:t>
      </w:r>
      <w:r w:rsidR="00952859"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Pr="004E727A">
        <w:rPr>
          <w:rFonts w:ascii="Book Antiqua" w:eastAsia="Book Antiqua" w:hAnsi="Book Antiqua" w:cs="Book Antiqua"/>
          <w:i/>
          <w:iCs/>
          <w:color w:val="000000"/>
        </w:rPr>
        <w:t>Erysipelotrichaceae</w:t>
      </w:r>
      <w:r w:rsidRPr="004E727A">
        <w:rPr>
          <w:rFonts w:ascii="Book Antiqua" w:eastAsia="Book Antiqua" w:hAnsi="Book Antiqua" w:cs="Book Antiqua"/>
          <w:color w:val="000000"/>
        </w:rPr>
        <w:t>,</w:t>
      </w:r>
      <w:r w:rsidR="00A901BB"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Ruminococcaceae</w:t>
      </w:r>
      <w:r w:rsidRPr="004E727A">
        <w:rPr>
          <w:rFonts w:ascii="Book Antiqua" w:eastAsia="Book Antiqua" w:hAnsi="Book Antiqua" w:cs="Book Antiqua"/>
          <w:color w:val="000000"/>
        </w:rPr>
        <w:t>,</w:t>
      </w:r>
      <w:r w:rsidR="00A901BB"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Bifidobacterium</w:t>
      </w:r>
      <w:r w:rsidRPr="004E727A">
        <w:rPr>
          <w:rFonts w:ascii="Book Antiqua" w:eastAsia="Book Antiqua" w:hAnsi="Book Antiqua" w:cs="Book Antiqua"/>
          <w:color w:val="000000"/>
          <w:shd w:val="clear" w:color="auto" w:fill="FFFFFF"/>
        </w:rPr>
        <w:t>,</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i/>
          <w:iCs/>
          <w:color w:val="000000"/>
        </w:rPr>
        <w:t>Faecalibacterium</w:t>
      </w:r>
      <w:r w:rsidR="00952859" w:rsidRPr="004E727A">
        <w:rPr>
          <w:rFonts w:ascii="Book Antiqua" w:eastAsia="Book Antiqua" w:hAnsi="Book Antiqua" w:cs="Book Antiqua"/>
          <w:color w:val="000000"/>
        </w:rPr>
        <w:t>,</w:t>
      </w:r>
      <w:r w:rsidR="00A901BB"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and</w:t>
      </w:r>
      <w:r w:rsidR="00A901BB" w:rsidRPr="004E727A">
        <w:rPr>
          <w:rFonts w:ascii="Book Antiqua" w:eastAsia="Book Antiqua" w:hAnsi="Book Antiqua" w:cs="Book Antiqua"/>
          <w:i/>
          <w:iCs/>
          <w:color w:val="000000"/>
        </w:rPr>
        <w:t xml:space="preserve"> </w:t>
      </w:r>
      <w:r w:rsidRPr="004E727A">
        <w:rPr>
          <w:rFonts w:ascii="Book Antiqua" w:eastAsia="Book Antiqua" w:hAnsi="Book Antiqua" w:cs="Book Antiqua"/>
          <w:i/>
          <w:iCs/>
          <w:color w:val="000000"/>
        </w:rPr>
        <w:t>Erysipelotrichaceae</w:t>
      </w:r>
      <w:r w:rsidRPr="004E727A">
        <w:rPr>
          <w:rFonts w:ascii="Book Antiqua" w:eastAsia="Book Antiqua" w:hAnsi="Book Antiqua" w:cs="Book Antiqua"/>
          <w:color w:val="000000"/>
          <w:shd w:val="clear" w:color="auto" w:fill="FFFFFF"/>
        </w:rPr>
        <w:t> spp.) and methanogenic bacteria, and</w:t>
      </w:r>
      <w:r w:rsidRPr="004E727A">
        <w:rPr>
          <w:rFonts w:ascii="Book Antiqua" w:eastAsia="Book Antiqua" w:hAnsi="Book Antiqua" w:cs="Book Antiqua"/>
          <w:color w:val="000000"/>
        </w:rPr>
        <w:t> a higher abundance of bacteria belonging to </w:t>
      </w:r>
      <w:r w:rsidRPr="004E727A">
        <w:rPr>
          <w:rFonts w:ascii="Book Antiqua" w:eastAsia="Book Antiqua" w:hAnsi="Book Antiqua" w:cs="Book Antiqua"/>
          <w:i/>
          <w:color w:val="000000"/>
          <w:shd w:val="clear" w:color="auto" w:fill="FFFFFF"/>
        </w:rPr>
        <w:t>Proteobacteria</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i/>
          <w:iCs/>
          <w:color w:val="000000"/>
        </w:rPr>
        <w:t>Veillonella</w:t>
      </w:r>
      <w:r w:rsidRPr="004E727A">
        <w:rPr>
          <w:rFonts w:ascii="Book Antiqua" w:eastAsia="Book Antiqua" w:hAnsi="Book Antiqua" w:cs="Book Antiqua"/>
          <w:color w:val="000000"/>
          <w:shd w:val="clear" w:color="auto" w:fill="FFFFFF"/>
        </w:rPr>
        <w:t>, and Firmicutes such as</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i/>
          <w:iCs/>
          <w:color w:val="000000"/>
        </w:rPr>
        <w:t>Lactobacillus</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and </w:t>
      </w:r>
      <w:r w:rsidRPr="004E727A">
        <w:rPr>
          <w:rFonts w:ascii="Book Antiqua" w:eastAsia="Book Antiqua" w:hAnsi="Book Antiqua" w:cs="Book Antiqua"/>
          <w:i/>
          <w:iCs/>
          <w:color w:val="000000"/>
        </w:rPr>
        <w:t>Ruminococcus </w:t>
      </w:r>
      <w:r w:rsidRPr="004E727A">
        <w:rPr>
          <w:rFonts w:ascii="Book Antiqua" w:eastAsia="Book Antiqua" w:hAnsi="Book Antiqua" w:cs="Book Antiqua"/>
          <w:color w:val="000000"/>
        </w:rPr>
        <w:t>spp.</w:t>
      </w:r>
      <w:r w:rsidR="0055282D" w:rsidRPr="004E727A">
        <w:rPr>
          <w:rFonts w:ascii="Book Antiqua" w:eastAsia="Book Antiqua" w:hAnsi="Book Antiqua" w:cs="Book Antiqua"/>
          <w:color w:val="000000"/>
          <w:szCs w:val="30"/>
          <w:vertAlign w:val="superscript"/>
        </w:rPr>
        <w:t>[7,</w:t>
      </w:r>
      <w:r w:rsidRPr="004E727A">
        <w:rPr>
          <w:rFonts w:ascii="Book Antiqua" w:eastAsia="Book Antiqua" w:hAnsi="Book Antiqua" w:cs="Book Antiqua"/>
          <w:color w:val="000000"/>
          <w:szCs w:val="30"/>
          <w:vertAlign w:val="superscript"/>
        </w:rPr>
        <w:t>16]</w:t>
      </w:r>
      <w:r w:rsidRPr="004E727A">
        <w:rPr>
          <w:rFonts w:ascii="Book Antiqua" w:eastAsia="Book Antiqua" w:hAnsi="Book Antiqua" w:cs="Book Antiqua"/>
          <w:color w:val="000000"/>
        </w:rPr>
        <w:t>. In addition, the diversity of intestinal bacteria is lower (dysbiosis) in IBS patients than in healthy subjects</w:t>
      </w:r>
      <w:r w:rsidR="0055282D" w:rsidRPr="004E727A">
        <w:rPr>
          <w:rFonts w:ascii="Book Antiqua" w:eastAsia="Book Antiqua" w:hAnsi="Book Antiqua" w:cs="Book Antiqua"/>
          <w:color w:val="000000"/>
          <w:szCs w:val="30"/>
          <w:vertAlign w:val="superscript"/>
        </w:rPr>
        <w:t>[10,13-15,</w:t>
      </w:r>
      <w:r w:rsidRPr="004E727A">
        <w:rPr>
          <w:rFonts w:ascii="Book Antiqua" w:eastAsia="Book Antiqua" w:hAnsi="Book Antiqua" w:cs="Book Antiqua"/>
          <w:color w:val="000000"/>
          <w:szCs w:val="30"/>
          <w:vertAlign w:val="superscript"/>
        </w:rPr>
        <w:t>17]</w:t>
      </w:r>
      <w:r w:rsidRPr="004E727A">
        <w:rPr>
          <w:rFonts w:ascii="Book Antiqua" w:eastAsia="Book Antiqua" w:hAnsi="Book Antiqua" w:cs="Book Antiqua"/>
          <w:color w:val="000000"/>
        </w:rPr>
        <w:t>.</w:t>
      </w:r>
    </w:p>
    <w:p w14:paraId="2C1DF583" w14:textId="0B7BFDFB" w:rsidR="00A77B3E" w:rsidRPr="004E727A" w:rsidRDefault="00737FE9" w:rsidP="0055282D">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shd w:val="clear" w:color="auto" w:fill="FFFFFF"/>
        </w:rPr>
        <w:t>Transplanting the intestinal microbiome (</w:t>
      </w:r>
      <w:r w:rsidRPr="004E727A">
        <w:rPr>
          <w:rFonts w:ascii="Book Antiqua" w:eastAsia="Book Antiqua" w:hAnsi="Book Antiqua" w:cs="Book Antiqua"/>
          <w:i/>
          <w:color w:val="000000"/>
          <w:shd w:val="clear" w:color="auto" w:fill="FFFFFF"/>
        </w:rPr>
        <w:t>via</w:t>
      </w:r>
      <w:r w:rsidRPr="004E727A">
        <w:rPr>
          <w:rFonts w:ascii="Book Antiqua" w:eastAsia="Book Antiqua" w:hAnsi="Book Antiqua" w:cs="Book Antiqua"/>
          <w:color w:val="000000"/>
          <w:shd w:val="clear" w:color="auto" w:fill="FFFFFF"/>
        </w:rPr>
        <w:t xml:space="preserve"> feces) from a healthy subject with normal bowel function to patients</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so-called fecal microbiota transplantation (FMT)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rPr>
        <w:t>was applied for the first time by the Chinese physician Ge Hong in the fourth century for treating severe diarrhea and malaria</w:t>
      </w:r>
      <w:r w:rsidRPr="004E727A">
        <w:rPr>
          <w:rFonts w:ascii="Book Antiqua" w:eastAsia="Book Antiqua" w:hAnsi="Book Antiqua" w:cs="Book Antiqua"/>
          <w:color w:val="000000"/>
          <w:szCs w:val="30"/>
          <w:vertAlign w:val="superscript"/>
        </w:rPr>
        <w:t>[18]</w:t>
      </w:r>
      <w:r w:rsidRPr="004E727A">
        <w:rPr>
          <w:rFonts w:ascii="Book Antiqua" w:eastAsia="Book Antiqua" w:hAnsi="Book Antiqua" w:cs="Book Antiqua"/>
          <w:color w:val="000000"/>
        </w:rPr>
        <w:t>. In the present era, FMT represents an effective treatment for </w:t>
      </w:r>
      <w:r w:rsidRPr="004E727A">
        <w:rPr>
          <w:rFonts w:ascii="Book Antiqua" w:eastAsia="Book Antiqua" w:hAnsi="Book Antiqua" w:cs="Book Antiqua"/>
          <w:i/>
          <w:iCs/>
          <w:color w:val="000000"/>
        </w:rPr>
        <w:t>Clostridium difficile</w:t>
      </w:r>
      <w:r w:rsidRPr="004E727A">
        <w:rPr>
          <w:rFonts w:ascii="Book Antiqua" w:eastAsia="Book Antiqua" w:hAnsi="Book Antiqua" w:cs="Book Antiqua"/>
          <w:color w:val="000000"/>
        </w:rPr>
        <w:t> infection (CDI) and is also a promising invention for other diseases</w:t>
      </w:r>
      <w:r w:rsidRPr="004E727A">
        <w:rPr>
          <w:rFonts w:ascii="Book Antiqua" w:eastAsia="Book Antiqua" w:hAnsi="Book Antiqua" w:cs="Book Antiqua"/>
          <w:color w:val="000000"/>
          <w:szCs w:val="30"/>
          <w:vertAlign w:val="superscript"/>
        </w:rPr>
        <w:t>[19-21]</w:t>
      </w:r>
      <w:r w:rsidRPr="004E727A">
        <w:rPr>
          <w:rFonts w:ascii="Book Antiqua" w:eastAsia="Book Antiqua" w:hAnsi="Book Antiqua" w:cs="Book Antiqua"/>
          <w:color w:val="000000"/>
        </w:rPr>
        <w:t>.</w:t>
      </w:r>
    </w:p>
    <w:p w14:paraId="1460710B" w14:textId="77777777" w:rsidR="00A77B3E" w:rsidRPr="004E727A" w:rsidRDefault="00737FE9" w:rsidP="00823AE2">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use of FMT as a treatment for IBS has been investigated in seven randomized controlled trials (RCTs)</w:t>
      </w:r>
      <w:r w:rsidR="00823AE2"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which have produced different outcomes. The present frontier aimed at clarifying these differences, highlighting the gaps in our knowledge that need to be filled, and proposing a guideline for successful FMT in IBS patients.</w:t>
      </w:r>
    </w:p>
    <w:p w14:paraId="52DD6D4A" w14:textId="77777777" w:rsidR="00A77B3E" w:rsidRPr="004E727A" w:rsidRDefault="00A77B3E">
      <w:pPr>
        <w:spacing w:line="360" w:lineRule="auto"/>
        <w:jc w:val="both"/>
        <w:rPr>
          <w:rFonts w:ascii="Book Antiqua" w:hAnsi="Book Antiqua"/>
        </w:rPr>
      </w:pPr>
    </w:p>
    <w:p w14:paraId="13B695D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FACTORS THAT AFFECT THE OUTCOME OF FMT</w:t>
      </w:r>
    </w:p>
    <w:p w14:paraId="5E9FFAE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FMT reduced the symptoms and improved the quality of life of the treated IBS patients in four of the seven RCTs</w:t>
      </w:r>
      <w:r w:rsidR="00823AE2" w:rsidRPr="004E727A">
        <w:rPr>
          <w:rFonts w:ascii="Book Antiqua" w:eastAsia="Book Antiqua" w:hAnsi="Book Antiqua" w:cs="Book Antiqua"/>
          <w:color w:val="000000"/>
          <w:szCs w:val="30"/>
          <w:vertAlign w:val="superscript"/>
        </w:rPr>
        <w:t>[11,22,26,</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but had no effect in the remaining three RCTs</w:t>
      </w:r>
      <w:r w:rsidRPr="004E727A">
        <w:rPr>
          <w:rFonts w:ascii="Book Antiqua" w:eastAsia="Book Antiqua" w:hAnsi="Book Antiqua" w:cs="Book Antiqua"/>
          <w:color w:val="000000"/>
          <w:szCs w:val="30"/>
          <w:vertAlign w:val="superscript"/>
        </w:rPr>
        <w:t>[23-25]</w:t>
      </w:r>
      <w:r w:rsidRPr="004E727A">
        <w:rPr>
          <w:rFonts w:ascii="Book Antiqua" w:eastAsia="Book Antiqua" w:hAnsi="Book Antiqua" w:cs="Book Antiqua"/>
          <w:color w:val="000000"/>
        </w:rPr>
        <w:t>. These differences in the outcomes of RCTs of FMT in IBS could be explained by differences in the protocols, donor selection, included IBS patients, dose of fecal transplant used, and administration route (Table 1)</w:t>
      </w:r>
      <w:r w:rsidR="00823AE2"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Several suggestions have been made about how to improve the efficacy of FMT in IBS</w:t>
      </w:r>
      <w:r w:rsidR="00823AE2" w:rsidRPr="004E727A">
        <w:rPr>
          <w:rFonts w:ascii="Book Antiqua" w:eastAsia="Book Antiqua" w:hAnsi="Book Antiqua" w:cs="Book Antiqua"/>
          <w:color w:val="000000"/>
          <w:szCs w:val="30"/>
          <w:vertAlign w:val="superscript"/>
        </w:rPr>
        <w:t>[28,</w:t>
      </w:r>
      <w:r w:rsidRPr="004E727A">
        <w:rPr>
          <w:rFonts w:ascii="Book Antiqua" w:eastAsia="Book Antiqua" w:hAnsi="Book Antiqua" w:cs="Book Antiqua"/>
          <w:color w:val="000000"/>
          <w:szCs w:val="30"/>
          <w:vertAlign w:val="superscript"/>
        </w:rPr>
        <w:t>29]</w:t>
      </w:r>
      <w:r w:rsidRPr="004E727A">
        <w:rPr>
          <w:rFonts w:ascii="Book Antiqua" w:eastAsia="Book Antiqua" w:hAnsi="Book Antiqua" w:cs="Book Antiqua"/>
          <w:color w:val="000000"/>
        </w:rPr>
        <w:t>.</w:t>
      </w:r>
    </w:p>
    <w:p w14:paraId="3A6A466A" w14:textId="77777777" w:rsidR="00A77B3E" w:rsidRPr="004E727A" w:rsidRDefault="00A77B3E">
      <w:pPr>
        <w:spacing w:line="360" w:lineRule="auto"/>
        <w:jc w:val="both"/>
        <w:rPr>
          <w:rFonts w:ascii="Book Antiqua" w:hAnsi="Book Antiqua"/>
        </w:rPr>
      </w:pPr>
    </w:p>
    <w:p w14:paraId="1A1C3510"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t>Donor selection</w:t>
      </w:r>
    </w:p>
    <w:p w14:paraId="472C7783" w14:textId="77777777"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color w:val="000000"/>
        </w:rPr>
        <w:t>The outcomes of FMT in inflammatory bowel disease (IBD) have varied considerably between studies</w:t>
      </w:r>
      <w:r w:rsidRPr="004E727A">
        <w:rPr>
          <w:rFonts w:ascii="Book Antiqua" w:eastAsia="Book Antiqua" w:hAnsi="Book Antiqua" w:cs="Book Antiqua"/>
          <w:color w:val="000000"/>
          <w:szCs w:val="30"/>
          <w:vertAlign w:val="superscript"/>
        </w:rPr>
        <w:t>[20]</w:t>
      </w:r>
      <w:r w:rsidRPr="004E727A">
        <w:rPr>
          <w:rFonts w:ascii="Book Antiqua" w:eastAsia="Book Antiqua" w:hAnsi="Book Antiqua" w:cs="Book Antiqua"/>
          <w:color w:val="000000"/>
        </w:rPr>
        <w:t>, which has been attributed to differences in the donor used</w:t>
      </w:r>
      <w:r w:rsidR="00AF0B7C"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30]</w:t>
      </w:r>
      <w:r w:rsidRPr="004E727A">
        <w:rPr>
          <w:rFonts w:ascii="Book Antiqua" w:eastAsia="Book Antiqua" w:hAnsi="Book Antiqua" w:cs="Book Antiqua"/>
          <w:color w:val="000000"/>
        </w:rPr>
        <w:t>. A donor that produces a large response to FMT in IBD patients is called a superdonor</w:t>
      </w:r>
      <w:r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rPr>
        <w:t>. Since it was not possible to predict who is a superdonor, the feces from several donors were pooled to increase the likelihood of patients receiving superdonor feces</w:t>
      </w:r>
      <w:r w:rsidRPr="004E727A">
        <w:rPr>
          <w:rFonts w:ascii="Book Antiqua" w:eastAsia="Book Antiqua" w:hAnsi="Book Antiqua" w:cs="Book Antiqua"/>
          <w:color w:val="000000"/>
          <w:szCs w:val="30"/>
          <w:vertAlign w:val="superscript"/>
        </w:rPr>
        <w:t>[31]</w:t>
      </w:r>
      <w:r w:rsidRPr="004E727A">
        <w:rPr>
          <w:rFonts w:ascii="Book Antiqua" w:eastAsia="Book Antiqua" w:hAnsi="Book Antiqua" w:cs="Book Antiqua"/>
          <w:color w:val="000000"/>
        </w:rPr>
        <w:t>. However, this approach was not successful, which was probably due to the dilution of the eventual superdonor feces resulting in an insufficient dose from the superdonor to the recipients</w:t>
      </w:r>
      <w:r w:rsidRPr="004E727A">
        <w:rPr>
          <w:rFonts w:ascii="Book Antiqua" w:eastAsia="Book Antiqua" w:hAnsi="Book Antiqua" w:cs="Book Antiqua"/>
          <w:color w:val="000000"/>
          <w:szCs w:val="30"/>
          <w:vertAlign w:val="superscript"/>
        </w:rPr>
        <w:t>[32]</w:t>
      </w:r>
      <w:r w:rsidRPr="004E727A">
        <w:rPr>
          <w:rFonts w:ascii="Book Antiqua" w:eastAsia="Book Antiqua" w:hAnsi="Book Antiqua" w:cs="Book Antiqua"/>
          <w:color w:val="000000"/>
        </w:rPr>
        <w:t>.</w:t>
      </w:r>
    </w:p>
    <w:p w14:paraId="0FF1A81F" w14:textId="77777777" w:rsidR="00A77B3E" w:rsidRPr="004E727A" w:rsidRDefault="00737FE9" w:rsidP="006E0F9C">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Similar to IBD, discrepancies in the results of the RCTs of FMT in IBS could be mainly attributed to differences in the criteria used for donor selection (Table 1)</w:t>
      </w:r>
      <w:r w:rsidR="006E0F9C"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An RCT performed by El-Salhy</w:t>
      </w:r>
      <w:r w:rsidRPr="004E727A">
        <w:rPr>
          <w:rFonts w:ascii="Book Antiqua" w:eastAsia="Book Antiqua" w:hAnsi="Book Antiqua" w:cs="Book Antiqua"/>
          <w:i/>
          <w:color w:val="000000"/>
        </w:rPr>
        <w:t xml:space="preserve"> </w:t>
      </w:r>
      <w:r w:rsidR="006E0F9C" w:rsidRPr="004E727A">
        <w:rPr>
          <w:rFonts w:ascii="Book Antiqua" w:hAnsi="Book Antiqua" w:cs="Book Antiqua"/>
          <w:i/>
          <w:color w:val="000000"/>
          <w:lang w:eastAsia="zh-CN"/>
        </w:rPr>
        <w:t>et al</w:t>
      </w:r>
      <w:r w:rsidR="006E0F9C"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that obtained</w:t>
      </w:r>
      <w:r w:rsidR="005D352F" w:rsidRPr="004E727A">
        <w:rPr>
          <w:rFonts w:ascii="Book Antiqua" w:eastAsia="Book Antiqua" w:hAnsi="Book Antiqua" w:cs="Book Antiqua"/>
          <w:color w:val="000000"/>
        </w:rPr>
        <w:t xml:space="preserve"> good responses to FMT (Figure </w:t>
      </w:r>
      <w:r w:rsidR="005D352F" w:rsidRPr="004E727A">
        <w:rPr>
          <w:rFonts w:ascii="Book Antiqua" w:hAnsi="Book Antiqua" w:cs="Book Antiqua"/>
          <w:color w:val="000000"/>
          <w:lang w:eastAsia="zh-CN"/>
        </w:rPr>
        <w:t>1</w:t>
      </w:r>
      <w:r w:rsidRPr="004E727A">
        <w:rPr>
          <w:rFonts w:ascii="Book Antiqua" w:eastAsia="Book Antiqua" w:hAnsi="Book Antiqua" w:cs="Book Antiqua"/>
          <w:color w:val="000000"/>
        </w:rPr>
        <w:t>) established clinical criteria and the bacterial profile for selecting the superdonor. In contrast, the less-successful RCTs did not establish either clinical criteria or a bacterial profile for the donor</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(Table 1). The stability of the donor intestinal bacterial composition over time is also an important factor to consider when selecting a superdonor</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w:t>
      </w:r>
    </w:p>
    <w:p w14:paraId="44CB6456" w14:textId="6CDE81DF" w:rsidR="00A77B3E" w:rsidRPr="004E727A" w:rsidRDefault="00737FE9" w:rsidP="006E0F9C">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clinical criteria used to select a superdonor have been based on the factors known to affect the intestinal microbiota</w:t>
      </w:r>
      <w:r w:rsidR="008D74F7" w:rsidRPr="00E2666A">
        <w:rPr>
          <w:rFonts w:ascii="Book Antiqua" w:eastAsiaTheme="minorEastAsia" w:hAnsi="Book Antiqua" w:cs="Book Antiqua" w:hint="eastAsia"/>
          <w:color w:val="000000"/>
          <w:szCs w:val="30"/>
          <w:lang w:eastAsia="zh-CN"/>
        </w:rPr>
        <w:t xml:space="preserve"> </w:t>
      </w:r>
      <w:r w:rsidR="008D74F7" w:rsidRPr="008D74F7">
        <w:rPr>
          <w:rFonts w:ascii="Book Antiqua" w:eastAsiaTheme="minorEastAsia" w:hAnsi="Book Antiqua" w:cs="Book Antiqua" w:hint="eastAsia"/>
          <w:color w:val="000000"/>
          <w:szCs w:val="30"/>
          <w:lang w:eastAsia="zh-CN"/>
        </w:rPr>
        <w:t>(Table 2)</w:t>
      </w:r>
      <w:r w:rsidRPr="004E727A">
        <w:rPr>
          <w:rFonts w:ascii="Book Antiqua" w:eastAsia="Book Antiqua" w:hAnsi="Book Antiqua" w:cs="Book Antiqua"/>
          <w:color w:val="000000"/>
        </w:rPr>
        <w:t>. Aging (&gt;</w:t>
      </w:r>
      <w:r w:rsidR="000E79C8"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50 years), smoking/smoking cessation, being born by cesarean section, consuming formula as a baby, frequent treatment with antibiotics, and regular intake of nonantibiotic drugs are known to reduce the bacterial diversity</w:t>
      </w:r>
      <w:r w:rsidRPr="004E727A">
        <w:rPr>
          <w:rFonts w:ascii="Book Antiqua" w:eastAsia="Book Antiqua" w:hAnsi="Book Antiqua" w:cs="Book Antiqua"/>
          <w:color w:val="000000"/>
          <w:szCs w:val="30"/>
          <w:vertAlign w:val="superscript"/>
        </w:rPr>
        <w:t>[33-42]</w:t>
      </w:r>
      <w:r w:rsidRPr="004E727A">
        <w:rPr>
          <w:rFonts w:ascii="Book Antiqua" w:eastAsia="Book Antiqua" w:hAnsi="Book Antiqua" w:cs="Book Antiqua"/>
          <w:color w:val="000000"/>
        </w:rPr>
        <w:t>, whereas regular exercise combined with consuming a sport-specific diet are associated with a favorable intestinal microbiota</w:t>
      </w:r>
      <w:r w:rsidRPr="004E727A">
        <w:rPr>
          <w:rFonts w:ascii="Book Antiqua" w:eastAsia="Book Antiqua" w:hAnsi="Book Antiqua" w:cs="Book Antiqua"/>
          <w:color w:val="000000"/>
          <w:szCs w:val="30"/>
          <w:vertAlign w:val="superscript"/>
        </w:rPr>
        <w:t>[43-45]</w:t>
      </w:r>
      <w:r w:rsidRPr="004E727A">
        <w:rPr>
          <w:rFonts w:ascii="Book Antiqua" w:eastAsia="Book Antiqua" w:hAnsi="Book Antiqua" w:cs="Book Antiqua"/>
          <w:color w:val="000000"/>
        </w:rPr>
        <w:t>. The genetic composition also affects the intestinal microbiota, and hence the superdonor should not be a first-degree relative of any recipient</w:t>
      </w:r>
      <w:r w:rsidR="000E79C8" w:rsidRPr="004E727A">
        <w:rPr>
          <w:rFonts w:ascii="Book Antiqua" w:eastAsia="Book Antiqua" w:hAnsi="Book Antiqua" w:cs="Book Antiqua"/>
          <w:color w:val="000000"/>
          <w:szCs w:val="30"/>
          <w:vertAlign w:val="superscript"/>
        </w:rPr>
        <w:t>[46,</w:t>
      </w:r>
      <w:r w:rsidRPr="004E727A">
        <w:rPr>
          <w:rFonts w:ascii="Book Antiqua" w:eastAsia="Book Antiqua" w:hAnsi="Book Antiqua" w:cs="Book Antiqua"/>
          <w:color w:val="000000"/>
          <w:szCs w:val="30"/>
          <w:vertAlign w:val="superscript"/>
        </w:rPr>
        <w:t>47]</w:t>
      </w:r>
      <w:r w:rsidRPr="004E727A">
        <w:rPr>
          <w:rFonts w:ascii="Book Antiqua" w:eastAsia="Book Antiqua" w:hAnsi="Book Antiqua" w:cs="Book Antiqua"/>
          <w:color w:val="000000"/>
        </w:rPr>
        <w:t xml:space="preserve">. Thus, the superdonor selected in the RCT by El-Salhy </w:t>
      </w:r>
      <w:r w:rsidRPr="004E727A">
        <w:rPr>
          <w:rFonts w:ascii="Book Antiqua" w:eastAsia="Book Antiqua" w:hAnsi="Book Antiqua" w:cs="Book Antiqua"/>
          <w:i/>
          <w:iCs/>
          <w:color w:val="000000"/>
        </w:rPr>
        <w:t>et al</w:t>
      </w:r>
      <w:r w:rsidR="000E79C8"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was a healthy young male with a normal </w:t>
      </w:r>
      <w:r w:rsidR="005E19E6" w:rsidRPr="004E727A">
        <w:rPr>
          <w:rFonts w:ascii="Book Antiqua" w:hAnsi="Book Antiqua" w:cs="Book Antiqua"/>
          <w:color w:val="000000"/>
          <w:lang w:eastAsia="zh-CN"/>
        </w:rPr>
        <w:t>b</w:t>
      </w:r>
      <w:r w:rsidR="005E19E6" w:rsidRPr="004E727A">
        <w:rPr>
          <w:rFonts w:ascii="Book Antiqua" w:eastAsia="Book Antiqua" w:hAnsi="Book Antiqua" w:cs="Book Antiqua"/>
          <w:color w:val="000000"/>
        </w:rPr>
        <w:t>ody mass index</w:t>
      </w:r>
      <w:r w:rsidRPr="004E727A">
        <w:rPr>
          <w:rFonts w:ascii="Book Antiqua" w:eastAsia="Book Antiqua" w:hAnsi="Book Antiqua" w:cs="Book Antiqua"/>
          <w:color w:val="000000"/>
        </w:rPr>
        <w:t xml:space="preserve">, born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a vaginal delivery, breastfed, and a nonsmoker, and did take any medication, had been treated only a few times with antibiotics, exercised regularly, and consumed a sport-specific diet that was richer in protein, fiber, minerals, and vitamins than average</w:t>
      </w:r>
      <w:r w:rsidR="000E79C8"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48]</w:t>
      </w:r>
      <w:r w:rsidRPr="004E727A">
        <w:rPr>
          <w:rFonts w:ascii="Book Antiqua" w:eastAsia="Book Antiqua" w:hAnsi="Book Antiqua" w:cs="Book Antiqua"/>
          <w:color w:val="000000"/>
        </w:rPr>
        <w:t>. Furthermore, the superdonor was not related to any of the recipients</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The analysis of the fecal microbiota of this donor showed that he had a high microbial diversity (normobiotic), and his fecal bacterial composition deviated from the normal abundance of 165 healthy subjects in 14 of 39 t</w:t>
      </w:r>
      <w:r w:rsidR="005D352F" w:rsidRPr="004E727A">
        <w:rPr>
          <w:rFonts w:ascii="Book Antiqua" w:eastAsia="Book Antiqua" w:hAnsi="Book Antiqua" w:cs="Book Antiqua"/>
          <w:color w:val="000000"/>
        </w:rPr>
        <w:t>ested bacteria markers (Figure </w:t>
      </w:r>
      <w:r w:rsidR="005D352F" w:rsidRPr="004E727A">
        <w:rPr>
          <w:rFonts w:ascii="Book Antiqua" w:hAnsi="Book Antiqua" w:cs="Book Antiqua"/>
          <w:color w:val="000000"/>
          <w:lang w:eastAsia="zh-CN"/>
        </w:rPr>
        <w:t>2</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Twelve of these deviated bacteria were in the Firmicutes phylum, with one each in the Proteobacteria and Verrucomicrobia phyla</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This deviation included an increased abundance of favorable bacteria such as </w:t>
      </w:r>
      <w:r w:rsidRPr="004E727A">
        <w:rPr>
          <w:rFonts w:ascii="Book Antiqua" w:eastAsia="Book Antiqua" w:hAnsi="Book Antiqua" w:cs="Book Antiqua"/>
          <w:i/>
          <w:iCs/>
          <w:color w:val="000000"/>
        </w:rPr>
        <w:t>Streptococcus</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Dorea</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color w:val="000000"/>
        </w:rPr>
        <w:t>,</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and </w:t>
      </w:r>
      <w:r w:rsidRPr="004E727A">
        <w:rPr>
          <w:rFonts w:ascii="Book Antiqua" w:eastAsia="Book Antiqua" w:hAnsi="Book Antiqua" w:cs="Book Antiqua"/>
          <w:i/>
          <w:iCs/>
          <w:color w:val="000000"/>
        </w:rPr>
        <w:t>Ruminococcaceae</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w:t>
      </w:r>
      <w:r w:rsidR="000E79C8"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49-51]</w:t>
      </w:r>
      <w:r w:rsidRPr="004E727A">
        <w:rPr>
          <w:rFonts w:ascii="Book Antiqua" w:eastAsia="Book Antiqua" w:hAnsi="Book Antiqua" w:cs="Book Antiqua"/>
          <w:color w:val="000000"/>
        </w:rPr>
        <w:t>. The fecal bacterial composition of the superdo</w:t>
      </w:r>
      <w:r w:rsidR="000E79C8" w:rsidRPr="004E727A">
        <w:rPr>
          <w:rFonts w:ascii="Book Antiqua" w:eastAsia="Book Antiqua" w:hAnsi="Book Antiqua" w:cs="Book Antiqua"/>
          <w:color w:val="000000"/>
        </w:rPr>
        <w:t>nor was stable over the 18-mo</w:t>
      </w:r>
      <w:r w:rsidRPr="004E727A">
        <w:rPr>
          <w:rFonts w:ascii="Book Antiqua" w:eastAsia="Book Antiqua" w:hAnsi="Book Antiqua" w:cs="Book Antiqua"/>
          <w:color w:val="000000"/>
        </w:rPr>
        <w:t xml:space="preserve"> period during which he donated </w:t>
      </w:r>
      <w:r w:rsidR="005D352F" w:rsidRPr="004E727A">
        <w:rPr>
          <w:rFonts w:ascii="Book Antiqua" w:eastAsia="Book Antiqua" w:hAnsi="Book Antiqua" w:cs="Book Antiqua"/>
          <w:color w:val="000000"/>
        </w:rPr>
        <w:t xml:space="preserve">his feces (Figure </w:t>
      </w:r>
      <w:r w:rsidR="005D352F" w:rsidRPr="004E727A">
        <w:rPr>
          <w:rFonts w:ascii="Book Antiqua" w:hAnsi="Book Antiqua" w:cs="Book Antiqua"/>
          <w:color w:val="000000"/>
          <w:lang w:eastAsia="zh-CN"/>
        </w:rPr>
        <w:t>3</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w:t>
      </w:r>
    </w:p>
    <w:p w14:paraId="49D4FE20" w14:textId="2E361C0A" w:rsidR="00A77B3E" w:rsidRPr="004E727A" w:rsidRDefault="00737FE9" w:rsidP="000E79C8">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Like in IBD, pooling the feces from several donors to ensure the presence of superdonor feces resulted in no response or only a transient improvement</w:t>
      </w:r>
      <w:r w:rsidR="005E19E6" w:rsidRPr="004E727A">
        <w:rPr>
          <w:rFonts w:ascii="Book Antiqua" w:eastAsia="Book Antiqua" w:hAnsi="Book Antiqua" w:cs="Book Antiqua"/>
          <w:color w:val="000000"/>
          <w:szCs w:val="30"/>
          <w:vertAlign w:val="superscript"/>
        </w:rPr>
        <w:t>[22,</w:t>
      </w:r>
      <w:r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rPr>
        <w:t>.</w:t>
      </w:r>
    </w:p>
    <w:p w14:paraId="0B25E506" w14:textId="77777777" w:rsidR="00A77B3E" w:rsidRPr="004E727A" w:rsidRDefault="00A77B3E">
      <w:pPr>
        <w:spacing w:line="360" w:lineRule="auto"/>
        <w:jc w:val="both"/>
        <w:rPr>
          <w:rFonts w:ascii="Book Antiqua" w:hAnsi="Book Antiqua"/>
        </w:rPr>
      </w:pPr>
    </w:p>
    <w:p w14:paraId="47CFD106" w14:textId="77777777" w:rsidR="00A77B3E" w:rsidRPr="004E727A" w:rsidRDefault="00A77B3E">
      <w:pPr>
        <w:spacing w:line="360" w:lineRule="auto"/>
        <w:jc w:val="both"/>
        <w:rPr>
          <w:rFonts w:ascii="Book Antiqua" w:hAnsi="Book Antiqua"/>
        </w:rPr>
      </w:pPr>
    </w:p>
    <w:p w14:paraId="0A92B5B7"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t>Patient inclusion</w:t>
      </w:r>
    </w:p>
    <w:p w14:paraId="3951DB7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The patients included in RCTs of FMT for IBS have included subsets of IBS patients who do not represent the entire IBS population, and so caution should be exercised when generalizing the outcomes of these RCTs</w:t>
      </w:r>
      <w:r w:rsidR="005E19E6"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xml:space="preserve">. Four of the RCTs only included patients with the </w:t>
      </w:r>
      <w:bookmarkStart w:id="13" w:name="OLE_LINK75"/>
      <w:bookmarkStart w:id="14" w:name="OLE_LINK76"/>
      <w:r w:rsidRPr="004E727A">
        <w:rPr>
          <w:rFonts w:ascii="Book Antiqua" w:eastAsia="Book Antiqua" w:hAnsi="Book Antiqua" w:cs="Book Antiqua"/>
          <w:color w:val="000000"/>
        </w:rPr>
        <w:t>diarrhea-predominant IBS (IBS-D) and mixed-diarrhea-and-constipation IBS (IBS-M)</w:t>
      </w:r>
      <w:bookmarkEnd w:id="13"/>
      <w:bookmarkEnd w:id="14"/>
      <w:r w:rsidR="005E19E6" w:rsidRPr="004E727A">
        <w:rPr>
          <w:rFonts w:ascii="Book Antiqua" w:eastAsia="Book Antiqua" w:hAnsi="Book Antiqua" w:cs="Book Antiqua"/>
          <w:color w:val="000000"/>
          <w:szCs w:val="30"/>
          <w:vertAlign w:val="superscript"/>
        </w:rPr>
        <w:t>[22,24,26,</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xml:space="preserve">, while the other three RCTs included three IBS subtypes: IBS-D, </w:t>
      </w:r>
      <w:bookmarkStart w:id="15" w:name="OLE_LINK83"/>
      <w:bookmarkStart w:id="16" w:name="OLE_LINK84"/>
      <w:r w:rsidRPr="004E727A">
        <w:rPr>
          <w:rFonts w:ascii="Book Antiqua" w:eastAsia="Book Antiqua" w:hAnsi="Book Antiqua" w:cs="Book Antiqua"/>
          <w:color w:val="000000"/>
        </w:rPr>
        <w:t xml:space="preserve">constipation-predominant </w:t>
      </w:r>
      <w:bookmarkEnd w:id="15"/>
      <w:bookmarkEnd w:id="16"/>
      <w:r w:rsidRPr="004E727A">
        <w:rPr>
          <w:rFonts w:ascii="Book Antiqua" w:eastAsia="Book Antiqua" w:hAnsi="Book Antiqua" w:cs="Book Antiqua"/>
          <w:color w:val="000000"/>
        </w:rPr>
        <w:t>IBS (IBS-C), and IBS-M</w:t>
      </w:r>
      <w:r w:rsidR="005E19E6" w:rsidRPr="004E727A">
        <w:rPr>
          <w:rFonts w:ascii="Book Antiqua" w:eastAsia="Book Antiqua" w:hAnsi="Book Antiqua" w:cs="Book Antiqua"/>
          <w:color w:val="000000"/>
          <w:szCs w:val="30"/>
          <w:vertAlign w:val="superscript"/>
        </w:rPr>
        <w:t>[11,23,</w:t>
      </w:r>
      <w:r w:rsidRPr="004E727A">
        <w:rPr>
          <w:rFonts w:ascii="Book Antiqua" w:eastAsia="Book Antiqua" w:hAnsi="Book Antiqua" w:cs="Book Antiqua"/>
          <w:color w:val="000000"/>
          <w:szCs w:val="30"/>
          <w:vertAlign w:val="superscript"/>
        </w:rPr>
        <w:t>25]</w:t>
      </w:r>
      <w:r w:rsidRPr="004E727A">
        <w:rPr>
          <w:rFonts w:ascii="Book Antiqua" w:eastAsia="Book Antiqua" w:hAnsi="Book Antiqua" w:cs="Book Antiqua"/>
          <w:color w:val="000000"/>
        </w:rPr>
        <w:t>. Moreover, the patients included in the RCT of El-Salhy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[11]</w:t>
      </w:r>
      <w:r w:rsidR="005E19E6" w:rsidRPr="004E727A">
        <w:rPr>
          <w:rFonts w:ascii="Book Antiqua" w:hAnsi="Book Antiqua" w:cs="Book Antiqua"/>
          <w:i/>
          <w:iCs/>
          <w:color w:val="000000"/>
          <w:lang w:eastAsia="zh-CN"/>
        </w:rPr>
        <w:t xml:space="preserve"> </w:t>
      </w:r>
      <w:r w:rsidRPr="004E727A">
        <w:rPr>
          <w:rFonts w:ascii="Book Antiqua" w:eastAsia="Book Antiqua" w:hAnsi="Book Antiqua" w:cs="Book Antiqua"/>
          <w:color w:val="000000"/>
        </w:rPr>
        <w:t>had p</w:t>
      </w:r>
      <w:r w:rsidR="005E19E6" w:rsidRPr="004E727A">
        <w:rPr>
          <w:rFonts w:ascii="Book Antiqua" w:eastAsia="Book Antiqua" w:hAnsi="Book Antiqua" w:cs="Book Antiqua"/>
          <w:color w:val="000000"/>
        </w:rPr>
        <w:t>articipated in a 2-d</w:t>
      </w:r>
      <w:r w:rsidRPr="004E727A">
        <w:rPr>
          <w:rFonts w:ascii="Book Antiqua" w:eastAsia="Book Antiqua" w:hAnsi="Book Antiqua" w:cs="Book Antiqua"/>
          <w:color w:val="000000"/>
        </w:rPr>
        <w:t xml:space="preserve"> course related to living with IBS, an</w:t>
      </w:r>
      <w:r w:rsidR="005E19E6" w:rsidRPr="004E727A">
        <w:rPr>
          <w:rFonts w:ascii="Book Antiqua" w:eastAsia="Book Antiqua" w:hAnsi="Book Antiqua" w:cs="Book Antiqua"/>
          <w:color w:val="000000"/>
        </w:rPr>
        <w:t>d for at least the past 3 mo</w:t>
      </w:r>
      <w:r w:rsidRPr="004E727A">
        <w:rPr>
          <w:rFonts w:ascii="Book Antiqua" w:eastAsia="Book Antiqua" w:hAnsi="Book Antiqua" w:cs="Book Antiqua"/>
          <w:color w:val="000000"/>
        </w:rPr>
        <w:t xml:space="preserve"> they had moderate-to-severe IBS symptoms despite adhering to a diet consistent with the </w:t>
      </w:r>
      <w:r w:rsidRPr="004E727A">
        <w:rPr>
          <w:rFonts w:ascii="Book Antiqua" w:eastAsia="Book Antiqua" w:hAnsi="Book Antiqua" w:cs="Book Antiqua"/>
          <w:color w:val="000000"/>
          <w:shd w:val="clear" w:color="auto" w:fill="FFFFFF"/>
        </w:rPr>
        <w:t>National Institute for Health and Care Excellence</w:t>
      </w:r>
      <w:r w:rsidR="005E19E6" w:rsidRPr="004E727A">
        <w:rPr>
          <w:rFonts w:ascii="Book Antiqua" w:hAnsi="Book Antiqua" w:cs="Book Antiqua"/>
          <w:color w:val="000000"/>
          <w:shd w:val="clear" w:color="auto" w:fill="FFFFFF"/>
          <w:lang w:eastAsia="zh-CN"/>
        </w:rPr>
        <w:t xml:space="preserve"> (</w:t>
      </w:r>
      <w:r w:rsidR="005E19E6" w:rsidRPr="004E727A">
        <w:rPr>
          <w:rFonts w:ascii="Book Antiqua" w:eastAsia="Book Antiqua" w:hAnsi="Book Antiqua" w:cs="Book Antiqua"/>
          <w:color w:val="000000"/>
        </w:rPr>
        <w:t>NICE</w:t>
      </w:r>
      <w:r w:rsidRPr="004E727A">
        <w:rPr>
          <w:rFonts w:ascii="Book Antiqua" w:eastAsia="Book Antiqua" w:hAnsi="Book Antiqua" w:cs="Book Antiqua"/>
          <w:color w:val="000000"/>
          <w:shd w:val="clear" w:color="auto" w:fill="FFFFFF"/>
        </w:rPr>
        <w:t>)-modified diet</w:t>
      </w:r>
      <w:r w:rsidRPr="004E727A">
        <w:rPr>
          <w:rFonts w:ascii="Book Antiqua" w:eastAsia="Book Antiqua" w:hAnsi="Book Antiqua" w:cs="Book Antiqua"/>
          <w:color w:val="000000"/>
        </w:rPr>
        <w:t>. The RCT of Holster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[25]</w:t>
      </w:r>
      <w:r w:rsidR="005E19E6" w:rsidRPr="004E727A">
        <w:rPr>
          <w:rFonts w:ascii="Book Antiqua" w:hAnsi="Book Antiqua" w:cs="Book Antiqua"/>
          <w:i/>
          <w:iCs/>
          <w:color w:val="000000"/>
          <w:lang w:eastAsia="zh-CN"/>
        </w:rPr>
        <w:t xml:space="preserve"> </w:t>
      </w:r>
      <w:r w:rsidRPr="004E727A">
        <w:rPr>
          <w:rFonts w:ascii="Book Antiqua" w:eastAsia="Book Antiqua" w:hAnsi="Book Antiqua" w:cs="Book Antiqua"/>
          <w:color w:val="000000"/>
        </w:rPr>
        <w:t>included patients with low amounts of fecal butyrate-producing bacteria.</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Holvoet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xml:space="preserve"> only included refractory patients with severe bloating who had failed to respond to at least three conventional therapies for IBS.</w:t>
      </w:r>
    </w:p>
    <w:p w14:paraId="145E121F" w14:textId="77777777" w:rsidR="00A77B3E" w:rsidRPr="004E727A" w:rsidRDefault="00A77B3E">
      <w:pPr>
        <w:spacing w:line="360" w:lineRule="auto"/>
        <w:jc w:val="both"/>
        <w:rPr>
          <w:rFonts w:ascii="Book Antiqua" w:hAnsi="Book Antiqua"/>
        </w:rPr>
      </w:pPr>
    </w:p>
    <w:p w14:paraId="77E9DC37"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t>Route of administration and dose of the fecal transplant</w:t>
      </w:r>
    </w:p>
    <w:p w14:paraId="61B22995" w14:textId="77777777" w:rsidR="00A77B3E" w:rsidRPr="004E727A" w:rsidRDefault="00737FE9" w:rsidP="005E19E6">
      <w:pPr>
        <w:spacing w:line="360" w:lineRule="auto"/>
        <w:jc w:val="both"/>
        <w:rPr>
          <w:rFonts w:ascii="Book Antiqua" w:hAnsi="Book Antiqua"/>
        </w:rPr>
      </w:pPr>
      <w:bookmarkStart w:id="17" w:name="OLE_LINK43"/>
      <w:bookmarkStart w:id="18" w:name="OLE_LINK44"/>
      <w:r w:rsidRPr="004E727A">
        <w:rPr>
          <w:rFonts w:ascii="Book Antiqua" w:eastAsia="Book Antiqua" w:hAnsi="Book Antiqua" w:cs="Book Antiqua"/>
          <w:color w:val="000000"/>
        </w:rPr>
        <w:t xml:space="preserve">The fecal transplant can be administered either to the small intestine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the working channel of a gastroscope or a nasojejunal probe</w:t>
      </w:r>
      <w:bookmarkEnd w:id="17"/>
      <w:bookmarkEnd w:id="18"/>
      <w:r w:rsidRPr="004E727A">
        <w:rPr>
          <w:rFonts w:ascii="Book Antiqua" w:eastAsia="Book Antiqua" w:hAnsi="Book Antiqua" w:cs="Book Antiqua"/>
          <w:color w:val="000000"/>
        </w:rPr>
        <w:t xml:space="preserve">, or to the large intestine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the working channel of a colonosc</w:t>
      </w:r>
      <w:r w:rsidR="005D352F" w:rsidRPr="004E727A">
        <w:rPr>
          <w:rFonts w:ascii="Book Antiqua" w:eastAsia="Book Antiqua" w:hAnsi="Book Antiqua" w:cs="Book Antiqua"/>
          <w:color w:val="000000"/>
        </w:rPr>
        <w:t xml:space="preserve">ope (Figures </w:t>
      </w:r>
      <w:r w:rsidR="005D352F" w:rsidRPr="004E727A">
        <w:rPr>
          <w:rFonts w:ascii="Book Antiqua" w:hAnsi="Book Antiqua" w:cs="Book Antiqua"/>
          <w:color w:val="000000"/>
          <w:lang w:eastAsia="zh-CN"/>
        </w:rPr>
        <w:t>4</w:t>
      </w:r>
      <w:r w:rsidR="005D352F" w:rsidRPr="004E727A">
        <w:rPr>
          <w:rFonts w:ascii="Book Antiqua" w:eastAsia="Book Antiqua" w:hAnsi="Book Antiqua" w:cs="Book Antiqua"/>
          <w:color w:val="000000"/>
        </w:rPr>
        <w:t xml:space="preserve"> and </w:t>
      </w:r>
      <w:r w:rsidR="005D352F" w:rsidRPr="004E727A">
        <w:rPr>
          <w:rFonts w:ascii="Book Antiqua" w:hAnsi="Book Antiqua" w:cs="Book Antiqua"/>
          <w:color w:val="000000"/>
          <w:lang w:eastAsia="zh-CN"/>
        </w:rPr>
        <w:t>5</w:t>
      </w:r>
      <w:r w:rsidRPr="004E727A">
        <w:rPr>
          <w:rFonts w:ascii="Book Antiqua" w:eastAsia="Book Antiqua" w:hAnsi="Book Antiqua" w:cs="Book Antiqua"/>
          <w:color w:val="000000"/>
        </w:rPr>
        <w:t>)</w:t>
      </w:r>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Administering the fecal transplant to either the small or large intestine seems to be effective</w:t>
      </w:r>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However, a placebo effect was evident in 43</w:t>
      </w:r>
      <w:r w:rsidR="005E19E6" w:rsidRPr="004E727A">
        <w:rPr>
          <w:rFonts w:ascii="Book Antiqua" w:hAnsi="Book Antiqua" w:cs="Book Antiqua"/>
          <w:color w:val="000000"/>
          <w:lang w:eastAsia="zh-CN"/>
        </w:rPr>
        <w:t>%-</w:t>
      </w:r>
      <w:r w:rsidRPr="004E727A">
        <w:rPr>
          <w:rFonts w:ascii="Book Antiqua" w:eastAsia="Book Antiqua" w:hAnsi="Book Antiqua" w:cs="Book Antiqua"/>
          <w:color w:val="000000"/>
        </w:rPr>
        <w:t>44% and 23.6</w:t>
      </w:r>
      <w:r w:rsidR="005E19E6" w:rsidRPr="004E727A">
        <w:rPr>
          <w:rFonts w:ascii="Book Antiqua" w:hAnsi="Book Antiqua" w:cs="Book Antiqua"/>
          <w:color w:val="000000"/>
          <w:lang w:eastAsia="zh-CN"/>
        </w:rPr>
        <w:t>%-</w:t>
      </w:r>
      <w:r w:rsidRPr="004E727A">
        <w:rPr>
          <w:rFonts w:ascii="Book Antiqua" w:eastAsia="Book Antiqua" w:hAnsi="Book Antiqua" w:cs="Book Antiqua"/>
          <w:color w:val="000000"/>
        </w:rPr>
        <w:t>26% of the patients that received the fecal transplant into the large and small intestine, respectively</w:t>
      </w:r>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This placebo effect might have been greater in patients that received fecal transplant into the colon due to the favorable effect of the bowel preparation needed for a colonoscopy on IBS symptoms</w:t>
      </w:r>
      <w:r w:rsidRPr="004E727A">
        <w:rPr>
          <w:rFonts w:ascii="Book Antiqua" w:eastAsia="Book Antiqua" w:hAnsi="Book Antiqua" w:cs="Book Antiqua"/>
          <w:color w:val="000000"/>
          <w:szCs w:val="30"/>
          <w:vertAlign w:val="superscript"/>
        </w:rPr>
        <w:t>[52]</w:t>
      </w:r>
      <w:r w:rsidRPr="004E727A">
        <w:rPr>
          <w:rFonts w:ascii="Book Antiqua" w:eastAsia="Book Antiqua" w:hAnsi="Book Antiqua" w:cs="Book Antiqua"/>
          <w:color w:val="000000"/>
        </w:rPr>
        <w:t>.</w:t>
      </w:r>
    </w:p>
    <w:p w14:paraId="0AF21FDC" w14:textId="69FBBF01" w:rsidR="00A77B3E" w:rsidRPr="004E727A" w:rsidRDefault="00737FE9" w:rsidP="005E19E6">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 xml:space="preserve">While administering fecal transplants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capsule ingestion has been effective in CDI, it was unsuccessful in IBS</w:t>
      </w:r>
      <w:r w:rsidR="005E19E6" w:rsidRPr="004E727A">
        <w:rPr>
          <w:rFonts w:ascii="Book Antiqua" w:eastAsia="Book Antiqua" w:hAnsi="Book Antiqua" w:cs="Book Antiqua"/>
          <w:color w:val="000000"/>
          <w:szCs w:val="30"/>
          <w:vertAlign w:val="superscript"/>
        </w:rPr>
        <w:t>[23,24,</w:t>
      </w:r>
      <w:r w:rsidRPr="004E727A">
        <w:rPr>
          <w:rFonts w:ascii="Book Antiqua" w:eastAsia="Book Antiqua" w:hAnsi="Book Antiqua" w:cs="Book Antiqua"/>
          <w:color w:val="000000"/>
          <w:szCs w:val="30"/>
          <w:vertAlign w:val="superscript"/>
        </w:rPr>
        <w:t>53]</w:t>
      </w:r>
      <w:r w:rsidRPr="004E727A">
        <w:rPr>
          <w:rFonts w:ascii="Book Antiqua" w:eastAsia="Book Antiqua" w:hAnsi="Book Antiqua" w:cs="Book Antiqua"/>
          <w:color w:val="000000"/>
        </w:rPr>
        <w:t>. This is could be due to the selection of the donor, a low transplant dose, or pooling of the donors rather than the mode of administration</w:t>
      </w:r>
      <w:r w:rsidR="005E19E6"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szCs w:val="30"/>
          <w:vertAlign w:val="superscript"/>
        </w:rPr>
        <w:t>24</w:t>
      </w:r>
      <w:r w:rsidRPr="00081F21">
        <w:rPr>
          <w:rFonts w:ascii="Book Antiqua" w:eastAsia="Book Antiqua" w:hAnsi="Book Antiqua" w:cs="Book Antiqua"/>
          <w:color w:val="000000"/>
          <w:szCs w:val="30"/>
          <w:vertAlign w:val="superscript"/>
        </w:rPr>
        <w:t>]</w:t>
      </w:r>
      <w:r w:rsidRPr="0038405F">
        <w:rPr>
          <w:rFonts w:ascii="Book Antiqua" w:eastAsia="Book Antiqua" w:hAnsi="Book Antiqua" w:cs="Book Antiqua"/>
          <w:color w:val="000000"/>
        </w:rPr>
        <w:t>.</w:t>
      </w:r>
    </w:p>
    <w:p w14:paraId="05BCEF87" w14:textId="77777777" w:rsidR="00A77B3E" w:rsidRPr="004E727A" w:rsidRDefault="00737FE9" w:rsidP="005E19E6">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The dose of the fecal transplant seems to significantly affect the outcome of FMT, with a</w:t>
      </w:r>
      <w:r w:rsidRPr="004E727A">
        <w:rPr>
          <w:rFonts w:ascii="Book Antiqua" w:eastAsia="Book Antiqua" w:hAnsi="Book Antiqua" w:cs="Book Antiqua"/>
          <w:color w:val="000000"/>
          <w:shd w:val="clear" w:color="auto" w:fill="FFFFFF"/>
        </w:rPr>
        <w:t> dose–dependent response a</w:t>
      </w:r>
      <w:r w:rsidR="005D352F" w:rsidRPr="004E727A">
        <w:rPr>
          <w:rFonts w:ascii="Book Antiqua" w:eastAsia="Book Antiqua" w:hAnsi="Book Antiqua" w:cs="Book Antiqua"/>
          <w:color w:val="000000"/>
          <w:shd w:val="clear" w:color="auto" w:fill="FFFFFF"/>
        </w:rPr>
        <w:t xml:space="preserve">ppearing to be present (Figure </w:t>
      </w:r>
      <w:r w:rsidR="005D352F" w:rsidRPr="004E727A">
        <w:rPr>
          <w:rFonts w:ascii="Book Antiqua" w:hAnsi="Book Antiqua" w:cs="Book Antiqua"/>
          <w:color w:val="000000"/>
          <w:shd w:val="clear" w:color="auto" w:fill="FFFFFF"/>
          <w:lang w:eastAsia="zh-CN"/>
        </w:rPr>
        <w:t>1</w:t>
      </w:r>
      <w:r w:rsidRPr="004E727A">
        <w:rPr>
          <w:rFonts w:ascii="Book Antiqua" w:eastAsia="Book Antiqua" w:hAnsi="Book Antiqua" w:cs="Book Antiqua"/>
          <w:color w:val="000000"/>
          <w:shd w:val="clear" w:color="auto" w:fill="FFFFFF"/>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This was confirmed by 70% of patients that did not respond to 30-g FMT </w:t>
      </w:r>
      <w:r w:rsidR="005D352F" w:rsidRPr="004E727A">
        <w:rPr>
          <w:rFonts w:ascii="Book Antiqua" w:eastAsia="Book Antiqua" w:hAnsi="Book Antiqua" w:cs="Book Antiqua"/>
          <w:color w:val="000000"/>
        </w:rPr>
        <w:t>responding to 60-g FMT (Figure </w:t>
      </w:r>
      <w:r w:rsidR="005D352F" w:rsidRPr="004E727A">
        <w:rPr>
          <w:rFonts w:ascii="Book Antiqua" w:hAnsi="Book Antiqua" w:cs="Book Antiqua"/>
          <w:color w:val="000000"/>
          <w:lang w:eastAsia="zh-CN"/>
        </w:rPr>
        <w:t>6</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[54]</w:t>
      </w:r>
      <w:r w:rsidRPr="004E727A">
        <w:rPr>
          <w:rFonts w:ascii="Book Antiqua" w:eastAsia="Book Antiqua" w:hAnsi="Book Antiqua" w:cs="Book Antiqua"/>
          <w:color w:val="000000"/>
        </w:rPr>
        <w:t>.</w:t>
      </w:r>
      <w:r w:rsidRPr="004E727A">
        <w:rPr>
          <w:rFonts w:ascii="Book Antiqua" w:eastAsia="Book Antiqua" w:hAnsi="Book Antiqua" w:cs="Book Antiqua"/>
          <w:color w:val="000000"/>
          <w:shd w:val="clear" w:color="auto" w:fill="FFFFFF"/>
        </w:rPr>
        <w:t> All but two of the RCTs of FMT for IBS used a dose of at least 30 g</w:t>
      </w:r>
      <w:r w:rsidR="005E19E6" w:rsidRPr="004E727A">
        <w:rPr>
          <w:rFonts w:ascii="Book Antiqua" w:eastAsia="Book Antiqua" w:hAnsi="Book Antiqua" w:cs="Book Antiqua"/>
          <w:color w:val="000000"/>
          <w:szCs w:val="30"/>
          <w:shd w:val="clear" w:color="auto" w:fill="FFFFFF"/>
          <w:vertAlign w:val="superscript"/>
        </w:rPr>
        <w:t>[11,22,23,25,</w:t>
      </w:r>
      <w:r w:rsidRPr="004E727A">
        <w:rPr>
          <w:rFonts w:ascii="Book Antiqua" w:eastAsia="Book Antiqua" w:hAnsi="Book Antiqua" w:cs="Book Antiqua"/>
          <w:color w:val="000000"/>
          <w:szCs w:val="30"/>
          <w:shd w:val="clear" w:color="auto" w:fill="FFFFFF"/>
          <w:vertAlign w:val="superscript"/>
        </w:rPr>
        <w:t>26]</w:t>
      </w:r>
      <w:r w:rsidRPr="004E727A">
        <w:rPr>
          <w:rFonts w:ascii="Book Antiqua" w:eastAsia="Book Antiqua" w:hAnsi="Book Antiqua" w:cs="Book Antiqua"/>
          <w:color w:val="000000"/>
        </w:rPr>
        <w:t>; in the remaining </w:t>
      </w:r>
      <w:r w:rsidRPr="004E727A">
        <w:rPr>
          <w:rFonts w:ascii="Book Antiqua" w:eastAsia="Book Antiqua" w:hAnsi="Book Antiqua" w:cs="Book Antiqua"/>
          <w:color w:val="000000"/>
          <w:shd w:val="clear" w:color="auto" w:fill="FFFFFF"/>
        </w:rPr>
        <w:t>two studies the dose was either lower than 30 g or not specified</w:t>
      </w:r>
      <w:r w:rsidR="005E19E6" w:rsidRPr="004E727A">
        <w:rPr>
          <w:rFonts w:ascii="Book Antiqua" w:eastAsia="Book Antiqua" w:hAnsi="Book Antiqua" w:cs="Book Antiqua"/>
          <w:color w:val="000000"/>
          <w:szCs w:val="30"/>
          <w:shd w:val="clear" w:color="auto" w:fill="FFFFFF"/>
          <w:vertAlign w:val="superscript"/>
        </w:rPr>
        <w:t>[24,</w:t>
      </w:r>
      <w:r w:rsidRPr="004E727A">
        <w:rPr>
          <w:rFonts w:ascii="Book Antiqua" w:eastAsia="Book Antiqua" w:hAnsi="Book Antiqua" w:cs="Book Antiqua"/>
          <w:color w:val="000000"/>
          <w:szCs w:val="30"/>
          <w:shd w:val="clear" w:color="auto" w:fill="FFFFFF"/>
          <w:vertAlign w:val="superscript"/>
        </w:rPr>
        <w:t>27]</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Further investigations are needed to evaluate t</w:t>
      </w:r>
      <w:r w:rsidRPr="004E727A">
        <w:rPr>
          <w:rFonts w:ascii="Book Antiqua" w:eastAsia="Book Antiqua" w:hAnsi="Book Antiqua" w:cs="Book Antiqua"/>
          <w:color w:val="000000"/>
          <w:shd w:val="clear" w:color="auto" w:fill="FFFFFF"/>
        </w:rPr>
        <w:t>he efficacy </w:t>
      </w:r>
      <w:r w:rsidRPr="004E727A">
        <w:rPr>
          <w:rFonts w:ascii="Book Antiqua" w:eastAsia="Book Antiqua" w:hAnsi="Book Antiqua" w:cs="Book Antiqua"/>
          <w:color w:val="000000"/>
        </w:rPr>
        <w:t xml:space="preserve">single </w:t>
      </w:r>
      <w:r w:rsidRPr="004E727A">
        <w:rPr>
          <w:rFonts w:ascii="Book Antiqua" w:eastAsia="Book Antiqua" w:hAnsi="Book Antiqua" w:cs="Book Antiqua"/>
          <w:i/>
          <w:iCs/>
          <w:color w:val="000000"/>
        </w:rPr>
        <w:t>vs</w:t>
      </w:r>
      <w:r w:rsidRPr="004E727A">
        <w:rPr>
          <w:rFonts w:ascii="Book Antiqua" w:eastAsia="Book Antiqua" w:hAnsi="Book Antiqua" w:cs="Book Antiqua"/>
          <w:color w:val="000000"/>
        </w:rPr>
        <w:t xml:space="preserve"> repeated transplantation.</w:t>
      </w:r>
    </w:p>
    <w:p w14:paraId="3C3DAECA" w14:textId="77777777" w:rsidR="00A77B3E" w:rsidRPr="004E727A" w:rsidRDefault="00A77B3E">
      <w:pPr>
        <w:spacing w:line="360" w:lineRule="auto"/>
        <w:jc w:val="both"/>
        <w:rPr>
          <w:rFonts w:ascii="Book Antiqua" w:hAnsi="Book Antiqua"/>
        </w:rPr>
      </w:pPr>
    </w:p>
    <w:p w14:paraId="25673D5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CHANGES IN BACTERIAL AND FERMENTATION PROFILES AFTER FMT</w:t>
      </w:r>
    </w:p>
    <w:p w14:paraId="04A846A3" w14:textId="2D212E7E"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In the RCT of El-Salhy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[11,55]</w:t>
      </w:r>
      <w:r w:rsidRPr="004E727A">
        <w:rPr>
          <w:rFonts w:ascii="Book Antiqua" w:eastAsia="Book Antiqua" w:hAnsi="Book Antiqua" w:cs="Book Antiqua"/>
          <w:color w:val="000000"/>
        </w:rPr>
        <w:t xml:space="preserve"> in which FMT was most effective, the severity of dysbiosis did not differ significantly between the placebo and active treated groups after 1 mo, but it was reduced significantly after 1 year. One month after FMT, the bacterial profile changed significantly in the active treated groups compared </w:t>
      </w:r>
      <w:r w:rsidR="005D352F" w:rsidRPr="004E727A">
        <w:rPr>
          <w:rFonts w:ascii="Book Antiqua" w:eastAsia="Book Antiqua" w:hAnsi="Book Antiqua" w:cs="Book Antiqua"/>
          <w:color w:val="000000"/>
        </w:rPr>
        <w:t>with the placebo group (Figure </w:t>
      </w:r>
      <w:r w:rsidR="005D352F" w:rsidRPr="004E727A">
        <w:rPr>
          <w:rFonts w:ascii="Book Antiqua" w:hAnsi="Book Antiqua" w:cs="Book Antiqua"/>
          <w:color w:val="000000"/>
          <w:lang w:eastAsia="zh-CN"/>
        </w:rPr>
        <w:t>7</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Higher signals for </w:t>
      </w:r>
      <w:r w:rsidRPr="004E727A">
        <w:rPr>
          <w:rFonts w:ascii="Book Antiqua" w:eastAsia="Book Antiqua" w:hAnsi="Book Antiqua" w:cs="Book Antiqua"/>
          <w:i/>
          <w:iCs/>
          <w:color w:val="000000"/>
        </w:rPr>
        <w:t>Eubacterium biforme</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and </w:t>
      </w:r>
      <w:r w:rsidRPr="004E727A">
        <w:rPr>
          <w:rFonts w:ascii="Book Antiqua" w:eastAsia="Book Antiqua" w:hAnsi="Book Antiqua" w:cs="Book Antiqua"/>
          <w:i/>
          <w:iCs/>
          <w:color w:val="000000"/>
        </w:rPr>
        <w:t>Alistipes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and lower signals for </w:t>
      </w:r>
      <w:r w:rsidRPr="004E727A">
        <w:rPr>
          <w:rFonts w:ascii="Book Antiqua" w:eastAsia="Book Antiqua" w:hAnsi="Book Antiqua" w:cs="Book Antiqua"/>
          <w:i/>
          <w:iCs/>
          <w:color w:val="000000"/>
        </w:rPr>
        <w:t>Bacteroides</w:t>
      </w:r>
      <w:r w:rsidRPr="004E727A">
        <w:rPr>
          <w:rFonts w:ascii="Book Antiqua" w:eastAsia="Book Antiqua" w:hAnsi="Book Antiqua" w:cs="Book Antiqua"/>
          <w:b/>
          <w:bCs/>
          <w:i/>
          <w:iCs/>
          <w:color w:val="000000"/>
        </w:rPr>
        <w:t> </w:t>
      </w:r>
      <w:r w:rsidR="0023737F" w:rsidRPr="004E727A">
        <w:rPr>
          <w:rFonts w:ascii="Book Antiqua" w:eastAsia="Book Antiqua" w:hAnsi="Book Antiqua" w:cs="Book Antiqua"/>
          <w:color w:val="000000"/>
        </w:rPr>
        <w:t>spp. were observed at 1 mo</w:t>
      </w:r>
      <w:r w:rsidRPr="004E727A">
        <w:rPr>
          <w:rFonts w:ascii="Book Antiqua" w:eastAsia="Book Antiqua" w:hAnsi="Book Antiqua" w:cs="Book Antiqua"/>
          <w:color w:val="000000"/>
        </w:rPr>
        <w:t xml:space="preserve"> after FMT in the</w:t>
      </w:r>
      <w:r w:rsidR="005D352F" w:rsidRPr="004E727A">
        <w:rPr>
          <w:rFonts w:ascii="Book Antiqua" w:eastAsia="Book Antiqua" w:hAnsi="Book Antiqua" w:cs="Book Antiqua"/>
          <w:color w:val="000000"/>
        </w:rPr>
        <w:t xml:space="preserve"> active treated groups (Figure </w:t>
      </w:r>
      <w:r w:rsidR="005D352F" w:rsidRPr="004E727A">
        <w:rPr>
          <w:rFonts w:ascii="Book Antiqua" w:hAnsi="Book Antiqua" w:cs="Book Antiqua"/>
          <w:color w:val="000000"/>
          <w:lang w:eastAsia="zh-CN"/>
        </w:rPr>
        <w:t>8</w:t>
      </w:r>
      <w:r w:rsidRPr="004E727A">
        <w:rPr>
          <w:rFonts w:ascii="Book Antiqua" w:eastAsia="Book Antiqua" w:hAnsi="Book Antiqua" w:cs="Book Antiqua"/>
          <w:color w:val="000000"/>
        </w:rPr>
        <w:t xml:space="preserve">) but not </w:t>
      </w:r>
      <w:r w:rsidR="005D352F" w:rsidRPr="004E727A">
        <w:rPr>
          <w:rFonts w:ascii="Book Antiqua" w:eastAsia="Book Antiqua" w:hAnsi="Book Antiqua" w:cs="Book Antiqua"/>
          <w:color w:val="000000"/>
        </w:rPr>
        <w:t xml:space="preserve">in the placebo group (Figures </w:t>
      </w:r>
      <w:r w:rsidR="005D352F" w:rsidRPr="004E727A">
        <w:rPr>
          <w:rFonts w:ascii="Book Antiqua" w:hAnsi="Book Antiqua" w:cs="Book Antiqua"/>
          <w:color w:val="000000"/>
          <w:lang w:eastAsia="zh-CN"/>
        </w:rPr>
        <w:t>9</w:t>
      </w:r>
      <w:r w:rsidR="005D352F" w:rsidRPr="004E727A">
        <w:rPr>
          <w:rFonts w:ascii="Book Antiqua" w:eastAsia="Book Antiqua" w:hAnsi="Book Antiqua" w:cs="Book Antiqua"/>
          <w:color w:val="000000"/>
        </w:rPr>
        <w:t>–1</w:t>
      </w:r>
      <w:r w:rsidR="005D352F" w:rsidRPr="004E727A">
        <w:rPr>
          <w:rFonts w:ascii="Book Antiqua" w:hAnsi="Book Antiqua" w:cs="Book Antiqua"/>
          <w:color w:val="000000"/>
          <w:lang w:eastAsia="zh-CN"/>
        </w:rPr>
        <w:t>2</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The IBS </w:t>
      </w:r>
      <w:bookmarkStart w:id="19" w:name="OLE_LINK41"/>
      <w:bookmarkStart w:id="20" w:name="OLE_LINK42"/>
      <w:bookmarkStart w:id="21" w:name="OLE_LINK80"/>
      <w:r w:rsidR="009F0E54" w:rsidRPr="004E727A">
        <w:rPr>
          <w:rFonts w:ascii="Book Antiqua" w:eastAsia="Book Antiqua" w:hAnsi="Book Antiqua" w:cs="Book Antiqua"/>
          <w:color w:val="000000"/>
        </w:rPr>
        <w:t>severity scoring system</w:t>
      </w:r>
      <w:bookmarkEnd w:id="19"/>
      <w:bookmarkEnd w:id="20"/>
      <w:bookmarkEnd w:id="21"/>
      <w:r w:rsidRPr="004E727A">
        <w:rPr>
          <w:rFonts w:ascii="Book Antiqua" w:eastAsia="Book Antiqua" w:hAnsi="Book Antiqua" w:cs="Book Antiqua"/>
          <w:color w:val="000000"/>
        </w:rPr>
        <w:t xml:space="preserve"> (IBS-SSS) score was significantly correlated with the signals of </w:t>
      </w:r>
      <w:r w:rsidRPr="004E727A">
        <w:rPr>
          <w:rFonts w:ascii="Book Antiqua" w:eastAsia="Book Antiqua" w:hAnsi="Book Antiqua" w:cs="Book Antiqua"/>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0.002, </w:t>
      </w:r>
      <w:r w:rsidRPr="004E727A">
        <w:rPr>
          <w:rFonts w:ascii="Book Antiqua" w:eastAsia="Book Antiqua" w:hAnsi="Book Antiqua" w:cs="Book Antiqua"/>
          <w:i/>
          <w:color w:val="000000"/>
        </w:rPr>
        <w:t>r</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and </w:t>
      </w:r>
      <w:r w:rsidRPr="004E727A">
        <w:rPr>
          <w:rFonts w:ascii="Book Antiqua" w:eastAsia="Book Antiqua" w:hAnsi="Book Antiqua" w:cs="Book Antiqua"/>
          <w:i/>
          <w:iCs/>
          <w:color w:val="000000"/>
        </w:rPr>
        <w:t>Alistipes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0.001, </w:t>
      </w:r>
      <w:r w:rsidRPr="004E727A">
        <w:rPr>
          <w:rFonts w:ascii="Book Antiqua" w:eastAsia="Book Antiqua" w:hAnsi="Book Antiqua" w:cs="Book Antiqua"/>
          <w:i/>
          <w:color w:val="000000"/>
        </w:rPr>
        <w:t>r</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but not with those of </w:t>
      </w:r>
      <w:r w:rsidRPr="004E727A">
        <w:rPr>
          <w:rFonts w:ascii="Book Antiqua" w:eastAsia="Book Antiqua" w:hAnsi="Book Antiqua" w:cs="Book Antiqua"/>
          <w:i/>
          <w:iCs/>
          <w:color w:val="000000"/>
        </w:rPr>
        <w:t>Eubacterium biforme</w:t>
      </w:r>
      <w:r w:rsidRPr="004E727A">
        <w:rPr>
          <w:rFonts w:ascii="Book Antiqua" w:eastAsia="Book Antiqua" w:hAnsi="Book Antiqua" w:cs="Book Antiqua"/>
          <w:color w:val="000000"/>
        </w:rPr>
        <w:t>(</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0.754,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0.03) or </w:t>
      </w:r>
      <w:r w:rsidRPr="004E727A">
        <w:rPr>
          <w:rFonts w:ascii="Book Antiqua" w:eastAsia="Book Antiqua" w:hAnsi="Book Antiqua" w:cs="Book Antiqua"/>
          <w:i/>
          <w:iCs/>
          <w:color w:val="000000"/>
        </w:rPr>
        <w:t>Bacteroides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0.458,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0.06)</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The signals of nine bacteria had changed at 1 year after FMT</w:t>
      </w:r>
      <w:r w:rsidR="00D671D1" w:rsidRPr="004E727A">
        <w:rPr>
          <w:rFonts w:ascii="Book Antiqua" w:hAnsi="Book Antiqua" w:cs="Book Antiqua"/>
          <w:color w:val="000000"/>
          <w:lang w:eastAsia="zh-CN"/>
        </w:rPr>
        <w:t xml:space="preserve"> </w:t>
      </w:r>
      <w:r w:rsidR="005D352F" w:rsidRPr="004E727A">
        <w:rPr>
          <w:rFonts w:ascii="Book Antiqua" w:eastAsia="Book Antiqua" w:hAnsi="Book Antiqua" w:cs="Book Antiqua"/>
          <w:color w:val="000000"/>
        </w:rPr>
        <w:t>(Figure 1</w:t>
      </w:r>
      <w:r w:rsidR="005D352F" w:rsidRPr="004E727A">
        <w:rPr>
          <w:rFonts w:ascii="Book Antiqua" w:hAnsi="Book Antiqua" w:cs="Book Antiqua"/>
          <w:color w:val="000000"/>
          <w:lang w:eastAsia="zh-CN"/>
        </w:rPr>
        <w:t>3</w:t>
      </w:r>
      <w:r w:rsidRPr="004E727A">
        <w:rPr>
          <w:rFonts w:ascii="Book Antiqua" w:eastAsia="Book Antiqua" w:hAnsi="Book Antiqua" w:cs="Book Antiqua"/>
          <w:color w:val="000000"/>
        </w:rPr>
        <w:t>)</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whereas the signals of </w:t>
      </w:r>
      <w:r w:rsidRPr="004E727A">
        <w:rPr>
          <w:rFonts w:ascii="Book Antiqua" w:eastAsia="Book Antiqua" w:hAnsi="Book Antiqua" w:cs="Book Antiqua"/>
          <w:i/>
          <w:iCs/>
          <w:color w:val="000000"/>
        </w:rPr>
        <w:t>Bacteroides</w:t>
      </w:r>
      <w:r w:rsidRPr="004E727A">
        <w:rPr>
          <w:rFonts w:ascii="Book Antiqua" w:eastAsia="Book Antiqua" w:hAnsi="Book Antiqua" w:cs="Book Antiqua"/>
          <w:color w:val="000000"/>
        </w:rPr>
        <w:t> 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Prevotella</w:t>
      </w:r>
      <w:r w:rsidRPr="004E727A">
        <w:rPr>
          <w:rFonts w:ascii="Book Antiqua" w:eastAsia="Book Antiqua" w:hAnsi="Book Antiqua" w:cs="Book Antiqua"/>
          <w:color w:val="000000"/>
        </w:rPr>
        <w:t> 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w:t>
      </w:r>
      <w:r w:rsidRPr="004E727A">
        <w:rPr>
          <w:rFonts w:ascii="Book Antiqua" w:eastAsia="Book Antiqua" w:hAnsi="Book Antiqua" w:cs="Book Antiqua"/>
          <w:i/>
          <w:iCs/>
          <w:color w:val="000000"/>
        </w:rPr>
        <w:t> Bacteroides stercoris</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i/>
          <w:iCs/>
          <w:color w:val="000000"/>
        </w:rPr>
        <w:t>Parabacteroides</w:t>
      </w:r>
      <w:r w:rsidRPr="004E727A">
        <w:rPr>
          <w:rFonts w:ascii="Book Antiqua" w:eastAsia="Book Antiqua" w:hAnsi="Book Antiqua" w:cs="Book Antiqua"/>
          <w:color w:val="000000"/>
        </w:rPr>
        <w:t> spp., and </w:t>
      </w:r>
      <w:r w:rsidRPr="004E727A">
        <w:rPr>
          <w:rFonts w:ascii="Book Antiqua" w:eastAsia="Book Antiqua" w:hAnsi="Book Antiqua" w:cs="Book Antiqua"/>
          <w:i/>
          <w:iCs/>
          <w:color w:val="000000"/>
        </w:rPr>
        <w:t>Bacteroides zoogleoformans</w:t>
      </w:r>
      <w:r w:rsidR="00157B36" w:rsidRPr="004E727A">
        <w:rPr>
          <w:rFonts w:ascii="Book Antiqua" w:eastAsia="Book Antiqua" w:hAnsi="Book Antiqua" w:cs="Book Antiqua"/>
          <w:i/>
          <w:iCs/>
          <w:color w:val="000000"/>
        </w:rPr>
        <w:t xml:space="preserve"> </w:t>
      </w:r>
      <w:r w:rsidRPr="004E727A">
        <w:rPr>
          <w:rFonts w:ascii="Book Antiqua" w:eastAsia="Book Antiqua" w:hAnsi="Book Antiqua" w:cs="Book Antiqua"/>
          <w:color w:val="000000"/>
        </w:rPr>
        <w:t>were</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significantly higher than those at the baseline,</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the signals of</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i/>
          <w:iCs/>
          <w:color w:val="000000"/>
        </w:rPr>
        <w:t>Streptococcus salivarius </w:t>
      </w:r>
      <w:r w:rsidRPr="004E727A">
        <w:rPr>
          <w:rFonts w:ascii="Book Antiqua" w:eastAsia="Book Antiqua" w:hAnsi="Book Antiqua" w:cs="Book Antiqua"/>
          <w:color w:val="000000"/>
        </w:rPr>
        <w:t>ssp.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thermophilus,</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Shigella</w:t>
      </w:r>
      <w:r w:rsidRPr="004E727A">
        <w:rPr>
          <w:rFonts w:ascii="Book Antiqua" w:eastAsia="Book Antiqua" w:hAnsi="Book Antiqua" w:cs="Book Antiqua"/>
          <w:color w:val="000000"/>
        </w:rPr>
        <w:t> spp., </w:t>
      </w:r>
      <w:r w:rsidRPr="004E727A">
        <w:rPr>
          <w:rFonts w:ascii="Book Antiqua" w:eastAsia="Book Antiqua" w:hAnsi="Book Antiqua" w:cs="Book Antiqua"/>
          <w:i/>
          <w:iCs/>
          <w:color w:val="000000"/>
        </w:rPr>
        <w:t>Escherichia</w:t>
      </w:r>
      <w:r w:rsidRPr="004E727A">
        <w:rPr>
          <w:rFonts w:ascii="Book Antiqua" w:eastAsia="Book Antiqua" w:hAnsi="Book Antiqua" w:cs="Book Antiqua"/>
          <w:color w:val="000000"/>
        </w:rPr>
        <w:t> spp., </w:t>
      </w:r>
      <w:r w:rsidRPr="004E727A">
        <w:rPr>
          <w:rFonts w:ascii="Book Antiqua" w:eastAsia="Book Antiqua" w:hAnsi="Book Antiqua" w:cs="Book Antiqua"/>
          <w:i/>
          <w:iCs/>
          <w:color w:val="000000"/>
        </w:rPr>
        <w:t>Eubacterium hallii</w:t>
      </w:r>
      <w:r w:rsidRPr="004E727A">
        <w:rPr>
          <w:rFonts w:ascii="Book Antiqua" w:eastAsia="Book Antiqua" w:hAnsi="Book Antiqua" w:cs="Book Antiqua"/>
          <w:color w:val="000000"/>
        </w:rPr>
        <w:t>, and</w:t>
      </w:r>
      <w:r w:rsidRPr="004E727A">
        <w:rPr>
          <w:rFonts w:ascii="Book Antiqua" w:eastAsia="Book Antiqua" w:hAnsi="Book Antiqua" w:cs="Book Antiqua"/>
          <w:i/>
          <w:iCs/>
          <w:color w:val="000000"/>
        </w:rPr>
        <w:t> Dorea</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were significantly lower than those at the baseline. The signals of the following six of these bacteria were correlated with IBS-SSS total scores:</w:t>
      </w:r>
      <w:r w:rsidRPr="004E727A">
        <w:rPr>
          <w:rFonts w:ascii="Book Antiqua" w:eastAsia="Book Antiqua" w:hAnsi="Book Antiqua" w:cs="Book Antiqua"/>
          <w:i/>
          <w:iCs/>
          <w:color w:val="000000"/>
        </w:rPr>
        <w:t> Bacteroides</w:t>
      </w:r>
      <w:r w:rsidRPr="004E727A">
        <w:rPr>
          <w:rFonts w:ascii="Book Antiqua" w:eastAsia="Book Antiqua" w:hAnsi="Book Antiqua" w:cs="Book Antiqua"/>
          <w:color w:val="000000"/>
        </w:rPr>
        <w:t xml:space="preserve"> spp. </w:t>
      </w:r>
      <w:r w:rsidR="00157B36" w:rsidRPr="004E727A">
        <w:rPr>
          <w:rFonts w:ascii="Book Antiqua" w:eastAsia="Book Antiqua" w:hAnsi="Book Antiqua" w:cs="Book Antiqua"/>
          <w:color w:val="000000"/>
        </w:rPr>
        <w:t>A</w:t>
      </w:r>
      <w:r w:rsidRPr="004E727A">
        <w:rPr>
          <w:rFonts w:ascii="Book Antiqua" w:eastAsia="Book Antiqua" w:hAnsi="Book Antiqua" w:cs="Book Antiqua"/>
          <w:color w:val="000000"/>
        </w:rPr>
        <w:t>nd</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Prevotella</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spp. (</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0.0001,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-0.4),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 (</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0.001,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w:t>
      </w:r>
      <w:r w:rsidRPr="004E727A">
        <w:rPr>
          <w:rFonts w:ascii="Book Antiqua" w:eastAsia="Book Antiqua" w:hAnsi="Book Antiqua" w:cs="Book Antiqua"/>
          <w:i/>
          <w:iCs/>
          <w:color w:val="000000"/>
        </w:rPr>
        <w:t> Bacteroides stercoris</w:t>
      </w:r>
      <w:r w:rsidRPr="004E727A">
        <w:rPr>
          <w:rFonts w:ascii="Book Antiqua" w:eastAsia="Book Antiqua" w:hAnsi="Book Antiqua" w:cs="Book Antiqua"/>
          <w:color w:val="000000"/>
        </w:rPr>
        <w:t> and</w:t>
      </w:r>
      <w:r w:rsidRPr="004E727A">
        <w:rPr>
          <w:rFonts w:ascii="Book Antiqua" w:eastAsia="Book Antiqua" w:hAnsi="Book Antiqua" w:cs="Book Antiqua"/>
          <w:i/>
          <w:iCs/>
          <w:color w:val="000000"/>
        </w:rPr>
        <w:t> Streptococcus salivarius </w:t>
      </w:r>
      <w:r w:rsidRPr="004E727A">
        <w:rPr>
          <w:rFonts w:ascii="Book Antiqua" w:eastAsia="Book Antiqua" w:hAnsi="Book Antiqua" w:cs="Book Antiqua"/>
          <w:color w:val="000000"/>
        </w:rPr>
        <w:t>ssp. </w:t>
      </w:r>
      <w:r w:rsidRPr="004E727A">
        <w:rPr>
          <w:rFonts w:ascii="Book Antiqua" w:eastAsia="Book Antiqua" w:hAnsi="Book Antiqua" w:cs="Book Antiqua"/>
          <w:i/>
          <w:iCs/>
          <w:color w:val="000000"/>
        </w:rPr>
        <w:t>thermophilus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0.0001,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0.3),</w:t>
      </w:r>
      <w:r w:rsidRPr="004E727A">
        <w:rPr>
          <w:rFonts w:ascii="Book Antiqua" w:eastAsia="Book Antiqua" w:hAnsi="Book Antiqua" w:cs="Book Antiqua"/>
          <w:i/>
          <w:iCs/>
          <w:color w:val="000000"/>
        </w:rPr>
        <w:t> Bacteroides zoogleoformans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0.002,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and</w:t>
      </w:r>
      <w:r w:rsidRPr="004E727A">
        <w:rPr>
          <w:rFonts w:ascii="Book Antiqua" w:eastAsia="Book Antiqua" w:hAnsi="Book Antiqua" w:cs="Book Antiqua"/>
          <w:i/>
          <w:iCs/>
          <w:color w:val="000000"/>
        </w:rPr>
        <w:t> Eubacterium hallii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0.04,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-0.2)</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Changes in the bacterial profiles in IBS patients that received FMT have been recorded, but which bacteria had changed was not described in detail</w:t>
      </w:r>
      <w:r w:rsidR="00D671D1"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w:t>
      </w:r>
    </w:p>
    <w:p w14:paraId="46AA9882" w14:textId="29DEC0A5"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The main products of the bacterial fermentation of intestinal undigested and unabsorbed carbohydrates are short-chain fatty acids (SCFAs)</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has been reported that the fecal level of propionic acid was significantly higher in IBS patients</w:t>
      </w:r>
      <w:r w:rsidRPr="004E727A">
        <w:rPr>
          <w:rFonts w:ascii="Book Antiqua" w:eastAsia="Book Antiqua" w:hAnsi="Book Antiqua" w:cs="Book Antiqua"/>
          <w:color w:val="000000"/>
          <w:szCs w:val="30"/>
          <w:vertAlign w:val="superscript"/>
        </w:rPr>
        <w:t>[13]</w:t>
      </w:r>
      <w:r w:rsidRPr="004E727A">
        <w:rPr>
          <w:rFonts w:ascii="Book Antiqua" w:eastAsia="Book Antiqua" w:hAnsi="Book Antiqua" w:cs="Book Antiqua"/>
          <w:color w:val="000000"/>
        </w:rPr>
        <w:t>. Moreover, the level of butyric acid has been found to be lower in IBS-C patients and higher in IBS-D patients than in healthy subjects</w:t>
      </w:r>
      <w:r w:rsidRPr="004E727A">
        <w:rPr>
          <w:rFonts w:ascii="Book Antiqua" w:eastAsia="Book Antiqua" w:hAnsi="Book Antiqua" w:cs="Book Antiqua"/>
          <w:color w:val="000000"/>
          <w:szCs w:val="30"/>
          <w:vertAlign w:val="superscript"/>
        </w:rPr>
        <w:t>[13]</w:t>
      </w:r>
      <w:r w:rsidRPr="004E727A">
        <w:rPr>
          <w:rFonts w:ascii="Book Antiqua" w:eastAsia="Book Antiqua" w:hAnsi="Book Antiqua" w:cs="Book Antiqua"/>
          <w:color w:val="000000"/>
        </w:rPr>
        <w:t xml:space="preserve">. The </w:t>
      </w:r>
      <w:r w:rsidR="0023737F" w:rsidRPr="004E727A">
        <w:rPr>
          <w:rFonts w:ascii="Book Antiqua" w:eastAsia="Book Antiqua" w:hAnsi="Book Antiqua" w:cs="Book Antiqua"/>
          <w:color w:val="000000"/>
        </w:rPr>
        <w:t>levels of total SCFAs at 1 mo</w:t>
      </w:r>
      <w:r w:rsidRPr="004E727A">
        <w:rPr>
          <w:rFonts w:ascii="Book Antiqua" w:eastAsia="Book Antiqua" w:hAnsi="Book Antiqua" w:cs="Book Antiqua"/>
          <w:color w:val="000000"/>
        </w:rPr>
        <w:t xml:space="preserve"> after FMT were significantly higher in IBS patients that received 60-g FMT but not in those that received 30-g FMT</w:t>
      </w:r>
      <w:r w:rsidRPr="004E727A">
        <w:rPr>
          <w:rFonts w:ascii="Book Antiqua" w:eastAsia="Book Antiqua" w:hAnsi="Book Antiqua" w:cs="Book Antiqua"/>
          <w:color w:val="000000"/>
          <w:szCs w:val="30"/>
          <w:vertAlign w:val="superscript"/>
        </w:rPr>
        <w:t>[5</w:t>
      </w:r>
      <w:r w:rsidR="00E23849">
        <w:rPr>
          <w:rFonts w:ascii="Book Antiqua" w:eastAsiaTheme="minorEastAsia" w:hAnsi="Book Antiqua" w:cs="Book Antiqua" w:hint="eastAsia"/>
          <w:color w:val="000000"/>
          <w:szCs w:val="30"/>
          <w:vertAlign w:val="superscript"/>
          <w:lang w:eastAsia="zh-CN"/>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l</w:t>
      </w:r>
      <w:r w:rsidR="00D671D1" w:rsidRPr="004E727A">
        <w:rPr>
          <w:rFonts w:ascii="Book Antiqua" w:eastAsia="Book Antiqua" w:hAnsi="Book Antiqua" w:cs="Book Antiqua"/>
          <w:color w:val="000000"/>
        </w:rPr>
        <w:t>evels of butyric acid at 1 mo</w:t>
      </w:r>
      <w:r w:rsidRPr="004E727A">
        <w:rPr>
          <w:rFonts w:ascii="Book Antiqua" w:eastAsia="Book Antiqua" w:hAnsi="Book Antiqua" w:cs="Book Antiqua"/>
          <w:color w:val="000000"/>
        </w:rPr>
        <w:t xml:space="preserve"> after FMT were also significantly higher in IBS patients that received either 30-g or 60-g FMT</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There were no significant differences in the levels of total SCFAs and in level of individual SCFAs in the placebo group at 1 </w:t>
      </w:r>
      <w:r w:rsidR="0023737F" w:rsidRPr="004E727A">
        <w:rPr>
          <w:rFonts w:ascii="Book Antiqua" w:eastAsiaTheme="minorEastAsia" w:hAnsi="Book Antiqua" w:cs="Book Antiqua"/>
          <w:color w:val="000000"/>
          <w:lang w:eastAsia="zh-CN"/>
        </w:rPr>
        <w:t>mo</w:t>
      </w:r>
      <w:r w:rsidRPr="004E727A">
        <w:rPr>
          <w:rFonts w:ascii="Book Antiqua" w:eastAsia="Book Antiqua" w:hAnsi="Book Antiqua" w:cs="Book Antiqua"/>
          <w:color w:val="000000"/>
        </w:rPr>
        <w:t xml:space="preserve"> after FMT</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butyric acid level was inversely correlated with the scores on the IBS-SSS and</w:t>
      </w:r>
      <w:r w:rsidR="00D671D1" w:rsidRPr="004E727A">
        <w:rPr>
          <w:rFonts w:ascii="Book Antiqua" w:eastAsia="Book Antiqua" w:hAnsi="Book Antiqua" w:cs="Book Antiqua"/>
          <w:color w:val="000000"/>
        </w:rPr>
        <w:t> fatigue assessment scale </w:t>
      </w:r>
      <w:r w:rsidR="005D352F" w:rsidRPr="004E727A">
        <w:rPr>
          <w:rFonts w:ascii="Book Antiqua" w:eastAsia="Book Antiqua" w:hAnsi="Book Antiqua" w:cs="Book Antiqua"/>
          <w:color w:val="000000"/>
        </w:rPr>
        <w:t>(Figure 1</w:t>
      </w:r>
      <w:r w:rsidR="005D352F" w:rsidRPr="004E727A">
        <w:rPr>
          <w:rFonts w:ascii="Book Antiqua" w:hAnsi="Book Antiqua" w:cs="Book Antiqua"/>
          <w:color w:val="000000"/>
          <w:lang w:eastAsia="zh-CN"/>
        </w:rPr>
        <w:t>4</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19A97D09" w14:textId="52F6CD0D" w:rsidR="00A77B3E" w:rsidRPr="004E727A" w:rsidRDefault="00737FE9" w:rsidP="00D671D1">
      <w:pPr>
        <w:spacing w:line="360" w:lineRule="auto"/>
        <w:ind w:firstLineChars="100" w:firstLine="240"/>
        <w:jc w:val="both"/>
        <w:rPr>
          <w:rFonts w:ascii="Book Antiqua" w:eastAsiaTheme="minorEastAsia" w:hAnsi="Book Antiqua"/>
          <w:lang w:eastAsia="zh-CN"/>
        </w:rPr>
      </w:pPr>
      <w:r w:rsidRPr="004E727A">
        <w:rPr>
          <w:rFonts w:ascii="Book Antiqua" w:eastAsia="Book Antiqua" w:hAnsi="Book Antiqua" w:cs="Book Antiqua"/>
          <w:color w:val="000000"/>
        </w:rPr>
        <w:t>The fecal levels of total SCFAs and butyric acid remained elevated in the active treated group with FMT at 1 year after FMT</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Furthermore, the fecal levels of isobutyric and isovaleric acids were significantly higher while that of acetic acid was significantly lower</w:t>
      </w:r>
      <w:r w:rsidR="00FB7A3C" w:rsidRPr="004E727A">
        <w:rPr>
          <w:rFonts w:ascii="Book Antiqua" w:eastAsiaTheme="minorEastAsia" w:hAnsi="Book Antiqua" w:cs="Book Antiqua"/>
          <w:color w:val="000000"/>
          <w:lang w:eastAsia="zh-CN"/>
        </w:rPr>
        <w:t xml:space="preserve"> </w:t>
      </w:r>
      <w:r w:rsidR="007C1BAF" w:rsidRPr="004E727A">
        <w:rPr>
          <w:rFonts w:ascii="Book Antiqua" w:eastAsia="Book Antiqua" w:hAnsi="Book Antiqua" w:cs="Book Antiqua"/>
          <w:color w:val="000000"/>
          <w:szCs w:val="30"/>
          <w:lang w:val="nb-NO"/>
        </w:rPr>
        <w:t>(unpublished data)</w:t>
      </w:r>
      <w:r w:rsidR="007C1BAF" w:rsidRPr="004E727A">
        <w:rPr>
          <w:rFonts w:ascii="Book Antiqua" w:eastAsia="Book Antiqua" w:hAnsi="Book Antiqua" w:cs="Book Antiqua"/>
          <w:color w:val="000000"/>
        </w:rPr>
        <w:t>.</w:t>
      </w:r>
    </w:p>
    <w:p w14:paraId="162E7287" w14:textId="77777777" w:rsidR="00A77B3E" w:rsidRPr="004E727A" w:rsidRDefault="00A77B3E">
      <w:pPr>
        <w:spacing w:line="360" w:lineRule="auto"/>
        <w:jc w:val="both"/>
        <w:rPr>
          <w:rFonts w:ascii="Book Antiqua" w:hAnsi="Book Antiqua"/>
        </w:rPr>
      </w:pPr>
    </w:p>
    <w:p w14:paraId="0EEC579F"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DIFFERENCES IN RESPONSES BETWEEN IBS SUBTYPES AND SEX</w:t>
      </w:r>
    </w:p>
    <w:p w14:paraId="1BEA398B" w14:textId="48880074" w:rsidR="00A77B3E" w:rsidRPr="004E727A" w:rsidRDefault="00737FE9">
      <w:pPr>
        <w:spacing w:line="360" w:lineRule="auto"/>
        <w:jc w:val="both"/>
        <w:rPr>
          <w:rFonts w:ascii="Book Antiqua" w:eastAsiaTheme="minorEastAsia" w:hAnsi="Book Antiqua"/>
          <w:lang w:val="nb-NO" w:eastAsia="zh-CN"/>
        </w:rPr>
      </w:pPr>
      <w:r w:rsidRPr="004E727A">
        <w:rPr>
          <w:rFonts w:ascii="Book Antiqua" w:eastAsia="Book Antiqua" w:hAnsi="Book Antiqua" w:cs="Book Antiqua"/>
          <w:color w:val="000000"/>
        </w:rPr>
        <w:t>The response to FMT did not differ between the IBS-D, IBS-C, and IBS-M subtypes of IBS</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whereas it was not clear whether there was a difference between females and males. In the subgroup of IBS-D and IBS-M patients with refractory IBS and severe bloating who had not responded to at least three conventional therapies for IBS, the response to FMT was better for females than for males</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On the other hand, the response to FMT did not differ between female and male IBS patients with moderate-to-severe symptoms belonging to the IBS-D, IBS-C, and IBS-M subtypes who had previously not responded to the </w:t>
      </w:r>
      <w:r w:rsidRPr="004E727A">
        <w:rPr>
          <w:rFonts w:ascii="Book Antiqua" w:eastAsia="Book Antiqua" w:hAnsi="Book Antiqua" w:cs="Book Antiqua"/>
          <w:color w:val="000000"/>
          <w:shd w:val="clear" w:color="auto" w:fill="FFFFFF"/>
        </w:rPr>
        <w:t>NICE-modified </w:t>
      </w:r>
      <w:r w:rsidRPr="004E727A">
        <w:rPr>
          <w:rFonts w:ascii="Book Antiqua" w:eastAsia="Book Antiqua" w:hAnsi="Book Antiqua" w:cs="Book Antiqua"/>
          <w:color w:val="000000"/>
        </w:rPr>
        <w:t>diet</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w:t>
      </w:r>
      <w:r w:rsidR="00BE0925" w:rsidRPr="004E727A">
        <w:rPr>
          <w:rFonts w:ascii="Book Antiqua" w:eastAsiaTheme="minorEastAsia" w:hAnsi="Book Antiqua" w:cs="Book Antiqua"/>
          <w:color w:val="000000"/>
          <w:szCs w:val="30"/>
          <w:lang w:eastAsia="zh-CN"/>
        </w:rPr>
        <w:t>.</w:t>
      </w:r>
    </w:p>
    <w:p w14:paraId="03AE479E" w14:textId="77777777" w:rsidR="00A77B3E" w:rsidRPr="004E727A" w:rsidRDefault="00A77B3E">
      <w:pPr>
        <w:spacing w:line="360" w:lineRule="auto"/>
        <w:jc w:val="both"/>
        <w:rPr>
          <w:rFonts w:ascii="Book Antiqua" w:hAnsi="Book Antiqua"/>
        </w:rPr>
      </w:pPr>
    </w:p>
    <w:p w14:paraId="4FFE1BC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SAFETY OF FMT</w:t>
      </w:r>
    </w:p>
    <w:p w14:paraId="627BFDDA" w14:textId="4155EDBF"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A recently published consensus report from a multidisciplinary United European Gastroenterology working group did not classify voluntarily donated material (feces) as a drug. Instead, it was recommended to be collected, handled, and used according to the standards defined by the EU Commission in EU Tissue and Cells Directive 2004/23/EC</w:t>
      </w:r>
      <w:r w:rsidR="00D671D1" w:rsidRPr="004E727A">
        <w:rPr>
          <w:rFonts w:ascii="Book Antiqua" w:eastAsia="Book Antiqua" w:hAnsi="Book Antiqua" w:cs="Book Antiqua"/>
          <w:color w:val="000000"/>
          <w:szCs w:val="30"/>
          <w:vertAlign w:val="superscript"/>
        </w:rPr>
        <w:t>[21,</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49C67142" w14:textId="328E2F9C" w:rsidR="00A77B3E" w:rsidRPr="004E727A" w:rsidRDefault="00737FE9" w:rsidP="00D671D1">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FMT appears to be safe, with limited side effects</w:t>
      </w:r>
      <w:r w:rsidR="00D671D1"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8</w:t>
      </w:r>
      <w:r w:rsidR="00D671D1" w:rsidRPr="004E727A">
        <w:rPr>
          <w:rFonts w:ascii="Book Antiqua" w:eastAsia="Book Antiqua" w:hAnsi="Book Antiqua" w:cs="Book Antiqua"/>
          <w:color w:val="000000"/>
          <w:szCs w:val="30"/>
          <w:vertAlign w:val="superscript"/>
        </w:rPr>
        <w:t>,</w:t>
      </w:r>
      <w:r w:rsidR="007C1BAF" w:rsidRPr="004E727A">
        <w:rPr>
          <w:rFonts w:ascii="Book Antiqua" w:eastAsia="Book Antiqua" w:hAnsi="Book Antiqua" w:cs="Book Antiqua"/>
          <w:color w:val="000000"/>
          <w:szCs w:val="30"/>
          <w:vertAlign w:val="superscript"/>
          <w:lang w:val="nb-NO"/>
        </w:rPr>
        <w:t>59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short-term adverse events for FMT in IBS patients have been reported to be mild, self-limiting, and occurring during the first few days following transplantation: </w:t>
      </w:r>
      <w:r w:rsidRPr="004E727A">
        <w:rPr>
          <w:rFonts w:ascii="Book Antiqua" w:eastAsia="Book Antiqua" w:hAnsi="Book Antiqua" w:cs="Book Antiqua"/>
          <w:color w:val="000000"/>
          <w:shd w:val="clear" w:color="auto" w:fill="FFFFFF"/>
        </w:rPr>
        <w:t>abdominal pain, cramping, tenderness, diarrhea, and constipation</w:t>
      </w:r>
      <w:r w:rsidR="00D671D1"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However,</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infectious complications have been described in </w:t>
      </w:r>
      <w:r w:rsidRPr="004E727A">
        <w:rPr>
          <w:rFonts w:ascii="Book Antiqua" w:eastAsia="Book Antiqua" w:hAnsi="Book Antiqua" w:cs="Book Antiqua"/>
          <w:color w:val="000000"/>
          <w:shd w:val="clear" w:color="auto" w:fill="FFFFFF"/>
        </w:rPr>
        <w:t>two patients that received FMT for diseases other than IBS, which resulted in one fatality</w:t>
      </w:r>
      <w:r w:rsidR="00D671D1" w:rsidRPr="004E727A">
        <w:rPr>
          <w:rFonts w:ascii="Book Antiqua" w:eastAsia="Book Antiqua" w:hAnsi="Book Antiqua" w:cs="Book Antiqua"/>
          <w:color w:val="000000"/>
          <w:szCs w:val="30"/>
          <w:shd w:val="clear" w:color="auto" w:fill="FFFFFF"/>
          <w:vertAlign w:val="superscript"/>
        </w:rPr>
        <w:t>[6</w:t>
      </w:r>
      <w:r w:rsidR="007C1BAF" w:rsidRPr="004E727A">
        <w:rPr>
          <w:rFonts w:ascii="Book Antiqua" w:eastAsia="Book Antiqua" w:hAnsi="Book Antiqua" w:cs="Book Antiqua"/>
          <w:color w:val="000000"/>
          <w:szCs w:val="30"/>
          <w:shd w:val="clear" w:color="auto" w:fill="FFFFFF"/>
          <w:vertAlign w:val="superscript"/>
          <w:lang w:val="nb-NO"/>
        </w:rPr>
        <w:t>0</w:t>
      </w:r>
      <w:r w:rsidR="00D671D1"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zCs w:val="30"/>
          <w:shd w:val="clear" w:color="auto" w:fill="FFFFFF"/>
          <w:vertAlign w:val="superscript"/>
        </w:rPr>
        <w:t>6</w:t>
      </w:r>
      <w:r w:rsidR="007C1BAF" w:rsidRPr="004E727A">
        <w:rPr>
          <w:rFonts w:ascii="Book Antiqua" w:eastAsia="Book Antiqua" w:hAnsi="Book Antiqua" w:cs="Book Antiqua"/>
          <w:color w:val="000000"/>
          <w:szCs w:val="30"/>
          <w:shd w:val="clear" w:color="auto" w:fill="FFFFFF"/>
          <w:vertAlign w:val="superscript"/>
          <w:lang w:val="nb-NO"/>
        </w:rPr>
        <w:t>1</w:t>
      </w:r>
      <w:r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hd w:val="clear" w:color="auto" w:fill="FFFFFF"/>
        </w:rPr>
        <w:t>. While these patients were old, </w:t>
      </w:r>
      <w:r w:rsidRPr="004E727A">
        <w:rPr>
          <w:rFonts w:ascii="Book Antiqua" w:eastAsia="Book Antiqua" w:hAnsi="Book Antiqua" w:cs="Book Antiqua"/>
          <w:color w:val="000000"/>
        </w:rPr>
        <w:t>severely ill, and immunocompromised, such events raised questions about safety issues regarding FMT for IBS, especially given that IBS is considered to be a benign gastrointestinal condition</w:t>
      </w:r>
      <w:r w:rsidR="00D671D1" w:rsidRPr="004E727A">
        <w:rPr>
          <w:rFonts w:ascii="Book Antiqua" w:eastAsia="Book Antiqua" w:hAnsi="Book Antiqua" w:cs="Book Antiqua"/>
          <w:color w:val="000000"/>
          <w:szCs w:val="30"/>
          <w:vertAlign w:val="superscript"/>
        </w:rPr>
        <w:t>[3,6</w:t>
      </w:r>
      <w:r w:rsidR="007C1BAF" w:rsidRPr="004E727A">
        <w:rPr>
          <w:rFonts w:ascii="Book Antiqua" w:eastAsia="Book Antiqua" w:hAnsi="Book Antiqua" w:cs="Book Antiqua"/>
          <w:color w:val="000000"/>
          <w:szCs w:val="30"/>
          <w:vertAlign w:val="superscript"/>
          <w:lang w:val="nb-NO"/>
        </w:rPr>
        <w:t>2</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6</w:t>
      </w:r>
      <w:r w:rsidR="007C1BAF" w:rsidRPr="004E727A">
        <w:rPr>
          <w:rFonts w:ascii="Book Antiqua" w:eastAsia="Book Antiqua" w:hAnsi="Book Antiqua" w:cs="Book Antiqua"/>
          <w:color w:val="000000"/>
          <w:szCs w:val="30"/>
          <w:vertAlign w:val="superscript"/>
          <w:lang w:val="nb-NO"/>
        </w:rPr>
        <w:t>3</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has therefore been suggested that the screening of FMT donors should include testing of their feces for extended-spectrum-beta-lactase-producing </w:t>
      </w:r>
      <w:r w:rsidRPr="004E727A">
        <w:rPr>
          <w:rFonts w:ascii="Book Antiqua" w:eastAsia="Book Antiqua" w:hAnsi="Book Antiqua" w:cs="Book Antiqua"/>
          <w:i/>
          <w:iCs/>
          <w:color w:val="000000"/>
        </w:rPr>
        <w:t>E. coli</w:t>
      </w:r>
      <w:r w:rsidRPr="004E727A">
        <w:rPr>
          <w:rFonts w:ascii="Book Antiqua" w:eastAsia="Book Antiqua" w:hAnsi="Book Antiqua" w:cs="Book Antiqua"/>
          <w:color w:val="000000"/>
        </w:rPr>
        <w:t xml:space="preserve"> and </w:t>
      </w:r>
      <w:r w:rsidR="00D671D1" w:rsidRPr="004E727A">
        <w:rPr>
          <w:rFonts w:ascii="Book Antiqua" w:eastAsia="Book Antiqua" w:hAnsi="Book Antiqua" w:cs="Book Antiqua"/>
          <w:color w:val="000000"/>
        </w:rPr>
        <w:t>severe acute respiratory syndrome coronavirus 2</w:t>
      </w:r>
      <w:r w:rsidRPr="004E727A">
        <w:rPr>
          <w:rFonts w:ascii="Book Antiqua" w:eastAsia="Book Antiqua" w:hAnsi="Book Antiqua" w:cs="Book Antiqua"/>
          <w:color w:val="000000"/>
        </w:rPr>
        <w:t>. This would reduce the risks of infection and restrict the selection of IBS patients for FMT to those who are not immunocompromised and do not have systemic disease or severe illness</w:t>
      </w:r>
      <w:r w:rsidRPr="004E727A">
        <w:rPr>
          <w:rFonts w:ascii="Book Antiqua" w:eastAsia="Book Antiqua" w:hAnsi="Book Antiqua" w:cs="Book Antiqua"/>
          <w:color w:val="000000"/>
          <w:szCs w:val="30"/>
          <w:vertAlign w:val="superscript"/>
        </w:rPr>
        <w:t>[3]</w:t>
      </w:r>
      <w:r w:rsidRPr="004E727A">
        <w:rPr>
          <w:rFonts w:ascii="Book Antiqua" w:eastAsia="Book Antiqua" w:hAnsi="Book Antiqua" w:cs="Book Antiqua"/>
          <w:color w:val="000000"/>
        </w:rPr>
        <w:t>.</w:t>
      </w:r>
    </w:p>
    <w:p w14:paraId="5CF3BB61" w14:textId="0ED1BF17" w:rsidR="00A77B3E" w:rsidRPr="004E727A" w:rsidRDefault="00737FE9" w:rsidP="00D671D1">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No adverse events were observed 1-year after FMT for IBS patients</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However, long-term follow-ups of patients that received FMT because of CDI raised some concerns about weight gain, the development or worsening of IBD, cancer, autoimmune diseases, allergies, and neurological diseases</w:t>
      </w:r>
      <w:r w:rsidRPr="004E727A">
        <w:rPr>
          <w:rFonts w:ascii="Book Antiqua" w:eastAsia="Book Antiqua" w:hAnsi="Book Antiqua" w:cs="Book Antiqua"/>
          <w:color w:val="000000"/>
          <w:szCs w:val="30"/>
          <w:vertAlign w:val="superscript"/>
        </w:rPr>
        <w:t>[6</w:t>
      </w:r>
      <w:r w:rsidR="007C1BAF" w:rsidRPr="004E727A">
        <w:rPr>
          <w:rFonts w:ascii="Book Antiqua" w:eastAsia="Book Antiqua" w:hAnsi="Book Antiqua" w:cs="Book Antiqua"/>
          <w:color w:val="000000"/>
          <w:szCs w:val="30"/>
          <w:vertAlign w:val="superscript"/>
          <w:lang w:val="nb-NO"/>
        </w:rPr>
        <w:t>4</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0D68603E" w14:textId="77777777" w:rsidR="00A77B3E" w:rsidRPr="004E727A" w:rsidRDefault="00A77B3E">
      <w:pPr>
        <w:spacing w:line="360" w:lineRule="auto"/>
        <w:jc w:val="both"/>
        <w:rPr>
          <w:rFonts w:ascii="Book Antiqua" w:hAnsi="Book Antiqua"/>
        </w:rPr>
      </w:pPr>
    </w:p>
    <w:p w14:paraId="7840E27E"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POSSIBLE MECHANISMS UNDERLYING THE EFFECTS OF FMT</w:t>
      </w:r>
    </w:p>
    <w:p w14:paraId="6C3DEFE9" w14:textId="5467F778"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color w:val="000000"/>
        </w:rPr>
        <w:t>The enteroendocrine cells and fecal SCFAs in IBS patients differ from those of healthy subjects, and these differences are believed to play a central role in the pathophysiology of IBS</w:t>
      </w:r>
      <w:r w:rsidRPr="004E727A">
        <w:rPr>
          <w:rFonts w:ascii="Book Antiqua" w:eastAsia="Book Antiqua" w:hAnsi="Book Antiqua" w:cs="Book Antiqua"/>
          <w:color w:val="000000"/>
          <w:szCs w:val="30"/>
          <w:vertAlign w:val="superscript"/>
        </w:rPr>
        <w:t>[</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6</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Although it is early to speculate about the mechanisms underlying the effects of FMT, there are data suggesting that the improvement in IBS symptoms by FMT is caused by changes in the enteroendocrine cells and in SCFAs.</w:t>
      </w:r>
    </w:p>
    <w:p w14:paraId="1F29AC77" w14:textId="6FFCC588"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Most of the body serotonin (95%) is localized to the gastrointestinal tract, of which only 10% is present in the neurons of the enteric nervous system and the rest is in the serotonin-containing enterochromaffin (EC) cells that are scattered between the epithelial cells lining the gastrointestinal lumen</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1</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4</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Serotonin plays an important role in gastrointestinal motility by inhibiting gastric emptying and stimulating colonic motility, and accelerating transit through the small and large intestines. Serotonin also activates the submucosal sensory branch of the enteric nervous system that conveys sensation from the gut to the central nervous system</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When serotonin exerts its effects at serotonin receptors, it is transported by the </w:t>
      </w:r>
      <w:bookmarkStart w:id="22" w:name="OLE_LINK48"/>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shd w:val="clear" w:color="auto" w:fill="FFFFFF"/>
        </w:rPr>
        <w:noBreakHyphen/>
        <w:t>selective reuptake transporter</w:t>
      </w:r>
      <w:bookmarkEnd w:id="22"/>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(SERT) into intestinal epithelial cells, where it is degraded</w:t>
      </w:r>
      <w:r w:rsidR="00D671D1"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5</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epithelial cells lining the luminal surface of the intestine express SERT</w:t>
      </w:r>
      <w:r w:rsidR="00D671D1"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and a reduction in SERT results in impaired intracellular uptake of </w:t>
      </w:r>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rPr>
        <w:t> and its degradation in the intestinal epithelial cells</w:t>
      </w:r>
      <w:r w:rsidR="00D671D1" w:rsidRPr="004E727A">
        <w:rPr>
          <w:rFonts w:ascii="Book Antiqua" w:eastAsia="Book Antiqua" w:hAnsi="Book Antiqua" w:cs="Book Antiqua"/>
          <w:color w:val="000000"/>
          <w:szCs w:val="30"/>
          <w:vertAlign w:val="superscript"/>
        </w:rPr>
        <w:t>[</w:t>
      </w:r>
      <w:r w:rsidR="001F1CA7" w:rsidRPr="004E727A">
        <w:rPr>
          <w:rFonts w:ascii="Book Antiqua" w:eastAsia="Book Antiqua" w:hAnsi="Book Antiqua" w:cs="Book Antiqua"/>
          <w:color w:val="000000"/>
          <w:szCs w:val="30"/>
          <w:vertAlign w:val="superscript"/>
          <w:lang w:val="nb-NO"/>
        </w:rPr>
        <w:t>78</w:t>
      </w:r>
      <w:r w:rsidR="00D671D1" w:rsidRPr="004E727A">
        <w:rPr>
          <w:rFonts w:ascii="Book Antiqua" w:eastAsia="Book Antiqua" w:hAnsi="Book Antiqua" w:cs="Book Antiqua"/>
          <w:color w:val="000000"/>
          <w:szCs w:val="30"/>
          <w:vertAlign w:val="superscript"/>
        </w:rPr>
        <w:t>,</w:t>
      </w:r>
      <w:r w:rsidR="001F1CA7" w:rsidRPr="004E727A">
        <w:rPr>
          <w:rFonts w:ascii="Book Antiqua" w:eastAsia="Book Antiqua" w:hAnsi="Book Antiqua" w:cs="Book Antiqua"/>
          <w:color w:val="000000"/>
          <w:szCs w:val="30"/>
          <w:vertAlign w:val="superscript"/>
          <w:lang w:val="nb-NO"/>
        </w:rPr>
        <w:t>79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w:t>
      </w:r>
      <w:r w:rsidRPr="004E727A">
        <w:rPr>
          <w:rFonts w:ascii="Book Antiqua" w:eastAsia="Book Antiqua" w:hAnsi="Book Antiqua" w:cs="Book Antiqua"/>
          <w:color w:val="000000"/>
          <w:shd w:val="clear" w:color="auto" w:fill="FFFFFF"/>
        </w:rPr>
        <w:t>In IBS patients, the density of EC cells in the colon and the </w:t>
      </w:r>
      <w:r w:rsidRPr="004E727A">
        <w:rPr>
          <w:rFonts w:ascii="Book Antiqua" w:eastAsia="Book Antiqua" w:hAnsi="Book Antiqua" w:cs="Book Antiqua"/>
          <w:color w:val="000000"/>
        </w:rPr>
        <w:t>SERT immune-intensity in the large intestine have been reported to be lower </w:t>
      </w:r>
      <w:r w:rsidRPr="004E727A">
        <w:rPr>
          <w:rFonts w:ascii="Book Antiqua" w:eastAsia="Book Antiqua" w:hAnsi="Book Antiqua" w:cs="Book Antiqua"/>
          <w:color w:val="000000"/>
          <w:shd w:val="clear" w:color="auto" w:fill="FFFFFF"/>
        </w:rPr>
        <w:t>than those</w:t>
      </w:r>
      <w:r w:rsidR="005D352F" w:rsidRPr="004E727A">
        <w:rPr>
          <w:rFonts w:ascii="Book Antiqua" w:eastAsia="Book Antiqua" w:hAnsi="Book Antiqua" w:cs="Book Antiqua"/>
          <w:color w:val="000000"/>
          <w:shd w:val="clear" w:color="auto" w:fill="FFFFFF"/>
        </w:rPr>
        <w:t xml:space="preserve"> in healthy subjects (Figures 1</w:t>
      </w:r>
      <w:r w:rsidR="005D352F" w:rsidRPr="004E727A">
        <w:rPr>
          <w:rFonts w:ascii="Book Antiqua" w:hAnsi="Book Antiqua" w:cs="Book Antiqua"/>
          <w:color w:val="000000"/>
          <w:shd w:val="clear" w:color="auto" w:fill="FFFFFF"/>
          <w:lang w:eastAsia="zh-CN"/>
        </w:rPr>
        <w:t>5</w:t>
      </w:r>
      <w:r w:rsidR="005D352F" w:rsidRPr="004E727A">
        <w:rPr>
          <w:rFonts w:ascii="Book Antiqua" w:eastAsia="Book Antiqua" w:hAnsi="Book Antiqua" w:cs="Book Antiqua"/>
          <w:color w:val="000000"/>
          <w:shd w:val="clear" w:color="auto" w:fill="FFFFFF"/>
        </w:rPr>
        <w:t xml:space="preserve"> and 1</w:t>
      </w:r>
      <w:r w:rsidR="005D352F" w:rsidRPr="004E727A">
        <w:rPr>
          <w:rFonts w:ascii="Book Antiqua" w:hAnsi="Book Antiqua" w:cs="Book Antiqua"/>
          <w:color w:val="000000"/>
          <w:shd w:val="clear" w:color="auto" w:fill="FFFFFF"/>
          <w:lang w:eastAsia="zh-CN"/>
        </w:rPr>
        <w:t>6</w:t>
      </w:r>
      <w:r w:rsidRPr="004E727A">
        <w:rPr>
          <w:rFonts w:ascii="Book Antiqua" w:eastAsia="Book Antiqua" w:hAnsi="Book Antiqua" w:cs="Book Antiqua"/>
          <w:color w:val="000000"/>
          <w:shd w:val="clear" w:color="auto" w:fill="FFFFFF"/>
        </w:rPr>
        <w:t>)</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0</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2</w:t>
      </w:r>
      <w:r w:rsidR="00142013" w:rsidRPr="004E727A">
        <w:rPr>
          <w:rFonts w:ascii="Book Antiqua" w:eastAsia="Book Antiqua" w:hAnsi="Book Antiqua" w:cs="Book Antiqua"/>
          <w:color w:val="000000"/>
          <w:szCs w:val="30"/>
          <w:shd w:val="clear" w:color="auto" w:fill="FFFFFF"/>
          <w:vertAlign w:val="superscript"/>
          <w:lang w:val="nb-NO"/>
        </w:rPr>
        <w:t>]</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Several bacteria including </w:t>
      </w:r>
      <w:r w:rsidRPr="004E727A">
        <w:rPr>
          <w:rFonts w:ascii="Book Antiqua" w:eastAsia="Book Antiqua" w:hAnsi="Book Antiqua" w:cs="Book Antiqua"/>
          <w:i/>
          <w:iCs/>
          <w:color w:val="000000"/>
        </w:rPr>
        <w:t>Corynebacterium</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Streptococcus</w:t>
      </w:r>
      <w:r w:rsidRPr="004E727A">
        <w:rPr>
          <w:rFonts w:ascii="Book Antiqua" w:eastAsia="Book Antiqua" w:hAnsi="Book Antiqua" w:cs="Book Antiqua"/>
          <w:color w:val="000000"/>
        </w:rPr>
        <w:t>, and</w:t>
      </w:r>
      <w:r w:rsidR="001B09D3"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Enterococcus </w:t>
      </w:r>
      <w:r w:rsidRPr="004E727A">
        <w:rPr>
          <w:rFonts w:ascii="Book Antiqua" w:eastAsia="Book Antiqua" w:hAnsi="Book Antiqua" w:cs="Book Antiqua"/>
          <w:color w:val="000000"/>
        </w:rPr>
        <w:t>spp. produce </w:t>
      </w:r>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rPr>
        <w:t> and</w:t>
      </w:r>
      <w:r w:rsidR="001B09D3"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shd w:val="clear" w:color="auto" w:fill="FFFFFF"/>
        </w:rPr>
        <w:t>indigenous</w:t>
      </w:r>
      <w:r w:rsidR="001B09D3"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spore-forming bacteria from the microbiota of mice and humans that promote serotonin biosynthesis by colonic EC cells</w:t>
      </w:r>
      <w:r w:rsidR="00D671D1"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3</w:t>
      </w:r>
      <w:r w:rsidR="00D671D1"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4</w:t>
      </w:r>
      <w:r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hd w:val="clear" w:color="auto" w:fill="FFFFFF"/>
        </w:rPr>
        <w:t>. Furthermore,</w:t>
      </w:r>
      <w:r w:rsidRPr="004E727A">
        <w:rPr>
          <w:rFonts w:ascii="Book Antiqua" w:eastAsia="Book Antiqua" w:hAnsi="Book Antiqua" w:cs="Book Antiqua"/>
          <w:i/>
          <w:iCs/>
          <w:color w:val="000000"/>
        </w:rPr>
        <w:t> Clostridium ramosum </w:t>
      </w:r>
      <w:r w:rsidRPr="004E727A">
        <w:rPr>
          <w:rFonts w:ascii="Book Antiqua" w:eastAsia="Book Antiqua" w:hAnsi="Book Antiqua" w:cs="Book Antiqua"/>
          <w:color w:val="000000"/>
        </w:rPr>
        <w:t>regulates the release of serotonin from EC cells</w:t>
      </w:r>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is possible that the changes in the intestinal bacterial composition induced by FMT affect the serotonin-regulating system.</w:t>
      </w:r>
    </w:p>
    <w:p w14:paraId="1CCA1D96" w14:textId="3969492E" w:rsidR="00A77B3E" w:rsidRPr="004E727A" w:rsidRDefault="00737FE9" w:rsidP="00D671D1">
      <w:pPr>
        <w:spacing w:line="360" w:lineRule="auto"/>
        <w:ind w:firstLineChars="100" w:firstLine="240"/>
        <w:jc w:val="both"/>
        <w:rPr>
          <w:rFonts w:ascii="Book Antiqua" w:hAnsi="Book Antiqua"/>
        </w:rPr>
      </w:pPr>
      <w:bookmarkStart w:id="23" w:name="OLE_LINK49"/>
      <w:bookmarkStart w:id="24" w:name="OLE_LINK50"/>
      <w:r w:rsidRPr="004E727A">
        <w:rPr>
          <w:rFonts w:ascii="Book Antiqua" w:eastAsia="Book Antiqua" w:hAnsi="Book Antiqua" w:cs="Book Antiqua"/>
          <w:color w:val="000000"/>
        </w:rPr>
        <w:t>Peptide YY</w:t>
      </w:r>
      <w:bookmarkEnd w:id="23"/>
      <w:bookmarkEnd w:id="24"/>
      <w:r w:rsidRPr="004E727A">
        <w:rPr>
          <w:rFonts w:ascii="Book Antiqua" w:eastAsia="Book Antiqua" w:hAnsi="Book Antiqua" w:cs="Book Antiqua"/>
          <w:color w:val="000000"/>
        </w:rPr>
        <w:t xml:space="preserve"> (PYY) occurs in enteroendocrine cells of the ileum, colon, and rectum</w:t>
      </w:r>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6</w:t>
      </w:r>
      <w:r w:rsidR="00D671D1" w:rsidRPr="004E727A">
        <w:rPr>
          <w:rFonts w:ascii="Book Antiqua" w:eastAsia="Book Antiqua" w:hAnsi="Book Antiqua" w:cs="Book Antiqua"/>
          <w:color w:val="000000"/>
          <w:szCs w:val="30"/>
          <w:vertAlign w:val="superscript"/>
        </w:rPr>
        <w:t>,</w:t>
      </w:r>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PYY binds to and activates receptors Y</w:t>
      </w:r>
      <w:r w:rsidRPr="004E727A">
        <w:rPr>
          <w:rFonts w:ascii="Book Antiqua" w:eastAsia="Book Antiqua" w:hAnsi="Book Antiqua" w:cs="Book Antiqua"/>
          <w:color w:val="000000"/>
          <w:szCs w:val="30"/>
          <w:vertAlign w:val="subscript"/>
        </w:rPr>
        <w:t>1</w:t>
      </w:r>
      <w:r w:rsidRPr="004E727A">
        <w:rPr>
          <w:rFonts w:ascii="Book Antiqua" w:eastAsia="Book Antiqua" w:hAnsi="Book Antiqua" w:cs="Book Antiqua"/>
          <w:color w:val="000000"/>
        </w:rPr>
        <w:t> and Y</w:t>
      </w:r>
      <w:r w:rsidRPr="004E727A">
        <w:rPr>
          <w:rFonts w:ascii="Book Antiqua" w:eastAsia="Book Antiqua" w:hAnsi="Book Antiqua" w:cs="Book Antiqua"/>
          <w:color w:val="000000"/>
          <w:szCs w:val="30"/>
          <w:vertAlign w:val="subscript"/>
        </w:rPr>
        <w:t>2</w:t>
      </w:r>
      <w:r w:rsidRPr="004E727A">
        <w:rPr>
          <w:rFonts w:ascii="Book Antiqua" w:eastAsia="Book Antiqua" w:hAnsi="Book Antiqua" w:cs="Book Antiqua"/>
          <w:color w:val="000000"/>
        </w:rPr>
        <w:t>, which are localized to the epithelial cells lining the intestinal lumen and in the submucosal and myenteric plexus neurons of the small intestine and colon</w:t>
      </w:r>
      <w:r w:rsidRPr="004E727A">
        <w:rPr>
          <w:rFonts w:ascii="Book Antiqua" w:eastAsia="Book Antiqua" w:hAnsi="Book Antiqua" w:cs="Book Antiqua"/>
          <w:color w:val="000000"/>
          <w:szCs w:val="30"/>
          <w:vertAlign w:val="superscript"/>
        </w:rPr>
        <w:t>[</w:t>
      </w:r>
      <w:r w:rsidR="00142013" w:rsidRPr="004E727A">
        <w:rPr>
          <w:rFonts w:ascii="Book Antiqua" w:eastAsia="Book Antiqua" w:hAnsi="Book Antiqua" w:cs="Book Antiqua"/>
          <w:color w:val="000000"/>
          <w:szCs w:val="30"/>
          <w:vertAlign w:val="superscript"/>
          <w:lang w:val="nb-NO"/>
        </w:rPr>
        <w:t>8</w:t>
      </w:r>
      <w:r w:rsidR="00142013" w:rsidRPr="004E727A">
        <w:rPr>
          <w:rFonts w:ascii="Book Antiqua" w:eastAsiaTheme="minorEastAsia" w:hAnsi="Book Antiqua" w:cs="Book Antiqua"/>
          <w:color w:val="000000"/>
          <w:szCs w:val="30"/>
          <w:vertAlign w:val="superscript"/>
          <w:lang w:val="nb-NO" w:eastAsia="zh-CN"/>
        </w:rPr>
        <w:t>8</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PYY acts as a mediator of the ileal brake and stimulates the absorption of water and electrolytes in the large intestine</w:t>
      </w:r>
      <w:r w:rsidR="00D671D1"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7</w:t>
      </w:r>
      <w:r w:rsidR="00D671D1"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1</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density of colonic PYY cells is re</w:t>
      </w:r>
      <w:r w:rsidR="005D352F" w:rsidRPr="004E727A">
        <w:rPr>
          <w:rFonts w:ascii="Book Antiqua" w:eastAsia="Book Antiqua" w:hAnsi="Book Antiqua" w:cs="Book Antiqua"/>
          <w:color w:val="000000"/>
        </w:rPr>
        <w:t>duced in IBS patients (Figure 1</w:t>
      </w:r>
      <w:r w:rsidR="005D352F" w:rsidRPr="004E727A">
        <w:rPr>
          <w:rFonts w:ascii="Book Antiqua" w:hAnsi="Book Antiqua" w:cs="Book Antiqua"/>
          <w:color w:val="000000"/>
          <w:lang w:eastAsia="zh-CN"/>
        </w:rPr>
        <w:t>7</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total levels of fecal SCFAs increased significantly in IBS patients</w:t>
      </w:r>
      <w:r w:rsidR="00D671D1" w:rsidRPr="004E727A">
        <w:rPr>
          <w:rFonts w:ascii="Book Antiqua" w:eastAsia="Book Antiqua" w:hAnsi="Book Antiqua" w:cs="Book Antiqua"/>
          <w:color w:val="000000"/>
        </w:rPr>
        <w:t xml:space="preserve"> at 1 mo</w:t>
      </w:r>
      <w:r w:rsidRPr="004E727A">
        <w:rPr>
          <w:rFonts w:ascii="Book Antiqua" w:eastAsia="Book Antiqua" w:hAnsi="Book Antiqua" w:cs="Book Antiqua"/>
          <w:color w:val="000000"/>
        </w:rPr>
        <w:t xml:space="preserve"> after FMT and remained higher than those at the baseline at 1 year after transplantation</w:t>
      </w:r>
      <w:r w:rsidR="001F1CA7" w:rsidRPr="004E727A">
        <w:rPr>
          <w:rFonts w:ascii="Book Antiqua" w:eastAsia="Book Antiqua" w:hAnsi="Book Antiqua" w:cs="Book Antiqua"/>
          <w:color w:val="000000"/>
          <w:szCs w:val="30"/>
          <w:lang w:val="nb-NO"/>
        </w:rPr>
        <w:t>(unpublished data)</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5</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Intestinal SCFAs increase the secretion of peptide PYY by up-regulating the gene expression of PYY</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is likely that the improvement in IBS symptoms following FMT is due to the effect of SCFAs on PYY secretion.</w:t>
      </w:r>
    </w:p>
    <w:p w14:paraId="10DDBA7E" w14:textId="121D41C4"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In the patients that received FMT, the fecal levels of b</w:t>
      </w:r>
      <w:r w:rsidR="00A847D6" w:rsidRPr="004E727A">
        <w:rPr>
          <w:rFonts w:ascii="Book Antiqua" w:eastAsia="Book Antiqua" w:hAnsi="Book Antiqua" w:cs="Book Antiqua"/>
          <w:color w:val="000000"/>
        </w:rPr>
        <w:t>utyric acid increased at 1 mo</w:t>
      </w:r>
      <w:r w:rsidRPr="004E727A">
        <w:rPr>
          <w:rFonts w:ascii="Book Antiqua" w:eastAsia="Book Antiqua" w:hAnsi="Book Antiqua" w:cs="Book Antiqua"/>
          <w:color w:val="000000"/>
        </w:rPr>
        <w:t xml:space="preserve"> after FMT and remained elevated at 1 year after transplantation</w:t>
      </w:r>
      <w:r w:rsidR="001F1CA7" w:rsidRPr="004E727A">
        <w:rPr>
          <w:rFonts w:ascii="Book Antiqua" w:eastAsia="Book Antiqua" w:hAnsi="Book Antiqua" w:cs="Book Antiqua"/>
          <w:color w:val="000000"/>
          <w:szCs w:val="30"/>
          <w:lang w:val="nb-NO"/>
        </w:rPr>
        <w:t>(unpublished data)</w:t>
      </w:r>
      <w:r w:rsidR="00F511E4"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56]</w:t>
      </w:r>
      <w:r w:rsidRPr="004E727A">
        <w:rPr>
          <w:rFonts w:ascii="Book Antiqua" w:eastAsia="Book Antiqua" w:hAnsi="Book Antiqua" w:cs="Book Antiqua"/>
          <w:color w:val="000000"/>
        </w:rPr>
        <w:t>. Butyrate provides colonic epithelial cells with energy</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modulates the immune response and oxidative stress, and decreases intestinal motility and the permeability of intestinal cells</w:t>
      </w:r>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Butyrate also modulates colonic hypersensitivity, and an intake of butyrate was found to reduce the abdominal pain in patients with IBS</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-1</w:t>
      </w:r>
      <w:r w:rsidR="001F1CA7" w:rsidRPr="004E727A">
        <w:rPr>
          <w:rFonts w:ascii="Book Antiqua" w:eastAsia="Book Antiqua" w:hAnsi="Book Antiqua" w:cs="Book Antiqua"/>
          <w:color w:val="000000"/>
          <w:szCs w:val="30"/>
          <w:vertAlign w:val="superscript"/>
          <w:lang w:val="nb-NO"/>
        </w:rPr>
        <w:t>08</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An increase in butyric acid could be one of the factors underlying the improvement seen after FMT.</w:t>
      </w:r>
    </w:p>
    <w:p w14:paraId="254833B0" w14:textId="1A037E9A" w:rsidR="00A77B3E" w:rsidRPr="004E727A" w:rsidRDefault="00737FE9" w:rsidP="00F511E4">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fecal level of the straight SCFA acetic acid was reduced at 1 year after FMT</w:t>
      </w:r>
      <w:r w:rsidR="001F1CA7" w:rsidRPr="004E727A">
        <w:rPr>
          <w:rFonts w:ascii="Book Antiqua" w:eastAsia="Book Antiqua" w:hAnsi="Book Antiqua" w:cs="Book Antiqua"/>
          <w:color w:val="000000"/>
          <w:szCs w:val="30"/>
          <w:lang w:val="nb-NO"/>
        </w:rPr>
        <w:t>(unpublished data)</w:t>
      </w:r>
      <w:r w:rsidR="001F1CA7" w:rsidRPr="004E727A">
        <w:rPr>
          <w:rFonts w:ascii="Book Antiqua" w:eastAsia="Book Antiqua" w:hAnsi="Book Antiqua" w:cs="Book Antiqua"/>
          <w:color w:val="000000"/>
        </w:rPr>
        <w:t>.</w:t>
      </w:r>
      <w:r w:rsidRPr="004E727A">
        <w:rPr>
          <w:rFonts w:ascii="Book Antiqua" w:eastAsia="Book Antiqua" w:hAnsi="Book Antiqua" w:cs="Book Antiqua"/>
          <w:color w:val="000000"/>
        </w:rPr>
        <w:t xml:space="preserve"> This reduction could be significant since acetic acid has been found to induce visceral hypersensitivity in rodents</w:t>
      </w:r>
      <w:r w:rsidR="00A847D6" w:rsidRPr="004E727A">
        <w:rPr>
          <w:rFonts w:ascii="Book Antiqua" w:eastAsia="Book Antiqua" w:hAnsi="Book Antiqua" w:cs="Book Antiqua"/>
          <w:color w:val="000000"/>
          <w:szCs w:val="30"/>
          <w:vertAlign w:val="superscript"/>
        </w:rPr>
        <w:t>[1</w:t>
      </w:r>
      <w:r w:rsidR="00A847D6" w:rsidRPr="004E727A">
        <w:rPr>
          <w:rFonts w:ascii="Book Antiqua" w:eastAsiaTheme="minorEastAsia" w:hAnsi="Book Antiqua" w:cs="Book Antiqua"/>
          <w:color w:val="000000"/>
          <w:szCs w:val="30"/>
          <w:vertAlign w:val="superscript"/>
          <w:lang w:eastAsia="zh-CN"/>
        </w:rPr>
        <w:t>09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levels of the branched SCFAs isobutyric and isovaleric acids were significantly increased at 1 year after FMT</w:t>
      </w:r>
      <w:r w:rsidR="00646C07" w:rsidRPr="004E727A">
        <w:rPr>
          <w:rFonts w:ascii="Book Antiqua" w:eastAsia="Book Antiqua" w:hAnsi="Book Antiqua" w:cs="Book Antiqua"/>
          <w:color w:val="000000"/>
          <w:szCs w:val="30"/>
          <w:lang w:val="nb-NO"/>
        </w:rPr>
        <w:t>(unpublished data)</w:t>
      </w:r>
      <w:r w:rsidR="00646C07" w:rsidRPr="004E727A">
        <w:rPr>
          <w:rFonts w:ascii="Book Antiqua" w:eastAsia="Book Antiqua" w:hAnsi="Book Antiqua" w:cs="Book Antiqua"/>
          <w:color w:val="000000"/>
        </w:rPr>
        <w:t>.</w:t>
      </w:r>
      <w:r w:rsidR="00646C07" w:rsidRPr="004E727A" w:rsidDel="00646C07">
        <w:rPr>
          <w:rFonts w:ascii="Book Antiqua" w:eastAsia="Book Antiqua" w:hAnsi="Book Antiqua" w:cs="Book Antiqua"/>
          <w:color w:val="000000"/>
          <w:szCs w:val="30"/>
          <w:vertAlign w:val="superscript"/>
        </w:rPr>
        <w:t xml:space="preserve"> </w:t>
      </w:r>
      <w:r w:rsidRPr="004E727A">
        <w:rPr>
          <w:rFonts w:ascii="Book Antiqua" w:eastAsia="Book Antiqua" w:hAnsi="Book Antiqua" w:cs="Book Antiqua"/>
          <w:color w:val="000000"/>
        </w:rPr>
        <w:t>These increases indicate a shift in the microbial metabolism from a saccharolytic to a proteolytic fermentation pattern, which could be of pathophysiological relevance</w:t>
      </w:r>
      <w:r w:rsidRPr="004E727A">
        <w:rPr>
          <w:rFonts w:ascii="Book Antiqua" w:eastAsia="Book Antiqua" w:hAnsi="Book Antiqua" w:cs="Book Antiqua"/>
          <w:color w:val="000000"/>
          <w:szCs w:val="30"/>
          <w:vertAlign w:val="superscript"/>
        </w:rPr>
        <w:t>[11</w:t>
      </w:r>
      <w:r w:rsidR="00646C0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is particularly interesting that similar changes in the profiles of isobutyric and isovaleric acids have been found in patients with IBS following adherence to a low-FODMAPs (fermentable oligosaccharides, disaccharides, monosaccharides, and polyols) diet</w:t>
      </w:r>
      <w:r w:rsidRPr="004E727A">
        <w:rPr>
          <w:rFonts w:ascii="Book Antiqua" w:eastAsia="Book Antiqua" w:hAnsi="Book Antiqua" w:cs="Book Antiqua"/>
          <w:color w:val="000000"/>
          <w:szCs w:val="30"/>
          <w:vertAlign w:val="superscript"/>
        </w:rPr>
        <w:t>[11</w:t>
      </w:r>
      <w:r w:rsidR="0033438F" w:rsidRPr="004E727A">
        <w:rPr>
          <w:rFonts w:ascii="Book Antiqua" w:eastAsia="Book Antiqua" w:hAnsi="Book Antiqua" w:cs="Book Antiqua"/>
          <w:color w:val="000000"/>
          <w:szCs w:val="30"/>
          <w:vertAlign w:val="superscript"/>
          <w:lang w:val="nb-NO"/>
        </w:rPr>
        <w:t>1</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5DF3BE74" w14:textId="77777777" w:rsidR="00A77B3E" w:rsidRPr="004E727A" w:rsidRDefault="00A77B3E">
      <w:pPr>
        <w:spacing w:line="360" w:lineRule="auto"/>
        <w:jc w:val="both"/>
        <w:rPr>
          <w:rFonts w:ascii="Book Antiqua" w:hAnsi="Book Antiqua"/>
        </w:rPr>
      </w:pPr>
    </w:p>
    <w:p w14:paraId="6ADE47F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aps/>
          <w:color w:val="000000"/>
          <w:u w:val="single"/>
        </w:rPr>
        <w:t>CONCLUSION</w:t>
      </w:r>
    </w:p>
    <w:p w14:paraId="6C7C018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FMT is a longstanding Chinese treatment applied to both gastrointestinal and nongastrointestinal diseases</w:t>
      </w:r>
      <w:r w:rsidRPr="004E727A">
        <w:rPr>
          <w:rFonts w:ascii="Book Antiqua" w:eastAsia="Book Antiqua" w:hAnsi="Book Antiqua" w:cs="Book Antiqua"/>
          <w:color w:val="000000"/>
          <w:szCs w:val="30"/>
          <w:vertAlign w:val="superscript"/>
        </w:rPr>
        <w:t>[18]</w:t>
      </w:r>
      <w:r w:rsidRPr="004E727A">
        <w:rPr>
          <w:rFonts w:ascii="Book Antiqua" w:eastAsia="Book Antiqua" w:hAnsi="Book Antiqua" w:cs="Book Antiqua"/>
          <w:color w:val="000000"/>
        </w:rPr>
        <w:t>, and is now also a promising treatment for IBS patients since it improves the IBS symptoms, fatigue, and quality of life in about 90% of patients in a RCT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However, several questions remain to be answered, and further investigations are needed before FMT can be applied in everyday clinical practice.</w:t>
      </w:r>
      <w:r w:rsidRPr="004E727A">
        <w:rPr>
          <w:rFonts w:ascii="Book Antiqua" w:eastAsia="Book Antiqua" w:hAnsi="Book Antiqua" w:cs="Book Antiqua"/>
          <w:b/>
          <w:bCs/>
          <w:color w:val="000000"/>
        </w:rPr>
        <w:t> </w:t>
      </w:r>
      <w:r w:rsidRPr="004E727A">
        <w:rPr>
          <w:rFonts w:ascii="Book Antiqua" w:eastAsia="Book Antiqua" w:hAnsi="Book Antiqua" w:cs="Book Antiqua"/>
          <w:color w:val="000000"/>
        </w:rPr>
        <w:t>The criteria to apply when selecting an effective (superdonor) for FMT remain unclear, as do the optimal dose, administration route, and frequency of treatment. Moreover, it is not clear whether FMT is effective for all IBS patients, or whether it should be restricted to certain subsets of IBS patients. There is also some concern regarding the long-term side effects of FMT</w:t>
      </w:r>
      <w:r w:rsidRPr="004E727A">
        <w:rPr>
          <w:rFonts w:ascii="Book Antiqua" w:eastAsia="Book Antiqua" w:hAnsi="Book Antiqua" w:cs="Book Antiqua"/>
          <w:color w:val="000000"/>
          <w:szCs w:val="30"/>
          <w:vertAlign w:val="superscript"/>
        </w:rPr>
        <w:t>[21]</w:t>
      </w:r>
      <w:r w:rsidRPr="004E727A">
        <w:rPr>
          <w:rFonts w:ascii="Book Antiqua" w:eastAsia="Book Antiqua" w:hAnsi="Book Antiqua" w:cs="Book Antiqua"/>
          <w:color w:val="000000"/>
        </w:rPr>
        <w:t>.</w:t>
      </w:r>
    </w:p>
    <w:p w14:paraId="6C52C159" w14:textId="77777777" w:rsidR="00A77B3E" w:rsidRPr="004E727A" w:rsidRDefault="00737FE9" w:rsidP="00F511E4">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There is an exciting task in front of us to modernize an effective treatment for IBS that was first used more than a thousand years ago.</w:t>
      </w:r>
    </w:p>
    <w:p w14:paraId="3DD06D8A" w14:textId="77777777" w:rsidR="00A77B3E" w:rsidRPr="004E727A" w:rsidRDefault="00A77B3E" w:rsidP="004D4728">
      <w:pPr>
        <w:adjustRightInd w:val="0"/>
        <w:snapToGrid w:val="0"/>
        <w:spacing w:line="360" w:lineRule="auto"/>
        <w:jc w:val="both"/>
        <w:rPr>
          <w:rFonts w:ascii="Book Antiqua" w:hAnsi="Book Antiqua"/>
        </w:rPr>
      </w:pPr>
    </w:p>
    <w:p w14:paraId="00072ADE" w14:textId="77777777" w:rsidR="00A77B3E" w:rsidRPr="004E727A" w:rsidRDefault="00737FE9" w:rsidP="004D4728">
      <w:pPr>
        <w:adjustRightInd w:val="0"/>
        <w:snapToGrid w:val="0"/>
        <w:spacing w:line="360" w:lineRule="auto"/>
        <w:jc w:val="both"/>
        <w:rPr>
          <w:rFonts w:ascii="Book Antiqua" w:hAnsi="Book Antiqua"/>
        </w:rPr>
      </w:pPr>
      <w:r w:rsidRPr="004E727A">
        <w:rPr>
          <w:rFonts w:ascii="Book Antiqua" w:eastAsia="Book Antiqua" w:hAnsi="Book Antiqua" w:cs="Book Antiqua"/>
          <w:b/>
        </w:rPr>
        <w:t>REFERENCES</w:t>
      </w:r>
    </w:p>
    <w:p w14:paraId="32CF882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1 </w:t>
      </w:r>
      <w:r w:rsidRPr="004E727A">
        <w:rPr>
          <w:rFonts w:ascii="Book Antiqua" w:hAnsi="Book Antiqua"/>
          <w:b/>
          <w:bCs/>
        </w:rPr>
        <w:t>Canavan C</w:t>
      </w:r>
      <w:r w:rsidRPr="004E727A">
        <w:rPr>
          <w:rFonts w:ascii="Book Antiqua" w:hAnsi="Book Antiqua"/>
        </w:rPr>
        <w:t>, West J, Card T. The epidemiology of irritable bowel syndrome. </w:t>
      </w:r>
      <w:r w:rsidRPr="004E727A">
        <w:rPr>
          <w:rFonts w:ascii="Book Antiqua" w:hAnsi="Book Antiqua"/>
          <w:i/>
          <w:iCs/>
        </w:rPr>
        <w:t>Clin Epidemiol</w:t>
      </w:r>
      <w:r w:rsidRPr="004E727A">
        <w:rPr>
          <w:rFonts w:ascii="Book Antiqua" w:hAnsi="Book Antiqua"/>
        </w:rPr>
        <w:t> 2014; </w:t>
      </w:r>
      <w:r w:rsidRPr="004E727A">
        <w:rPr>
          <w:rFonts w:ascii="Book Antiqua" w:hAnsi="Book Antiqua"/>
          <w:b/>
          <w:bCs/>
        </w:rPr>
        <w:t>6</w:t>
      </w:r>
      <w:r w:rsidRPr="004E727A">
        <w:rPr>
          <w:rFonts w:ascii="Book Antiqua" w:hAnsi="Book Antiqua"/>
        </w:rPr>
        <w:t>: 71-80 [PMID: 24523597 DOI: 10.2147/CLEP.S40245]</w:t>
      </w:r>
    </w:p>
    <w:p w14:paraId="5EA792F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2 </w:t>
      </w:r>
      <w:r w:rsidRPr="004E727A">
        <w:rPr>
          <w:rFonts w:ascii="Book Antiqua" w:hAnsi="Book Antiqua"/>
          <w:b/>
          <w:bCs/>
        </w:rPr>
        <w:t>El-Salhy M</w:t>
      </w:r>
      <w:r w:rsidRPr="004E727A">
        <w:rPr>
          <w:rFonts w:ascii="Book Antiqua" w:hAnsi="Book Antiqua"/>
        </w:rPr>
        <w:t>. Recent developments in the pathophysiology of irritable bowel syndrome. </w:t>
      </w:r>
      <w:r w:rsidRPr="004E727A">
        <w:rPr>
          <w:rFonts w:ascii="Book Antiqua" w:hAnsi="Book Antiqua"/>
          <w:i/>
          <w:iCs/>
        </w:rPr>
        <w:t>World J Gastroenterol</w:t>
      </w:r>
      <w:r w:rsidRPr="004E727A">
        <w:rPr>
          <w:rFonts w:ascii="Book Antiqua" w:hAnsi="Book Antiqua"/>
        </w:rPr>
        <w:t> 2015; </w:t>
      </w:r>
      <w:r w:rsidRPr="004E727A">
        <w:rPr>
          <w:rFonts w:ascii="Book Antiqua" w:hAnsi="Book Antiqua"/>
          <w:b/>
          <w:bCs/>
        </w:rPr>
        <w:t>21</w:t>
      </w:r>
      <w:r w:rsidRPr="004E727A">
        <w:rPr>
          <w:rFonts w:ascii="Book Antiqua" w:hAnsi="Book Antiqua"/>
        </w:rPr>
        <w:t>: 7621-7636 [PMID: 26167065 DOI: 10.3748/wjg.v21.i25.7621]</w:t>
      </w:r>
    </w:p>
    <w:p w14:paraId="5DBCFFA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3 </w:t>
      </w:r>
      <w:r w:rsidRPr="004E727A">
        <w:rPr>
          <w:rFonts w:ascii="Book Antiqua" w:hAnsi="Book Antiqua"/>
          <w:b/>
          <w:bCs/>
        </w:rPr>
        <w:t>El-Salhy M</w:t>
      </w:r>
      <w:r w:rsidRPr="004E727A">
        <w:rPr>
          <w:rFonts w:ascii="Book Antiqua" w:hAnsi="Book Antiqua"/>
        </w:rPr>
        <w:t>. FMT in IBS: how cautious should we be? </w:t>
      </w:r>
      <w:r w:rsidRPr="004E727A">
        <w:rPr>
          <w:rFonts w:ascii="Book Antiqua" w:hAnsi="Book Antiqua"/>
          <w:i/>
          <w:iCs/>
        </w:rPr>
        <w:t>Gut</w:t>
      </w:r>
      <w:r w:rsidRPr="004E727A">
        <w:rPr>
          <w:rFonts w:ascii="Book Antiqua" w:hAnsi="Book Antiqua"/>
        </w:rPr>
        <w:t> 2021; </w:t>
      </w:r>
      <w:r w:rsidRPr="004E727A">
        <w:rPr>
          <w:rFonts w:ascii="Book Antiqua" w:hAnsi="Book Antiqua"/>
          <w:b/>
          <w:bCs/>
        </w:rPr>
        <w:t>70</w:t>
      </w:r>
      <w:r w:rsidRPr="004E727A">
        <w:rPr>
          <w:rFonts w:ascii="Book Antiqua" w:hAnsi="Book Antiqua"/>
        </w:rPr>
        <w:t>: 626-628 [PMID: 32665338 DOI: 10.1136/gutjnl-2020-322038]</w:t>
      </w:r>
    </w:p>
    <w:p w14:paraId="36A90DF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4 </w:t>
      </w:r>
      <w:r w:rsidRPr="004E727A">
        <w:rPr>
          <w:rFonts w:ascii="Book Antiqua" w:hAnsi="Book Antiqua"/>
          <w:b/>
          <w:bCs/>
        </w:rPr>
        <w:t>Konturek PC</w:t>
      </w:r>
      <w:r w:rsidRPr="004E727A">
        <w:rPr>
          <w:rFonts w:ascii="Book Antiqua" w:hAnsi="Book Antiqua"/>
        </w:rPr>
        <w:t>, Brzozowski T, Konturek SJ. Stress and the gut: pathophysiology, clinical consequences, diagnostic approach and treatment options. </w:t>
      </w:r>
      <w:r w:rsidRPr="004E727A">
        <w:rPr>
          <w:rFonts w:ascii="Book Antiqua" w:hAnsi="Book Antiqua"/>
          <w:i/>
          <w:iCs/>
        </w:rPr>
        <w:t>J Physiol Pharmacol</w:t>
      </w:r>
      <w:r w:rsidRPr="004E727A">
        <w:rPr>
          <w:rFonts w:ascii="Book Antiqua" w:hAnsi="Book Antiqua"/>
        </w:rPr>
        <w:t> 2011; </w:t>
      </w:r>
      <w:r w:rsidRPr="004E727A">
        <w:rPr>
          <w:rFonts w:ascii="Book Antiqua" w:hAnsi="Book Antiqua"/>
          <w:b/>
          <w:bCs/>
        </w:rPr>
        <w:t>62</w:t>
      </w:r>
      <w:r w:rsidRPr="004E727A">
        <w:rPr>
          <w:rFonts w:ascii="Book Antiqua" w:hAnsi="Book Antiqua"/>
        </w:rPr>
        <w:t>: 591-599 [PMID: 22314561]</w:t>
      </w:r>
    </w:p>
    <w:p w14:paraId="0E89F4E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5 </w:t>
      </w:r>
      <w:r w:rsidRPr="004E727A">
        <w:rPr>
          <w:rFonts w:ascii="Book Antiqua" w:hAnsi="Book Antiqua"/>
          <w:b/>
          <w:bCs/>
        </w:rPr>
        <w:t>El-Salhy M</w:t>
      </w:r>
      <w:r w:rsidRPr="004E727A">
        <w:rPr>
          <w:rFonts w:ascii="Book Antiqua" w:hAnsi="Book Antiqua"/>
        </w:rPr>
        <w:t>, Gilja OH, Hatlebakk JG. Overlapping of irritable bowel syndrome with erosive esophagitis and the performance of Rome criteria in diagnosing IBS in a clinical setting. </w:t>
      </w:r>
      <w:r w:rsidRPr="004E727A">
        <w:rPr>
          <w:rFonts w:ascii="Book Antiqua" w:hAnsi="Book Antiqua"/>
          <w:i/>
          <w:iCs/>
        </w:rPr>
        <w:t>Mol Med Rep</w:t>
      </w:r>
      <w:r w:rsidRPr="004E727A">
        <w:rPr>
          <w:rFonts w:ascii="Book Antiqua" w:hAnsi="Book Antiqua"/>
        </w:rPr>
        <w:t> 2019; </w:t>
      </w:r>
      <w:r w:rsidRPr="004E727A">
        <w:rPr>
          <w:rFonts w:ascii="Book Antiqua" w:hAnsi="Book Antiqua"/>
          <w:b/>
          <w:bCs/>
        </w:rPr>
        <w:t>20</w:t>
      </w:r>
      <w:r w:rsidRPr="004E727A">
        <w:rPr>
          <w:rFonts w:ascii="Book Antiqua" w:hAnsi="Book Antiqua"/>
        </w:rPr>
        <w:t>: 787-794 [PMID: 31180516 DOI: 10.3892/mmr.2019.10284]</w:t>
      </w:r>
    </w:p>
    <w:p w14:paraId="5D852DE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6 </w:t>
      </w:r>
      <w:r w:rsidRPr="004E727A">
        <w:rPr>
          <w:rFonts w:ascii="Book Antiqua" w:hAnsi="Book Antiqua"/>
          <w:b/>
          <w:bCs/>
        </w:rPr>
        <w:t>Thursby E</w:t>
      </w:r>
      <w:r w:rsidRPr="004E727A">
        <w:rPr>
          <w:rFonts w:ascii="Book Antiqua" w:hAnsi="Book Antiqua"/>
        </w:rPr>
        <w:t>, Juge N. Introduction to the human gut microbiota. </w:t>
      </w:r>
      <w:r w:rsidRPr="004E727A">
        <w:rPr>
          <w:rFonts w:ascii="Book Antiqua" w:hAnsi="Book Antiqua"/>
          <w:i/>
          <w:iCs/>
        </w:rPr>
        <w:t>Biochem J</w:t>
      </w:r>
      <w:r w:rsidRPr="004E727A">
        <w:rPr>
          <w:rFonts w:ascii="Book Antiqua" w:hAnsi="Book Antiqua"/>
        </w:rPr>
        <w:t> 2017; </w:t>
      </w:r>
      <w:r w:rsidRPr="004E727A">
        <w:rPr>
          <w:rFonts w:ascii="Book Antiqua" w:hAnsi="Book Antiqua"/>
          <w:b/>
          <w:bCs/>
        </w:rPr>
        <w:t>474</w:t>
      </w:r>
      <w:r w:rsidRPr="004E727A">
        <w:rPr>
          <w:rFonts w:ascii="Book Antiqua" w:hAnsi="Book Antiqua"/>
        </w:rPr>
        <w:t>: 1823-1836 [PMID: 28512250 DOI: 10.1042/BCJ20160510]</w:t>
      </w:r>
    </w:p>
    <w:p w14:paraId="593E53D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7 </w:t>
      </w:r>
      <w:r w:rsidRPr="004E727A">
        <w:rPr>
          <w:rFonts w:ascii="Book Antiqua" w:hAnsi="Book Antiqua"/>
          <w:b/>
          <w:bCs/>
        </w:rPr>
        <w:t>Chong PP</w:t>
      </w:r>
      <w:r w:rsidRPr="004E727A">
        <w:rPr>
          <w:rFonts w:ascii="Book Antiqua" w:hAnsi="Book Antiqua"/>
        </w:rPr>
        <w:t>, Chin VK, Looi CY, Wong WF, Madhavan P, Yong VC. The Microbiome and Irritable Bowel Syndrome - A Review on the Pathophysiology, Current Research and Future Therapy. </w:t>
      </w:r>
      <w:r w:rsidRPr="004E727A">
        <w:rPr>
          <w:rFonts w:ascii="Book Antiqua" w:hAnsi="Book Antiqua"/>
          <w:i/>
          <w:iCs/>
        </w:rPr>
        <w:t>Front Microbiol</w:t>
      </w:r>
      <w:r w:rsidRPr="004E727A">
        <w:rPr>
          <w:rFonts w:ascii="Book Antiqua" w:hAnsi="Book Antiqua"/>
        </w:rPr>
        <w:t> 2019; </w:t>
      </w:r>
      <w:r w:rsidRPr="004E727A">
        <w:rPr>
          <w:rFonts w:ascii="Book Antiqua" w:hAnsi="Book Antiqua"/>
          <w:b/>
          <w:bCs/>
        </w:rPr>
        <w:t>10</w:t>
      </w:r>
      <w:r w:rsidRPr="004E727A">
        <w:rPr>
          <w:rFonts w:ascii="Book Antiqua" w:hAnsi="Book Antiqua"/>
        </w:rPr>
        <w:t>: 1136 [PMID: 31244784 DOI: 10.3389/fmicb.2019.01136]</w:t>
      </w:r>
    </w:p>
    <w:p w14:paraId="4723ABB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8 </w:t>
      </w:r>
      <w:r w:rsidRPr="004E727A">
        <w:rPr>
          <w:rFonts w:ascii="Book Antiqua" w:hAnsi="Book Antiqua"/>
          <w:b/>
          <w:bCs/>
        </w:rPr>
        <w:t>Hugon P</w:t>
      </w:r>
      <w:r w:rsidRPr="004E727A">
        <w:rPr>
          <w:rFonts w:ascii="Book Antiqua" w:hAnsi="Book Antiqua"/>
        </w:rPr>
        <w:t>, Dufour JC, Colson P, Fournier PE, Sallah K, Raoult D. A comprehensive repertoire of prokaryotic species identified in human beings. </w:t>
      </w:r>
      <w:r w:rsidRPr="004E727A">
        <w:rPr>
          <w:rFonts w:ascii="Book Antiqua" w:hAnsi="Book Antiqua"/>
          <w:i/>
          <w:iCs/>
        </w:rPr>
        <w:t>Lancet Infect Dis</w:t>
      </w:r>
      <w:r w:rsidRPr="004E727A">
        <w:rPr>
          <w:rFonts w:ascii="Book Antiqua" w:hAnsi="Book Antiqua"/>
        </w:rPr>
        <w:t> 2015; </w:t>
      </w:r>
      <w:r w:rsidRPr="004E727A">
        <w:rPr>
          <w:rFonts w:ascii="Book Antiqua" w:hAnsi="Book Antiqua"/>
          <w:b/>
          <w:bCs/>
        </w:rPr>
        <w:t>15</w:t>
      </w:r>
      <w:r w:rsidRPr="004E727A">
        <w:rPr>
          <w:rFonts w:ascii="Book Antiqua" w:hAnsi="Book Antiqua"/>
        </w:rPr>
        <w:t>: 1211-1219 [PMID: 26311042 DOI: 10.1016/S1473-3099(15)00293-5]</w:t>
      </w:r>
    </w:p>
    <w:p w14:paraId="3E80277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9 </w:t>
      </w:r>
      <w:r w:rsidRPr="004E727A">
        <w:rPr>
          <w:rFonts w:ascii="Book Antiqua" w:hAnsi="Book Antiqua"/>
          <w:b/>
          <w:bCs/>
        </w:rPr>
        <w:t>Ley RE</w:t>
      </w:r>
      <w:r w:rsidRPr="004E727A">
        <w:rPr>
          <w:rFonts w:ascii="Book Antiqua" w:hAnsi="Book Antiqua"/>
        </w:rPr>
        <w:t>, Hamady M, Lozupone C, Turnbaugh PJ, Ramey RR, Bircher JS, Schlegel ML, Tucker TA, Schrenzel MD, Knight R, Gordon JI. Evolution of mammals and their gut microbes. </w:t>
      </w:r>
      <w:r w:rsidRPr="004E727A">
        <w:rPr>
          <w:rFonts w:ascii="Book Antiqua" w:hAnsi="Book Antiqua"/>
          <w:i/>
          <w:iCs/>
        </w:rPr>
        <w:t>Science</w:t>
      </w:r>
      <w:r w:rsidRPr="004E727A">
        <w:rPr>
          <w:rFonts w:ascii="Book Antiqua" w:hAnsi="Book Antiqua"/>
        </w:rPr>
        <w:t> 2008; </w:t>
      </w:r>
      <w:r w:rsidRPr="004E727A">
        <w:rPr>
          <w:rFonts w:ascii="Book Antiqua" w:hAnsi="Book Antiqua"/>
          <w:b/>
          <w:bCs/>
        </w:rPr>
        <w:t>320</w:t>
      </w:r>
      <w:r w:rsidRPr="004E727A">
        <w:rPr>
          <w:rFonts w:ascii="Book Antiqua" w:hAnsi="Book Antiqua"/>
        </w:rPr>
        <w:t>: 1647-1651 [PMID: 18497261 DOI: 10.1126/science.1155725]</w:t>
      </w:r>
    </w:p>
    <w:p w14:paraId="55769D6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10 </w:t>
      </w:r>
      <w:r w:rsidRPr="004E727A">
        <w:rPr>
          <w:rFonts w:ascii="Book Antiqua" w:hAnsi="Book Antiqua"/>
          <w:b/>
          <w:bCs/>
        </w:rPr>
        <w:t>Wilson BC</w:t>
      </w:r>
      <w:r w:rsidRPr="004E727A">
        <w:rPr>
          <w:rFonts w:ascii="Book Antiqua" w:hAnsi="Book Antiqua"/>
        </w:rPr>
        <w:t>, Vatanen T, Cutfield WS, O'Sullivan JM. The Super-Donor Phenomenon in Fecal Microbiota Transplantation. </w:t>
      </w:r>
      <w:r w:rsidRPr="004E727A">
        <w:rPr>
          <w:rFonts w:ascii="Book Antiqua" w:hAnsi="Book Antiqua"/>
          <w:i/>
          <w:iCs/>
        </w:rPr>
        <w:t>Front Cell Infect Microbiol</w:t>
      </w:r>
      <w:r w:rsidRPr="004E727A">
        <w:rPr>
          <w:rFonts w:ascii="Book Antiqua" w:hAnsi="Book Antiqua"/>
        </w:rPr>
        <w:t> 2019; </w:t>
      </w:r>
      <w:r w:rsidRPr="004E727A">
        <w:rPr>
          <w:rFonts w:ascii="Book Antiqua" w:hAnsi="Book Antiqua"/>
          <w:b/>
          <w:bCs/>
        </w:rPr>
        <w:t>9</w:t>
      </w:r>
      <w:r w:rsidRPr="004E727A">
        <w:rPr>
          <w:rFonts w:ascii="Book Antiqua" w:hAnsi="Book Antiqua"/>
        </w:rPr>
        <w:t>: 2 [PMID: 30719428 DOI: 10.3389/fcimb.2019.00002]</w:t>
      </w:r>
    </w:p>
    <w:p w14:paraId="42805E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11 </w:t>
      </w:r>
      <w:bookmarkStart w:id="25" w:name="OLE_LINK1"/>
      <w:bookmarkStart w:id="26" w:name="OLE_LINK2"/>
      <w:r w:rsidRPr="004E727A">
        <w:rPr>
          <w:rFonts w:ascii="Book Antiqua" w:hAnsi="Book Antiqua"/>
          <w:b/>
          <w:bCs/>
        </w:rPr>
        <w:t>El-Salhy M</w:t>
      </w:r>
      <w:r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Pr="004E727A">
        <w:rPr>
          <w:rFonts w:ascii="Book Antiqua" w:hAnsi="Book Antiqua"/>
          <w:i/>
          <w:iCs/>
        </w:rPr>
        <w:t>Gut</w:t>
      </w:r>
      <w:r w:rsidRPr="004E727A">
        <w:rPr>
          <w:rFonts w:ascii="Book Antiqua" w:hAnsi="Book Antiqua"/>
        </w:rPr>
        <w:t> 2020; </w:t>
      </w:r>
      <w:r w:rsidRPr="004E727A">
        <w:rPr>
          <w:rFonts w:ascii="Book Antiqua" w:hAnsi="Book Antiqua"/>
          <w:b/>
          <w:bCs/>
        </w:rPr>
        <w:t>69</w:t>
      </w:r>
      <w:r w:rsidRPr="004E727A">
        <w:rPr>
          <w:rFonts w:ascii="Book Antiqua" w:hAnsi="Book Antiqua"/>
        </w:rPr>
        <w:t>: 859-867 [PMID: 31852769 DOI: 10.1136/gutjnl-2019-319630]</w:t>
      </w:r>
    </w:p>
    <w:bookmarkEnd w:id="25"/>
    <w:bookmarkEnd w:id="26"/>
    <w:p w14:paraId="51C8039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12 </w:t>
      </w:r>
      <w:r w:rsidRPr="004E727A">
        <w:rPr>
          <w:rFonts w:ascii="Book Antiqua" w:hAnsi="Book Antiqua"/>
          <w:b/>
          <w:bCs/>
        </w:rPr>
        <w:t>Kriss M</w:t>
      </w:r>
      <w:r w:rsidRPr="004E727A">
        <w:rPr>
          <w:rFonts w:ascii="Book Antiqua" w:hAnsi="Book Antiqua"/>
        </w:rPr>
        <w:t>, Hazleton KZ, Nusbacher NM, Martin CG, Lozupone CA. Low diversity gut microbiota dysbiosis: drivers, functional implications and recovery. </w:t>
      </w:r>
      <w:r w:rsidRPr="004E727A">
        <w:rPr>
          <w:rFonts w:ascii="Book Antiqua" w:hAnsi="Book Antiqua"/>
          <w:i/>
          <w:iCs/>
        </w:rPr>
        <w:t>Curr Opin Microbiol</w:t>
      </w:r>
      <w:r w:rsidRPr="004E727A">
        <w:rPr>
          <w:rFonts w:ascii="Book Antiqua" w:hAnsi="Book Antiqua"/>
        </w:rPr>
        <w:t> 2018; </w:t>
      </w:r>
      <w:r w:rsidRPr="004E727A">
        <w:rPr>
          <w:rFonts w:ascii="Book Antiqua" w:hAnsi="Book Antiqua"/>
          <w:b/>
          <w:bCs/>
        </w:rPr>
        <w:t>44</w:t>
      </w:r>
      <w:r w:rsidRPr="004E727A">
        <w:rPr>
          <w:rFonts w:ascii="Book Antiqua" w:hAnsi="Book Antiqua"/>
        </w:rPr>
        <w:t>: 34-40 [PMID: 30036705 DOI: 10.1016/j.mib.2018.07.003]</w:t>
      </w:r>
    </w:p>
    <w:p w14:paraId="013DC9B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13 </w:t>
      </w:r>
      <w:r w:rsidRPr="004E727A">
        <w:rPr>
          <w:rFonts w:ascii="Book Antiqua" w:hAnsi="Book Antiqua"/>
          <w:b/>
          <w:bCs/>
        </w:rPr>
        <w:t>El-Salhy M</w:t>
      </w:r>
      <w:r w:rsidRPr="004E727A">
        <w:rPr>
          <w:rFonts w:ascii="Book Antiqua" w:hAnsi="Book Antiqua"/>
        </w:rPr>
        <w:t>, Mazzawi T. Fecal microbiota transplantation for managing irritable bowel syndrome. </w:t>
      </w:r>
      <w:r w:rsidRPr="004E727A">
        <w:rPr>
          <w:rFonts w:ascii="Book Antiqua" w:hAnsi="Book Antiqua"/>
          <w:i/>
          <w:iCs/>
        </w:rPr>
        <w:t>Expert Rev Gastroenterol Hepatol</w:t>
      </w:r>
      <w:r w:rsidRPr="004E727A">
        <w:rPr>
          <w:rFonts w:ascii="Book Antiqua" w:hAnsi="Book Antiqua"/>
        </w:rPr>
        <w:t> 2018; </w:t>
      </w:r>
      <w:r w:rsidRPr="004E727A">
        <w:rPr>
          <w:rFonts w:ascii="Book Antiqua" w:hAnsi="Book Antiqua"/>
          <w:b/>
          <w:bCs/>
        </w:rPr>
        <w:t>12</w:t>
      </w:r>
      <w:r w:rsidRPr="004E727A">
        <w:rPr>
          <w:rFonts w:ascii="Book Antiqua" w:hAnsi="Book Antiqua"/>
        </w:rPr>
        <w:t>: 439-445 [PMID: 29493330 DOI: 10.1080/17474124.2018.1447380]</w:t>
      </w:r>
    </w:p>
    <w:p w14:paraId="3A70248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14 </w:t>
      </w:r>
      <w:r w:rsidRPr="004E727A">
        <w:rPr>
          <w:rFonts w:ascii="Book Antiqua" w:hAnsi="Book Antiqua"/>
          <w:b/>
          <w:bCs/>
        </w:rPr>
        <w:t>Casén C</w:t>
      </w:r>
      <w:r w:rsidRPr="004E727A">
        <w:rPr>
          <w:rFonts w:ascii="Book Antiqua" w:hAnsi="Book Antiqua"/>
        </w:rPr>
        <w:t>, Vebø HC, Sekelja M, Hegge FT, Karlsson MK, Ciemniejewska E, Dzankovic S, Frøyland C, Nestestog R, Engstrand L, Munkholm P, Nielsen OH, Rogler G, Simrén M, Öhman L, Vatn MH, Rudi K. Deviations in human gut microbiota: a novel diagnostic test for determining dysbiosis in patients with IBS or IBD. </w:t>
      </w:r>
      <w:r w:rsidRPr="004E727A">
        <w:rPr>
          <w:rFonts w:ascii="Book Antiqua" w:hAnsi="Book Antiqua"/>
          <w:i/>
          <w:iCs/>
        </w:rPr>
        <w:t>Aliment Pharmacol Ther</w:t>
      </w:r>
      <w:r w:rsidRPr="004E727A">
        <w:rPr>
          <w:rFonts w:ascii="Book Antiqua" w:hAnsi="Book Antiqua"/>
        </w:rPr>
        <w:t> 2015; </w:t>
      </w:r>
      <w:r w:rsidRPr="004E727A">
        <w:rPr>
          <w:rFonts w:ascii="Book Antiqua" w:hAnsi="Book Antiqua"/>
          <w:b/>
          <w:bCs/>
        </w:rPr>
        <w:t>42</w:t>
      </w:r>
      <w:r w:rsidRPr="004E727A">
        <w:rPr>
          <w:rFonts w:ascii="Book Antiqua" w:hAnsi="Book Antiqua"/>
        </w:rPr>
        <w:t>: 71-83 [PMID: 25973666 DOI: 10.1111/apt.13236]</w:t>
      </w:r>
    </w:p>
    <w:p w14:paraId="7B355D7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15 </w:t>
      </w:r>
      <w:r w:rsidRPr="004E727A">
        <w:rPr>
          <w:rFonts w:ascii="Book Antiqua" w:hAnsi="Book Antiqua"/>
          <w:b/>
          <w:bCs/>
        </w:rPr>
        <w:t>Enck P</w:t>
      </w:r>
      <w:r w:rsidRPr="004E727A">
        <w:rPr>
          <w:rFonts w:ascii="Book Antiqua" w:hAnsi="Book Antiqua"/>
        </w:rPr>
        <w:t>, Mazurak N. Dysbiosis in Functional Bowel Disorders. </w:t>
      </w:r>
      <w:r w:rsidRPr="004E727A">
        <w:rPr>
          <w:rFonts w:ascii="Book Antiqua" w:hAnsi="Book Antiqua"/>
          <w:i/>
          <w:iCs/>
        </w:rPr>
        <w:t>Ann Nutr Metab</w:t>
      </w:r>
      <w:r w:rsidRPr="004E727A">
        <w:rPr>
          <w:rFonts w:ascii="Book Antiqua" w:hAnsi="Book Antiqua"/>
        </w:rPr>
        <w:t> 2018; </w:t>
      </w:r>
      <w:r w:rsidRPr="004E727A">
        <w:rPr>
          <w:rFonts w:ascii="Book Antiqua" w:hAnsi="Book Antiqua"/>
          <w:b/>
          <w:bCs/>
        </w:rPr>
        <w:t>72</w:t>
      </w:r>
      <w:r w:rsidRPr="004E727A">
        <w:rPr>
          <w:rFonts w:ascii="Book Antiqua" w:hAnsi="Book Antiqua"/>
        </w:rPr>
        <w:t>: 296-306 [PMID: 29694952 DOI: 10.1159/000488773]</w:t>
      </w:r>
    </w:p>
    <w:p w14:paraId="494F025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16 </w:t>
      </w:r>
      <w:r w:rsidRPr="004E727A">
        <w:rPr>
          <w:rFonts w:ascii="Book Antiqua" w:hAnsi="Book Antiqua"/>
          <w:b/>
          <w:bCs/>
        </w:rPr>
        <w:t>Pozuelo M</w:t>
      </w:r>
      <w:r w:rsidRPr="004E727A">
        <w:rPr>
          <w:rFonts w:ascii="Book Antiqua" w:hAnsi="Book Antiqua"/>
        </w:rPr>
        <w:t>, Panda S, Santiago A, Mendez S, Accarino A, Santos J, Guarner F, Azpiroz F, Manichanh C. Reduction of butyrate- and methane-producing microorganisms in patients with Irritable Bowel Syndrome. </w:t>
      </w:r>
      <w:r w:rsidRPr="004E727A">
        <w:rPr>
          <w:rFonts w:ascii="Book Antiqua" w:hAnsi="Book Antiqua"/>
          <w:i/>
          <w:iCs/>
        </w:rPr>
        <w:t>Sci Rep</w:t>
      </w:r>
      <w:r w:rsidRPr="004E727A">
        <w:rPr>
          <w:rFonts w:ascii="Book Antiqua" w:hAnsi="Book Antiqua"/>
        </w:rPr>
        <w:t> 2015; </w:t>
      </w:r>
      <w:r w:rsidRPr="004E727A">
        <w:rPr>
          <w:rFonts w:ascii="Book Antiqua" w:hAnsi="Book Antiqua"/>
          <w:b/>
          <w:bCs/>
        </w:rPr>
        <w:t>5</w:t>
      </w:r>
      <w:r w:rsidRPr="004E727A">
        <w:rPr>
          <w:rFonts w:ascii="Book Antiqua" w:hAnsi="Book Antiqua"/>
        </w:rPr>
        <w:t>: 12693 [PMID: 26239401 DOI: 10.1038/srep12693]</w:t>
      </w:r>
    </w:p>
    <w:p w14:paraId="771A476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17 </w:t>
      </w:r>
      <w:r w:rsidRPr="004E727A">
        <w:rPr>
          <w:rFonts w:ascii="Book Antiqua" w:hAnsi="Book Antiqua"/>
          <w:b/>
          <w:bCs/>
        </w:rPr>
        <w:t>Liu HN</w:t>
      </w:r>
      <w:r w:rsidRPr="004E727A">
        <w:rPr>
          <w:rFonts w:ascii="Book Antiqua" w:hAnsi="Book Antiqua"/>
        </w:rPr>
        <w:t>, Wu H, Chen YZ, Chen YJ, Shen XZ, Liu TT. Altered molecular signature of intestinal microbiota in irritable bowel syndrome patients compared with healthy controls: A systematic review and meta-analysis. </w:t>
      </w:r>
      <w:r w:rsidRPr="004E727A">
        <w:rPr>
          <w:rFonts w:ascii="Book Antiqua" w:hAnsi="Book Antiqua"/>
          <w:i/>
          <w:iCs/>
        </w:rPr>
        <w:t>Dig Liver Dis</w:t>
      </w:r>
      <w:r w:rsidRPr="004E727A">
        <w:rPr>
          <w:rFonts w:ascii="Book Antiqua" w:hAnsi="Book Antiqua"/>
        </w:rPr>
        <w:t> 2017; </w:t>
      </w:r>
      <w:r w:rsidRPr="004E727A">
        <w:rPr>
          <w:rFonts w:ascii="Book Antiqua" w:hAnsi="Book Antiqua"/>
          <w:b/>
          <w:bCs/>
        </w:rPr>
        <w:t>49</w:t>
      </w:r>
      <w:r w:rsidRPr="004E727A">
        <w:rPr>
          <w:rFonts w:ascii="Book Antiqua" w:hAnsi="Book Antiqua"/>
        </w:rPr>
        <w:t>: 331-337 [PMID: 28179092 DOI: 10.1016/j.dld.2017.01.142]</w:t>
      </w:r>
    </w:p>
    <w:p w14:paraId="46314AC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18 </w:t>
      </w:r>
      <w:r w:rsidRPr="004E727A">
        <w:rPr>
          <w:rFonts w:ascii="Book Antiqua" w:hAnsi="Book Antiqua"/>
          <w:b/>
          <w:bCs/>
        </w:rPr>
        <w:t>Zhang F</w:t>
      </w:r>
      <w:r w:rsidRPr="004E727A">
        <w:rPr>
          <w:rFonts w:ascii="Book Antiqua" w:hAnsi="Book Antiqua"/>
        </w:rPr>
        <w:t>, Luo W, Shi Y, Fan Z, Ji G. Should we standardize the 1,700-year-old fecal microbiota transplantation? </w:t>
      </w:r>
      <w:r w:rsidRPr="004E727A">
        <w:rPr>
          <w:rFonts w:ascii="Book Antiqua" w:hAnsi="Book Antiqua"/>
          <w:i/>
          <w:iCs/>
        </w:rPr>
        <w:t>Am J Gastroenterol</w:t>
      </w:r>
      <w:r w:rsidRPr="004E727A">
        <w:rPr>
          <w:rFonts w:ascii="Book Antiqua" w:hAnsi="Book Antiqua"/>
        </w:rPr>
        <w:t> 2012; </w:t>
      </w:r>
      <w:r w:rsidRPr="004E727A">
        <w:rPr>
          <w:rFonts w:ascii="Book Antiqua" w:hAnsi="Book Antiqua"/>
          <w:b/>
          <w:bCs/>
        </w:rPr>
        <w:t>107</w:t>
      </w:r>
      <w:r w:rsidRPr="004E727A">
        <w:rPr>
          <w:rFonts w:ascii="Book Antiqua" w:hAnsi="Book Antiqua"/>
        </w:rPr>
        <w:t>: 1755; author reply p.1755-1755; author reply p.1756 [PMID: 23160295 DOI: 10.1038/ajg.2012.251]</w:t>
      </w:r>
    </w:p>
    <w:p w14:paraId="6C0E756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19 </w:t>
      </w:r>
      <w:r w:rsidRPr="004E727A">
        <w:rPr>
          <w:rFonts w:ascii="Book Antiqua" w:hAnsi="Book Antiqua"/>
          <w:b/>
          <w:bCs/>
        </w:rPr>
        <w:t>Liubakka A</w:t>
      </w:r>
      <w:r w:rsidRPr="004E727A">
        <w:rPr>
          <w:rFonts w:ascii="Book Antiqua" w:hAnsi="Book Antiqua"/>
        </w:rPr>
        <w:t>, Vaughn BP. Clostridium difficile Infection and Fecal Microbiota Transplant. </w:t>
      </w:r>
      <w:r w:rsidRPr="004E727A">
        <w:rPr>
          <w:rFonts w:ascii="Book Antiqua" w:hAnsi="Book Antiqua"/>
          <w:i/>
          <w:iCs/>
        </w:rPr>
        <w:t>AACN Adv Crit Care</w:t>
      </w:r>
      <w:r w:rsidRPr="004E727A">
        <w:rPr>
          <w:rFonts w:ascii="Book Antiqua" w:hAnsi="Book Antiqua"/>
        </w:rPr>
        <w:t> 2016; </w:t>
      </w:r>
      <w:r w:rsidRPr="004E727A">
        <w:rPr>
          <w:rFonts w:ascii="Book Antiqua" w:hAnsi="Book Antiqua"/>
          <w:b/>
          <w:bCs/>
        </w:rPr>
        <w:t>27</w:t>
      </w:r>
      <w:r w:rsidRPr="004E727A">
        <w:rPr>
          <w:rFonts w:ascii="Book Antiqua" w:hAnsi="Book Antiqua"/>
        </w:rPr>
        <w:t>: 324-337 [PMID: 27959316 DOI: 10.4037/aacnacc2016703]</w:t>
      </w:r>
    </w:p>
    <w:p w14:paraId="01BAEAB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20 </w:t>
      </w:r>
      <w:r w:rsidRPr="004E727A">
        <w:rPr>
          <w:rFonts w:ascii="Book Antiqua" w:hAnsi="Book Antiqua"/>
          <w:b/>
          <w:bCs/>
        </w:rPr>
        <w:t>Green JE</w:t>
      </w:r>
      <w:r w:rsidRPr="004E727A">
        <w:rPr>
          <w:rFonts w:ascii="Book Antiqua" w:hAnsi="Book Antiqua"/>
        </w:rPr>
        <w:t>, Davis JA, Berk M, Hair C, Loughman A, Castle D, Athan E, Nierenberg AA, Cryan JF, Jacka F, Marx W. Efficacy and safety of fecal microbiota transplantation for the treatment of diseases other than </w:t>
      </w:r>
      <w:r w:rsidRPr="004E727A">
        <w:rPr>
          <w:rFonts w:ascii="Book Antiqua" w:hAnsi="Book Antiqua"/>
          <w:i/>
          <w:iCs/>
        </w:rPr>
        <w:t>Clostridium difficile</w:t>
      </w:r>
      <w:r w:rsidRPr="004E727A">
        <w:rPr>
          <w:rFonts w:ascii="Book Antiqua" w:hAnsi="Book Antiqua"/>
        </w:rPr>
        <w:t> infection: a systematic review and meta-analysis. </w:t>
      </w:r>
      <w:r w:rsidRPr="004E727A">
        <w:rPr>
          <w:rFonts w:ascii="Book Antiqua" w:hAnsi="Book Antiqua"/>
          <w:i/>
          <w:iCs/>
        </w:rPr>
        <w:t>Gut Microbes</w:t>
      </w:r>
      <w:r w:rsidRPr="004E727A">
        <w:rPr>
          <w:rFonts w:ascii="Book Antiqua" w:hAnsi="Book Antiqua"/>
        </w:rPr>
        <w:t> 2020; </w:t>
      </w:r>
      <w:r w:rsidRPr="004E727A">
        <w:rPr>
          <w:rFonts w:ascii="Book Antiqua" w:hAnsi="Book Antiqua"/>
          <w:b/>
          <w:bCs/>
        </w:rPr>
        <w:t>12</w:t>
      </w:r>
      <w:r w:rsidRPr="004E727A">
        <w:rPr>
          <w:rFonts w:ascii="Book Antiqua" w:hAnsi="Book Antiqua"/>
        </w:rPr>
        <w:t>: 1-25 [PMID: 33345703 DOI: 10.1080/19490976.2020.1854640]</w:t>
      </w:r>
    </w:p>
    <w:p w14:paraId="7ACABFA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21 </w:t>
      </w:r>
      <w:r w:rsidRPr="004E727A">
        <w:rPr>
          <w:rFonts w:ascii="Book Antiqua" w:hAnsi="Book Antiqua"/>
          <w:b/>
          <w:bCs/>
        </w:rPr>
        <w:t>Keller JJ</w:t>
      </w:r>
      <w:r w:rsidRPr="004E727A">
        <w:rPr>
          <w:rFonts w:ascii="Book Antiqua" w:hAnsi="Book Antiqua"/>
        </w:rPr>
        <w:t>, Ooijevaar RE, Hvas CL, Terveer EM, Lieberknecht SC, Högenauer C, Arkkila P, Sokol H, Gridnyev O, Mégraud F, Kump PK, Nakov R, Goldenberg SD, Satokari R, Tkatch S, Sanguinetti M, Cammarota G, Dorofeev A, Gubska O, Laniro G, Mattila E, Arasaradnam RP, Sarin SK, Sood A, Putignani L, Alric L, Baunwall SMD, Kupcinskas J, Link A, Goorhuis AG, Verspaget HW, Ponsioen C, Hold GL, Tilg H, Kassam Z, Kuijper EJ, Gasbarrini A, Mulder CJJ, Williams HRT, Vehreschild MJGT. A standardised model for stool banking for faecal microbiota transplantation: a consensus report from a multidisciplinary UEG working group. </w:t>
      </w:r>
      <w:r w:rsidRPr="004E727A">
        <w:rPr>
          <w:rFonts w:ascii="Book Antiqua" w:hAnsi="Book Antiqua"/>
          <w:i/>
          <w:iCs/>
        </w:rPr>
        <w:t>United European Gastroenterol J</w:t>
      </w:r>
      <w:r w:rsidRPr="004E727A">
        <w:rPr>
          <w:rFonts w:ascii="Book Antiqua" w:hAnsi="Book Antiqua"/>
        </w:rPr>
        <w:t> 2021; </w:t>
      </w:r>
      <w:r w:rsidRPr="004E727A">
        <w:rPr>
          <w:rFonts w:ascii="Book Antiqua" w:hAnsi="Book Antiqua"/>
          <w:b/>
          <w:bCs/>
        </w:rPr>
        <w:t>9</w:t>
      </w:r>
      <w:r w:rsidRPr="004E727A">
        <w:rPr>
          <w:rFonts w:ascii="Book Antiqua" w:hAnsi="Book Antiqua"/>
        </w:rPr>
        <w:t>: 229-247 [PMID: 33151137 DOI: 10.1177/2050640620967898]</w:t>
      </w:r>
    </w:p>
    <w:p w14:paraId="4F272F5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22 </w:t>
      </w:r>
      <w:r w:rsidRPr="004E727A">
        <w:rPr>
          <w:rFonts w:ascii="Book Antiqua" w:hAnsi="Book Antiqua"/>
          <w:b/>
          <w:bCs/>
        </w:rPr>
        <w:t>Johnsen PH</w:t>
      </w:r>
      <w:r w:rsidRPr="004E727A">
        <w:rPr>
          <w:rFonts w:ascii="Book Antiqua" w:hAnsi="Book Antiqua"/>
        </w:rPr>
        <w:t>, Hilpüsch F, Cavanagh JP, Leikanger IS, Kolstad C, Valle PC, Goll R. Faecal microbiota transplantation versus placebo for moderate-to-severe irritable bowel syndrome: a double-blind, randomised, placebo-controlled, parallel-group, single-centre trial. </w:t>
      </w:r>
      <w:r w:rsidRPr="004E727A">
        <w:rPr>
          <w:rFonts w:ascii="Book Antiqua" w:hAnsi="Book Antiqua"/>
          <w:i/>
          <w:iCs/>
        </w:rPr>
        <w:t>Lancet Gastroenterol Hepatol</w:t>
      </w:r>
      <w:r w:rsidRPr="004E727A">
        <w:rPr>
          <w:rFonts w:ascii="Book Antiqua" w:hAnsi="Book Antiqua"/>
        </w:rPr>
        <w:t> 2018; </w:t>
      </w:r>
      <w:r w:rsidRPr="004E727A">
        <w:rPr>
          <w:rFonts w:ascii="Book Antiqua" w:hAnsi="Book Antiqua"/>
          <w:b/>
          <w:bCs/>
        </w:rPr>
        <w:t>3</w:t>
      </w:r>
      <w:r w:rsidRPr="004E727A">
        <w:rPr>
          <w:rFonts w:ascii="Book Antiqua" w:hAnsi="Book Antiqua"/>
        </w:rPr>
        <w:t>: 17-24 [PMID: 29100842 DOI: 10.1016/S2468-1253(17)30338-2]</w:t>
      </w:r>
    </w:p>
    <w:p w14:paraId="2D507D9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23 </w:t>
      </w:r>
      <w:r w:rsidRPr="004E727A">
        <w:rPr>
          <w:rFonts w:ascii="Book Antiqua" w:hAnsi="Book Antiqua"/>
          <w:b/>
          <w:bCs/>
        </w:rPr>
        <w:t>Halkjær SI</w:t>
      </w:r>
      <w:r w:rsidRPr="004E727A">
        <w:rPr>
          <w:rFonts w:ascii="Book Antiqua" w:hAnsi="Book Antiqua"/>
        </w:rPr>
        <w:t>, Christensen AH, Lo BZS, Browne PD, Günther S, Hansen LH, Petersen AM. Faecal microbiota transplantation alters gut microbiota in patients with irritable bowel syndrome: results from a randomised, double-blind placebo-controlled study. </w:t>
      </w:r>
      <w:r w:rsidRPr="004E727A">
        <w:rPr>
          <w:rFonts w:ascii="Book Antiqua" w:hAnsi="Book Antiqua"/>
          <w:i/>
          <w:iCs/>
        </w:rPr>
        <w:t>Gut</w:t>
      </w:r>
      <w:r w:rsidRPr="004E727A">
        <w:rPr>
          <w:rFonts w:ascii="Book Antiqua" w:hAnsi="Book Antiqua"/>
        </w:rPr>
        <w:t> 2018; </w:t>
      </w:r>
      <w:r w:rsidRPr="004E727A">
        <w:rPr>
          <w:rFonts w:ascii="Book Antiqua" w:hAnsi="Book Antiqua"/>
          <w:b/>
          <w:bCs/>
        </w:rPr>
        <w:t>67</w:t>
      </w:r>
      <w:r w:rsidRPr="004E727A">
        <w:rPr>
          <w:rFonts w:ascii="Book Antiqua" w:hAnsi="Book Antiqua"/>
        </w:rPr>
        <w:t>: 2107-2115 [PMID: 29980607 DOI: 10.1136/gutjnl-2018-316434]</w:t>
      </w:r>
    </w:p>
    <w:p w14:paraId="03EFDBC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24 </w:t>
      </w:r>
      <w:r w:rsidRPr="004E727A">
        <w:rPr>
          <w:rFonts w:ascii="Book Antiqua" w:hAnsi="Book Antiqua"/>
          <w:b/>
          <w:bCs/>
        </w:rPr>
        <w:t>Aroniadis OC</w:t>
      </w:r>
      <w:r w:rsidRPr="004E727A">
        <w:rPr>
          <w:rFonts w:ascii="Book Antiqua" w:hAnsi="Book Antiqua"/>
        </w:rPr>
        <w:t>, Brandt LJ, Oneto C, Feuerstadt P, Sherman A, Wolkoff AW, Kassam Z, Sadovsky RG, Elliott RJ, Budree S, Kim M, Keller MJ. Faecal microbiota transplantation for diarrhoea-predominant irritable bowel syndrome: a double-blind, randomised, placebo-controlled trial. </w:t>
      </w:r>
      <w:r w:rsidRPr="004E727A">
        <w:rPr>
          <w:rFonts w:ascii="Book Antiqua" w:hAnsi="Book Antiqua"/>
          <w:i/>
          <w:iCs/>
        </w:rPr>
        <w:t>Lancet Gastroenterol Hepatol</w:t>
      </w:r>
      <w:r w:rsidRPr="004E727A">
        <w:rPr>
          <w:rFonts w:ascii="Book Antiqua" w:hAnsi="Book Antiqua"/>
        </w:rPr>
        <w:t> 2019; </w:t>
      </w:r>
      <w:r w:rsidRPr="004E727A">
        <w:rPr>
          <w:rFonts w:ascii="Book Antiqua" w:hAnsi="Book Antiqua"/>
          <w:b/>
          <w:bCs/>
        </w:rPr>
        <w:t>4</w:t>
      </w:r>
      <w:r w:rsidRPr="004E727A">
        <w:rPr>
          <w:rFonts w:ascii="Book Antiqua" w:hAnsi="Book Antiqua"/>
        </w:rPr>
        <w:t>: 675-685 [PMID: 31326345 DOI: 10.1016/S2468-1253(19)30198-0]</w:t>
      </w:r>
    </w:p>
    <w:p w14:paraId="23CF692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25 </w:t>
      </w:r>
      <w:r w:rsidRPr="004E727A">
        <w:rPr>
          <w:rFonts w:ascii="Book Antiqua" w:hAnsi="Book Antiqua"/>
          <w:b/>
          <w:bCs/>
        </w:rPr>
        <w:t>Holster S</w:t>
      </w:r>
      <w:r w:rsidRPr="004E727A">
        <w:rPr>
          <w:rFonts w:ascii="Book Antiqua" w:hAnsi="Book Antiqua"/>
        </w:rPr>
        <w:t>, Lindqvist CM, Repsilber D, Salonen A, de Vos WM, König J, Brummer RJ. The Effect of Allogenic Versus Autologous Fecal Microbiota Transfer on Symptoms, Visceral Perception and Fecal and Mucosal Microbiota in Irritable Bowel Syndrome: A Randomized Controlled Study. </w:t>
      </w:r>
      <w:r w:rsidRPr="004E727A">
        <w:rPr>
          <w:rFonts w:ascii="Book Antiqua" w:hAnsi="Book Antiqua"/>
          <w:i/>
          <w:iCs/>
        </w:rPr>
        <w:t>Clin Transl Gastroenterol</w:t>
      </w:r>
      <w:r w:rsidRPr="004E727A">
        <w:rPr>
          <w:rFonts w:ascii="Book Antiqua" w:hAnsi="Book Antiqua"/>
        </w:rPr>
        <w:t> 2019; </w:t>
      </w:r>
      <w:r w:rsidRPr="004E727A">
        <w:rPr>
          <w:rFonts w:ascii="Book Antiqua" w:hAnsi="Book Antiqua"/>
          <w:b/>
          <w:bCs/>
        </w:rPr>
        <w:t>10</w:t>
      </w:r>
      <w:r w:rsidRPr="004E727A">
        <w:rPr>
          <w:rFonts w:ascii="Book Antiqua" w:hAnsi="Book Antiqua"/>
        </w:rPr>
        <w:t>: e00034 [PMID: 31009405 DOI: 10.14309/ctg.0000000000000034]</w:t>
      </w:r>
    </w:p>
    <w:p w14:paraId="6701499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26 </w:t>
      </w:r>
      <w:r w:rsidRPr="004E727A">
        <w:rPr>
          <w:rFonts w:ascii="Book Antiqua" w:hAnsi="Book Antiqua"/>
          <w:b/>
          <w:bCs/>
        </w:rPr>
        <w:t>Lahtinen P</w:t>
      </w:r>
      <w:r w:rsidRPr="004E727A">
        <w:rPr>
          <w:rFonts w:ascii="Book Antiqua" w:hAnsi="Book Antiqua"/>
        </w:rPr>
        <w:t>, Jalanka J, Hartikainen A, Mattila E, Hillilä M, Punkkinen J, Koskenpato J, Anttila VJ, Tillonen J, Satokari R, Arkkila P. Randomised clinical trial: faecal microbiota transplantation versus autologous placebo administered via colonoscopy in irritable bowel syndrome.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51</w:t>
      </w:r>
      <w:r w:rsidRPr="004E727A">
        <w:rPr>
          <w:rFonts w:ascii="Book Antiqua" w:hAnsi="Book Antiqua"/>
        </w:rPr>
        <w:t>: 1321-1331 [PMID: 32343000 DOI: 10.1111/apt.15740]</w:t>
      </w:r>
    </w:p>
    <w:p w14:paraId="37720D7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27 </w:t>
      </w:r>
      <w:r w:rsidRPr="004E727A">
        <w:rPr>
          <w:rFonts w:ascii="Book Antiqua" w:hAnsi="Book Antiqua"/>
          <w:b/>
          <w:bCs/>
        </w:rPr>
        <w:t>Holvoet T</w:t>
      </w:r>
      <w:r w:rsidRPr="004E727A">
        <w:rPr>
          <w:rFonts w:ascii="Book Antiqua" w:hAnsi="Book Antiqua"/>
        </w:rPr>
        <w:t>, Joossens M, Vázquez-Castellanos JF, Christiaens E, Heyerick L, Boelens J, Verhasselt B, van Vlierberghe H, De Vos M, Raes J, De Looze D. Fecal Microbiota Transplantation Reduces Symptoms in Some Patients With Irritable Bowel Syndrome With Predominant Abdominal Bloating: Short- and Long-term Results From a Placebo-Controlled Randomized Trial. </w:t>
      </w:r>
      <w:r w:rsidRPr="004E727A">
        <w:rPr>
          <w:rFonts w:ascii="Book Antiqua" w:hAnsi="Book Antiqua"/>
          <w:i/>
          <w:iCs/>
        </w:rPr>
        <w:t>Gastroenterology</w:t>
      </w:r>
      <w:r w:rsidRPr="004E727A">
        <w:rPr>
          <w:rFonts w:ascii="Book Antiqua" w:hAnsi="Book Antiqua"/>
        </w:rPr>
        <w:t> 2021; </w:t>
      </w:r>
      <w:r w:rsidRPr="004E727A">
        <w:rPr>
          <w:rFonts w:ascii="Book Antiqua" w:hAnsi="Book Antiqua"/>
          <w:b/>
          <w:bCs/>
        </w:rPr>
        <w:t>160</w:t>
      </w:r>
      <w:r w:rsidRPr="004E727A">
        <w:rPr>
          <w:rFonts w:ascii="Book Antiqua" w:hAnsi="Book Antiqua"/>
        </w:rPr>
        <w:t>: 145-157.e8 [PMID: 32681922 DOI: 10.1053/j.gastro.2020.07.013]</w:t>
      </w:r>
    </w:p>
    <w:p w14:paraId="2D7A4FC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28 </w:t>
      </w:r>
      <w:r w:rsidRPr="004E727A">
        <w:rPr>
          <w:rFonts w:ascii="Book Antiqua" w:hAnsi="Book Antiqua"/>
          <w:b/>
          <w:bCs/>
        </w:rPr>
        <w:t>Segal JP</w:t>
      </w:r>
      <w:r w:rsidRPr="004E727A">
        <w:rPr>
          <w:rFonts w:ascii="Book Antiqua" w:hAnsi="Book Antiqua"/>
        </w:rPr>
        <w:t>, Mullish BH, Quraishi MN, Iqbal TH. Letter: faecal microbiota transplantation for IBS.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52</w:t>
      </w:r>
      <w:r w:rsidRPr="004E727A">
        <w:rPr>
          <w:rFonts w:ascii="Book Antiqua" w:hAnsi="Book Antiqua"/>
        </w:rPr>
        <w:t>: 556-557 [PMID: 32656836 DOI: 10.1111/apt.15824]</w:t>
      </w:r>
    </w:p>
    <w:p w14:paraId="4852D00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29 </w:t>
      </w:r>
      <w:r w:rsidRPr="004E727A">
        <w:rPr>
          <w:rFonts w:ascii="Book Antiqua" w:hAnsi="Book Antiqua"/>
          <w:b/>
          <w:bCs/>
        </w:rPr>
        <w:t>Ianiro G</w:t>
      </w:r>
      <w:r w:rsidRPr="004E727A">
        <w:rPr>
          <w:rFonts w:ascii="Book Antiqua" w:hAnsi="Book Antiqua"/>
        </w:rPr>
        <w:t>, Porcari S, Ford AC, Gasbarrini A, Cammarota G. Letter: faecal microbiota transplantation for irritable bowel syndrome-room for improvement.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52</w:t>
      </w:r>
      <w:r w:rsidRPr="004E727A">
        <w:rPr>
          <w:rFonts w:ascii="Book Antiqua" w:hAnsi="Book Antiqua"/>
        </w:rPr>
        <w:t>: 923-924 [PMID: 32852834 DOI: 10.1111/apt.15923]</w:t>
      </w:r>
    </w:p>
    <w:p w14:paraId="2C03240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30 </w:t>
      </w:r>
      <w:r w:rsidRPr="004E727A">
        <w:rPr>
          <w:rFonts w:ascii="Book Antiqua" w:hAnsi="Book Antiqua"/>
          <w:b/>
          <w:bCs/>
        </w:rPr>
        <w:t>Moayyedi P</w:t>
      </w:r>
      <w:r w:rsidRPr="004E727A">
        <w:rPr>
          <w:rFonts w:ascii="Book Antiqua" w:hAnsi="Book Antiqua"/>
        </w:rPr>
        <w:t>, Surette MG, Kim PT, Libertucci J, Wolfe M, Onischi C, Armstrong D, Marshall JK, Kassam Z, Reinisch W, Lee CH. Fecal Microbiota Transplantation Induces Remission in Patients With Active Ulcerative Colitis in a Randomized Controlled Trial. </w:t>
      </w:r>
      <w:r w:rsidRPr="004E727A">
        <w:rPr>
          <w:rFonts w:ascii="Book Antiqua" w:hAnsi="Book Antiqua"/>
          <w:i/>
          <w:iCs/>
        </w:rPr>
        <w:t>Gastroenterology</w:t>
      </w:r>
      <w:r w:rsidRPr="004E727A">
        <w:rPr>
          <w:rFonts w:ascii="Book Antiqua" w:hAnsi="Book Antiqua"/>
        </w:rPr>
        <w:t> 2015; </w:t>
      </w:r>
      <w:r w:rsidRPr="004E727A">
        <w:rPr>
          <w:rFonts w:ascii="Book Antiqua" w:hAnsi="Book Antiqua"/>
          <w:b/>
          <w:bCs/>
        </w:rPr>
        <w:t>149</w:t>
      </w:r>
      <w:r w:rsidRPr="004E727A">
        <w:rPr>
          <w:rFonts w:ascii="Book Antiqua" w:hAnsi="Book Antiqua"/>
        </w:rPr>
        <w:t>: 102-109.e6 [PMID: 25857665 DOI: 10.1053/j.gastro.2015.04.001]</w:t>
      </w:r>
    </w:p>
    <w:p w14:paraId="0F8A4D6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31 </w:t>
      </w:r>
      <w:r w:rsidRPr="004E727A">
        <w:rPr>
          <w:rFonts w:ascii="Book Antiqua" w:hAnsi="Book Antiqua"/>
          <w:b/>
          <w:bCs/>
        </w:rPr>
        <w:t>Kazerouni A</w:t>
      </w:r>
      <w:r w:rsidRPr="004E727A">
        <w:rPr>
          <w:rFonts w:ascii="Book Antiqua" w:hAnsi="Book Antiqua"/>
        </w:rPr>
        <w:t>, Wein LM. Exploring the Efficacy of Pooled Stools in Fecal Microbiota Transplantation for Microbiota-Associated Chronic Diseases. </w:t>
      </w:r>
      <w:r w:rsidRPr="004E727A">
        <w:rPr>
          <w:rFonts w:ascii="Book Antiqua" w:hAnsi="Book Antiqua"/>
          <w:i/>
          <w:iCs/>
        </w:rPr>
        <w:t>PLoS One</w:t>
      </w:r>
      <w:r w:rsidRPr="004E727A">
        <w:rPr>
          <w:rFonts w:ascii="Book Antiqua" w:hAnsi="Book Antiqua"/>
        </w:rPr>
        <w:t> 2017; </w:t>
      </w:r>
      <w:r w:rsidRPr="004E727A">
        <w:rPr>
          <w:rFonts w:ascii="Book Antiqua" w:hAnsi="Book Antiqua"/>
          <w:b/>
          <w:bCs/>
        </w:rPr>
        <w:t>12</w:t>
      </w:r>
      <w:r w:rsidRPr="004E727A">
        <w:rPr>
          <w:rFonts w:ascii="Book Antiqua" w:hAnsi="Book Antiqua"/>
        </w:rPr>
        <w:t>: e0163956 [PMID: 28068341 DOI: 10.1371/journal.pone.0163956]</w:t>
      </w:r>
    </w:p>
    <w:p w14:paraId="47C843F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32 </w:t>
      </w:r>
      <w:r w:rsidRPr="004E727A">
        <w:rPr>
          <w:rFonts w:ascii="Book Antiqua" w:hAnsi="Book Antiqua"/>
          <w:b/>
          <w:bCs/>
        </w:rPr>
        <w:t>Paramsothy S</w:t>
      </w:r>
      <w:r w:rsidRPr="004E727A">
        <w:rPr>
          <w:rFonts w:ascii="Book Antiqua" w:hAnsi="Book Antiqua"/>
        </w:rPr>
        <w:t>, Kamm MA, Kaakoush NO, Walsh AJ, van den Bogaerde J, Samuel D, Leong RWL, Connor S, Ng W, Paramsothy R, Xuan W, Lin E, Mitchell HM, Borody TJ. Multidonor intensive faecal microbiota transplantation for active ulcerative colitis: a randomised placebo-controlled trial. </w:t>
      </w:r>
      <w:r w:rsidRPr="004E727A">
        <w:rPr>
          <w:rFonts w:ascii="Book Antiqua" w:hAnsi="Book Antiqua"/>
          <w:i/>
          <w:iCs/>
        </w:rPr>
        <w:t>Lancet</w:t>
      </w:r>
      <w:r w:rsidRPr="004E727A">
        <w:rPr>
          <w:rFonts w:ascii="Book Antiqua" w:hAnsi="Book Antiqua"/>
        </w:rPr>
        <w:t> 2017; </w:t>
      </w:r>
      <w:r w:rsidRPr="004E727A">
        <w:rPr>
          <w:rFonts w:ascii="Book Antiqua" w:hAnsi="Book Antiqua"/>
          <w:b/>
          <w:bCs/>
        </w:rPr>
        <w:t>389</w:t>
      </w:r>
      <w:r w:rsidRPr="004E727A">
        <w:rPr>
          <w:rFonts w:ascii="Book Antiqua" w:hAnsi="Book Antiqua"/>
        </w:rPr>
        <w:t>: 1218-1228 [PMID: 28214091 DOI: 10.1016/S0140-6736(17)30182-4]</w:t>
      </w:r>
    </w:p>
    <w:p w14:paraId="68E4CCA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33 </w:t>
      </w:r>
      <w:r w:rsidRPr="004E727A">
        <w:rPr>
          <w:rFonts w:ascii="Book Antiqua" w:hAnsi="Book Antiqua"/>
          <w:b/>
          <w:bCs/>
        </w:rPr>
        <w:t>Capurso G</w:t>
      </w:r>
      <w:r w:rsidRPr="004E727A">
        <w:rPr>
          <w:rFonts w:ascii="Book Antiqua" w:hAnsi="Book Antiqua"/>
        </w:rPr>
        <w:t>, Lahner E. The interaction between smoking, alcohol and the gut microbiome. </w:t>
      </w:r>
      <w:r w:rsidRPr="004E727A">
        <w:rPr>
          <w:rFonts w:ascii="Book Antiqua" w:hAnsi="Book Antiqua"/>
          <w:i/>
          <w:iCs/>
        </w:rPr>
        <w:t>Best Pract Res Clin Gastroenterol</w:t>
      </w:r>
      <w:r w:rsidRPr="004E727A">
        <w:rPr>
          <w:rFonts w:ascii="Book Antiqua" w:hAnsi="Book Antiqua"/>
        </w:rPr>
        <w:t> 2017; </w:t>
      </w:r>
      <w:r w:rsidRPr="004E727A">
        <w:rPr>
          <w:rFonts w:ascii="Book Antiqua" w:hAnsi="Book Antiqua"/>
          <w:b/>
          <w:bCs/>
        </w:rPr>
        <w:t>31</w:t>
      </w:r>
      <w:r w:rsidRPr="004E727A">
        <w:rPr>
          <w:rFonts w:ascii="Book Antiqua" w:hAnsi="Book Antiqua"/>
        </w:rPr>
        <w:t>: 579-588 [PMID: 29195678 DOI: 10.1016/j.bpg.2017.10.006]</w:t>
      </w:r>
    </w:p>
    <w:p w14:paraId="2C8CD02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34 </w:t>
      </w:r>
      <w:r w:rsidRPr="004E727A">
        <w:rPr>
          <w:rFonts w:ascii="Book Antiqua" w:hAnsi="Book Antiqua"/>
          <w:b/>
          <w:bCs/>
        </w:rPr>
        <w:t>Biedermann L</w:t>
      </w:r>
      <w:r w:rsidRPr="004E727A">
        <w:rPr>
          <w:rFonts w:ascii="Book Antiqua" w:hAnsi="Book Antiqua"/>
        </w:rPr>
        <w:t>, Brülisauer K, Zeitz J, Frei P, Scharl M, Vavricka SR, Fried M, Loessner MJ, Rogler G, Schuppler M. Smoking cessation alters intestinal microbiota: insights from quantitative investigations on human fecal samples using FISH. </w:t>
      </w:r>
      <w:r w:rsidRPr="004E727A">
        <w:rPr>
          <w:rFonts w:ascii="Book Antiqua" w:hAnsi="Book Antiqua"/>
          <w:i/>
          <w:iCs/>
        </w:rPr>
        <w:t>Inflamm Bowel Dis</w:t>
      </w:r>
      <w:r w:rsidRPr="004E727A">
        <w:rPr>
          <w:rFonts w:ascii="Book Antiqua" w:hAnsi="Book Antiqua"/>
        </w:rPr>
        <w:t> 2014; </w:t>
      </w:r>
      <w:r w:rsidRPr="004E727A">
        <w:rPr>
          <w:rFonts w:ascii="Book Antiqua" w:hAnsi="Book Antiqua"/>
          <w:b/>
          <w:bCs/>
        </w:rPr>
        <w:t>20</w:t>
      </w:r>
      <w:r w:rsidRPr="004E727A">
        <w:rPr>
          <w:rFonts w:ascii="Book Antiqua" w:hAnsi="Book Antiqua"/>
        </w:rPr>
        <w:t>: 1496-1501 [PMID: 25072500 DOI: 10.1097/MIB.0000000000000129]</w:t>
      </w:r>
    </w:p>
    <w:p w14:paraId="311B4B8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35 </w:t>
      </w:r>
      <w:r w:rsidRPr="004E727A">
        <w:rPr>
          <w:rFonts w:ascii="Book Antiqua" w:hAnsi="Book Antiqua"/>
          <w:b/>
          <w:bCs/>
        </w:rPr>
        <w:t>Korpela K</w:t>
      </w:r>
      <w:r w:rsidRPr="004E727A">
        <w:rPr>
          <w:rFonts w:ascii="Book Antiqua" w:hAnsi="Book Antiqua"/>
        </w:rPr>
        <w:t>, Dikareva E, Hanski E, Kolho KL, de Vos WM, Salonen A. Cohort profile: Finnish Health and Early Life Microbiota (HELMi) longitudinal birth cohort. </w:t>
      </w:r>
      <w:r w:rsidRPr="004E727A">
        <w:rPr>
          <w:rFonts w:ascii="Book Antiqua" w:hAnsi="Book Antiqua"/>
          <w:i/>
          <w:iCs/>
        </w:rPr>
        <w:t>BMJ Open</w:t>
      </w:r>
      <w:r w:rsidRPr="004E727A">
        <w:rPr>
          <w:rFonts w:ascii="Book Antiqua" w:hAnsi="Book Antiqua"/>
        </w:rPr>
        <w:t> 2019; </w:t>
      </w:r>
      <w:r w:rsidRPr="004E727A">
        <w:rPr>
          <w:rFonts w:ascii="Book Antiqua" w:hAnsi="Book Antiqua"/>
          <w:b/>
          <w:bCs/>
        </w:rPr>
        <w:t>9</w:t>
      </w:r>
      <w:r w:rsidRPr="004E727A">
        <w:rPr>
          <w:rFonts w:ascii="Book Antiqua" w:hAnsi="Book Antiqua"/>
        </w:rPr>
        <w:t>: e028500 [PMID: 31253623 DOI: 10.1136/bmjopen-2018-028500]</w:t>
      </w:r>
    </w:p>
    <w:p w14:paraId="7F2E4E1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36 </w:t>
      </w:r>
      <w:r w:rsidRPr="004E727A">
        <w:rPr>
          <w:rFonts w:ascii="Book Antiqua" w:hAnsi="Book Antiqua"/>
          <w:b/>
          <w:bCs/>
        </w:rPr>
        <w:t>Yeung OY,</w:t>
      </w:r>
      <w:r w:rsidRPr="004E727A">
        <w:rPr>
          <w:rFonts w:ascii="Book Antiqua" w:hAnsi="Book Antiqua"/>
        </w:rPr>
        <w:t> Ng YF, Chiou J, Wong MS. Pilot Study to Determine the Gut Microbiota of Hong Kong Infants Fed with Breast-milk And/or Infant Formula (P11-101-19). Curr Develop Nutr 2019; 3 (Suppl 1) [DOI: 10.1093/cdn/nzz048.P11-101-19]</w:t>
      </w:r>
    </w:p>
    <w:p w14:paraId="2E75C6F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37 </w:t>
      </w:r>
      <w:r w:rsidRPr="004E727A">
        <w:rPr>
          <w:rFonts w:ascii="Book Antiqua" w:hAnsi="Book Antiqua"/>
          <w:b/>
          <w:bCs/>
        </w:rPr>
        <w:t>Jakobsson HE</w:t>
      </w:r>
      <w:r w:rsidRPr="004E727A">
        <w:rPr>
          <w:rFonts w:ascii="Book Antiqua" w:hAnsi="Book Antiqua"/>
        </w:rPr>
        <w:t>, Abrahamsson TR, Jenmalm MC, Harris K, Quince C, Jernberg C, Björkstén B, Engstrand L, Andersson AF. Decreased gut microbiota diversity, delayed Bacteroidetes colonisation and reduced Th1 responses in infants delivered by caesarean section. </w:t>
      </w:r>
      <w:r w:rsidRPr="004E727A">
        <w:rPr>
          <w:rFonts w:ascii="Book Antiqua" w:hAnsi="Book Antiqua"/>
          <w:i/>
          <w:iCs/>
        </w:rPr>
        <w:t>Gut</w:t>
      </w:r>
      <w:r w:rsidRPr="004E727A">
        <w:rPr>
          <w:rFonts w:ascii="Book Antiqua" w:hAnsi="Book Antiqua"/>
        </w:rPr>
        <w:t> 2014; </w:t>
      </w:r>
      <w:r w:rsidRPr="004E727A">
        <w:rPr>
          <w:rFonts w:ascii="Book Antiqua" w:hAnsi="Book Antiqua"/>
          <w:b/>
          <w:bCs/>
        </w:rPr>
        <w:t>63</w:t>
      </w:r>
      <w:r w:rsidRPr="004E727A">
        <w:rPr>
          <w:rFonts w:ascii="Book Antiqua" w:hAnsi="Book Antiqua"/>
        </w:rPr>
        <w:t>: 559-566 [PMID: 23926244 DOI: 10.1136/gutjnl-2012-303249]</w:t>
      </w:r>
    </w:p>
    <w:p w14:paraId="775E645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38 </w:t>
      </w:r>
      <w:r w:rsidRPr="004E727A">
        <w:rPr>
          <w:rFonts w:ascii="Book Antiqua" w:hAnsi="Book Antiqua"/>
          <w:b/>
          <w:bCs/>
        </w:rPr>
        <w:t>Rutayisire E</w:t>
      </w:r>
      <w:r w:rsidRPr="004E727A">
        <w:rPr>
          <w:rFonts w:ascii="Book Antiqua" w:hAnsi="Book Antiqua"/>
        </w:rPr>
        <w:t>, Huang K, Liu Y, Tao F. The mode of delivery affects the diversity and colonization pattern of the gut microbiota during the first year of infants' life: a systematic review. </w:t>
      </w:r>
      <w:r w:rsidRPr="004E727A">
        <w:rPr>
          <w:rFonts w:ascii="Book Antiqua" w:hAnsi="Book Antiqua"/>
          <w:i/>
          <w:iCs/>
        </w:rPr>
        <w:t>BMC Gastroenterol</w:t>
      </w:r>
      <w:r w:rsidRPr="004E727A">
        <w:rPr>
          <w:rFonts w:ascii="Book Antiqua" w:hAnsi="Book Antiqua"/>
        </w:rPr>
        <w:t> 2016; </w:t>
      </w:r>
      <w:r w:rsidRPr="004E727A">
        <w:rPr>
          <w:rFonts w:ascii="Book Antiqua" w:hAnsi="Book Antiqua"/>
          <w:b/>
          <w:bCs/>
        </w:rPr>
        <w:t>16</w:t>
      </w:r>
      <w:r w:rsidRPr="004E727A">
        <w:rPr>
          <w:rFonts w:ascii="Book Antiqua" w:hAnsi="Book Antiqua"/>
        </w:rPr>
        <w:t>: 86 [PMID: 27475754 DOI: 10.1186/s12876-016-0498-0]</w:t>
      </w:r>
    </w:p>
    <w:p w14:paraId="7B3B63E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39 </w:t>
      </w:r>
      <w:r w:rsidRPr="004E727A">
        <w:rPr>
          <w:rFonts w:ascii="Book Antiqua" w:hAnsi="Book Antiqua"/>
          <w:b/>
          <w:bCs/>
        </w:rPr>
        <w:t>Ianiro G</w:t>
      </w:r>
      <w:r w:rsidRPr="004E727A">
        <w:rPr>
          <w:rFonts w:ascii="Book Antiqua" w:hAnsi="Book Antiqua"/>
        </w:rPr>
        <w:t>, Tilg H, Gasbarrini A. Antibiotics as deep modulators of gut microbiota: between good and evil. </w:t>
      </w:r>
      <w:r w:rsidRPr="004E727A">
        <w:rPr>
          <w:rFonts w:ascii="Book Antiqua" w:hAnsi="Book Antiqua"/>
          <w:i/>
          <w:iCs/>
        </w:rPr>
        <w:t>Gut</w:t>
      </w:r>
      <w:r w:rsidRPr="004E727A">
        <w:rPr>
          <w:rFonts w:ascii="Book Antiqua" w:hAnsi="Book Antiqua"/>
        </w:rPr>
        <w:t> 2016; </w:t>
      </w:r>
      <w:r w:rsidRPr="004E727A">
        <w:rPr>
          <w:rFonts w:ascii="Book Antiqua" w:hAnsi="Book Antiqua"/>
          <w:b/>
          <w:bCs/>
        </w:rPr>
        <w:t>65</w:t>
      </w:r>
      <w:r w:rsidRPr="004E727A">
        <w:rPr>
          <w:rFonts w:ascii="Book Antiqua" w:hAnsi="Book Antiqua"/>
        </w:rPr>
        <w:t>: 1906-1915 [PMID: 27531828 DOI: 10.1136/gutjnl-2016-312297]</w:t>
      </w:r>
    </w:p>
    <w:p w14:paraId="30752F2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40 </w:t>
      </w:r>
      <w:r w:rsidRPr="004E727A">
        <w:rPr>
          <w:rFonts w:ascii="Book Antiqua" w:hAnsi="Book Antiqua"/>
          <w:b/>
          <w:bCs/>
        </w:rPr>
        <w:t>Modi SR</w:t>
      </w:r>
      <w:r w:rsidRPr="004E727A">
        <w:rPr>
          <w:rFonts w:ascii="Book Antiqua" w:hAnsi="Book Antiqua"/>
        </w:rPr>
        <w:t>, Collins JJ, Relman DA. Antibiotics and the gut microbiota. </w:t>
      </w:r>
      <w:r w:rsidRPr="004E727A">
        <w:rPr>
          <w:rFonts w:ascii="Book Antiqua" w:hAnsi="Book Antiqua"/>
          <w:i/>
          <w:iCs/>
        </w:rPr>
        <w:t>J Clin Invest</w:t>
      </w:r>
      <w:r w:rsidRPr="004E727A">
        <w:rPr>
          <w:rFonts w:ascii="Book Antiqua" w:hAnsi="Book Antiqua"/>
        </w:rPr>
        <w:t> 2014; </w:t>
      </w:r>
      <w:r w:rsidRPr="004E727A">
        <w:rPr>
          <w:rFonts w:ascii="Book Antiqua" w:hAnsi="Book Antiqua"/>
          <w:b/>
          <w:bCs/>
        </w:rPr>
        <w:t>124</w:t>
      </w:r>
      <w:r w:rsidRPr="004E727A">
        <w:rPr>
          <w:rFonts w:ascii="Book Antiqua" w:hAnsi="Book Antiqua"/>
        </w:rPr>
        <w:t>: 4212-4218 [PMID: 25271726 DOI: 10.1172/JCI72333]</w:t>
      </w:r>
    </w:p>
    <w:p w14:paraId="1A9F8E1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41 </w:t>
      </w:r>
      <w:r w:rsidRPr="004E727A">
        <w:rPr>
          <w:rFonts w:ascii="Book Antiqua" w:hAnsi="Book Antiqua"/>
          <w:b/>
          <w:bCs/>
        </w:rPr>
        <w:t>Maier L</w:t>
      </w:r>
      <w:r w:rsidRPr="004E727A">
        <w:rPr>
          <w:rFonts w:ascii="Book Antiqua" w:hAnsi="Book Antiqua"/>
        </w:rPr>
        <w:t>, Pruteanu M, Kuhn M, Zeller G, Telzerow A, Anderson EE, Brochado AR, Fernandez KC, Dose H, Mori H, Patil KR, Bork P, Typas A. Extensive impact of non-antibiotic drugs on human gut bacteria. </w:t>
      </w:r>
      <w:r w:rsidRPr="004E727A">
        <w:rPr>
          <w:rFonts w:ascii="Book Antiqua" w:hAnsi="Book Antiqua"/>
          <w:i/>
          <w:iCs/>
        </w:rPr>
        <w:t>Nature</w:t>
      </w:r>
      <w:r w:rsidRPr="004E727A">
        <w:rPr>
          <w:rFonts w:ascii="Book Antiqua" w:hAnsi="Book Antiqua"/>
        </w:rPr>
        <w:t> 2018; </w:t>
      </w:r>
      <w:r w:rsidRPr="004E727A">
        <w:rPr>
          <w:rFonts w:ascii="Book Antiqua" w:hAnsi="Book Antiqua"/>
          <w:b/>
          <w:bCs/>
        </w:rPr>
        <w:t>555</w:t>
      </w:r>
      <w:r w:rsidRPr="004E727A">
        <w:rPr>
          <w:rFonts w:ascii="Book Antiqua" w:hAnsi="Book Antiqua"/>
        </w:rPr>
        <w:t>: 623-628 [PMID: 29555994 DOI: 10.1038/nature25979]</w:t>
      </w:r>
    </w:p>
    <w:p w14:paraId="761BD44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42 </w:t>
      </w:r>
      <w:r w:rsidRPr="004E727A">
        <w:rPr>
          <w:rFonts w:ascii="Book Antiqua" w:hAnsi="Book Antiqua"/>
          <w:b/>
          <w:bCs/>
        </w:rPr>
        <w:t>Bibbò S</w:t>
      </w:r>
      <w:r w:rsidRPr="004E727A">
        <w:rPr>
          <w:rFonts w:ascii="Book Antiqua" w:hAnsi="Book Antiqua"/>
        </w:rPr>
        <w:t>, Settanni CR, Porcari S, Bocchino E, Ianiro G, Cammarota G, Gasbarrini A. Fecal Microbiota Transplantation: Screening and Selection to Choose the Optimal Donor. </w:t>
      </w:r>
      <w:r w:rsidRPr="004E727A">
        <w:rPr>
          <w:rFonts w:ascii="Book Antiqua" w:hAnsi="Book Antiqua"/>
          <w:i/>
          <w:iCs/>
        </w:rPr>
        <w:t>J Clin Med</w:t>
      </w:r>
      <w:r w:rsidRPr="004E727A">
        <w:rPr>
          <w:rFonts w:ascii="Book Antiqua" w:hAnsi="Book Antiqua"/>
        </w:rPr>
        <w:t> 2020; </w:t>
      </w:r>
      <w:r w:rsidRPr="004E727A">
        <w:rPr>
          <w:rFonts w:ascii="Book Antiqua" w:hAnsi="Book Antiqua"/>
          <w:b/>
          <w:bCs/>
        </w:rPr>
        <w:t>9</w:t>
      </w:r>
      <w:r w:rsidRPr="004E727A">
        <w:rPr>
          <w:rFonts w:ascii="Book Antiqua" w:hAnsi="Book Antiqua"/>
        </w:rPr>
        <w:t> [PMID: 32517023 DOI: 10.3390/jcm9061757]</w:t>
      </w:r>
    </w:p>
    <w:p w14:paraId="24ABE7F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43 </w:t>
      </w:r>
      <w:r w:rsidRPr="004E727A">
        <w:rPr>
          <w:rFonts w:ascii="Book Antiqua" w:hAnsi="Book Antiqua"/>
          <w:b/>
          <w:bCs/>
        </w:rPr>
        <w:t>Murtaza N</w:t>
      </w:r>
      <w:r w:rsidRPr="004E727A">
        <w:rPr>
          <w:rFonts w:ascii="Book Antiqua" w:hAnsi="Book Antiqua"/>
        </w:rPr>
        <w:t>, Burke LM, Vlahovich N, Charlesson B, O' Neill H, Ross ML, Campbell KL, Krause L, Morrison M. The Effects of Dietary Pattern during Intensified Training on Stool Microbiota of Elite Race Walkers.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30682843 DOI: 10.3390/nu11020261]</w:t>
      </w:r>
    </w:p>
    <w:p w14:paraId="71EF84F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44 </w:t>
      </w:r>
      <w:r w:rsidRPr="004E727A">
        <w:rPr>
          <w:rFonts w:ascii="Book Antiqua" w:hAnsi="Book Antiqua"/>
          <w:b/>
          <w:bCs/>
        </w:rPr>
        <w:t>Dalton A</w:t>
      </w:r>
      <w:r w:rsidRPr="004E727A">
        <w:rPr>
          <w:rFonts w:ascii="Book Antiqua" w:hAnsi="Book Antiqua"/>
        </w:rPr>
        <w:t>, Mermier C, Zuhl M. Exercise influence on the microbiome-gut-brain axis. </w:t>
      </w:r>
      <w:r w:rsidRPr="004E727A">
        <w:rPr>
          <w:rFonts w:ascii="Book Antiqua" w:hAnsi="Book Antiqua"/>
          <w:i/>
          <w:iCs/>
        </w:rPr>
        <w:t>Gut Microbes</w:t>
      </w:r>
      <w:r w:rsidRPr="004E727A">
        <w:rPr>
          <w:rFonts w:ascii="Book Antiqua" w:hAnsi="Book Antiqua"/>
        </w:rPr>
        <w:t> 2019; </w:t>
      </w:r>
      <w:r w:rsidRPr="004E727A">
        <w:rPr>
          <w:rFonts w:ascii="Book Antiqua" w:hAnsi="Book Antiqua"/>
          <w:b/>
          <w:bCs/>
        </w:rPr>
        <w:t>10</w:t>
      </w:r>
      <w:r w:rsidRPr="004E727A">
        <w:rPr>
          <w:rFonts w:ascii="Book Antiqua" w:hAnsi="Book Antiqua"/>
        </w:rPr>
        <w:t>: 555-568 [PMID: 30704343 DOI: 10.1080/19490976.2018.1562268]</w:t>
      </w:r>
    </w:p>
    <w:p w14:paraId="0CCBD59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45 </w:t>
      </w:r>
      <w:r w:rsidRPr="004E727A">
        <w:rPr>
          <w:rFonts w:ascii="Book Antiqua" w:hAnsi="Book Antiqua"/>
          <w:b/>
          <w:bCs/>
        </w:rPr>
        <w:t>Motiani KK</w:t>
      </w:r>
      <w:r w:rsidRPr="004E727A">
        <w:rPr>
          <w:rFonts w:ascii="Book Antiqua" w:hAnsi="Book Antiqua"/>
        </w:rPr>
        <w:t>, Collado MC, Eskelinen JJ, Virtanen KA, LÖyttyniemi E, Salminen S, Nuutila P, Kalliokoski KK, Hannukainen JC. Exercise Training Modulates Gut Microbiota Profile and Improves Endotoxemia. </w:t>
      </w:r>
      <w:r w:rsidRPr="004E727A">
        <w:rPr>
          <w:rFonts w:ascii="Book Antiqua" w:hAnsi="Book Antiqua"/>
          <w:i/>
          <w:iCs/>
        </w:rPr>
        <w:t>Med Sci Sports Exerc</w:t>
      </w:r>
      <w:r w:rsidRPr="004E727A">
        <w:rPr>
          <w:rFonts w:ascii="Book Antiqua" w:hAnsi="Book Antiqua"/>
        </w:rPr>
        <w:t> 2020; </w:t>
      </w:r>
      <w:r w:rsidRPr="004E727A">
        <w:rPr>
          <w:rFonts w:ascii="Book Antiqua" w:hAnsi="Book Antiqua"/>
          <w:b/>
          <w:bCs/>
        </w:rPr>
        <w:t>52</w:t>
      </w:r>
      <w:r w:rsidRPr="004E727A">
        <w:rPr>
          <w:rFonts w:ascii="Book Antiqua" w:hAnsi="Book Antiqua"/>
        </w:rPr>
        <w:t>: 94-104 [PMID: 31425383 DOI: 10.1249/MSS.0000000000002112]</w:t>
      </w:r>
    </w:p>
    <w:p w14:paraId="02CDB2A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46 </w:t>
      </w:r>
      <w:r w:rsidRPr="004E727A">
        <w:rPr>
          <w:rFonts w:ascii="Book Antiqua" w:hAnsi="Book Antiqua"/>
          <w:b/>
          <w:bCs/>
        </w:rPr>
        <w:t>Pinn DM</w:t>
      </w:r>
      <w:r w:rsidRPr="004E727A">
        <w:rPr>
          <w:rFonts w:ascii="Book Antiqua" w:hAnsi="Book Antiqua"/>
        </w:rPr>
        <w:t>, Aroniadis OC, Brandt LJ. Is fecal microbiota transplantation (FMT) an effective treatment for patients with functional gastrointestinal disorders (FGID)? </w:t>
      </w:r>
      <w:r w:rsidRPr="004E727A">
        <w:rPr>
          <w:rFonts w:ascii="Book Antiqua" w:hAnsi="Book Antiqua"/>
          <w:i/>
          <w:iCs/>
        </w:rPr>
        <w:t>Neurogastroenterol Motil</w:t>
      </w:r>
      <w:r w:rsidRPr="004E727A">
        <w:rPr>
          <w:rFonts w:ascii="Book Antiqua" w:hAnsi="Book Antiqua"/>
        </w:rPr>
        <w:t> 2015; </w:t>
      </w:r>
      <w:r w:rsidRPr="004E727A">
        <w:rPr>
          <w:rFonts w:ascii="Book Antiqua" w:hAnsi="Book Antiqua"/>
          <w:b/>
          <w:bCs/>
        </w:rPr>
        <w:t>27</w:t>
      </w:r>
      <w:r w:rsidRPr="004E727A">
        <w:rPr>
          <w:rFonts w:ascii="Book Antiqua" w:hAnsi="Book Antiqua"/>
        </w:rPr>
        <w:t>: 19-29 [PMID: 25424663 DOI: 10.1111/nmo.12479]</w:t>
      </w:r>
    </w:p>
    <w:p w14:paraId="284AD43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47 </w:t>
      </w:r>
      <w:r w:rsidRPr="004E727A">
        <w:rPr>
          <w:rFonts w:ascii="Book Antiqua" w:hAnsi="Book Antiqua"/>
          <w:b/>
          <w:bCs/>
        </w:rPr>
        <w:t>Pinn DM</w:t>
      </w:r>
      <w:r w:rsidRPr="004E727A">
        <w:rPr>
          <w:rFonts w:ascii="Book Antiqua" w:hAnsi="Book Antiqua"/>
        </w:rPr>
        <w:t>, Aroniadis OC, Brandt LJ. Is fecal microbiota transplantation the answer for irritable bowel syndrome? A single-center experience. </w:t>
      </w:r>
      <w:r w:rsidRPr="004E727A">
        <w:rPr>
          <w:rFonts w:ascii="Book Antiqua" w:hAnsi="Book Antiqua"/>
          <w:i/>
          <w:iCs/>
        </w:rPr>
        <w:t>Am J Gastroenterol</w:t>
      </w:r>
      <w:r w:rsidRPr="004E727A">
        <w:rPr>
          <w:rFonts w:ascii="Book Antiqua" w:hAnsi="Book Antiqua"/>
        </w:rPr>
        <w:t> 2014; </w:t>
      </w:r>
      <w:r w:rsidRPr="004E727A">
        <w:rPr>
          <w:rFonts w:ascii="Book Antiqua" w:hAnsi="Book Antiqua"/>
          <w:b/>
          <w:bCs/>
        </w:rPr>
        <w:t>109</w:t>
      </w:r>
      <w:r w:rsidRPr="004E727A">
        <w:rPr>
          <w:rFonts w:ascii="Book Antiqua" w:hAnsi="Book Antiqua"/>
        </w:rPr>
        <w:t>: 1831-1832 [PMID: 25373585 DOI: 10.1038/ajg.2014.295]</w:t>
      </w:r>
    </w:p>
    <w:p w14:paraId="59BBC98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48 </w:t>
      </w:r>
      <w:r w:rsidRPr="004E727A">
        <w:rPr>
          <w:rFonts w:ascii="Book Antiqua" w:hAnsi="Book Antiqua"/>
          <w:b/>
          <w:bCs/>
        </w:rPr>
        <w:t>Ostgaard H</w:t>
      </w:r>
      <w:r w:rsidRPr="004E727A">
        <w:rPr>
          <w:rFonts w:ascii="Book Antiqua" w:hAnsi="Book Antiqua"/>
        </w:rPr>
        <w:t>, Hausken T, Gundersen D, El-Salhy M. Diet and effects of diet management on quality of life and symptoms in patients with irritable bowel syndrome. </w:t>
      </w:r>
      <w:r w:rsidRPr="004E727A">
        <w:rPr>
          <w:rFonts w:ascii="Book Antiqua" w:hAnsi="Book Antiqua"/>
          <w:i/>
          <w:iCs/>
        </w:rPr>
        <w:t>Mol Med Rep</w:t>
      </w:r>
      <w:r w:rsidRPr="004E727A">
        <w:rPr>
          <w:rFonts w:ascii="Book Antiqua" w:hAnsi="Book Antiqua"/>
        </w:rPr>
        <w:t> 2012; </w:t>
      </w:r>
      <w:r w:rsidRPr="004E727A">
        <w:rPr>
          <w:rFonts w:ascii="Book Antiqua" w:hAnsi="Book Antiqua"/>
          <w:b/>
          <w:bCs/>
        </w:rPr>
        <w:t>5</w:t>
      </w:r>
      <w:r w:rsidRPr="004E727A">
        <w:rPr>
          <w:rFonts w:ascii="Book Antiqua" w:hAnsi="Book Antiqua"/>
        </w:rPr>
        <w:t>: 1382-1390 [PMID: 22446969 DOI: 10.3892/mmr.2012.843]</w:t>
      </w:r>
    </w:p>
    <w:p w14:paraId="142FFD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49 </w:t>
      </w:r>
      <w:r w:rsidRPr="004E727A">
        <w:rPr>
          <w:rFonts w:ascii="Book Antiqua" w:hAnsi="Book Antiqua"/>
          <w:b/>
          <w:bCs/>
        </w:rPr>
        <w:t>Bull MJ</w:t>
      </w:r>
      <w:r w:rsidRPr="004E727A">
        <w:rPr>
          <w:rFonts w:ascii="Book Antiqua" w:hAnsi="Book Antiqua"/>
        </w:rPr>
        <w:t>, Plummer NT. Part 2: Treatments for Chronic Gastrointestinal Disease and Gut Dysbiosis. </w:t>
      </w:r>
      <w:r w:rsidRPr="004E727A">
        <w:rPr>
          <w:rFonts w:ascii="Book Antiqua" w:hAnsi="Book Antiqua"/>
          <w:i/>
          <w:iCs/>
        </w:rPr>
        <w:t>Integr Med (Encinitas)</w:t>
      </w:r>
      <w:r w:rsidRPr="004E727A">
        <w:rPr>
          <w:rFonts w:ascii="Book Antiqua" w:hAnsi="Book Antiqua"/>
        </w:rPr>
        <w:t> 2015; </w:t>
      </w:r>
      <w:r w:rsidRPr="004E727A">
        <w:rPr>
          <w:rFonts w:ascii="Book Antiqua" w:hAnsi="Book Antiqua"/>
          <w:b/>
          <w:bCs/>
        </w:rPr>
        <w:t>14</w:t>
      </w:r>
      <w:r w:rsidRPr="004E727A">
        <w:rPr>
          <w:rFonts w:ascii="Book Antiqua" w:hAnsi="Book Antiqua"/>
        </w:rPr>
        <w:t>: 25-33 [PMID: 26770128]</w:t>
      </w:r>
    </w:p>
    <w:p w14:paraId="102EBB1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50 </w:t>
      </w:r>
      <w:r w:rsidRPr="004E727A">
        <w:rPr>
          <w:rFonts w:ascii="Book Antiqua" w:hAnsi="Book Antiqua"/>
          <w:b/>
          <w:bCs/>
        </w:rPr>
        <w:t>Holvoet T</w:t>
      </w:r>
      <w:r w:rsidRPr="004E727A">
        <w:rPr>
          <w:rFonts w:ascii="Book Antiqua" w:hAnsi="Book Antiqua"/>
        </w:rPr>
        <w:t>, Joossens M, Wang J, Boelens J, Verhasselt B, Laukens D, van Vlierberghe H, Hindryckx P, De Vos M, De Looze D, Raes J. Assessment of faecal microbial transfer in irritable bowel syndrome with severe bloating. </w:t>
      </w:r>
      <w:r w:rsidRPr="004E727A">
        <w:rPr>
          <w:rFonts w:ascii="Book Antiqua" w:hAnsi="Book Antiqua"/>
          <w:i/>
          <w:iCs/>
        </w:rPr>
        <w:t>Gut</w:t>
      </w:r>
      <w:r w:rsidRPr="004E727A">
        <w:rPr>
          <w:rFonts w:ascii="Book Antiqua" w:hAnsi="Book Antiqua"/>
        </w:rPr>
        <w:t> 2017; </w:t>
      </w:r>
      <w:r w:rsidRPr="004E727A">
        <w:rPr>
          <w:rFonts w:ascii="Book Antiqua" w:hAnsi="Book Antiqua"/>
          <w:b/>
          <w:bCs/>
        </w:rPr>
        <w:t>66</w:t>
      </w:r>
      <w:r w:rsidRPr="004E727A">
        <w:rPr>
          <w:rFonts w:ascii="Book Antiqua" w:hAnsi="Book Antiqua"/>
        </w:rPr>
        <w:t>: 980-982 [PMID: 27511198 DOI: 10.1136/gutjnl-2016-312513]</w:t>
      </w:r>
    </w:p>
    <w:p w14:paraId="6BCCD47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51 </w:t>
      </w:r>
      <w:r w:rsidRPr="004E727A">
        <w:rPr>
          <w:rFonts w:ascii="Book Antiqua" w:hAnsi="Book Antiqua"/>
          <w:b/>
          <w:bCs/>
        </w:rPr>
        <w:t>Chong CYL</w:t>
      </w:r>
      <w:r w:rsidRPr="004E727A">
        <w:rPr>
          <w:rFonts w:ascii="Book Antiqua" w:hAnsi="Book Antiqua"/>
        </w:rPr>
        <w:t>, Bloomfield FH, O'Sullivan JM. Factors Affecting Gastrointestinal Microbiome Development in Neonates. </w:t>
      </w:r>
      <w:r w:rsidRPr="004E727A">
        <w:rPr>
          <w:rFonts w:ascii="Book Antiqua" w:hAnsi="Book Antiqua"/>
          <w:i/>
          <w:iCs/>
        </w:rPr>
        <w:t>Nutrients</w:t>
      </w:r>
      <w:r w:rsidRPr="004E727A">
        <w:rPr>
          <w:rFonts w:ascii="Book Antiqua" w:hAnsi="Book Antiqua"/>
        </w:rPr>
        <w:t> 2018; </w:t>
      </w:r>
      <w:r w:rsidRPr="004E727A">
        <w:rPr>
          <w:rFonts w:ascii="Book Antiqua" w:hAnsi="Book Antiqua"/>
          <w:b/>
          <w:bCs/>
        </w:rPr>
        <w:t>10</w:t>
      </w:r>
      <w:r w:rsidRPr="004E727A">
        <w:rPr>
          <w:rFonts w:ascii="Book Antiqua" w:hAnsi="Book Antiqua"/>
        </w:rPr>
        <w:t> [PMID: 29495552 DOI: 10.3390/nu10030274]</w:t>
      </w:r>
    </w:p>
    <w:p w14:paraId="2C00F63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52 </w:t>
      </w:r>
      <w:bookmarkStart w:id="27" w:name="OLE_LINK11"/>
      <w:bookmarkStart w:id="28" w:name="OLE_LINK18"/>
      <w:r w:rsidRPr="004E727A">
        <w:rPr>
          <w:rFonts w:ascii="Book Antiqua" w:hAnsi="Book Antiqua"/>
          <w:b/>
          <w:bCs/>
        </w:rPr>
        <w:t>Chen QY</w:t>
      </w:r>
      <w:r w:rsidRPr="004E727A">
        <w:rPr>
          <w:rFonts w:ascii="Book Antiqua" w:hAnsi="Book Antiqua"/>
        </w:rPr>
        <w:t>, Tian HL, Yang B, Lin ZL, Zhao D, Ye C, Zhang XY, Qin HL, Li N. [Effect of intestinal preparation on the efficacy and safety of fecal microbiota transplantation treatment]. </w:t>
      </w:r>
      <w:r w:rsidRPr="004E727A">
        <w:rPr>
          <w:rFonts w:ascii="Book Antiqua" w:hAnsi="Book Antiqua"/>
          <w:i/>
          <w:iCs/>
        </w:rPr>
        <w:t>Zhonghua Wei Chang Wai Ke Za Zhi</w:t>
      </w:r>
      <w:r w:rsidRPr="004E727A">
        <w:rPr>
          <w:rFonts w:ascii="Book Antiqua" w:hAnsi="Book Antiqua"/>
        </w:rPr>
        <w:t> 2020; </w:t>
      </w:r>
      <w:r w:rsidRPr="004E727A">
        <w:rPr>
          <w:rFonts w:ascii="Book Antiqua" w:hAnsi="Book Antiqua"/>
          <w:b/>
          <w:bCs/>
        </w:rPr>
        <w:t>23</w:t>
      </w:r>
      <w:r w:rsidRPr="004E727A">
        <w:rPr>
          <w:rFonts w:ascii="Book Antiqua" w:hAnsi="Book Antiqua"/>
        </w:rPr>
        <w:t>: 48-55 [PMID: 32594726 DOI: 10.3760/cma.j.cn.441530-20200418-00225]</w:t>
      </w:r>
      <w:bookmarkEnd w:id="27"/>
      <w:bookmarkEnd w:id="28"/>
    </w:p>
    <w:p w14:paraId="3BF33D6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53 </w:t>
      </w:r>
      <w:r w:rsidRPr="004E727A">
        <w:rPr>
          <w:rFonts w:ascii="Book Antiqua" w:hAnsi="Book Antiqua"/>
          <w:b/>
          <w:bCs/>
        </w:rPr>
        <w:t>Ianiro G</w:t>
      </w:r>
      <w:r w:rsidRPr="004E727A">
        <w:rPr>
          <w:rFonts w:ascii="Book Antiqua" w:hAnsi="Book Antiqua"/>
        </w:rPr>
        <w:t>, Maida M, Burisch J, Simonelli C, Hold G, Ventimiglia M, Gasbarrini A, Cammarota G. Efficacy of different faecal microbiota transplantation protocols for </w:t>
      </w:r>
      <w:r w:rsidRPr="004E727A">
        <w:rPr>
          <w:rFonts w:ascii="Book Antiqua" w:hAnsi="Book Antiqua"/>
          <w:i/>
          <w:iCs/>
        </w:rPr>
        <w:t>Clostridium difficile</w:t>
      </w:r>
      <w:r w:rsidRPr="004E727A">
        <w:rPr>
          <w:rFonts w:ascii="Book Antiqua" w:hAnsi="Book Antiqua"/>
        </w:rPr>
        <w:t> infection: A systematic review and meta-analysis. </w:t>
      </w:r>
      <w:r w:rsidRPr="004E727A">
        <w:rPr>
          <w:rFonts w:ascii="Book Antiqua" w:hAnsi="Book Antiqua"/>
          <w:i/>
          <w:iCs/>
        </w:rPr>
        <w:t>United European Gastroenterol J</w:t>
      </w:r>
      <w:r w:rsidRPr="004E727A">
        <w:rPr>
          <w:rFonts w:ascii="Book Antiqua" w:hAnsi="Book Antiqua"/>
        </w:rPr>
        <w:t> 2018; </w:t>
      </w:r>
      <w:r w:rsidRPr="004E727A">
        <w:rPr>
          <w:rFonts w:ascii="Book Antiqua" w:hAnsi="Book Antiqua"/>
          <w:b/>
          <w:bCs/>
        </w:rPr>
        <w:t>6</w:t>
      </w:r>
      <w:r w:rsidRPr="004E727A">
        <w:rPr>
          <w:rFonts w:ascii="Book Antiqua" w:hAnsi="Book Antiqua"/>
        </w:rPr>
        <w:t>: 1232-1244 [PMID: 30288286 DOI: 10.1177/2050640618780762]</w:t>
      </w:r>
    </w:p>
    <w:p w14:paraId="7D88726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54 </w:t>
      </w:r>
      <w:bookmarkStart w:id="29" w:name="OLE_LINK9"/>
      <w:bookmarkStart w:id="30" w:name="OLE_LINK10"/>
      <w:r w:rsidRPr="004E727A">
        <w:rPr>
          <w:rFonts w:ascii="Book Antiqua" w:hAnsi="Book Antiqua"/>
          <w:b/>
          <w:bCs/>
        </w:rPr>
        <w:t>El-Salhy M</w:t>
      </w:r>
      <w:r w:rsidRPr="004E727A">
        <w:rPr>
          <w:rFonts w:ascii="Book Antiqua" w:hAnsi="Book Antiqua"/>
        </w:rPr>
        <w:t>, Hausken T, Hatlebakk JG. Increasing the Dose and/or Repeating Faecal Microbiota Transplantation (FMT) Increases the Response in Patients with Irritable Bowel Syndrome (IBS).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31238507 DOI: 10.3390/nu11061415]</w:t>
      </w:r>
      <w:bookmarkEnd w:id="29"/>
      <w:bookmarkEnd w:id="30"/>
    </w:p>
    <w:p w14:paraId="769B057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55 </w:t>
      </w:r>
      <w:r w:rsidRPr="004E727A">
        <w:rPr>
          <w:rFonts w:ascii="Book Antiqua" w:hAnsi="Book Antiqua"/>
          <w:b/>
          <w:bCs/>
        </w:rPr>
        <w:t>El-Salhy M</w:t>
      </w:r>
      <w:r w:rsidRPr="004E727A">
        <w:rPr>
          <w:rFonts w:ascii="Book Antiqua" w:hAnsi="Book Antiqua"/>
        </w:rPr>
        <w:t>, Valeur J, Hausken T, Gunnar Hatlebakk J. Changes in fecal short-chain fatty acids following fecal microbiota transplantation in patients with irritable bowel syndrome. </w:t>
      </w:r>
      <w:r w:rsidRPr="004E727A">
        <w:rPr>
          <w:rFonts w:ascii="Book Antiqua" w:hAnsi="Book Antiqua"/>
          <w:i/>
          <w:iCs/>
        </w:rPr>
        <w:t>Neurogastroenterol Motil</w:t>
      </w:r>
      <w:r w:rsidRPr="004E727A">
        <w:rPr>
          <w:rFonts w:ascii="Book Antiqua" w:hAnsi="Book Antiqua"/>
        </w:rPr>
        <w:t> 2021; </w:t>
      </w:r>
      <w:r w:rsidRPr="004E727A">
        <w:rPr>
          <w:rFonts w:ascii="Book Antiqua" w:hAnsi="Book Antiqua"/>
          <w:b/>
          <w:bCs/>
        </w:rPr>
        <w:t>33</w:t>
      </w:r>
      <w:r w:rsidRPr="004E727A">
        <w:rPr>
          <w:rFonts w:ascii="Book Antiqua" w:hAnsi="Book Antiqua"/>
        </w:rPr>
        <w:t>: e13983 [PMID: 32945066 DOI: 10.1111/nmo.13983]</w:t>
      </w:r>
    </w:p>
    <w:p w14:paraId="342E34F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56 </w:t>
      </w:r>
      <w:r w:rsidRPr="004E727A">
        <w:rPr>
          <w:rFonts w:ascii="Book Antiqua" w:hAnsi="Book Antiqua"/>
          <w:b/>
          <w:bCs/>
        </w:rPr>
        <w:t>El-Salhy M,</w:t>
      </w:r>
      <w:r w:rsidRPr="004E727A">
        <w:rPr>
          <w:rFonts w:ascii="Book Antiqua" w:hAnsi="Book Antiqua"/>
        </w:rPr>
        <w:t xml:space="preserve"> Casen C, Valeur J, Hausken T, Hatlebakk JG. Responses to faecal microbiota transplantation in female and male patients with irritable bowel syndrome. </w:t>
      </w:r>
      <w:r w:rsidRPr="004E727A">
        <w:rPr>
          <w:rFonts w:ascii="Book Antiqua" w:hAnsi="Book Antiqua"/>
          <w:i/>
        </w:rPr>
        <w:t>World J Gastroenterol</w:t>
      </w:r>
      <w:r w:rsidRPr="004E727A">
        <w:rPr>
          <w:rFonts w:ascii="Book Antiqua" w:hAnsi="Book Antiqua"/>
        </w:rPr>
        <w:t xml:space="preserve"> 2021; </w:t>
      </w:r>
      <w:r w:rsidRPr="004E727A">
        <w:rPr>
          <w:rFonts w:ascii="Book Antiqua" w:hAnsi="Book Antiqua"/>
          <w:b/>
        </w:rPr>
        <w:t>27</w:t>
      </w:r>
      <w:r w:rsidRPr="004E727A">
        <w:rPr>
          <w:rFonts w:ascii="Book Antiqua" w:hAnsi="Book Antiqua"/>
        </w:rPr>
        <w:t>: 2219-2237 [DOI: 10.3748/wjg.v27.i18.2219]</w:t>
      </w:r>
    </w:p>
    <w:p w14:paraId="6BB20C1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57 </w:t>
      </w:r>
      <w:r w:rsidRPr="004E727A">
        <w:rPr>
          <w:rFonts w:ascii="Book Antiqua" w:hAnsi="Book Antiqua"/>
          <w:b/>
          <w:bCs/>
        </w:rPr>
        <w:t>Keller JJ</w:t>
      </w:r>
      <w:r w:rsidRPr="004E727A">
        <w:rPr>
          <w:rFonts w:ascii="Book Antiqua" w:hAnsi="Book Antiqua"/>
        </w:rPr>
        <w:t>, Vehreschild MJ, Hvas CL, Jørgensen SM, Kupciskas J, Link A, Mulder CJ, Goldenberg SD, Arasaradnam R, Sokol H, Gasbarrini A, Hoegenauer C, Terveer EM, Kuijper EJ, Arkkila P; UEG working group of the Standards and Guidelines initiative Stool banking for FMT. Stool for fecal microbiota transplantation should be classified as a transplant product and not as a drug. </w:t>
      </w:r>
      <w:r w:rsidRPr="004E727A">
        <w:rPr>
          <w:rFonts w:ascii="Book Antiqua" w:hAnsi="Book Antiqua"/>
          <w:i/>
          <w:iCs/>
        </w:rPr>
        <w:t>United European Gastroenterol J</w:t>
      </w:r>
      <w:r w:rsidRPr="004E727A">
        <w:rPr>
          <w:rFonts w:ascii="Book Antiqua" w:hAnsi="Book Antiqua"/>
        </w:rPr>
        <w:t> 2019; </w:t>
      </w:r>
      <w:r w:rsidRPr="004E727A">
        <w:rPr>
          <w:rFonts w:ascii="Book Antiqua" w:hAnsi="Book Antiqua"/>
          <w:b/>
          <w:bCs/>
        </w:rPr>
        <w:t>7</w:t>
      </w:r>
      <w:r w:rsidRPr="004E727A">
        <w:rPr>
          <w:rFonts w:ascii="Book Antiqua" w:hAnsi="Book Antiqua"/>
        </w:rPr>
        <w:t>: 1408-1410 [PMID: 31839966 DOI: 10.1177/2050640619887579]</w:t>
      </w:r>
    </w:p>
    <w:p w14:paraId="2886C8F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58 </w:t>
      </w:r>
      <w:r w:rsidRPr="004E727A">
        <w:rPr>
          <w:rFonts w:ascii="Book Antiqua" w:hAnsi="Book Antiqua"/>
          <w:b/>
          <w:bCs/>
        </w:rPr>
        <w:t>Wang S</w:t>
      </w:r>
      <w:r w:rsidRPr="004E727A">
        <w:rPr>
          <w:rFonts w:ascii="Book Antiqua" w:hAnsi="Book Antiqua"/>
        </w:rPr>
        <w:t>, Xu M, Wang W, Cao X, Piao M, Khan S, Yan F, Cao H, Wang B. Systematic Review: Adverse Events of Fecal Microbiota Transplantation. </w:t>
      </w:r>
      <w:r w:rsidRPr="004E727A">
        <w:rPr>
          <w:rFonts w:ascii="Book Antiqua" w:hAnsi="Book Antiqua"/>
          <w:i/>
          <w:iCs/>
        </w:rPr>
        <w:t>PLoS One</w:t>
      </w:r>
      <w:r w:rsidRPr="004E727A">
        <w:rPr>
          <w:rFonts w:ascii="Book Antiqua" w:hAnsi="Book Antiqua"/>
        </w:rPr>
        <w:t> 2016; </w:t>
      </w:r>
      <w:r w:rsidRPr="004E727A">
        <w:rPr>
          <w:rFonts w:ascii="Book Antiqua" w:hAnsi="Book Antiqua"/>
          <w:b/>
          <w:bCs/>
        </w:rPr>
        <w:t>11</w:t>
      </w:r>
      <w:r w:rsidRPr="004E727A">
        <w:rPr>
          <w:rFonts w:ascii="Book Antiqua" w:hAnsi="Book Antiqua"/>
        </w:rPr>
        <w:t>: e0161174 [PMID: 27529553 DOI: 10.1371/journal.pone.0161174]</w:t>
      </w:r>
    </w:p>
    <w:p w14:paraId="55D77F5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59 </w:t>
      </w:r>
      <w:r w:rsidRPr="004E727A">
        <w:rPr>
          <w:rFonts w:ascii="Book Antiqua" w:hAnsi="Book Antiqua"/>
          <w:b/>
          <w:bCs/>
        </w:rPr>
        <w:t>Dailey FE</w:t>
      </w:r>
      <w:r w:rsidRPr="004E727A">
        <w:rPr>
          <w:rFonts w:ascii="Book Antiqua" w:hAnsi="Book Antiqua"/>
        </w:rPr>
        <w:t>, Turse EP, Daglilar E, Tahan V. The dirty aspects of fecal microbiota transplantation: a review of its adverse effects and complications. </w:t>
      </w:r>
      <w:r w:rsidRPr="004E727A">
        <w:rPr>
          <w:rFonts w:ascii="Book Antiqua" w:hAnsi="Book Antiqua"/>
          <w:i/>
          <w:iCs/>
        </w:rPr>
        <w:t>Curr Opin Pharmacol</w:t>
      </w:r>
      <w:r w:rsidRPr="004E727A">
        <w:rPr>
          <w:rFonts w:ascii="Book Antiqua" w:hAnsi="Book Antiqua"/>
        </w:rPr>
        <w:t> 2019; </w:t>
      </w:r>
      <w:r w:rsidRPr="004E727A">
        <w:rPr>
          <w:rFonts w:ascii="Book Antiqua" w:hAnsi="Book Antiqua"/>
          <w:b/>
          <w:bCs/>
        </w:rPr>
        <w:t>49</w:t>
      </w:r>
      <w:r w:rsidRPr="004E727A">
        <w:rPr>
          <w:rFonts w:ascii="Book Antiqua" w:hAnsi="Book Antiqua"/>
        </w:rPr>
        <w:t>: 29-33 [PMID: 31103793 DOI: 10.1016/j.coph.2019.04.008]</w:t>
      </w:r>
    </w:p>
    <w:p w14:paraId="473C485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60 </w:t>
      </w:r>
      <w:r w:rsidRPr="004E727A">
        <w:rPr>
          <w:rFonts w:ascii="Book Antiqua" w:hAnsi="Book Antiqua"/>
          <w:b/>
          <w:bCs/>
        </w:rPr>
        <w:t>DeFilipp Z</w:t>
      </w:r>
      <w:r w:rsidRPr="004E727A">
        <w:rPr>
          <w:rFonts w:ascii="Book Antiqua" w:hAnsi="Book Antiqua"/>
        </w:rPr>
        <w:t>, Bloom PP, Torres Soto M, Mansour MK, Sater MRA, Huntley MH, Turbett S, Chung RT, Chen YB, Hohmann EL. Drug-Resistant </w:t>
      </w:r>
      <w:r w:rsidRPr="004E727A">
        <w:rPr>
          <w:rFonts w:ascii="Book Antiqua" w:hAnsi="Book Antiqua"/>
          <w:i/>
          <w:iCs/>
        </w:rPr>
        <w:t>E. coli</w:t>
      </w:r>
      <w:r w:rsidRPr="004E727A">
        <w:rPr>
          <w:rFonts w:ascii="Book Antiqua" w:hAnsi="Book Antiqua"/>
        </w:rPr>
        <w:t> Bacteremia Transmitted by Fecal Microbiota Transplant. </w:t>
      </w:r>
      <w:r w:rsidRPr="004E727A">
        <w:rPr>
          <w:rFonts w:ascii="Book Antiqua" w:hAnsi="Book Antiqua"/>
          <w:i/>
          <w:iCs/>
        </w:rPr>
        <w:t>N Engl J Med</w:t>
      </w:r>
      <w:r w:rsidRPr="004E727A">
        <w:rPr>
          <w:rFonts w:ascii="Book Antiqua" w:hAnsi="Book Antiqua"/>
        </w:rPr>
        <w:t> 2019; </w:t>
      </w:r>
      <w:r w:rsidRPr="004E727A">
        <w:rPr>
          <w:rFonts w:ascii="Book Antiqua" w:hAnsi="Book Antiqua"/>
          <w:b/>
          <w:bCs/>
        </w:rPr>
        <w:t>381</w:t>
      </w:r>
      <w:r w:rsidRPr="004E727A">
        <w:rPr>
          <w:rFonts w:ascii="Book Antiqua" w:hAnsi="Book Antiqua"/>
        </w:rPr>
        <w:t>: 2043-2050 [PMID: 31665575 DOI: 10.1056/NEJMoa1910437]</w:t>
      </w:r>
    </w:p>
    <w:p w14:paraId="6EB07D2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61 </w:t>
      </w:r>
      <w:r w:rsidRPr="004E727A">
        <w:rPr>
          <w:rFonts w:ascii="Book Antiqua" w:hAnsi="Book Antiqua"/>
          <w:b/>
          <w:bCs/>
        </w:rPr>
        <w:t>Blaser MJ</w:t>
      </w:r>
      <w:r w:rsidRPr="004E727A">
        <w:rPr>
          <w:rFonts w:ascii="Book Antiqua" w:hAnsi="Book Antiqua"/>
        </w:rPr>
        <w:t>. Fecal Microbiota Transplantation for Dysbiosis - Predictable Risks. </w:t>
      </w:r>
      <w:r w:rsidRPr="004E727A">
        <w:rPr>
          <w:rFonts w:ascii="Book Antiqua" w:hAnsi="Book Antiqua"/>
          <w:i/>
          <w:iCs/>
        </w:rPr>
        <w:t>N Engl J Med</w:t>
      </w:r>
      <w:r w:rsidRPr="004E727A">
        <w:rPr>
          <w:rFonts w:ascii="Book Antiqua" w:hAnsi="Book Antiqua"/>
        </w:rPr>
        <w:t> 2019; </w:t>
      </w:r>
      <w:r w:rsidRPr="004E727A">
        <w:rPr>
          <w:rFonts w:ascii="Book Antiqua" w:hAnsi="Book Antiqua"/>
          <w:b/>
          <w:bCs/>
        </w:rPr>
        <w:t>381</w:t>
      </w:r>
      <w:r w:rsidRPr="004E727A">
        <w:rPr>
          <w:rFonts w:ascii="Book Antiqua" w:hAnsi="Book Antiqua"/>
        </w:rPr>
        <w:t>: 2064-2066 [PMID: 31665573 DOI: 10.1056/NEJMe1913807]</w:t>
      </w:r>
    </w:p>
    <w:p w14:paraId="03BF61C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62 </w:t>
      </w:r>
      <w:r w:rsidRPr="004E727A">
        <w:rPr>
          <w:rFonts w:ascii="Book Antiqua" w:hAnsi="Book Antiqua"/>
          <w:b/>
          <w:bCs/>
        </w:rPr>
        <w:t>Barbara G</w:t>
      </w:r>
      <w:r w:rsidRPr="004E727A">
        <w:rPr>
          <w:rFonts w:ascii="Book Antiqua" w:hAnsi="Book Antiqua"/>
        </w:rPr>
        <w:t>, Ianiro G. Faecal microbial transplantation in IBS: ready for prime time? </w:t>
      </w:r>
      <w:r w:rsidRPr="004E727A">
        <w:rPr>
          <w:rFonts w:ascii="Book Antiqua" w:hAnsi="Book Antiqua"/>
          <w:i/>
          <w:iCs/>
        </w:rPr>
        <w:t>Gut</w:t>
      </w:r>
      <w:r w:rsidRPr="004E727A">
        <w:rPr>
          <w:rFonts w:ascii="Book Antiqua" w:hAnsi="Book Antiqua"/>
        </w:rPr>
        <w:t> 2020; </w:t>
      </w:r>
      <w:r w:rsidRPr="004E727A">
        <w:rPr>
          <w:rFonts w:ascii="Book Antiqua" w:hAnsi="Book Antiqua"/>
          <w:b/>
          <w:bCs/>
        </w:rPr>
        <w:t>69</w:t>
      </w:r>
      <w:r w:rsidRPr="004E727A">
        <w:rPr>
          <w:rFonts w:ascii="Book Antiqua" w:hAnsi="Book Antiqua"/>
        </w:rPr>
        <w:t>: 795-796 [PMID: 32102925 DOI: 10.1136/gutjnl-2019-320411]</w:t>
      </w:r>
    </w:p>
    <w:p w14:paraId="6016996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63 </w:t>
      </w:r>
      <w:r w:rsidRPr="004E727A">
        <w:rPr>
          <w:rFonts w:ascii="Book Antiqua" w:hAnsi="Book Antiqua"/>
          <w:b/>
          <w:bCs/>
        </w:rPr>
        <w:t>Camilleri M</w:t>
      </w:r>
      <w:r w:rsidRPr="004E727A">
        <w:rPr>
          <w:rFonts w:ascii="Book Antiqua" w:hAnsi="Book Antiqua"/>
        </w:rPr>
        <w:t>. FMT in IBS: a call for caution. </w:t>
      </w:r>
      <w:r w:rsidRPr="004E727A">
        <w:rPr>
          <w:rFonts w:ascii="Book Antiqua" w:hAnsi="Book Antiqua"/>
          <w:i/>
          <w:iCs/>
        </w:rPr>
        <w:t>Gut</w:t>
      </w:r>
      <w:r w:rsidRPr="004E727A">
        <w:rPr>
          <w:rFonts w:ascii="Book Antiqua" w:hAnsi="Book Antiqua"/>
        </w:rPr>
        <w:t> 2021; </w:t>
      </w:r>
      <w:r w:rsidRPr="004E727A">
        <w:rPr>
          <w:rFonts w:ascii="Book Antiqua" w:hAnsi="Book Antiqua"/>
          <w:b/>
          <w:bCs/>
        </w:rPr>
        <w:t>70</w:t>
      </w:r>
      <w:r w:rsidRPr="004E727A">
        <w:rPr>
          <w:rFonts w:ascii="Book Antiqua" w:hAnsi="Book Antiqua"/>
        </w:rPr>
        <w:t>: 431 [PMID: 32414814 DOI: 10.1136/gutjnl-2020-321529]</w:t>
      </w:r>
    </w:p>
    <w:p w14:paraId="5E0818A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64 </w:t>
      </w:r>
      <w:r w:rsidRPr="004E727A">
        <w:rPr>
          <w:rFonts w:ascii="Book Antiqua" w:hAnsi="Book Antiqua"/>
          <w:b/>
          <w:bCs/>
        </w:rPr>
        <w:t>Perler BK</w:t>
      </w:r>
      <w:r w:rsidRPr="004E727A">
        <w:rPr>
          <w:rFonts w:ascii="Book Antiqua" w:hAnsi="Book Antiqua"/>
        </w:rPr>
        <w:t>, Chen B, Phelps E, Allegretti JR, Fischer M, Ganapini V, Krajiceck E, Kumar V, Marcus J, Nativ L, Kelly CR. Long-Term Efficacy and Safety of Fecal Microbiota Transplantation for Treatment of Recurrent Clostridioides difficile Infection. </w:t>
      </w:r>
      <w:r w:rsidRPr="004E727A">
        <w:rPr>
          <w:rFonts w:ascii="Book Antiqua" w:hAnsi="Book Antiqua"/>
          <w:i/>
          <w:iCs/>
        </w:rPr>
        <w:t>J Clin Gastroenterol</w:t>
      </w:r>
      <w:r w:rsidRPr="004E727A">
        <w:rPr>
          <w:rFonts w:ascii="Book Antiqua" w:hAnsi="Book Antiqua"/>
        </w:rPr>
        <w:t> 2020; </w:t>
      </w:r>
      <w:r w:rsidRPr="004E727A">
        <w:rPr>
          <w:rFonts w:ascii="Book Antiqua" w:hAnsi="Book Antiqua"/>
          <w:b/>
          <w:bCs/>
        </w:rPr>
        <w:t>54</w:t>
      </w:r>
      <w:r w:rsidRPr="004E727A">
        <w:rPr>
          <w:rFonts w:ascii="Book Antiqua" w:hAnsi="Book Antiqua"/>
        </w:rPr>
        <w:t>: 701-706 [PMID: 32011405 DOI: 10.1097/MCG.0000000000001281]</w:t>
      </w:r>
    </w:p>
    <w:p w14:paraId="77A596E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65 </w:t>
      </w:r>
      <w:r w:rsidRPr="004E727A">
        <w:rPr>
          <w:rFonts w:ascii="Book Antiqua" w:hAnsi="Book Antiqua"/>
          <w:b/>
          <w:bCs/>
        </w:rPr>
        <w:t>Sun Q</w:t>
      </w:r>
      <w:r w:rsidRPr="004E727A">
        <w:rPr>
          <w:rFonts w:ascii="Book Antiqua" w:hAnsi="Book Antiqua"/>
        </w:rPr>
        <w:t>, Jia Q, Song L, Duan L. Alterations in fecal short-chain fatty acids in patients with irritable bowel syndrome: A systematic review and meta-analysis. </w:t>
      </w:r>
      <w:r w:rsidRPr="004E727A">
        <w:rPr>
          <w:rFonts w:ascii="Book Antiqua" w:hAnsi="Book Antiqua"/>
          <w:i/>
          <w:iCs/>
        </w:rPr>
        <w:t>Medicine (Baltimore)</w:t>
      </w:r>
      <w:r w:rsidRPr="004E727A">
        <w:rPr>
          <w:rFonts w:ascii="Book Antiqua" w:hAnsi="Book Antiqua"/>
        </w:rPr>
        <w:t> 2019; </w:t>
      </w:r>
      <w:r w:rsidRPr="004E727A">
        <w:rPr>
          <w:rFonts w:ascii="Book Antiqua" w:hAnsi="Book Antiqua"/>
          <w:b/>
          <w:bCs/>
        </w:rPr>
        <w:t>98</w:t>
      </w:r>
      <w:r w:rsidRPr="004E727A">
        <w:rPr>
          <w:rFonts w:ascii="Book Antiqua" w:hAnsi="Book Antiqua"/>
        </w:rPr>
        <w:t>: e14513 [PMID: 30762787 DOI: 10.1097/MD.0000000000014513]</w:t>
      </w:r>
    </w:p>
    <w:p w14:paraId="269B018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66 </w:t>
      </w:r>
      <w:r w:rsidRPr="004E727A">
        <w:rPr>
          <w:rFonts w:ascii="Book Antiqua" w:hAnsi="Book Antiqua"/>
          <w:b/>
          <w:bCs/>
        </w:rPr>
        <w:t>El-Salhy M</w:t>
      </w:r>
      <w:r w:rsidRPr="004E727A">
        <w:rPr>
          <w:rFonts w:ascii="Book Antiqua" w:hAnsi="Book Antiqua"/>
        </w:rPr>
        <w:t>, Hatlebakk JG, Hausken T. Diet in Irritable Bowel Syndrome (IBS): Interaction with Gut Microbiota and Gut Hormones.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31394793 DOI: 10.3390/nu11081824]</w:t>
      </w:r>
    </w:p>
    <w:p w14:paraId="239630D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67 </w:t>
      </w:r>
      <w:r w:rsidRPr="004E727A">
        <w:rPr>
          <w:rFonts w:ascii="Book Antiqua" w:hAnsi="Book Antiqua"/>
          <w:b/>
          <w:bCs/>
        </w:rPr>
        <w:t>El-Salhy M</w:t>
      </w:r>
      <w:r w:rsidRPr="004E727A">
        <w:rPr>
          <w:rFonts w:ascii="Book Antiqua" w:hAnsi="Book Antiqua"/>
        </w:rPr>
        <w:t>. Irritable bowel syndrome: diagnosis and pathogenesis. </w:t>
      </w:r>
      <w:r w:rsidRPr="004E727A">
        <w:rPr>
          <w:rFonts w:ascii="Book Antiqua" w:hAnsi="Book Antiqua"/>
          <w:i/>
          <w:iCs/>
        </w:rPr>
        <w:t>World J Gastroenterol</w:t>
      </w:r>
      <w:r w:rsidRPr="004E727A">
        <w:rPr>
          <w:rFonts w:ascii="Book Antiqua" w:hAnsi="Book Antiqua"/>
        </w:rPr>
        <w:t> 2012; </w:t>
      </w:r>
      <w:r w:rsidRPr="004E727A">
        <w:rPr>
          <w:rFonts w:ascii="Book Antiqua" w:hAnsi="Book Antiqua"/>
          <w:b/>
          <w:bCs/>
        </w:rPr>
        <w:t>18</w:t>
      </w:r>
      <w:r w:rsidRPr="004E727A">
        <w:rPr>
          <w:rFonts w:ascii="Book Antiqua" w:hAnsi="Book Antiqua"/>
        </w:rPr>
        <w:t>: 5151-5163 [PMID: 23066308 DOI: 10.3748/wjg.v18.i37.5151]</w:t>
      </w:r>
    </w:p>
    <w:p w14:paraId="53DCAD0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68 </w:t>
      </w:r>
      <w:r w:rsidRPr="004E727A">
        <w:rPr>
          <w:rFonts w:ascii="Book Antiqua" w:hAnsi="Book Antiqua"/>
          <w:b/>
          <w:bCs/>
        </w:rPr>
        <w:t>El-Salhy M</w:t>
      </w:r>
      <w:r w:rsidRPr="004E727A">
        <w:rPr>
          <w:rFonts w:ascii="Book Antiqua" w:hAnsi="Book Antiqua"/>
        </w:rPr>
        <w:t>, Hatlebakk JG, Gilja OH, Hausken T. Irritable bowel syndrome: recent developments in diagnosis, pathophysiology, and treatment. </w:t>
      </w:r>
      <w:r w:rsidRPr="004E727A">
        <w:rPr>
          <w:rFonts w:ascii="Book Antiqua" w:hAnsi="Book Antiqua"/>
          <w:i/>
          <w:iCs/>
        </w:rPr>
        <w:t>Expert Rev Gastroenterol Hepatol</w:t>
      </w:r>
      <w:r w:rsidRPr="004E727A">
        <w:rPr>
          <w:rFonts w:ascii="Book Antiqua" w:hAnsi="Book Antiqua"/>
        </w:rPr>
        <w:t> 2014; </w:t>
      </w:r>
      <w:r w:rsidRPr="004E727A">
        <w:rPr>
          <w:rFonts w:ascii="Book Antiqua" w:hAnsi="Book Antiqua"/>
          <w:b/>
          <w:bCs/>
        </w:rPr>
        <w:t>8</w:t>
      </w:r>
      <w:r w:rsidRPr="004E727A">
        <w:rPr>
          <w:rFonts w:ascii="Book Antiqua" w:hAnsi="Book Antiqua"/>
        </w:rPr>
        <w:t>: 435-443 [PMID: 24580043 DOI: 10.1586/17474124.2014.888952]</w:t>
      </w:r>
    </w:p>
    <w:p w14:paraId="53E6C83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69 </w:t>
      </w:r>
      <w:r w:rsidRPr="004E727A">
        <w:rPr>
          <w:rFonts w:ascii="Book Antiqua" w:hAnsi="Book Antiqua"/>
          <w:b/>
          <w:bCs/>
        </w:rPr>
        <w:t>El-Salhy M</w:t>
      </w:r>
      <w:r w:rsidRPr="004E727A">
        <w:rPr>
          <w:rFonts w:ascii="Book Antiqua" w:hAnsi="Book Antiqua"/>
        </w:rPr>
        <w:t>, Seim I, Chopin L, Gundersen D, Hatlebakk JG, Hausken T. Irritable bowel syndrome: the role of gut neuroendocrine peptides. </w:t>
      </w:r>
      <w:r w:rsidRPr="004E727A">
        <w:rPr>
          <w:rFonts w:ascii="Book Antiqua" w:hAnsi="Book Antiqua"/>
          <w:i/>
          <w:iCs/>
        </w:rPr>
        <w:t>Front Biosci (Elite Ed)</w:t>
      </w:r>
      <w:r w:rsidRPr="004E727A">
        <w:rPr>
          <w:rFonts w:ascii="Book Antiqua" w:hAnsi="Book Antiqua"/>
        </w:rPr>
        <w:t> 2012; </w:t>
      </w:r>
      <w:r w:rsidRPr="004E727A">
        <w:rPr>
          <w:rFonts w:ascii="Book Antiqua" w:hAnsi="Book Antiqua"/>
          <w:b/>
          <w:bCs/>
        </w:rPr>
        <w:t>4</w:t>
      </w:r>
      <w:r w:rsidRPr="004E727A">
        <w:rPr>
          <w:rFonts w:ascii="Book Antiqua" w:hAnsi="Book Antiqua"/>
        </w:rPr>
        <w:t>: 2783-2800 [PMID: 22652678 DOI: 10.2741/e583]</w:t>
      </w:r>
    </w:p>
    <w:p w14:paraId="579C150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70 </w:t>
      </w:r>
      <w:r w:rsidRPr="004E727A">
        <w:rPr>
          <w:rFonts w:ascii="Book Antiqua" w:hAnsi="Book Antiqua"/>
          <w:b/>
          <w:bCs/>
        </w:rPr>
        <w:t>El-Salhy M</w:t>
      </w:r>
      <w:r w:rsidRPr="004E727A">
        <w:rPr>
          <w:rFonts w:ascii="Book Antiqua" w:hAnsi="Book Antiqua"/>
        </w:rPr>
        <w:t>, Gundersen D, Gilja OH, Hatlebakk JG, Hausken T. Is irritable bowel syndrome an organic disorder? </w:t>
      </w:r>
      <w:r w:rsidRPr="004E727A">
        <w:rPr>
          <w:rFonts w:ascii="Book Antiqua" w:hAnsi="Book Antiqua"/>
          <w:i/>
          <w:iCs/>
        </w:rPr>
        <w:t>World J Gastroenterol</w:t>
      </w:r>
      <w:r w:rsidRPr="004E727A">
        <w:rPr>
          <w:rFonts w:ascii="Book Antiqua" w:hAnsi="Book Antiqua"/>
        </w:rPr>
        <w:t> 2014; </w:t>
      </w:r>
      <w:r w:rsidRPr="004E727A">
        <w:rPr>
          <w:rFonts w:ascii="Book Antiqua" w:hAnsi="Book Antiqua"/>
          <w:b/>
          <w:bCs/>
        </w:rPr>
        <w:t>20</w:t>
      </w:r>
      <w:r w:rsidRPr="004E727A">
        <w:rPr>
          <w:rFonts w:ascii="Book Antiqua" w:hAnsi="Book Antiqua"/>
        </w:rPr>
        <w:t>: 384-400 [PMID: 24574708 DOI: 10.3748/wjg.v20.i2.384]</w:t>
      </w:r>
    </w:p>
    <w:p w14:paraId="19DEF9E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71 </w:t>
      </w:r>
      <w:r w:rsidRPr="004E727A">
        <w:rPr>
          <w:rFonts w:ascii="Book Antiqua" w:hAnsi="Book Antiqua"/>
          <w:b/>
          <w:bCs/>
        </w:rPr>
        <w:t>Khan WI</w:t>
      </w:r>
      <w:r w:rsidRPr="004E727A">
        <w:rPr>
          <w:rFonts w:ascii="Book Antiqua" w:hAnsi="Book Antiqua"/>
        </w:rPr>
        <w:t>, Ghia JE. Gut hormones: emerging role in immune activation and inflammation. </w:t>
      </w:r>
      <w:r w:rsidRPr="004E727A">
        <w:rPr>
          <w:rFonts w:ascii="Book Antiqua" w:hAnsi="Book Antiqua"/>
          <w:i/>
          <w:iCs/>
        </w:rPr>
        <w:t>Clin Exp Immunol</w:t>
      </w:r>
      <w:r w:rsidRPr="004E727A">
        <w:rPr>
          <w:rFonts w:ascii="Book Antiqua" w:hAnsi="Book Antiqua"/>
        </w:rPr>
        <w:t> 2010; </w:t>
      </w:r>
      <w:r w:rsidRPr="004E727A">
        <w:rPr>
          <w:rFonts w:ascii="Book Antiqua" w:hAnsi="Book Antiqua"/>
          <w:b/>
          <w:bCs/>
        </w:rPr>
        <w:t>161</w:t>
      </w:r>
      <w:r w:rsidRPr="004E727A">
        <w:rPr>
          <w:rFonts w:ascii="Book Antiqua" w:hAnsi="Book Antiqua"/>
        </w:rPr>
        <w:t>: 19-27 [PMID: 20408856 DOI: 10.1111/j.1365-2249.2010.04150.x]</w:t>
      </w:r>
    </w:p>
    <w:p w14:paraId="1A26807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72 </w:t>
      </w:r>
      <w:r w:rsidRPr="004E727A">
        <w:rPr>
          <w:rFonts w:ascii="Book Antiqua" w:hAnsi="Book Antiqua"/>
          <w:b/>
          <w:bCs/>
        </w:rPr>
        <w:t>Gershon MD</w:t>
      </w:r>
      <w:r w:rsidRPr="004E727A">
        <w:rPr>
          <w:rFonts w:ascii="Book Antiqua" w:hAnsi="Book Antiqua"/>
        </w:rPr>
        <w:t>. 5-Hydroxytryptamine (serotonin) in the gastrointestinal tract. </w:t>
      </w:r>
      <w:r w:rsidRPr="004E727A">
        <w:rPr>
          <w:rFonts w:ascii="Book Antiqua" w:hAnsi="Book Antiqua"/>
          <w:i/>
          <w:iCs/>
        </w:rPr>
        <w:t>Curr Opin Endocrinol Diabetes Obes</w:t>
      </w:r>
      <w:r w:rsidRPr="004E727A">
        <w:rPr>
          <w:rFonts w:ascii="Book Antiqua" w:hAnsi="Book Antiqua"/>
        </w:rPr>
        <w:t> 2013; </w:t>
      </w:r>
      <w:r w:rsidRPr="004E727A">
        <w:rPr>
          <w:rFonts w:ascii="Book Antiqua" w:hAnsi="Book Antiqua"/>
          <w:b/>
          <w:bCs/>
        </w:rPr>
        <w:t>20</w:t>
      </w:r>
      <w:r w:rsidRPr="004E727A">
        <w:rPr>
          <w:rFonts w:ascii="Book Antiqua" w:hAnsi="Book Antiqua"/>
        </w:rPr>
        <w:t>: 14-21 [PMID: 23222853 DOI: 10.1097/MED.0b013e32835bc703]</w:t>
      </w:r>
    </w:p>
    <w:p w14:paraId="521A413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73 </w:t>
      </w:r>
      <w:r w:rsidRPr="004E727A">
        <w:rPr>
          <w:rFonts w:ascii="Book Antiqua" w:hAnsi="Book Antiqua"/>
          <w:b/>
          <w:bCs/>
        </w:rPr>
        <w:t>Gershon MD</w:t>
      </w:r>
      <w:r w:rsidRPr="004E727A">
        <w:rPr>
          <w:rFonts w:ascii="Book Antiqua" w:hAnsi="Book Antiqua"/>
        </w:rPr>
        <w:t>, Tack J. The serotonin signaling system: from basic understanding to drug development for functional GI disorders. </w:t>
      </w:r>
      <w:r w:rsidRPr="004E727A">
        <w:rPr>
          <w:rFonts w:ascii="Book Antiqua" w:hAnsi="Book Antiqua"/>
          <w:i/>
          <w:iCs/>
        </w:rPr>
        <w:t>Gastroenterology</w:t>
      </w:r>
      <w:r w:rsidRPr="004E727A">
        <w:rPr>
          <w:rFonts w:ascii="Book Antiqua" w:hAnsi="Book Antiqua"/>
        </w:rPr>
        <w:t> 2007; </w:t>
      </w:r>
      <w:r w:rsidRPr="004E727A">
        <w:rPr>
          <w:rFonts w:ascii="Book Antiqua" w:hAnsi="Book Antiqua"/>
          <w:b/>
          <w:bCs/>
        </w:rPr>
        <w:t>132</w:t>
      </w:r>
      <w:r w:rsidRPr="004E727A">
        <w:rPr>
          <w:rFonts w:ascii="Book Antiqua" w:hAnsi="Book Antiqua"/>
        </w:rPr>
        <w:t>: 397-414 [PMID: 17241888 DOI: 10.1053/j.gastro.2006.11.002]</w:t>
      </w:r>
    </w:p>
    <w:p w14:paraId="5445F1B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74 </w:t>
      </w:r>
      <w:r w:rsidRPr="004E727A">
        <w:rPr>
          <w:rFonts w:ascii="Book Antiqua" w:hAnsi="Book Antiqua"/>
          <w:b/>
          <w:bCs/>
        </w:rPr>
        <w:t>El-Salhy M</w:t>
      </w:r>
      <w:r w:rsidRPr="004E727A">
        <w:rPr>
          <w:rFonts w:ascii="Book Antiqua" w:hAnsi="Book Antiqua"/>
        </w:rPr>
        <w:t>, Solomon T, Hausken T, Gilja OH, Hatlebakk JG. Gastrointestinal neuroendocrine peptides/amines in inflammatory bowel disease. </w:t>
      </w:r>
      <w:r w:rsidRPr="004E727A">
        <w:rPr>
          <w:rFonts w:ascii="Book Antiqua" w:hAnsi="Book Antiqua"/>
          <w:i/>
          <w:iCs/>
        </w:rPr>
        <w:t>World J Gastroenterol</w:t>
      </w:r>
      <w:r w:rsidRPr="004E727A">
        <w:rPr>
          <w:rFonts w:ascii="Book Antiqua" w:hAnsi="Book Antiqua"/>
        </w:rPr>
        <w:t> 2017; </w:t>
      </w:r>
      <w:r w:rsidRPr="004E727A">
        <w:rPr>
          <w:rFonts w:ascii="Book Antiqua" w:hAnsi="Book Antiqua"/>
          <w:b/>
          <w:bCs/>
        </w:rPr>
        <w:t>23</w:t>
      </w:r>
      <w:r w:rsidRPr="004E727A">
        <w:rPr>
          <w:rFonts w:ascii="Book Antiqua" w:hAnsi="Book Antiqua"/>
        </w:rPr>
        <w:t>: 5068-5085 [PMID: 28811704 DOI: 10.3748/wjg.v23.i28.5068]</w:t>
      </w:r>
    </w:p>
    <w:p w14:paraId="1A55EB0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75 </w:t>
      </w:r>
      <w:r w:rsidRPr="004E727A">
        <w:rPr>
          <w:rFonts w:ascii="Book Antiqua" w:hAnsi="Book Antiqua"/>
          <w:b/>
          <w:bCs/>
        </w:rPr>
        <w:t>Mawe GM</w:t>
      </w:r>
      <w:r w:rsidRPr="004E727A">
        <w:rPr>
          <w:rFonts w:ascii="Book Antiqua" w:hAnsi="Book Antiqua"/>
        </w:rPr>
        <w:t>, Coates MD, Moses PL. Review article: intestinal serotonin signalling in irritable bowel syndrome. </w:t>
      </w:r>
      <w:r w:rsidRPr="004E727A">
        <w:rPr>
          <w:rFonts w:ascii="Book Antiqua" w:hAnsi="Book Antiqua"/>
          <w:i/>
          <w:iCs/>
        </w:rPr>
        <w:t>Aliment Pharmacol Ther</w:t>
      </w:r>
      <w:r w:rsidRPr="004E727A">
        <w:rPr>
          <w:rFonts w:ascii="Book Antiqua" w:hAnsi="Book Antiqua"/>
        </w:rPr>
        <w:t> 2006; </w:t>
      </w:r>
      <w:r w:rsidRPr="004E727A">
        <w:rPr>
          <w:rFonts w:ascii="Book Antiqua" w:hAnsi="Book Antiqua"/>
          <w:b/>
          <w:bCs/>
        </w:rPr>
        <w:t>23</w:t>
      </w:r>
      <w:r w:rsidRPr="004E727A">
        <w:rPr>
          <w:rFonts w:ascii="Book Antiqua" w:hAnsi="Book Antiqua"/>
        </w:rPr>
        <w:t>: 1067-1076 [PMID: 16611266 DOI: 10.1111/j.1365-2036.2006.02858.x]</w:t>
      </w:r>
    </w:p>
    <w:p w14:paraId="6D26D35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76 </w:t>
      </w:r>
      <w:r w:rsidRPr="004E727A">
        <w:rPr>
          <w:rFonts w:ascii="Book Antiqua" w:hAnsi="Book Antiqua"/>
          <w:b/>
          <w:bCs/>
        </w:rPr>
        <w:t>ERSPAMER V</w:t>
      </w:r>
      <w:r w:rsidRPr="004E727A">
        <w:rPr>
          <w:rFonts w:ascii="Book Antiqua" w:hAnsi="Book Antiqua"/>
        </w:rPr>
        <w:t>. Occurrence and distribution of 5-hydroxytryptamine (enteramine) in the living organism. </w:t>
      </w:r>
      <w:r w:rsidRPr="004E727A">
        <w:rPr>
          <w:rFonts w:ascii="Book Antiqua" w:hAnsi="Book Antiqua"/>
          <w:i/>
          <w:iCs/>
        </w:rPr>
        <w:t>Z Vitam Horm Fermentforsch</w:t>
      </w:r>
      <w:r w:rsidRPr="004E727A">
        <w:rPr>
          <w:rFonts w:ascii="Book Antiqua" w:hAnsi="Book Antiqua"/>
        </w:rPr>
        <w:t> 1957; </w:t>
      </w:r>
      <w:r w:rsidRPr="004E727A">
        <w:rPr>
          <w:rFonts w:ascii="Book Antiqua" w:hAnsi="Book Antiqua"/>
          <w:b/>
          <w:bCs/>
        </w:rPr>
        <w:t>9</w:t>
      </w:r>
      <w:r w:rsidRPr="004E727A">
        <w:rPr>
          <w:rFonts w:ascii="Book Antiqua" w:hAnsi="Book Antiqua"/>
        </w:rPr>
        <w:t>: 74-96 [PMID: 13531578]</w:t>
      </w:r>
    </w:p>
    <w:p w14:paraId="0587BD3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77 </w:t>
      </w:r>
      <w:r w:rsidRPr="004E727A">
        <w:rPr>
          <w:rFonts w:ascii="Book Antiqua" w:hAnsi="Book Antiqua"/>
          <w:b/>
          <w:bCs/>
        </w:rPr>
        <w:t>Chen JX</w:t>
      </w:r>
      <w:r w:rsidRPr="004E727A">
        <w:rPr>
          <w:rFonts w:ascii="Book Antiqua" w:hAnsi="Book Antiqua"/>
        </w:rPr>
        <w:t>, Pan H, Rothman TP, Wade PR, Gershon MD. Guinea pig 5-HT transporter: cloning, expression, distribution, and function in intestinal sensory reception. </w:t>
      </w:r>
      <w:r w:rsidRPr="004E727A">
        <w:rPr>
          <w:rFonts w:ascii="Book Antiqua" w:hAnsi="Book Antiqua"/>
          <w:i/>
          <w:iCs/>
        </w:rPr>
        <w:t>Am J Physiol</w:t>
      </w:r>
      <w:r w:rsidRPr="004E727A">
        <w:rPr>
          <w:rFonts w:ascii="Book Antiqua" w:hAnsi="Book Antiqua"/>
        </w:rPr>
        <w:t> 1998; </w:t>
      </w:r>
      <w:r w:rsidRPr="004E727A">
        <w:rPr>
          <w:rFonts w:ascii="Book Antiqua" w:hAnsi="Book Antiqua"/>
          <w:b/>
          <w:bCs/>
        </w:rPr>
        <w:t>275</w:t>
      </w:r>
      <w:r w:rsidRPr="004E727A">
        <w:rPr>
          <w:rFonts w:ascii="Book Antiqua" w:hAnsi="Book Antiqua"/>
        </w:rPr>
        <w:t>: G433-G448 [PMID: 9724254 DOI: 10.1152/ajpgi.1998.275.3.G433]</w:t>
      </w:r>
    </w:p>
    <w:p w14:paraId="437237B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78 </w:t>
      </w:r>
      <w:r w:rsidRPr="004E727A">
        <w:rPr>
          <w:rFonts w:ascii="Book Antiqua" w:hAnsi="Book Antiqua"/>
          <w:b/>
          <w:bCs/>
        </w:rPr>
        <w:t>Keating C</w:t>
      </w:r>
      <w:r w:rsidRPr="004E727A">
        <w:rPr>
          <w:rFonts w:ascii="Book Antiqua" w:hAnsi="Book Antiqua"/>
        </w:rPr>
        <w:t>, Beyak M, Foley S, Singh G, Marsden C, Spiller R, Grundy D. Afferent hypersensitivity in a mouse model of post-inflammatory gut dysfunction: role of altered serotonin metabolism. </w:t>
      </w:r>
      <w:r w:rsidRPr="004E727A">
        <w:rPr>
          <w:rFonts w:ascii="Book Antiqua" w:hAnsi="Book Antiqua"/>
          <w:i/>
          <w:iCs/>
        </w:rPr>
        <w:t>J Physiol</w:t>
      </w:r>
      <w:r w:rsidRPr="004E727A">
        <w:rPr>
          <w:rFonts w:ascii="Book Antiqua" w:hAnsi="Book Antiqua"/>
        </w:rPr>
        <w:t> 2008; </w:t>
      </w:r>
      <w:r w:rsidRPr="004E727A">
        <w:rPr>
          <w:rFonts w:ascii="Book Antiqua" w:hAnsi="Book Antiqua"/>
          <w:b/>
          <w:bCs/>
        </w:rPr>
        <w:t>586</w:t>
      </w:r>
      <w:r w:rsidRPr="004E727A">
        <w:rPr>
          <w:rFonts w:ascii="Book Antiqua" w:hAnsi="Book Antiqua"/>
        </w:rPr>
        <w:t>: 4517-4530 [PMID: 18653657 DOI: 10.1113/jphysiol.2008.156984]</w:t>
      </w:r>
    </w:p>
    <w:p w14:paraId="0FCFB6A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79 </w:t>
      </w:r>
      <w:r w:rsidRPr="004E727A">
        <w:rPr>
          <w:rFonts w:ascii="Book Antiqua" w:hAnsi="Book Antiqua"/>
          <w:b/>
          <w:bCs/>
        </w:rPr>
        <w:t>Coleman NS</w:t>
      </w:r>
      <w:r w:rsidRPr="004E727A">
        <w:rPr>
          <w:rFonts w:ascii="Book Antiqua" w:hAnsi="Book Antiqua"/>
        </w:rPr>
        <w:t>, Foley S, Dunlop SP, Wheatcroft J, Blackshaw E, Perkins AC, Singh G, Marsden CA, Holmes GK, Spiller RC. Abnormalities of serotonin metabolism and their relation to symptoms in untreated celiac disease. </w:t>
      </w:r>
      <w:r w:rsidRPr="004E727A">
        <w:rPr>
          <w:rFonts w:ascii="Book Antiqua" w:hAnsi="Book Antiqua"/>
          <w:i/>
          <w:iCs/>
        </w:rPr>
        <w:t>Clin Gastroenterol Hepatol</w:t>
      </w:r>
      <w:r w:rsidRPr="004E727A">
        <w:rPr>
          <w:rFonts w:ascii="Book Antiqua" w:hAnsi="Book Antiqua"/>
        </w:rPr>
        <w:t> 2006; </w:t>
      </w:r>
      <w:r w:rsidRPr="004E727A">
        <w:rPr>
          <w:rFonts w:ascii="Book Antiqua" w:hAnsi="Book Antiqua"/>
          <w:b/>
          <w:bCs/>
        </w:rPr>
        <w:t>4</w:t>
      </w:r>
      <w:r w:rsidRPr="004E727A">
        <w:rPr>
          <w:rFonts w:ascii="Book Antiqua" w:hAnsi="Book Antiqua"/>
        </w:rPr>
        <w:t>: 874-881 [PMID: 16797248 DOI: 10.1016/j.cgh.2006.04.017]</w:t>
      </w:r>
    </w:p>
    <w:p w14:paraId="2E9E07D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80 </w:t>
      </w:r>
      <w:r w:rsidRPr="004E727A">
        <w:rPr>
          <w:rFonts w:ascii="Book Antiqua" w:hAnsi="Book Antiqua"/>
          <w:b/>
          <w:bCs/>
        </w:rPr>
        <w:t>El-Salhy M</w:t>
      </w:r>
      <w:r w:rsidRPr="004E727A">
        <w:rPr>
          <w:rFonts w:ascii="Book Antiqua" w:hAnsi="Book Antiqua"/>
        </w:rPr>
        <w:t>, Gundersen D, Ostgaard H, Lomholt-Beck B, Hatlebakk JG, Hausken T. Low densities of serotonin and peptide YY cells in the colon of patients with irritable bowel syndrome. </w:t>
      </w:r>
      <w:r w:rsidRPr="004E727A">
        <w:rPr>
          <w:rFonts w:ascii="Book Antiqua" w:hAnsi="Book Antiqua"/>
          <w:i/>
          <w:iCs/>
        </w:rPr>
        <w:t>Dig Dis Sci</w:t>
      </w:r>
      <w:r w:rsidRPr="004E727A">
        <w:rPr>
          <w:rFonts w:ascii="Book Antiqua" w:hAnsi="Book Antiqua"/>
        </w:rPr>
        <w:t> 2012; </w:t>
      </w:r>
      <w:r w:rsidRPr="004E727A">
        <w:rPr>
          <w:rFonts w:ascii="Book Antiqua" w:hAnsi="Book Antiqua"/>
          <w:b/>
          <w:bCs/>
        </w:rPr>
        <w:t>57</w:t>
      </w:r>
      <w:r w:rsidRPr="004E727A">
        <w:rPr>
          <w:rFonts w:ascii="Book Antiqua" w:hAnsi="Book Antiqua"/>
        </w:rPr>
        <w:t>: 873-878 [PMID: 22057239 DOI: 10.1007/s10620-011-1948-8]</w:t>
      </w:r>
    </w:p>
    <w:p w14:paraId="7F9FBCA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81 </w:t>
      </w:r>
      <w:r w:rsidRPr="004E727A">
        <w:rPr>
          <w:rFonts w:ascii="Book Antiqua" w:hAnsi="Book Antiqua"/>
          <w:b/>
          <w:bCs/>
        </w:rPr>
        <w:t>El-Salhy M</w:t>
      </w:r>
      <w:r w:rsidRPr="004E727A">
        <w:rPr>
          <w:rFonts w:ascii="Book Antiqua" w:hAnsi="Book Antiqua"/>
        </w:rPr>
        <w:t>, Patcharatrakul T, Hatlebakk JG, Hausken T, Gilja OH, Gonlachanvit S. Enteroendocrine, Musashi 1 and neurogenin 3 cells in the large intestine of Thai and Norwegian patients with irritable bowel syndrome. </w:t>
      </w:r>
      <w:r w:rsidRPr="004E727A">
        <w:rPr>
          <w:rFonts w:ascii="Book Antiqua" w:hAnsi="Book Antiqua"/>
          <w:i/>
          <w:iCs/>
        </w:rPr>
        <w:t>Scand J Gastroenterol</w:t>
      </w:r>
      <w:r w:rsidRPr="004E727A">
        <w:rPr>
          <w:rFonts w:ascii="Book Antiqua" w:hAnsi="Book Antiqua"/>
        </w:rPr>
        <w:t> 2017; </w:t>
      </w:r>
      <w:r w:rsidRPr="004E727A">
        <w:rPr>
          <w:rFonts w:ascii="Book Antiqua" w:hAnsi="Book Antiqua"/>
          <w:b/>
          <w:bCs/>
        </w:rPr>
        <w:t>52</w:t>
      </w:r>
      <w:r w:rsidRPr="004E727A">
        <w:rPr>
          <w:rFonts w:ascii="Book Antiqua" w:hAnsi="Book Antiqua"/>
        </w:rPr>
        <w:t>: 1331-1339 [PMID: 28853300 DOI: 10.1080/00365521.2017.1371793]</w:t>
      </w:r>
    </w:p>
    <w:p w14:paraId="2E14AAE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82 </w:t>
      </w:r>
      <w:r w:rsidRPr="004E727A">
        <w:rPr>
          <w:rFonts w:ascii="Book Antiqua" w:hAnsi="Book Antiqua"/>
          <w:b/>
          <w:bCs/>
        </w:rPr>
        <w:t>El-Salhy M</w:t>
      </w:r>
      <w:r w:rsidRPr="004E727A">
        <w:rPr>
          <w:rFonts w:ascii="Book Antiqua" w:hAnsi="Book Antiqua"/>
        </w:rPr>
        <w:t>, Wendelbo I, Gundersen D. Serotonin and serotonin transporter in the rectum of patients with irritable bowel disease. </w:t>
      </w:r>
      <w:r w:rsidRPr="004E727A">
        <w:rPr>
          <w:rFonts w:ascii="Book Antiqua" w:hAnsi="Book Antiqua"/>
          <w:i/>
          <w:iCs/>
        </w:rPr>
        <w:t>Mol Med Rep</w:t>
      </w:r>
      <w:r w:rsidRPr="004E727A">
        <w:rPr>
          <w:rFonts w:ascii="Book Antiqua" w:hAnsi="Book Antiqua"/>
        </w:rPr>
        <w:t> 2013; </w:t>
      </w:r>
      <w:r w:rsidRPr="004E727A">
        <w:rPr>
          <w:rFonts w:ascii="Book Antiqua" w:hAnsi="Book Antiqua"/>
          <w:b/>
          <w:bCs/>
        </w:rPr>
        <w:t>8</w:t>
      </w:r>
      <w:r w:rsidRPr="004E727A">
        <w:rPr>
          <w:rFonts w:ascii="Book Antiqua" w:hAnsi="Book Antiqua"/>
        </w:rPr>
        <w:t>: 451-455 [PMID: 23778763 DOI: 10.3892/mmr.2013.1525]</w:t>
      </w:r>
    </w:p>
    <w:p w14:paraId="69EC68B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83 </w:t>
      </w:r>
      <w:r w:rsidRPr="004E727A">
        <w:rPr>
          <w:rFonts w:ascii="Book Antiqua" w:hAnsi="Book Antiqua"/>
          <w:b/>
          <w:bCs/>
        </w:rPr>
        <w:t>Yano JM</w:t>
      </w:r>
      <w:r w:rsidRPr="004E727A">
        <w:rPr>
          <w:rFonts w:ascii="Book Antiqua" w:hAnsi="Book Antiqua"/>
        </w:rPr>
        <w:t>, Yu K, Donaldson GP, Shastri GG, Ann P, Ma L, Nagler CR, Ismagilov RF, Mazmanian SK, Hsiao EY. Indigenous bacteria from the gut microbiota regulate host serotonin biosynthesis. </w:t>
      </w:r>
      <w:r w:rsidRPr="004E727A">
        <w:rPr>
          <w:rFonts w:ascii="Book Antiqua" w:hAnsi="Book Antiqua"/>
          <w:i/>
          <w:iCs/>
        </w:rPr>
        <w:t>Cell</w:t>
      </w:r>
      <w:r w:rsidRPr="004E727A">
        <w:rPr>
          <w:rFonts w:ascii="Book Antiqua" w:hAnsi="Book Antiqua"/>
        </w:rPr>
        <w:t> 2015; </w:t>
      </w:r>
      <w:r w:rsidRPr="004E727A">
        <w:rPr>
          <w:rFonts w:ascii="Book Antiqua" w:hAnsi="Book Antiqua"/>
          <w:b/>
          <w:bCs/>
        </w:rPr>
        <w:t>161</w:t>
      </w:r>
      <w:r w:rsidRPr="004E727A">
        <w:rPr>
          <w:rFonts w:ascii="Book Antiqua" w:hAnsi="Book Antiqua"/>
        </w:rPr>
        <w:t>: 264-276 [PMID: 25860609 DOI: 10.1016/j.cell.2015.02.047]</w:t>
      </w:r>
    </w:p>
    <w:p w14:paraId="2D79C1F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84 </w:t>
      </w:r>
      <w:r w:rsidRPr="004E727A">
        <w:rPr>
          <w:rFonts w:ascii="Book Antiqua" w:hAnsi="Book Antiqua"/>
          <w:b/>
          <w:bCs/>
        </w:rPr>
        <w:t>Mishima Y</w:t>
      </w:r>
      <w:r w:rsidRPr="004E727A">
        <w:rPr>
          <w:rFonts w:ascii="Book Antiqua" w:hAnsi="Book Antiqua"/>
        </w:rPr>
        <w:t>, Ishihara S. Molecular Mechanisms of Microbiota-Mediated Pathology in Irritable Bowel Syndrome. </w:t>
      </w:r>
      <w:r w:rsidRPr="004E727A">
        <w:rPr>
          <w:rFonts w:ascii="Book Antiqua" w:hAnsi="Book Antiqua"/>
          <w:i/>
          <w:iCs/>
        </w:rPr>
        <w:t>Int J Mol Sci</w:t>
      </w:r>
      <w:r w:rsidRPr="004E727A">
        <w:rPr>
          <w:rFonts w:ascii="Book Antiqua" w:hAnsi="Book Antiqua"/>
        </w:rPr>
        <w:t> 2020; </w:t>
      </w:r>
      <w:r w:rsidRPr="004E727A">
        <w:rPr>
          <w:rFonts w:ascii="Book Antiqua" w:hAnsi="Book Antiqua"/>
          <w:b/>
          <w:bCs/>
        </w:rPr>
        <w:t>21</w:t>
      </w:r>
      <w:r w:rsidRPr="004E727A">
        <w:rPr>
          <w:rFonts w:ascii="Book Antiqua" w:hAnsi="Book Antiqua"/>
        </w:rPr>
        <w:t> [PMID: 33212919 DOI: 10.3390/ijms21228664]</w:t>
      </w:r>
    </w:p>
    <w:p w14:paraId="3313153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85 </w:t>
      </w:r>
      <w:r w:rsidRPr="004E727A">
        <w:rPr>
          <w:rFonts w:ascii="Book Antiqua" w:hAnsi="Book Antiqua"/>
          <w:b/>
          <w:bCs/>
        </w:rPr>
        <w:t>Mandić AD</w:t>
      </w:r>
      <w:r w:rsidRPr="004E727A">
        <w:rPr>
          <w:rFonts w:ascii="Book Antiqua" w:hAnsi="Book Antiqua"/>
        </w:rPr>
        <w:t>, Woting A, Jaenicke T, Sander A, Sabrowski W, Rolle-Kampcyk U, von Bergen M, Blaut M. Clostridium ramosum regulates enterochromaffin cell development and serotonin release. </w:t>
      </w:r>
      <w:r w:rsidRPr="004E727A">
        <w:rPr>
          <w:rFonts w:ascii="Book Antiqua" w:hAnsi="Book Antiqua"/>
          <w:i/>
          <w:iCs/>
        </w:rPr>
        <w:t>Sci Rep</w:t>
      </w:r>
      <w:r w:rsidRPr="004E727A">
        <w:rPr>
          <w:rFonts w:ascii="Book Antiqua" w:hAnsi="Book Antiqua"/>
        </w:rPr>
        <w:t> 2019; </w:t>
      </w:r>
      <w:r w:rsidRPr="004E727A">
        <w:rPr>
          <w:rFonts w:ascii="Book Antiqua" w:hAnsi="Book Antiqua"/>
          <w:b/>
          <w:bCs/>
        </w:rPr>
        <w:t>9</w:t>
      </w:r>
      <w:r w:rsidRPr="004E727A">
        <w:rPr>
          <w:rFonts w:ascii="Book Antiqua" w:hAnsi="Book Antiqua"/>
        </w:rPr>
        <w:t>: 1177 [PMID: 30718836 DOI: 10.1038/s41598-018-38018-z]</w:t>
      </w:r>
    </w:p>
    <w:p w14:paraId="7E22D6A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86 </w:t>
      </w:r>
      <w:r w:rsidRPr="004E727A">
        <w:rPr>
          <w:rFonts w:ascii="Book Antiqua" w:hAnsi="Book Antiqua"/>
          <w:b/>
          <w:bCs/>
        </w:rPr>
        <w:t>El-Salhy M</w:t>
      </w:r>
      <w:r w:rsidRPr="004E727A">
        <w:rPr>
          <w:rFonts w:ascii="Book Antiqua" w:hAnsi="Book Antiqua"/>
        </w:rPr>
        <w:t>, Grimelius L, Wilander E, Ryberg B, Terenius L, Lundberg JM, Tatemoto K. Immunocytochemical identification of polypeptide YY (PYY) cells in the human gastrointestinal tract. </w:t>
      </w:r>
      <w:r w:rsidRPr="004E727A">
        <w:rPr>
          <w:rFonts w:ascii="Book Antiqua" w:hAnsi="Book Antiqua"/>
          <w:i/>
          <w:iCs/>
        </w:rPr>
        <w:t>Histochemistry</w:t>
      </w:r>
      <w:r w:rsidRPr="004E727A">
        <w:rPr>
          <w:rFonts w:ascii="Book Antiqua" w:hAnsi="Book Antiqua"/>
        </w:rPr>
        <w:t> 1983; </w:t>
      </w:r>
      <w:r w:rsidRPr="004E727A">
        <w:rPr>
          <w:rFonts w:ascii="Book Antiqua" w:hAnsi="Book Antiqua"/>
          <w:b/>
          <w:bCs/>
        </w:rPr>
        <w:t>77</w:t>
      </w:r>
      <w:r w:rsidRPr="004E727A">
        <w:rPr>
          <w:rFonts w:ascii="Book Antiqua" w:hAnsi="Book Antiqua"/>
        </w:rPr>
        <w:t>: 15-23 [PMID: 6341321 DOI: 10.1007/BF00496632]</w:t>
      </w:r>
    </w:p>
    <w:p w14:paraId="1992549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87 </w:t>
      </w:r>
      <w:r w:rsidRPr="004E727A">
        <w:rPr>
          <w:rFonts w:ascii="Book Antiqua" w:hAnsi="Book Antiqua"/>
          <w:b/>
          <w:bCs/>
        </w:rPr>
        <w:t>El-Salhy M</w:t>
      </w:r>
      <w:r w:rsidRPr="004E727A">
        <w:rPr>
          <w:rFonts w:ascii="Book Antiqua" w:hAnsi="Book Antiqua"/>
        </w:rPr>
        <w:t>, Hatlebakk JG, Hausken T. Possible role of peptide YY (PYY) in the pathophysiology of irritable bowel syndrome (IBS). </w:t>
      </w:r>
      <w:r w:rsidRPr="004E727A">
        <w:rPr>
          <w:rFonts w:ascii="Book Antiqua" w:hAnsi="Book Antiqua"/>
          <w:i/>
          <w:iCs/>
        </w:rPr>
        <w:t>Neuropeptides</w:t>
      </w:r>
      <w:r w:rsidRPr="004E727A">
        <w:rPr>
          <w:rFonts w:ascii="Book Antiqua" w:hAnsi="Book Antiqua"/>
        </w:rPr>
        <w:t> 2020; </w:t>
      </w:r>
      <w:r w:rsidRPr="004E727A">
        <w:rPr>
          <w:rFonts w:ascii="Book Antiqua" w:hAnsi="Book Antiqua"/>
          <w:b/>
          <w:bCs/>
        </w:rPr>
        <w:t>79</w:t>
      </w:r>
      <w:r w:rsidRPr="004E727A">
        <w:rPr>
          <w:rFonts w:ascii="Book Antiqua" w:hAnsi="Book Antiqua"/>
        </w:rPr>
        <w:t>: 101973 [PMID: 31727345 DOI: 10.1016/j.npep.2019.101973]</w:t>
      </w:r>
    </w:p>
    <w:p w14:paraId="1DC3B8B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88 </w:t>
      </w:r>
      <w:r w:rsidRPr="004E727A">
        <w:rPr>
          <w:rFonts w:ascii="Book Antiqua" w:hAnsi="Book Antiqua"/>
          <w:b/>
          <w:bCs/>
        </w:rPr>
        <w:t>Cox HM</w:t>
      </w:r>
      <w:r w:rsidRPr="004E727A">
        <w:rPr>
          <w:rFonts w:ascii="Book Antiqua" w:hAnsi="Book Antiqua"/>
        </w:rPr>
        <w:t>, Pollock EL, Tough IR, Herzog H. Multiple Y receptors mediate pancreatic polypeptide responses in mouse colon mucosa. </w:t>
      </w:r>
      <w:r w:rsidRPr="004E727A">
        <w:rPr>
          <w:rFonts w:ascii="Book Antiqua" w:hAnsi="Book Antiqua"/>
          <w:i/>
          <w:iCs/>
        </w:rPr>
        <w:t>Peptides</w:t>
      </w:r>
      <w:r w:rsidRPr="004E727A">
        <w:rPr>
          <w:rFonts w:ascii="Book Antiqua" w:hAnsi="Book Antiqua"/>
        </w:rPr>
        <w:t> 2001; </w:t>
      </w:r>
      <w:r w:rsidRPr="004E727A">
        <w:rPr>
          <w:rFonts w:ascii="Book Antiqua" w:hAnsi="Book Antiqua"/>
          <w:b/>
          <w:bCs/>
        </w:rPr>
        <w:t>22</w:t>
      </w:r>
      <w:r w:rsidRPr="004E727A">
        <w:rPr>
          <w:rFonts w:ascii="Book Antiqua" w:hAnsi="Book Antiqua"/>
        </w:rPr>
        <w:t>: 445-452 [PMID: 11287100 DOI: 10.1016/s0196-9781(01)00355-2]</w:t>
      </w:r>
    </w:p>
    <w:p w14:paraId="7891FD2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89 </w:t>
      </w:r>
      <w:r w:rsidRPr="004E727A">
        <w:rPr>
          <w:rFonts w:ascii="Book Antiqua" w:hAnsi="Book Antiqua"/>
          <w:b/>
          <w:bCs/>
        </w:rPr>
        <w:t>Cox HM</w:t>
      </w:r>
      <w:r w:rsidRPr="004E727A">
        <w:rPr>
          <w:rFonts w:ascii="Book Antiqua" w:hAnsi="Book Antiqua"/>
        </w:rPr>
        <w:t>, Tough IR. Neuropeptide Y, Y1, Y2 and Y4 receptors mediate Y agonist responses in isolated human colon mucosa. </w:t>
      </w:r>
      <w:r w:rsidRPr="004E727A">
        <w:rPr>
          <w:rFonts w:ascii="Book Antiqua" w:hAnsi="Book Antiqua"/>
          <w:i/>
          <w:iCs/>
        </w:rPr>
        <w:t>Br J Pharmacol</w:t>
      </w:r>
      <w:r w:rsidRPr="004E727A">
        <w:rPr>
          <w:rFonts w:ascii="Book Antiqua" w:hAnsi="Book Antiqua"/>
        </w:rPr>
        <w:t> 2002; </w:t>
      </w:r>
      <w:r w:rsidRPr="004E727A">
        <w:rPr>
          <w:rFonts w:ascii="Book Antiqua" w:hAnsi="Book Antiqua"/>
          <w:b/>
          <w:bCs/>
        </w:rPr>
        <w:t>135</w:t>
      </w:r>
      <w:r w:rsidRPr="004E727A">
        <w:rPr>
          <w:rFonts w:ascii="Book Antiqua" w:hAnsi="Book Antiqua"/>
        </w:rPr>
        <w:t>: 1505-1512 [PMID: 11906964 DOI: 10.1038/sj.bjp.0704604]</w:t>
      </w:r>
    </w:p>
    <w:p w14:paraId="13A89AC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90 </w:t>
      </w:r>
      <w:r w:rsidRPr="004E727A">
        <w:rPr>
          <w:rFonts w:ascii="Book Antiqua" w:hAnsi="Book Antiqua"/>
          <w:b/>
          <w:bCs/>
        </w:rPr>
        <w:t>Sheikh SP</w:t>
      </w:r>
      <w:r w:rsidRPr="004E727A">
        <w:rPr>
          <w:rFonts w:ascii="Book Antiqua" w:hAnsi="Book Antiqua"/>
        </w:rPr>
        <w:t>, Williams JA. Structural characterization of Y1 and Y2 receptors for neuropeptide Y and peptide YY by affinity cross-linking. </w:t>
      </w:r>
      <w:r w:rsidRPr="004E727A">
        <w:rPr>
          <w:rFonts w:ascii="Book Antiqua" w:hAnsi="Book Antiqua"/>
          <w:i/>
          <w:iCs/>
        </w:rPr>
        <w:t>J Biol Chem</w:t>
      </w:r>
      <w:r w:rsidRPr="004E727A">
        <w:rPr>
          <w:rFonts w:ascii="Book Antiqua" w:hAnsi="Book Antiqua"/>
        </w:rPr>
        <w:t> 1990; </w:t>
      </w:r>
      <w:r w:rsidRPr="004E727A">
        <w:rPr>
          <w:rFonts w:ascii="Book Antiqua" w:hAnsi="Book Antiqua"/>
          <w:b/>
          <w:bCs/>
        </w:rPr>
        <w:t>265</w:t>
      </w:r>
      <w:r w:rsidRPr="004E727A">
        <w:rPr>
          <w:rFonts w:ascii="Book Antiqua" w:hAnsi="Book Antiqua"/>
        </w:rPr>
        <w:t>: 8304-8310 [PMID: 2159475]</w:t>
      </w:r>
    </w:p>
    <w:p w14:paraId="4645A7C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91 </w:t>
      </w:r>
      <w:r w:rsidRPr="004E727A">
        <w:rPr>
          <w:rFonts w:ascii="Book Antiqua" w:hAnsi="Book Antiqua"/>
          <w:b/>
          <w:bCs/>
        </w:rPr>
        <w:t>Inui A</w:t>
      </w:r>
      <w:r w:rsidRPr="004E727A">
        <w:rPr>
          <w:rFonts w:ascii="Book Antiqua" w:hAnsi="Book Antiqua"/>
        </w:rPr>
        <w:t>, Sano K, Miura M, Hirosue Y, Nakajima M, Okita M, Baba S, Kasuga M. Evidence for further heterogeneity of the receptors for neuropeptide-Y and peptide-YY in tumor cell lines derived from neural crest. </w:t>
      </w:r>
      <w:r w:rsidRPr="004E727A">
        <w:rPr>
          <w:rFonts w:ascii="Book Antiqua" w:hAnsi="Book Antiqua"/>
          <w:i/>
          <w:iCs/>
        </w:rPr>
        <w:t>Endocrinology</w:t>
      </w:r>
      <w:r w:rsidRPr="004E727A">
        <w:rPr>
          <w:rFonts w:ascii="Book Antiqua" w:hAnsi="Book Antiqua"/>
        </w:rPr>
        <w:t> 1992; </w:t>
      </w:r>
      <w:r w:rsidRPr="004E727A">
        <w:rPr>
          <w:rFonts w:ascii="Book Antiqua" w:hAnsi="Book Antiqua"/>
          <w:b/>
          <w:bCs/>
        </w:rPr>
        <w:t>131</w:t>
      </w:r>
      <w:r w:rsidRPr="004E727A">
        <w:rPr>
          <w:rFonts w:ascii="Book Antiqua" w:hAnsi="Book Antiqua"/>
        </w:rPr>
        <w:t>: 2090-2096 [PMID: 1330489 DOI: 10.1210/endo.131.5.1330489]</w:t>
      </w:r>
    </w:p>
    <w:p w14:paraId="7941F93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92 </w:t>
      </w:r>
      <w:r w:rsidRPr="004E727A">
        <w:rPr>
          <w:rFonts w:ascii="Book Antiqua" w:hAnsi="Book Antiqua"/>
          <w:b/>
          <w:bCs/>
        </w:rPr>
        <w:t>Mao YK</w:t>
      </w:r>
      <w:r w:rsidRPr="004E727A">
        <w:rPr>
          <w:rFonts w:ascii="Book Antiqua" w:hAnsi="Book Antiqua"/>
        </w:rPr>
        <w:t>, Wang YF, Ward G, Cipris S, Daniel EE, McDonald TJ. Peptide YY receptor in submucosal and myenteric plexus synaptosomes of canine small intestine. </w:t>
      </w:r>
      <w:r w:rsidRPr="004E727A">
        <w:rPr>
          <w:rFonts w:ascii="Book Antiqua" w:hAnsi="Book Antiqua"/>
          <w:i/>
          <w:iCs/>
        </w:rPr>
        <w:t>Am J Physiol</w:t>
      </w:r>
      <w:r w:rsidRPr="004E727A">
        <w:rPr>
          <w:rFonts w:ascii="Book Antiqua" w:hAnsi="Book Antiqua"/>
        </w:rPr>
        <w:t> 1996; </w:t>
      </w:r>
      <w:r w:rsidRPr="004E727A">
        <w:rPr>
          <w:rFonts w:ascii="Book Antiqua" w:hAnsi="Book Antiqua"/>
          <w:b/>
          <w:bCs/>
        </w:rPr>
        <w:t>271</w:t>
      </w:r>
      <w:r w:rsidRPr="004E727A">
        <w:rPr>
          <w:rFonts w:ascii="Book Antiqua" w:hAnsi="Book Antiqua"/>
        </w:rPr>
        <w:t>: G36-G41 [PMID: 8760104 DOI: 10.1152/ajpgi.1996.271.1.G36]</w:t>
      </w:r>
    </w:p>
    <w:p w14:paraId="7303C71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93 </w:t>
      </w:r>
      <w:r w:rsidRPr="004E727A">
        <w:rPr>
          <w:rFonts w:ascii="Book Antiqua" w:hAnsi="Book Antiqua"/>
          <w:b/>
          <w:bCs/>
        </w:rPr>
        <w:t>Walsh DA</w:t>
      </w:r>
      <w:r w:rsidRPr="004E727A">
        <w:rPr>
          <w:rFonts w:ascii="Book Antiqua" w:hAnsi="Book Antiqua"/>
        </w:rPr>
        <w:t>, Wharton J, Blake DR, Polak JM. Localization and characterization of neuropeptide Y binding sites in porcine and human colon. </w:t>
      </w:r>
      <w:r w:rsidRPr="004E727A">
        <w:rPr>
          <w:rFonts w:ascii="Book Antiqua" w:hAnsi="Book Antiqua"/>
          <w:i/>
          <w:iCs/>
        </w:rPr>
        <w:t>Br J Pharmacol</w:t>
      </w:r>
      <w:r w:rsidRPr="004E727A">
        <w:rPr>
          <w:rFonts w:ascii="Book Antiqua" w:hAnsi="Book Antiqua"/>
        </w:rPr>
        <w:t> 1993; </w:t>
      </w:r>
      <w:r w:rsidRPr="004E727A">
        <w:rPr>
          <w:rFonts w:ascii="Book Antiqua" w:hAnsi="Book Antiqua"/>
          <w:b/>
          <w:bCs/>
        </w:rPr>
        <w:t>108</w:t>
      </w:r>
      <w:r w:rsidRPr="004E727A">
        <w:rPr>
          <w:rFonts w:ascii="Book Antiqua" w:hAnsi="Book Antiqua"/>
        </w:rPr>
        <w:t>: 304-311 [PMID: 8448582 DOI: 10.1111/j.1476-5381.1993.tb12800.x]</w:t>
      </w:r>
    </w:p>
    <w:p w14:paraId="72F8C7A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94 </w:t>
      </w:r>
      <w:r w:rsidRPr="004E727A">
        <w:rPr>
          <w:rFonts w:ascii="Book Antiqua" w:hAnsi="Book Antiqua"/>
          <w:b/>
          <w:bCs/>
        </w:rPr>
        <w:t>Wharton J</w:t>
      </w:r>
      <w:r w:rsidRPr="004E727A">
        <w:rPr>
          <w:rFonts w:ascii="Book Antiqua" w:hAnsi="Book Antiqua"/>
        </w:rPr>
        <w:t>, Gordon L, Byrne J, Herzog H, Selbie LA, Moore K, Sullivan MH, Elder MG, Moscoso G, Taylor KM. Expression of the human neuropeptide tyrosine Y1 receptor. </w:t>
      </w:r>
      <w:r w:rsidRPr="004E727A">
        <w:rPr>
          <w:rFonts w:ascii="Book Antiqua" w:hAnsi="Book Antiqua"/>
          <w:i/>
          <w:iCs/>
        </w:rPr>
        <w:t>Proc Natl Acad Sci U S A</w:t>
      </w:r>
      <w:r w:rsidRPr="004E727A">
        <w:rPr>
          <w:rFonts w:ascii="Book Antiqua" w:hAnsi="Book Antiqua"/>
        </w:rPr>
        <w:t> 1993; </w:t>
      </w:r>
      <w:r w:rsidRPr="004E727A">
        <w:rPr>
          <w:rFonts w:ascii="Book Antiqua" w:hAnsi="Book Antiqua"/>
          <w:b/>
          <w:bCs/>
        </w:rPr>
        <w:t>90</w:t>
      </w:r>
      <w:r w:rsidRPr="004E727A">
        <w:rPr>
          <w:rFonts w:ascii="Book Antiqua" w:hAnsi="Book Antiqua"/>
        </w:rPr>
        <w:t>: 687-691 [PMID: 8421707 DOI: 10.1073/pnas.90.2.687]</w:t>
      </w:r>
    </w:p>
    <w:p w14:paraId="4D0FD12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95 </w:t>
      </w:r>
      <w:r w:rsidRPr="004E727A">
        <w:rPr>
          <w:rFonts w:ascii="Book Antiqua" w:hAnsi="Book Antiqua"/>
          <w:b/>
          <w:bCs/>
        </w:rPr>
        <w:t>Gregor P</w:t>
      </w:r>
      <w:r w:rsidRPr="004E727A">
        <w:rPr>
          <w:rFonts w:ascii="Book Antiqua" w:hAnsi="Book Antiqua"/>
        </w:rPr>
        <w:t>, Feng Y, DeCarr LB, Cornfield LJ, McCaleb ML. Molecular characterization of a second mouse pancreatic polypeptide receptor and its inactivated human homologue. </w:t>
      </w:r>
      <w:r w:rsidRPr="004E727A">
        <w:rPr>
          <w:rFonts w:ascii="Book Antiqua" w:hAnsi="Book Antiqua"/>
          <w:i/>
          <w:iCs/>
        </w:rPr>
        <w:t>J Biol Chem</w:t>
      </w:r>
      <w:r w:rsidRPr="004E727A">
        <w:rPr>
          <w:rFonts w:ascii="Book Antiqua" w:hAnsi="Book Antiqua"/>
        </w:rPr>
        <w:t> 1996; </w:t>
      </w:r>
      <w:r w:rsidRPr="004E727A">
        <w:rPr>
          <w:rFonts w:ascii="Book Antiqua" w:hAnsi="Book Antiqua"/>
          <w:b/>
          <w:bCs/>
        </w:rPr>
        <w:t>271</w:t>
      </w:r>
      <w:r w:rsidRPr="004E727A">
        <w:rPr>
          <w:rFonts w:ascii="Book Antiqua" w:hAnsi="Book Antiqua"/>
        </w:rPr>
        <w:t>: 27776-27781 [PMID: 8910373 DOI: 10.1074/jbc.271.44.27776]</w:t>
      </w:r>
    </w:p>
    <w:p w14:paraId="72D747F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96 </w:t>
      </w:r>
      <w:r w:rsidRPr="004E727A">
        <w:rPr>
          <w:rFonts w:ascii="Book Antiqua" w:hAnsi="Book Antiqua"/>
          <w:b/>
          <w:bCs/>
        </w:rPr>
        <w:t>Gregor P</w:t>
      </w:r>
      <w:r w:rsidRPr="004E727A">
        <w:rPr>
          <w:rFonts w:ascii="Book Antiqua" w:hAnsi="Book Antiqua"/>
        </w:rPr>
        <w:t>, Millham ML, Feng Y, DeCarr LB, McCaleb ML, Cornfield LJ. Cloning and characterization of a novel receptor to pancreatic polypeptide, a member of the neuropeptide Y receptor family. </w:t>
      </w:r>
      <w:r w:rsidRPr="004E727A">
        <w:rPr>
          <w:rFonts w:ascii="Book Antiqua" w:hAnsi="Book Antiqua"/>
          <w:i/>
          <w:iCs/>
        </w:rPr>
        <w:t>FEBS Lett</w:t>
      </w:r>
      <w:r w:rsidRPr="004E727A">
        <w:rPr>
          <w:rFonts w:ascii="Book Antiqua" w:hAnsi="Book Antiqua"/>
        </w:rPr>
        <w:t> 1996; </w:t>
      </w:r>
      <w:r w:rsidRPr="004E727A">
        <w:rPr>
          <w:rFonts w:ascii="Book Antiqua" w:hAnsi="Book Antiqua"/>
          <w:b/>
          <w:bCs/>
        </w:rPr>
        <w:t>381</w:t>
      </w:r>
      <w:r w:rsidRPr="004E727A">
        <w:rPr>
          <w:rFonts w:ascii="Book Antiqua" w:hAnsi="Book Antiqua"/>
        </w:rPr>
        <w:t>: 58-62 [PMID: 8641440 DOI: 10.1016/0014-5793(96)00067-1]</w:t>
      </w:r>
    </w:p>
    <w:p w14:paraId="47EFB7A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97 </w:t>
      </w:r>
      <w:r w:rsidRPr="004E727A">
        <w:rPr>
          <w:rFonts w:ascii="Book Antiqua" w:hAnsi="Book Antiqua"/>
          <w:b/>
          <w:bCs/>
        </w:rPr>
        <w:t>Yan H</w:t>
      </w:r>
      <w:r w:rsidRPr="004E727A">
        <w:rPr>
          <w:rFonts w:ascii="Book Antiqua" w:hAnsi="Book Antiqua"/>
        </w:rPr>
        <w:t>, Yang J, Marasco J, Yamaguchi K, Brenner S, Collins F, Karbon W. Cloning and functional expression of cDNAs encoding human and rat pancreatic polypeptide receptors. </w:t>
      </w:r>
      <w:r w:rsidRPr="004E727A">
        <w:rPr>
          <w:rFonts w:ascii="Book Antiqua" w:hAnsi="Book Antiqua"/>
          <w:i/>
          <w:iCs/>
        </w:rPr>
        <w:t>Proc Natl Acad Sci U S A</w:t>
      </w:r>
      <w:r w:rsidRPr="004E727A">
        <w:rPr>
          <w:rFonts w:ascii="Book Antiqua" w:hAnsi="Book Antiqua"/>
        </w:rPr>
        <w:t> 1996; </w:t>
      </w:r>
      <w:r w:rsidRPr="004E727A">
        <w:rPr>
          <w:rFonts w:ascii="Book Antiqua" w:hAnsi="Book Antiqua"/>
          <w:b/>
          <w:bCs/>
        </w:rPr>
        <w:t>93</w:t>
      </w:r>
      <w:r w:rsidRPr="004E727A">
        <w:rPr>
          <w:rFonts w:ascii="Book Antiqua" w:hAnsi="Book Antiqua"/>
        </w:rPr>
        <w:t>: 4661-4665 [PMID: 8643460 DOI: 10.1073/pnas.93.10.4661]</w:t>
      </w:r>
    </w:p>
    <w:p w14:paraId="52663A7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98 </w:t>
      </w:r>
      <w:r w:rsidRPr="004E727A">
        <w:rPr>
          <w:rFonts w:ascii="Book Antiqua" w:hAnsi="Book Antiqua"/>
          <w:b/>
          <w:bCs/>
        </w:rPr>
        <w:t>Gué M</w:t>
      </w:r>
      <w:r w:rsidRPr="004E727A">
        <w:rPr>
          <w:rFonts w:ascii="Book Antiqua" w:hAnsi="Book Antiqua"/>
        </w:rPr>
        <w:t>, Junien JL, Reeve JR Jr, Rivier J, Grandt D, Taché Y. Reversal by NPY, PYY and 3-36 molecular forms of NPY and PYY of intracisternal CRF-induced inhibition of gastric acid secretion in rats. </w:t>
      </w:r>
      <w:r w:rsidRPr="004E727A">
        <w:rPr>
          <w:rFonts w:ascii="Book Antiqua" w:hAnsi="Book Antiqua"/>
          <w:i/>
          <w:iCs/>
        </w:rPr>
        <w:t>Br J Pharmacol</w:t>
      </w:r>
      <w:r w:rsidRPr="004E727A">
        <w:rPr>
          <w:rFonts w:ascii="Book Antiqua" w:hAnsi="Book Antiqua"/>
        </w:rPr>
        <w:t> 1996; </w:t>
      </w:r>
      <w:r w:rsidRPr="004E727A">
        <w:rPr>
          <w:rFonts w:ascii="Book Antiqua" w:hAnsi="Book Antiqua"/>
          <w:b/>
          <w:bCs/>
        </w:rPr>
        <w:t>118</w:t>
      </w:r>
      <w:r w:rsidRPr="004E727A">
        <w:rPr>
          <w:rFonts w:ascii="Book Antiqua" w:hAnsi="Book Antiqua"/>
        </w:rPr>
        <w:t>: 237-242 [PMID: 8735621 DOI: 10.1111/j.1476-5381.1996.tb15393.x]</w:t>
      </w:r>
    </w:p>
    <w:p w14:paraId="36DEDB0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99 </w:t>
      </w:r>
      <w:r w:rsidRPr="004E727A">
        <w:rPr>
          <w:rFonts w:ascii="Book Antiqua" w:hAnsi="Book Antiqua"/>
          <w:b/>
          <w:bCs/>
        </w:rPr>
        <w:t>Hyland NP</w:t>
      </w:r>
      <w:r w:rsidRPr="004E727A">
        <w:rPr>
          <w:rFonts w:ascii="Book Antiqua" w:hAnsi="Book Antiqua"/>
        </w:rPr>
        <w:t>, Cox HM. The regulation of veratridine-stimulated electrogenic ion transport in mouse colon by neuropeptide Y (NPY), Y1 and Y2 receptors. </w:t>
      </w:r>
      <w:r w:rsidRPr="004E727A">
        <w:rPr>
          <w:rFonts w:ascii="Book Antiqua" w:hAnsi="Book Antiqua"/>
          <w:i/>
          <w:iCs/>
        </w:rPr>
        <w:t>Br J Pharmacol</w:t>
      </w:r>
      <w:r w:rsidRPr="004E727A">
        <w:rPr>
          <w:rFonts w:ascii="Book Antiqua" w:hAnsi="Book Antiqua"/>
        </w:rPr>
        <w:t> 2005; </w:t>
      </w:r>
      <w:r w:rsidRPr="004E727A">
        <w:rPr>
          <w:rFonts w:ascii="Book Antiqua" w:hAnsi="Book Antiqua"/>
          <w:b/>
          <w:bCs/>
        </w:rPr>
        <w:t>146</w:t>
      </w:r>
      <w:r w:rsidRPr="004E727A">
        <w:rPr>
          <w:rFonts w:ascii="Book Antiqua" w:hAnsi="Book Antiqua"/>
        </w:rPr>
        <w:t>: 712-722 [PMID: 16100526 DOI: 10.1038/sj.bjp.0706368]</w:t>
      </w:r>
    </w:p>
    <w:p w14:paraId="1E855A8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100 </w:t>
      </w:r>
      <w:r w:rsidRPr="004E727A">
        <w:rPr>
          <w:rFonts w:ascii="Book Antiqua" w:hAnsi="Book Antiqua"/>
          <w:b/>
          <w:bCs/>
        </w:rPr>
        <w:t>Hyland NP</w:t>
      </w:r>
      <w:r w:rsidRPr="004E727A">
        <w:rPr>
          <w:rFonts w:ascii="Book Antiqua" w:hAnsi="Book Antiqua"/>
        </w:rPr>
        <w:t>, Sjöberg F, Tough IR, Herzog H, Cox HM. Functional consequences of neuropeptide Y Y 2 receptor knockout and Y2 antagonism in mouse and human colonic tissues. </w:t>
      </w:r>
      <w:r w:rsidRPr="004E727A">
        <w:rPr>
          <w:rFonts w:ascii="Book Antiqua" w:hAnsi="Book Antiqua"/>
          <w:i/>
          <w:iCs/>
        </w:rPr>
        <w:t>Br J Pharmacol</w:t>
      </w:r>
      <w:r w:rsidRPr="004E727A">
        <w:rPr>
          <w:rFonts w:ascii="Book Antiqua" w:hAnsi="Book Antiqua"/>
        </w:rPr>
        <w:t> 2003; </w:t>
      </w:r>
      <w:r w:rsidRPr="004E727A">
        <w:rPr>
          <w:rFonts w:ascii="Book Antiqua" w:hAnsi="Book Antiqua"/>
          <w:b/>
          <w:bCs/>
        </w:rPr>
        <w:t>139</w:t>
      </w:r>
      <w:r w:rsidRPr="004E727A">
        <w:rPr>
          <w:rFonts w:ascii="Book Antiqua" w:hAnsi="Book Antiqua"/>
        </w:rPr>
        <w:t>: 863-871 [PMID: 12813010 DOI: 10.1038/sj.bjp.0705298]</w:t>
      </w:r>
    </w:p>
    <w:p w14:paraId="7CEFF09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101 </w:t>
      </w:r>
      <w:r w:rsidRPr="004E727A">
        <w:rPr>
          <w:rFonts w:ascii="Book Antiqua" w:hAnsi="Book Antiqua"/>
          <w:b/>
          <w:bCs/>
        </w:rPr>
        <w:t>Hamer HM</w:t>
      </w:r>
      <w:r w:rsidRPr="004E727A">
        <w:rPr>
          <w:rFonts w:ascii="Book Antiqua" w:hAnsi="Book Antiqua"/>
        </w:rPr>
        <w:t>, Jonkers DM, Bast A, Vanhoutvin SA, Fischer MA, Kodde A, Troost FJ, Venema K, Brummer RJ. Butyrate modulates oxidative stress in the colonic mucosa of healthy humans. </w:t>
      </w:r>
      <w:r w:rsidRPr="004E727A">
        <w:rPr>
          <w:rFonts w:ascii="Book Antiqua" w:hAnsi="Book Antiqua"/>
          <w:i/>
          <w:iCs/>
        </w:rPr>
        <w:t>Clin Nutr</w:t>
      </w:r>
      <w:r w:rsidRPr="004E727A">
        <w:rPr>
          <w:rFonts w:ascii="Book Antiqua" w:hAnsi="Book Antiqua"/>
        </w:rPr>
        <w:t> 2009; </w:t>
      </w:r>
      <w:r w:rsidRPr="004E727A">
        <w:rPr>
          <w:rFonts w:ascii="Book Antiqua" w:hAnsi="Book Antiqua"/>
          <w:b/>
          <w:bCs/>
        </w:rPr>
        <w:t>28</w:t>
      </w:r>
      <w:r w:rsidRPr="004E727A">
        <w:rPr>
          <w:rFonts w:ascii="Book Antiqua" w:hAnsi="Book Antiqua"/>
        </w:rPr>
        <w:t>: 88-93 [PMID: 19108937 DOI: 10.1016/j.clnu.2008.11.002]</w:t>
      </w:r>
    </w:p>
    <w:p w14:paraId="1BECFB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102 </w:t>
      </w:r>
      <w:r w:rsidRPr="004E727A">
        <w:rPr>
          <w:rFonts w:ascii="Book Antiqua" w:hAnsi="Book Antiqua"/>
          <w:b/>
          <w:bCs/>
        </w:rPr>
        <w:t>Soret R</w:t>
      </w:r>
      <w:r w:rsidRPr="004E727A">
        <w:rPr>
          <w:rFonts w:ascii="Book Antiqua" w:hAnsi="Book Antiqua"/>
        </w:rPr>
        <w:t>, Chevalier J, De Coppet P, Poupeau G, Derkinderen P, Segain JP, Neunlist M. Short-chain fatty acids regulate the enteric neurons and control gastrointestinal motility in rats. </w:t>
      </w:r>
      <w:r w:rsidRPr="004E727A">
        <w:rPr>
          <w:rFonts w:ascii="Book Antiqua" w:hAnsi="Book Antiqua"/>
          <w:i/>
          <w:iCs/>
        </w:rPr>
        <w:t>Gastroenterology</w:t>
      </w:r>
      <w:r w:rsidRPr="004E727A">
        <w:rPr>
          <w:rFonts w:ascii="Book Antiqua" w:hAnsi="Book Antiqua"/>
        </w:rPr>
        <w:t> 2010; </w:t>
      </w:r>
      <w:r w:rsidRPr="004E727A">
        <w:rPr>
          <w:rFonts w:ascii="Book Antiqua" w:hAnsi="Book Antiqua"/>
          <w:b/>
          <w:bCs/>
        </w:rPr>
        <w:t>138</w:t>
      </w:r>
      <w:r w:rsidRPr="004E727A">
        <w:rPr>
          <w:rFonts w:ascii="Book Antiqua" w:hAnsi="Book Antiqua"/>
        </w:rPr>
        <w:t>: 1772-1782 [PMID: 20152836 DOI: 10.1053/j.gastro.2010.01.053]</w:t>
      </w:r>
    </w:p>
    <w:p w14:paraId="6D8AEDF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103 </w:t>
      </w:r>
      <w:r w:rsidRPr="004E727A">
        <w:rPr>
          <w:rFonts w:ascii="Book Antiqua" w:hAnsi="Book Antiqua"/>
          <w:b/>
          <w:bCs/>
        </w:rPr>
        <w:t>Zhou J</w:t>
      </w:r>
      <w:r w:rsidRPr="004E727A">
        <w:rPr>
          <w:rFonts w:ascii="Book Antiqua" w:hAnsi="Book Antiqua"/>
        </w:rPr>
        <w:t>, Martin RJ, Tulley RT, Raggio AM, McCutcheon KL, Shen L, Danna SC, Tripathy S, Hegsted M, Keenan MJ. Dietary resistant starch upregulates total GLP-1 and PYY in a sustained day-long manner through fermentation in rodents. </w:t>
      </w:r>
      <w:r w:rsidRPr="004E727A">
        <w:rPr>
          <w:rFonts w:ascii="Book Antiqua" w:hAnsi="Book Antiqua"/>
          <w:i/>
          <w:iCs/>
        </w:rPr>
        <w:t>Am J Physiol Endocrinol Metab</w:t>
      </w:r>
      <w:r w:rsidRPr="004E727A">
        <w:rPr>
          <w:rFonts w:ascii="Book Antiqua" w:hAnsi="Book Antiqua"/>
        </w:rPr>
        <w:t> 2008; </w:t>
      </w:r>
      <w:r w:rsidRPr="004E727A">
        <w:rPr>
          <w:rFonts w:ascii="Book Antiqua" w:hAnsi="Book Antiqua"/>
          <w:b/>
          <w:bCs/>
        </w:rPr>
        <w:t>295</w:t>
      </w:r>
      <w:r w:rsidRPr="004E727A">
        <w:rPr>
          <w:rFonts w:ascii="Book Antiqua" w:hAnsi="Book Antiqua"/>
        </w:rPr>
        <w:t>: E1160-E1166 [PMID: 18796545 DOI: 10.1152/ajpendo.90637.2008]</w:t>
      </w:r>
    </w:p>
    <w:p w14:paraId="05D9437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104 </w:t>
      </w:r>
      <w:r w:rsidRPr="004E727A">
        <w:rPr>
          <w:rFonts w:ascii="Book Antiqua" w:hAnsi="Book Antiqua"/>
          <w:b/>
          <w:bCs/>
        </w:rPr>
        <w:t>Karaki S</w:t>
      </w:r>
      <w:r w:rsidRPr="004E727A">
        <w:rPr>
          <w:rFonts w:ascii="Book Antiqua" w:hAnsi="Book Antiqua"/>
        </w:rPr>
        <w:t>, Mitsui R, Hayashi H, Kato I, Sugiya H, Iwanaga T, Furness JB, Kuwahara A. Short-chain fatty acid receptor, GPR43, is expressed by enteroendocrine cells and mucosal mast cells in rat intestine. </w:t>
      </w:r>
      <w:r w:rsidRPr="004E727A">
        <w:rPr>
          <w:rFonts w:ascii="Book Antiqua" w:hAnsi="Book Antiqua"/>
          <w:i/>
          <w:iCs/>
        </w:rPr>
        <w:t>Cell Tissue Res</w:t>
      </w:r>
      <w:r w:rsidRPr="004E727A">
        <w:rPr>
          <w:rFonts w:ascii="Book Antiqua" w:hAnsi="Book Antiqua"/>
        </w:rPr>
        <w:t> 2006; </w:t>
      </w:r>
      <w:r w:rsidRPr="004E727A">
        <w:rPr>
          <w:rFonts w:ascii="Book Antiqua" w:hAnsi="Book Antiqua"/>
          <w:b/>
          <w:bCs/>
        </w:rPr>
        <w:t>324</w:t>
      </w:r>
      <w:r w:rsidRPr="004E727A">
        <w:rPr>
          <w:rFonts w:ascii="Book Antiqua" w:hAnsi="Book Antiqua"/>
        </w:rPr>
        <w:t>: 353-360 [PMID: 16453106 DOI: 10.1007/s00441-005-0140-x]</w:t>
      </w:r>
    </w:p>
    <w:p w14:paraId="7AFE721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105 </w:t>
      </w:r>
      <w:r w:rsidRPr="004E727A">
        <w:rPr>
          <w:rFonts w:ascii="Book Antiqua" w:hAnsi="Book Antiqua"/>
          <w:b/>
          <w:bCs/>
        </w:rPr>
        <w:t>Hamer HM</w:t>
      </w:r>
      <w:r w:rsidRPr="004E727A">
        <w:rPr>
          <w:rFonts w:ascii="Book Antiqua" w:hAnsi="Book Antiqua"/>
        </w:rPr>
        <w:t>, Jonkers D, Venema K, Vanhoutvin S, Troost FJ, Brummer RJ. Review article: the role of butyrate on colonic function. </w:t>
      </w:r>
      <w:r w:rsidRPr="004E727A">
        <w:rPr>
          <w:rFonts w:ascii="Book Antiqua" w:hAnsi="Book Antiqua"/>
          <w:i/>
          <w:iCs/>
        </w:rPr>
        <w:t>Aliment Pharmacol Ther</w:t>
      </w:r>
      <w:r w:rsidRPr="004E727A">
        <w:rPr>
          <w:rFonts w:ascii="Book Antiqua" w:hAnsi="Book Antiqua"/>
        </w:rPr>
        <w:t> 2008; </w:t>
      </w:r>
      <w:r w:rsidRPr="004E727A">
        <w:rPr>
          <w:rFonts w:ascii="Book Antiqua" w:hAnsi="Book Antiqua"/>
          <w:b/>
          <w:bCs/>
        </w:rPr>
        <w:t>27</w:t>
      </w:r>
      <w:r w:rsidRPr="004E727A">
        <w:rPr>
          <w:rFonts w:ascii="Book Antiqua" w:hAnsi="Book Antiqua"/>
        </w:rPr>
        <w:t>: 104-119 [PMID: 17973645 DOI: 10.1111/j.1365-2036.2007.03562.x]</w:t>
      </w:r>
    </w:p>
    <w:p w14:paraId="0E6CB7B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106 </w:t>
      </w:r>
      <w:r w:rsidRPr="004E727A">
        <w:rPr>
          <w:rFonts w:ascii="Book Antiqua" w:hAnsi="Book Antiqua"/>
          <w:b/>
          <w:bCs/>
        </w:rPr>
        <w:t>Zhang J</w:t>
      </w:r>
      <w:r w:rsidRPr="004E727A">
        <w:rPr>
          <w:rFonts w:ascii="Book Antiqua" w:hAnsi="Book Antiqua"/>
        </w:rPr>
        <w:t>, Song L, Wang Y, Liu C, Zhang L, Zhu S, Liu S, Duan L. Beneficial effect of butyrate-producing Lachnospiraceae on stress-induced visceral hypersensitivity in rats. </w:t>
      </w:r>
      <w:r w:rsidRPr="004E727A">
        <w:rPr>
          <w:rFonts w:ascii="Book Antiqua" w:hAnsi="Book Antiqua"/>
          <w:i/>
          <w:iCs/>
        </w:rPr>
        <w:t>J Gastroenterol Hepatol</w:t>
      </w:r>
      <w:r w:rsidRPr="004E727A">
        <w:rPr>
          <w:rFonts w:ascii="Book Antiqua" w:hAnsi="Book Antiqua"/>
        </w:rPr>
        <w:t> 2019; </w:t>
      </w:r>
      <w:r w:rsidRPr="004E727A">
        <w:rPr>
          <w:rFonts w:ascii="Book Antiqua" w:hAnsi="Book Antiqua"/>
          <w:b/>
          <w:bCs/>
        </w:rPr>
        <w:t>34</w:t>
      </w:r>
      <w:r w:rsidRPr="004E727A">
        <w:rPr>
          <w:rFonts w:ascii="Book Antiqua" w:hAnsi="Book Antiqua"/>
        </w:rPr>
        <w:t>: 1368-1376 [PMID: 30402954 DOI: 10.1111/jgh.14536]</w:t>
      </w:r>
    </w:p>
    <w:p w14:paraId="7BD1115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107 </w:t>
      </w:r>
      <w:r w:rsidRPr="004E727A">
        <w:rPr>
          <w:rFonts w:ascii="Book Antiqua" w:hAnsi="Book Antiqua"/>
          <w:b/>
          <w:bCs/>
        </w:rPr>
        <w:t>Long X</w:t>
      </w:r>
      <w:r w:rsidRPr="004E727A">
        <w:rPr>
          <w:rFonts w:ascii="Book Antiqua" w:hAnsi="Book Antiqua"/>
        </w:rPr>
        <w:t>, Li M, Li LX, Sun YY, Zhang WX, Zhao DY, Li YQ. Butyrate promotes visceral hypersensitivity in an IBS-like model via enteric glial cell-derived nerve growth factor. </w:t>
      </w:r>
      <w:r w:rsidRPr="004E727A">
        <w:rPr>
          <w:rFonts w:ascii="Book Antiqua" w:hAnsi="Book Antiqua"/>
          <w:i/>
          <w:iCs/>
        </w:rPr>
        <w:t>Neurogastroenterol Motil</w:t>
      </w:r>
      <w:r w:rsidRPr="004E727A">
        <w:rPr>
          <w:rFonts w:ascii="Book Antiqua" w:hAnsi="Book Antiqua"/>
        </w:rPr>
        <w:t> 2018; </w:t>
      </w:r>
      <w:r w:rsidRPr="004E727A">
        <w:rPr>
          <w:rFonts w:ascii="Book Antiqua" w:hAnsi="Book Antiqua"/>
          <w:b/>
          <w:bCs/>
        </w:rPr>
        <w:t>30</w:t>
      </w:r>
      <w:r w:rsidRPr="004E727A">
        <w:rPr>
          <w:rFonts w:ascii="Book Antiqua" w:hAnsi="Book Antiqua"/>
        </w:rPr>
        <w:t>: e13227 [PMID: 29052293 DOI: 10.1111/nmo.13227]</w:t>
      </w:r>
    </w:p>
    <w:p w14:paraId="1E932E5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108 </w:t>
      </w:r>
      <w:r w:rsidRPr="004E727A">
        <w:rPr>
          <w:rFonts w:ascii="Book Antiqua" w:hAnsi="Book Antiqua"/>
          <w:b/>
          <w:bCs/>
        </w:rPr>
        <w:t>Banasiewicz T</w:t>
      </w:r>
      <w:r w:rsidRPr="004E727A">
        <w:rPr>
          <w:rFonts w:ascii="Book Antiqua" w:hAnsi="Book Antiqua"/>
        </w:rPr>
        <w:t>, Krokowicz Ł, Stojcev Z, Kaczmarek BF, Kaczmarek E, Maik J, Marciniak R, Krokowicz P, Walkowiak J, Drews M. Microencapsulated sodium butyrate reduces the frequency of abdominal pain in patients with irritable bowel syndrome. </w:t>
      </w:r>
      <w:r w:rsidRPr="004E727A">
        <w:rPr>
          <w:rFonts w:ascii="Book Antiqua" w:hAnsi="Book Antiqua"/>
          <w:i/>
          <w:iCs/>
        </w:rPr>
        <w:t>Colorectal Dis</w:t>
      </w:r>
      <w:r w:rsidRPr="004E727A">
        <w:rPr>
          <w:rFonts w:ascii="Book Antiqua" w:hAnsi="Book Antiqua"/>
        </w:rPr>
        <w:t> 2013; </w:t>
      </w:r>
      <w:r w:rsidRPr="004E727A">
        <w:rPr>
          <w:rFonts w:ascii="Book Antiqua" w:hAnsi="Book Antiqua"/>
          <w:b/>
          <w:bCs/>
        </w:rPr>
        <w:t>15</w:t>
      </w:r>
      <w:r w:rsidRPr="004E727A">
        <w:rPr>
          <w:rFonts w:ascii="Book Antiqua" w:hAnsi="Book Antiqua"/>
        </w:rPr>
        <w:t>: 204-209 [PMID: 22738315 DOI: 10.1111/j.1463-1318.2012.03152.x]</w:t>
      </w:r>
    </w:p>
    <w:p w14:paraId="0F65A37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109 </w:t>
      </w:r>
      <w:r w:rsidRPr="004E727A">
        <w:rPr>
          <w:rFonts w:ascii="Book Antiqua" w:hAnsi="Book Antiqua"/>
          <w:b/>
          <w:bCs/>
        </w:rPr>
        <w:t>Winston J</w:t>
      </w:r>
      <w:r w:rsidRPr="004E727A">
        <w:rPr>
          <w:rFonts w:ascii="Book Antiqua" w:hAnsi="Book Antiqua"/>
        </w:rPr>
        <w:t>, Shenoy M, Medley D, Naniwadekar A, Pasricha PJ. The vanilloid receptor initiates and maintains colonic hypersensitivity induced by neonatal colon irritation in rats. </w:t>
      </w:r>
      <w:r w:rsidRPr="004E727A">
        <w:rPr>
          <w:rFonts w:ascii="Book Antiqua" w:hAnsi="Book Antiqua"/>
          <w:i/>
          <w:iCs/>
        </w:rPr>
        <w:t>Gastroenterology</w:t>
      </w:r>
      <w:r w:rsidRPr="004E727A">
        <w:rPr>
          <w:rFonts w:ascii="Book Antiqua" w:hAnsi="Book Antiqua"/>
        </w:rPr>
        <w:t> 2007; </w:t>
      </w:r>
      <w:r w:rsidRPr="004E727A">
        <w:rPr>
          <w:rFonts w:ascii="Book Antiqua" w:hAnsi="Book Antiqua"/>
          <w:b/>
          <w:bCs/>
        </w:rPr>
        <w:t>132</w:t>
      </w:r>
      <w:r w:rsidRPr="004E727A">
        <w:rPr>
          <w:rFonts w:ascii="Book Antiqua" w:hAnsi="Book Antiqua"/>
        </w:rPr>
        <w:t>: 615-627 [PMID: 17258716 DOI: 10.1053/j.gastro.2006.11.014]</w:t>
      </w:r>
    </w:p>
    <w:p w14:paraId="493DAAC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110 </w:t>
      </w:r>
      <w:r w:rsidRPr="004E727A">
        <w:rPr>
          <w:rFonts w:ascii="Book Antiqua" w:hAnsi="Book Antiqua"/>
          <w:b/>
          <w:bCs/>
        </w:rPr>
        <w:t>Tana C</w:t>
      </w:r>
      <w:r w:rsidRPr="004E727A">
        <w:rPr>
          <w:rFonts w:ascii="Book Antiqua" w:hAnsi="Book Antiqua"/>
        </w:rPr>
        <w:t>, Umesaki Y, Imaoka A, Handa T, Kanazawa M, Fukudo S. Altered profiles of intestinal microbiota and organic acids may be the origin of symptoms in irritable bowel syndrome. </w:t>
      </w:r>
      <w:r w:rsidRPr="004E727A">
        <w:rPr>
          <w:rFonts w:ascii="Book Antiqua" w:hAnsi="Book Antiqua"/>
          <w:i/>
          <w:iCs/>
        </w:rPr>
        <w:t>Neurogastroenterol Motil</w:t>
      </w:r>
      <w:r w:rsidRPr="004E727A">
        <w:rPr>
          <w:rFonts w:ascii="Book Antiqua" w:hAnsi="Book Antiqua"/>
        </w:rPr>
        <w:t> 2010; </w:t>
      </w:r>
      <w:r w:rsidRPr="004E727A">
        <w:rPr>
          <w:rFonts w:ascii="Book Antiqua" w:hAnsi="Book Antiqua"/>
          <w:b/>
          <w:bCs/>
        </w:rPr>
        <w:t>22</w:t>
      </w:r>
      <w:r w:rsidRPr="004E727A">
        <w:rPr>
          <w:rFonts w:ascii="Book Antiqua" w:hAnsi="Book Antiqua"/>
        </w:rPr>
        <w:t>: 512-519, e114-e115 [PMID: 19903265 DOI: 10.1111/j.1365-2982.2009.01427.x]</w:t>
      </w:r>
    </w:p>
    <w:p w14:paraId="5DCC9EBB" w14:textId="0BCBC256"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111 </w:t>
      </w:r>
      <w:r w:rsidRPr="004E727A">
        <w:rPr>
          <w:rFonts w:ascii="Book Antiqua" w:hAnsi="Book Antiqua"/>
          <w:b/>
          <w:bCs/>
        </w:rPr>
        <w:t>Valeur J</w:t>
      </w:r>
      <w:r w:rsidRPr="004E727A">
        <w:rPr>
          <w:rFonts w:ascii="Book Antiqua" w:hAnsi="Book Antiqua"/>
        </w:rPr>
        <w:t>, Røseth AG, Knudsen T, Malmstrøm GH, Fiennes JT, Midtvedt T, Berstad A. Fecal Fermentation in Irritable Bowel Syndrome: Influence of Dietary Restriction of Fermentable Oligosaccharides, Disaccharides, Monosaccharides and Polyols.</w:t>
      </w:r>
      <w:r w:rsidR="004C51F2" w:rsidRPr="004E727A">
        <w:rPr>
          <w:rFonts w:ascii="Book Antiqua" w:hAnsi="Book Antiqua"/>
        </w:rPr>
        <w:t xml:space="preserve"> </w:t>
      </w:r>
      <w:r w:rsidRPr="004E727A">
        <w:rPr>
          <w:rFonts w:ascii="Book Antiqua" w:hAnsi="Book Antiqua"/>
          <w:i/>
          <w:iCs/>
        </w:rPr>
        <w:t>Digestion</w:t>
      </w:r>
      <w:r w:rsidR="004C51F2" w:rsidRPr="004E727A">
        <w:rPr>
          <w:rFonts w:ascii="Book Antiqua" w:hAnsi="Book Antiqua"/>
        </w:rPr>
        <w:t xml:space="preserve"> </w:t>
      </w:r>
      <w:r w:rsidRPr="004E727A">
        <w:rPr>
          <w:rFonts w:ascii="Book Antiqua" w:hAnsi="Book Antiqua"/>
        </w:rPr>
        <w:t>2016;</w:t>
      </w:r>
      <w:r w:rsidR="004C51F2" w:rsidRPr="004E727A">
        <w:rPr>
          <w:rFonts w:ascii="Book Antiqua" w:hAnsi="Book Antiqua"/>
        </w:rPr>
        <w:t xml:space="preserve"> </w:t>
      </w:r>
      <w:r w:rsidRPr="004E727A">
        <w:rPr>
          <w:rFonts w:ascii="Book Antiqua" w:hAnsi="Book Antiqua"/>
          <w:b/>
          <w:bCs/>
        </w:rPr>
        <w:t>94</w:t>
      </w:r>
      <w:r w:rsidRPr="004E727A">
        <w:rPr>
          <w:rFonts w:ascii="Book Antiqua" w:hAnsi="Book Antiqua"/>
        </w:rPr>
        <w:t>: 50-56 [PMID: 27487397 DOI: 10.1159/000448280]</w:t>
      </w:r>
    </w:p>
    <w:p w14:paraId="5781788A" w14:textId="77777777" w:rsidR="00A77B3E" w:rsidRPr="004E727A" w:rsidRDefault="00A77B3E">
      <w:pPr>
        <w:spacing w:line="360" w:lineRule="auto"/>
        <w:jc w:val="both"/>
        <w:rPr>
          <w:rFonts w:ascii="Book Antiqua" w:hAnsi="Book Antiqua"/>
        </w:rPr>
        <w:sectPr w:rsidR="00A77B3E" w:rsidRPr="004E727A" w:rsidSect="00072648">
          <w:pgSz w:w="12240" w:h="15840"/>
          <w:pgMar w:top="1440" w:right="1440" w:bottom="1440" w:left="1440" w:header="720" w:footer="720" w:gutter="0"/>
          <w:cols w:space="720"/>
          <w:docGrid w:linePitch="360"/>
        </w:sectPr>
      </w:pPr>
    </w:p>
    <w:p w14:paraId="1CFA205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Footnotes</w:t>
      </w:r>
    </w:p>
    <w:p w14:paraId="42B7C47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Conflict-of-interest statement: </w:t>
      </w:r>
      <w:r w:rsidRPr="004E727A">
        <w:rPr>
          <w:rFonts w:ascii="Book Antiqua" w:eastAsia="Book Antiqua" w:hAnsi="Book Antiqua" w:cs="Book Antiqua"/>
          <w:color w:val="000000"/>
        </w:rPr>
        <w:t>The authors declare that they have no conflict of interest. </w:t>
      </w:r>
    </w:p>
    <w:p w14:paraId="1EF98DD5" w14:textId="77777777" w:rsidR="00A77B3E" w:rsidRPr="004E727A" w:rsidRDefault="00A77B3E">
      <w:pPr>
        <w:spacing w:line="360" w:lineRule="auto"/>
        <w:jc w:val="both"/>
        <w:rPr>
          <w:rFonts w:ascii="Book Antiqua" w:hAnsi="Book Antiqua"/>
        </w:rPr>
      </w:pPr>
    </w:p>
    <w:p w14:paraId="66C2F47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Open-Access: </w:t>
      </w:r>
      <w:r w:rsidRPr="004E727A">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029CCD4" w14:textId="77777777" w:rsidR="00A77B3E" w:rsidRPr="004E727A" w:rsidRDefault="00A77B3E">
      <w:pPr>
        <w:spacing w:line="360" w:lineRule="auto"/>
        <w:jc w:val="both"/>
        <w:rPr>
          <w:rFonts w:ascii="Book Antiqua" w:hAnsi="Book Antiqua"/>
        </w:rPr>
      </w:pPr>
    </w:p>
    <w:p w14:paraId="3EA3B90F"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source: </w:t>
      </w:r>
      <w:r w:rsidRPr="004E727A">
        <w:rPr>
          <w:rFonts w:ascii="Book Antiqua" w:eastAsia="Book Antiqua" w:hAnsi="Book Antiqua" w:cs="Book Antiqua"/>
          <w:color w:val="000000"/>
        </w:rPr>
        <w:t xml:space="preserve">Invited </w:t>
      </w:r>
      <w:r w:rsidR="005D352F" w:rsidRPr="004E727A">
        <w:rPr>
          <w:rFonts w:ascii="Book Antiqua" w:eastAsia="Book Antiqua" w:hAnsi="Book Antiqua" w:cs="Book Antiqua"/>
          <w:color w:val="000000"/>
        </w:rPr>
        <w:t>manuscript</w:t>
      </w:r>
    </w:p>
    <w:p w14:paraId="29FF3856" w14:textId="77777777" w:rsidR="00A77B3E" w:rsidRPr="004E727A" w:rsidRDefault="00A77B3E">
      <w:pPr>
        <w:spacing w:line="360" w:lineRule="auto"/>
        <w:jc w:val="both"/>
        <w:rPr>
          <w:rFonts w:ascii="Book Antiqua" w:hAnsi="Book Antiqua"/>
        </w:rPr>
      </w:pPr>
    </w:p>
    <w:p w14:paraId="3F210473"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Peer-review started: </w:t>
      </w:r>
      <w:r w:rsidRPr="004E727A">
        <w:rPr>
          <w:rFonts w:ascii="Book Antiqua" w:eastAsia="Book Antiqua" w:hAnsi="Book Antiqua" w:cs="Book Antiqua"/>
          <w:color w:val="000000"/>
        </w:rPr>
        <w:t>February 5, 2021</w:t>
      </w:r>
    </w:p>
    <w:p w14:paraId="70B4750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First decision: </w:t>
      </w:r>
      <w:r w:rsidRPr="004E727A">
        <w:rPr>
          <w:rFonts w:ascii="Book Antiqua" w:eastAsia="Book Antiqua" w:hAnsi="Book Antiqua" w:cs="Book Antiqua"/>
          <w:color w:val="000000"/>
        </w:rPr>
        <w:t>March 29, 2021</w:t>
      </w:r>
    </w:p>
    <w:p w14:paraId="55F9C7A2" w14:textId="5584ED41"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Article in press: </w:t>
      </w:r>
      <w:r w:rsidR="00922018">
        <w:rPr>
          <w:rFonts w:ascii="Book Antiqua" w:eastAsiaTheme="minorEastAsia" w:hAnsi="Book Antiqua" w:cs="Book Antiqua" w:hint="eastAsia"/>
          <w:bCs/>
          <w:color w:val="000000"/>
          <w:lang w:eastAsia="zh-CN"/>
        </w:rPr>
        <w:t>May</w:t>
      </w:r>
      <w:r w:rsidR="00922018" w:rsidRPr="004E727A">
        <w:rPr>
          <w:rFonts w:ascii="Book Antiqua" w:hAnsi="Book Antiqua" w:cs="Book Antiqua"/>
          <w:bCs/>
          <w:color w:val="000000"/>
          <w:lang w:eastAsia="zh-CN"/>
        </w:rPr>
        <w:t xml:space="preserve"> </w:t>
      </w:r>
      <w:r w:rsidR="00922018">
        <w:rPr>
          <w:rFonts w:ascii="Book Antiqua" w:eastAsiaTheme="minorEastAsia" w:hAnsi="Book Antiqua" w:cs="Book Antiqua" w:hint="eastAsia"/>
          <w:bCs/>
          <w:color w:val="000000"/>
          <w:lang w:eastAsia="zh-CN"/>
        </w:rPr>
        <w:t>22</w:t>
      </w:r>
      <w:r w:rsidR="00922018" w:rsidRPr="004E727A">
        <w:rPr>
          <w:rFonts w:ascii="Book Antiqua" w:hAnsi="Book Antiqua" w:cs="Book Antiqua"/>
          <w:bCs/>
          <w:color w:val="000000"/>
          <w:lang w:eastAsia="zh-CN"/>
        </w:rPr>
        <w:t>, 2021</w:t>
      </w:r>
    </w:p>
    <w:p w14:paraId="6A6C8012" w14:textId="77777777" w:rsidR="00A77B3E" w:rsidRPr="004E727A" w:rsidRDefault="00A77B3E">
      <w:pPr>
        <w:spacing w:line="360" w:lineRule="auto"/>
        <w:jc w:val="both"/>
        <w:rPr>
          <w:rFonts w:ascii="Book Antiqua" w:hAnsi="Book Antiqua"/>
        </w:rPr>
      </w:pPr>
    </w:p>
    <w:p w14:paraId="5F7A13C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Specialty type: </w:t>
      </w:r>
      <w:r w:rsidRPr="004E727A">
        <w:rPr>
          <w:rFonts w:ascii="Book Antiqua" w:eastAsia="Book Antiqua" w:hAnsi="Book Antiqua" w:cs="Book Antiqua"/>
          <w:color w:val="000000"/>
        </w:rPr>
        <w:t xml:space="preserve">Gastroenterology and </w:t>
      </w:r>
      <w:r w:rsidR="005D352F" w:rsidRPr="004E727A">
        <w:rPr>
          <w:rFonts w:ascii="Book Antiqua" w:eastAsia="Book Antiqua" w:hAnsi="Book Antiqua" w:cs="Book Antiqua"/>
          <w:color w:val="000000"/>
        </w:rPr>
        <w:t>hepatology</w:t>
      </w:r>
    </w:p>
    <w:p w14:paraId="69564A1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Country/Territory of origin: </w:t>
      </w:r>
      <w:r w:rsidRPr="004E727A">
        <w:rPr>
          <w:rFonts w:ascii="Book Antiqua" w:eastAsia="Book Antiqua" w:hAnsi="Book Antiqua" w:cs="Book Antiqua"/>
          <w:color w:val="000000"/>
        </w:rPr>
        <w:t>Norway</w:t>
      </w:r>
    </w:p>
    <w:p w14:paraId="2E65D53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Peer-review report’s scientific quality classification</w:t>
      </w:r>
    </w:p>
    <w:p w14:paraId="13B1459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A (Excellent): 0</w:t>
      </w:r>
    </w:p>
    <w:p w14:paraId="12C6BA6C"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B (Very good): B</w:t>
      </w:r>
    </w:p>
    <w:p w14:paraId="6CEA868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C (Good): 0</w:t>
      </w:r>
    </w:p>
    <w:p w14:paraId="7C385D0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D (Fair): 0</w:t>
      </w:r>
    </w:p>
    <w:p w14:paraId="1954FFC1"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E (Poor): 0</w:t>
      </w:r>
    </w:p>
    <w:p w14:paraId="6CE4437C" w14:textId="77777777" w:rsidR="00A77B3E" w:rsidRPr="004E727A" w:rsidRDefault="00A77B3E">
      <w:pPr>
        <w:spacing w:line="360" w:lineRule="auto"/>
        <w:jc w:val="both"/>
        <w:rPr>
          <w:rFonts w:ascii="Book Antiqua" w:hAnsi="Book Antiqua"/>
        </w:rPr>
      </w:pPr>
    </w:p>
    <w:p w14:paraId="0BFDEAFB" w14:textId="034F49D8" w:rsidR="00A77B3E" w:rsidRPr="00C97D92" w:rsidRDefault="00737FE9">
      <w:pPr>
        <w:spacing w:line="360" w:lineRule="auto"/>
        <w:jc w:val="both"/>
        <w:rPr>
          <w:rFonts w:ascii="Book Antiqua" w:eastAsiaTheme="minorEastAsia" w:hAnsi="Book Antiqua" w:cs="Book Antiqua"/>
          <w:b/>
          <w:color w:val="000000"/>
          <w:lang w:eastAsia="zh-CN"/>
        </w:rPr>
      </w:pPr>
      <w:r w:rsidRPr="004E727A">
        <w:rPr>
          <w:rFonts w:ascii="Book Antiqua" w:eastAsia="Book Antiqua" w:hAnsi="Book Antiqua" w:cs="Book Antiqua"/>
          <w:b/>
          <w:color w:val="000000"/>
        </w:rPr>
        <w:t xml:space="preserve">P-Reviewer: </w:t>
      </w:r>
      <w:r w:rsidRPr="004E727A">
        <w:rPr>
          <w:rFonts w:ascii="Book Antiqua" w:eastAsia="Book Antiqua" w:hAnsi="Book Antiqua" w:cs="Book Antiqua"/>
          <w:color w:val="000000"/>
        </w:rPr>
        <w:t>Wu LH</w:t>
      </w:r>
      <w:r w:rsidRPr="004E727A">
        <w:rPr>
          <w:rFonts w:ascii="Book Antiqua" w:eastAsia="Book Antiqua" w:hAnsi="Book Antiqua" w:cs="Book Antiqua"/>
          <w:b/>
          <w:color w:val="000000"/>
        </w:rPr>
        <w:t xml:space="preserve"> S-Editor: </w:t>
      </w:r>
      <w:r w:rsidR="005D352F" w:rsidRPr="004E727A">
        <w:rPr>
          <w:rFonts w:ascii="Book Antiqua" w:hAnsi="Book Antiqua" w:cs="Book Antiqua"/>
          <w:color w:val="000000"/>
          <w:lang w:eastAsia="zh-CN"/>
        </w:rPr>
        <w:t>Zhang H</w:t>
      </w:r>
      <w:r w:rsidR="005D352F" w:rsidRPr="004E727A">
        <w:rPr>
          <w:rFonts w:ascii="Book Antiqua" w:eastAsia="Book Antiqua" w:hAnsi="Book Antiqua" w:cs="Book Antiqua"/>
          <w:b/>
          <w:color w:val="000000"/>
        </w:rPr>
        <w:t xml:space="preserve"> L-Editor: </w:t>
      </w:r>
      <w:r w:rsidR="009F5571">
        <w:rPr>
          <w:rFonts w:ascii="Book Antiqua" w:eastAsiaTheme="minorEastAsia" w:hAnsi="Book Antiqua" w:cs="Book Antiqua" w:hint="eastAsia"/>
          <w:color w:val="000000"/>
          <w:lang w:eastAsia="zh-CN"/>
        </w:rPr>
        <w:t>A</w:t>
      </w:r>
      <w:r w:rsidR="00C97D92" w:rsidRPr="00C97D92">
        <w:rPr>
          <w:rFonts w:ascii="Book Antiqua" w:eastAsiaTheme="minorEastAsia" w:hAnsi="Book Antiqua" w:cs="Book Antiqua" w:hint="eastAsia"/>
          <w:color w:val="000000"/>
          <w:lang w:eastAsia="zh-CN"/>
        </w:rPr>
        <w:t xml:space="preserve"> </w:t>
      </w:r>
      <w:r w:rsidRPr="004E727A">
        <w:rPr>
          <w:rFonts w:ascii="Book Antiqua" w:eastAsia="Book Antiqua" w:hAnsi="Book Antiqua" w:cs="Book Antiqua"/>
          <w:b/>
          <w:color w:val="000000"/>
        </w:rPr>
        <w:t>P-Editor:</w:t>
      </w:r>
      <w:r w:rsidRPr="00C97D92">
        <w:rPr>
          <w:rFonts w:ascii="Book Antiqua" w:eastAsia="Book Antiqua" w:hAnsi="Book Antiqua" w:cs="Book Antiqua"/>
          <w:color w:val="000000"/>
        </w:rPr>
        <w:t xml:space="preserve"> </w:t>
      </w:r>
      <w:r w:rsidR="00C97D92" w:rsidRPr="00C97D92">
        <w:rPr>
          <w:rFonts w:ascii="Book Antiqua" w:eastAsiaTheme="minorEastAsia" w:hAnsi="Book Antiqua" w:cs="Book Antiqua" w:hint="eastAsia"/>
          <w:color w:val="000000"/>
          <w:lang w:eastAsia="zh-CN"/>
        </w:rPr>
        <w:t>Liu JH</w:t>
      </w:r>
    </w:p>
    <w:p w14:paraId="22EB1AFC" w14:textId="77777777" w:rsidR="004C51F2" w:rsidRPr="004E727A" w:rsidRDefault="004C51F2">
      <w:pPr>
        <w:spacing w:line="360" w:lineRule="auto"/>
        <w:jc w:val="both"/>
        <w:rPr>
          <w:rFonts w:ascii="Book Antiqua" w:hAnsi="Book Antiqua"/>
        </w:rPr>
        <w:sectPr w:rsidR="004C51F2" w:rsidRPr="004E727A" w:rsidSect="00072648">
          <w:pgSz w:w="12240" w:h="15840"/>
          <w:pgMar w:top="1440" w:right="1440" w:bottom="1440" w:left="1440" w:header="720" w:footer="720" w:gutter="0"/>
          <w:cols w:space="720"/>
          <w:docGrid w:linePitch="360"/>
        </w:sectPr>
      </w:pPr>
    </w:p>
    <w:p w14:paraId="272C474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Figure Legends</w:t>
      </w:r>
    </w:p>
    <w:p w14:paraId="68B702B9" w14:textId="77777777" w:rsidR="00FE3019" w:rsidRPr="004E727A" w:rsidRDefault="00FE3019">
      <w:pPr>
        <w:spacing w:line="360" w:lineRule="auto"/>
        <w:jc w:val="both"/>
        <w:rPr>
          <w:rFonts w:ascii="Book Antiqua" w:hAnsi="Book Antiqua" w:cs="Book Antiqua"/>
          <w:b/>
          <w:bCs/>
          <w:color w:val="000000"/>
          <w:lang w:eastAsia="zh-CN"/>
        </w:rPr>
      </w:pPr>
      <w:r w:rsidRPr="004E727A">
        <w:rPr>
          <w:rFonts w:ascii="Book Antiqua" w:hAnsi="Book Antiqua" w:cs="Book Antiqua"/>
          <w:b/>
          <w:bCs/>
          <w:noProof/>
          <w:color w:val="000000"/>
          <w:lang w:eastAsia="zh-CN"/>
        </w:rPr>
        <w:drawing>
          <wp:inline distT="0" distB="0" distL="0" distR="0" wp14:anchorId="6D09EB76" wp14:editId="013D7809">
            <wp:extent cx="4691089" cy="2886323"/>
            <wp:effectExtent l="0" t="0" r="0" b="9525"/>
            <wp:docPr id="27"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BFDB400A-F6F3-6B42-9B14-4BA9A2E4E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BFDB400A-F6F3-6B42-9B14-4BA9A2E4ED6E}"/>
                        </a:ext>
                      </a:extLst>
                    </pic:cNvPr>
                    <pic:cNvPicPr>
                      <a:picLocks noChangeAspect="1"/>
                    </pic:cNvPicPr>
                  </pic:nvPicPr>
                  <pic:blipFill>
                    <a:blip r:embed="rId8"/>
                    <a:stretch>
                      <a:fillRect/>
                    </a:stretch>
                  </pic:blipFill>
                  <pic:spPr>
                    <a:xfrm>
                      <a:off x="0" y="0"/>
                      <a:ext cx="4694176" cy="2888222"/>
                    </a:xfrm>
                    <a:prstGeom prst="rect">
                      <a:avLst/>
                    </a:prstGeom>
                  </pic:spPr>
                </pic:pic>
              </a:graphicData>
            </a:graphic>
          </wp:inline>
        </w:drawing>
      </w:r>
    </w:p>
    <w:p w14:paraId="04CE0692" w14:textId="3C390CA7" w:rsidR="00765FD4" w:rsidRPr="004E727A" w:rsidRDefault="005D352F" w:rsidP="00765FD4">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1</w:t>
      </w:r>
      <w:r w:rsidR="00737FE9" w:rsidRPr="004E727A">
        <w:rPr>
          <w:rFonts w:ascii="Book Antiqua" w:eastAsia="Book Antiqua" w:hAnsi="Book Antiqua" w:cs="Book Antiqua"/>
          <w:color w:val="000000"/>
        </w:rPr>
        <w:t> </w:t>
      </w:r>
      <w:r w:rsidR="00737FE9" w:rsidRPr="004E727A">
        <w:rPr>
          <w:rFonts w:ascii="Book Antiqua" w:eastAsia="Book Antiqua" w:hAnsi="Book Antiqua" w:cs="Book Antiqua"/>
          <w:b/>
          <w:color w:val="000000"/>
        </w:rPr>
        <w:t xml:space="preserve">Responses of </w:t>
      </w:r>
      <w:r w:rsidR="00843A38" w:rsidRPr="004E727A">
        <w:rPr>
          <w:rFonts w:ascii="Book Antiqua" w:hAnsi="Book Antiqua" w:cs="Book Antiqua"/>
          <w:b/>
          <w:color w:val="000000"/>
        </w:rPr>
        <w:t>i</w:t>
      </w:r>
      <w:r w:rsidR="00843A38" w:rsidRPr="004E727A">
        <w:rPr>
          <w:rFonts w:ascii="Book Antiqua" w:eastAsia="Book Antiqua" w:hAnsi="Book Antiqua" w:cs="Book Antiqua"/>
          <w:b/>
          <w:color w:val="000000"/>
        </w:rPr>
        <w:t>rritable bowel syndrome</w:t>
      </w:r>
      <w:r w:rsidR="00737FE9" w:rsidRPr="004E727A">
        <w:rPr>
          <w:rFonts w:ascii="Book Antiqua" w:eastAsia="Book Antiqua" w:hAnsi="Book Antiqua" w:cs="Book Antiqua"/>
          <w:b/>
          <w:color w:val="000000"/>
        </w:rPr>
        <w:t xml:space="preserve"> patients to placebo, 30-g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ecal microbiota transplantation</w:t>
      </w:r>
      <w:r w:rsidR="00737FE9" w:rsidRPr="004E727A">
        <w:rPr>
          <w:rFonts w:ascii="Book Antiqua" w:eastAsia="Book Antiqua" w:hAnsi="Book Antiqua" w:cs="Book Antiqua"/>
          <w:b/>
          <w:color w:val="000000"/>
        </w:rPr>
        <w:t xml:space="preserve">, and 60-g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00737FE9" w:rsidRPr="004E727A">
        <w:rPr>
          <w:rFonts w:ascii="Book Antiqua" w:eastAsia="Book Antiqua" w:hAnsi="Book Antiqua" w:cs="Book Antiqua"/>
          <w:b/>
          <w:color w:val="000000"/>
        </w:rPr>
        <w:t>at different intervals after transplantation.</w:t>
      </w:r>
      <w:r w:rsidR="00843A38" w:rsidRPr="004E727A">
        <w:rPr>
          <w:rFonts w:ascii="Book Antiqua" w:hAnsi="Book Antiqua" w:cs="Book Antiqua"/>
          <w:color w:val="000000"/>
        </w:rPr>
        <w:t xml:space="preserve"> </w:t>
      </w:r>
      <w:bookmarkStart w:id="31" w:name="OLE_LINK38"/>
      <w:bookmarkStart w:id="32" w:name="OLE_LINK39"/>
      <w:r w:rsidR="00FE3019" w:rsidRPr="004E727A">
        <w:rPr>
          <w:rFonts w:ascii="Book Antiqua" w:hAnsi="Book Antiqua" w:cs="Book Antiqua"/>
          <w:color w:val="000000"/>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0.001;</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0.0001</w:t>
      </w:r>
      <w:bookmarkEnd w:id="31"/>
      <w:bookmarkEnd w:id="32"/>
      <w:r w:rsidR="00737FE9" w:rsidRPr="004E727A">
        <w:rPr>
          <w:rFonts w:ascii="Book Antiqua" w:eastAsia="Book Antiqua" w:hAnsi="Book Antiqua" w:cs="Book Antiqua"/>
          <w:color w:val="000000"/>
        </w:rPr>
        <w:t xml:space="preserve"> compared with placebo.</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0.001;</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 xml:space="preserve">0.0001 for 30-g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 xml:space="preserve">ecal microbiota transplantation </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FMT</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 xml:space="preserve"> compared with 60-g FMT.</w:t>
      </w:r>
      <w:r w:rsidR="00843A38" w:rsidRPr="004E727A">
        <w:rPr>
          <w:rFonts w:ascii="Book Antiqua" w:hAnsi="Book Antiqua" w:cs="Book Antiqua"/>
          <w:color w:val="000000"/>
        </w:rPr>
        <w:t xml:space="preserve"> </w:t>
      </w:r>
      <w:bookmarkStart w:id="33" w:name="OLE_LINK19"/>
      <w:bookmarkStart w:id="34" w:name="OLE_LINK20"/>
      <w:bookmarkStart w:id="35" w:name="OLE_LINK7"/>
      <w:bookmarkStart w:id="36" w:name="OLE_LINK8"/>
      <w:bookmarkStart w:id="37" w:name="OLE_LINK24"/>
      <w:r w:rsidR="007E30FD" w:rsidRPr="004E727A">
        <w:rPr>
          <w:rFonts w:ascii="Book Antiqua" w:eastAsiaTheme="minorEastAsia" w:hAnsi="Book Antiqua" w:cs="Book Antiqua"/>
          <w:color w:val="000000"/>
        </w:rPr>
        <w:t>Citation:</w:t>
      </w:r>
      <w:r w:rsidR="00737FE9" w:rsidRPr="004E727A">
        <w:rPr>
          <w:rFonts w:ascii="Book Antiqua" w:eastAsia="Book Antiqua" w:hAnsi="Book Antiqua" w:cs="Book Antiqua"/>
          <w:color w:val="000000"/>
        </w:rPr>
        <w:t xml:space="preserve"> </w:t>
      </w:r>
      <w:bookmarkEnd w:id="33"/>
      <w:bookmarkEnd w:id="34"/>
      <w:r w:rsidR="00765FD4" w:rsidRPr="004E727A">
        <w:rPr>
          <w:rFonts w:ascii="Book Antiqua" w:hAnsi="Book Antiqua"/>
          <w:bCs/>
        </w:rPr>
        <w:t>El-Salhy M</w:t>
      </w:r>
      <w:r w:rsidR="00765FD4"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765FD4" w:rsidRPr="004E727A">
        <w:rPr>
          <w:rFonts w:ascii="Book Antiqua" w:hAnsi="Book Antiqua"/>
          <w:i/>
          <w:iCs/>
        </w:rPr>
        <w:t>Gut</w:t>
      </w:r>
      <w:r w:rsidR="00765FD4" w:rsidRPr="004E727A">
        <w:rPr>
          <w:rFonts w:ascii="Book Antiqua" w:hAnsi="Book Antiqua"/>
        </w:rPr>
        <w:t> 2020; </w:t>
      </w:r>
      <w:r w:rsidR="00765FD4" w:rsidRPr="004E727A">
        <w:rPr>
          <w:rFonts w:ascii="Book Antiqua" w:hAnsi="Book Antiqua"/>
          <w:bCs/>
        </w:rPr>
        <w:t>69</w:t>
      </w:r>
      <w:r w:rsidR="00765FD4" w:rsidRPr="004E727A">
        <w:rPr>
          <w:rFonts w:ascii="Book Antiqua" w:hAnsi="Book Antiqua"/>
        </w:rPr>
        <w:t>: 859-86</w:t>
      </w:r>
      <w:r w:rsidR="007E30FD" w:rsidRPr="004E727A">
        <w:rPr>
          <w:rFonts w:ascii="Book Antiqua" w:hAnsi="Book Antiqua"/>
        </w:rPr>
        <w:t>7</w:t>
      </w:r>
      <w:r w:rsidR="00765FD4" w:rsidRPr="004E727A">
        <w:rPr>
          <w:rFonts w:ascii="Book Antiqua" w:hAnsi="Book Antiqua"/>
        </w:rPr>
        <w:t>.</w:t>
      </w:r>
      <w:bookmarkEnd w:id="35"/>
      <w:bookmarkEnd w:id="36"/>
      <w:r w:rsidR="007E30FD" w:rsidRPr="004E727A">
        <w:rPr>
          <w:rFonts w:ascii="Book Antiqua" w:hAnsi="Book Antiqua"/>
        </w:rPr>
        <w:t xml:space="preserve"> Copyright @</w:t>
      </w:r>
      <w:bookmarkStart w:id="38" w:name="OLE_LINK23"/>
      <w:r w:rsidR="007E30FD" w:rsidRPr="004E727A">
        <w:rPr>
          <w:rFonts w:ascii="Book Antiqua" w:hAnsi="Book Antiqua"/>
        </w:rPr>
        <w:t>BMJ Publishing Group</w:t>
      </w:r>
      <w:r w:rsidR="00CE2277" w:rsidRPr="004E727A">
        <w:rPr>
          <w:rFonts w:ascii="Book Antiqua" w:hAnsi="Book Antiqua"/>
        </w:rPr>
        <w:t xml:space="preserve"> </w:t>
      </w:r>
      <w:bookmarkEnd w:id="38"/>
      <w:r w:rsidR="00CC43A6" w:rsidRPr="004E727A">
        <w:rPr>
          <w:rFonts w:ascii="Book Antiqua" w:hAnsi="Book Antiqua"/>
        </w:rPr>
        <w:t>Ltd</w:t>
      </w:r>
      <w:r w:rsidR="002A69E4" w:rsidRPr="004E727A">
        <w:rPr>
          <w:rFonts w:ascii="Book Antiqua" w:hAnsi="Book Antiqua"/>
        </w:rPr>
        <w:t xml:space="preserve"> </w:t>
      </w:r>
      <w:r w:rsidR="00CE2277" w:rsidRPr="004E727A">
        <w:rPr>
          <w:rFonts w:ascii="Book Antiqua" w:hAnsi="Book Antiqua"/>
        </w:rPr>
        <w:t>2020. Published by BMJ Publishing Group</w:t>
      </w:r>
      <w:r w:rsidR="002A69E4" w:rsidRPr="004E727A">
        <w:rPr>
          <w:rFonts w:ascii="Book Antiqua" w:hAnsi="Book Antiqua"/>
        </w:rPr>
        <w:t xml:space="preserve"> Ltd</w:t>
      </w:r>
      <w:r w:rsidR="00CE2277" w:rsidRPr="004E727A">
        <w:rPr>
          <w:rFonts w:ascii="Book Antiqua" w:hAnsi="Book Antiqua"/>
          <w:vertAlign w:val="superscript"/>
        </w:rPr>
        <w:t>[11]</w:t>
      </w:r>
      <w:r w:rsidR="00CE2277" w:rsidRPr="004E727A">
        <w:rPr>
          <w:rFonts w:ascii="Book Antiqua" w:hAnsi="Book Antiqua"/>
        </w:rPr>
        <w:t>.</w:t>
      </w:r>
    </w:p>
    <w:bookmarkEnd w:id="37"/>
    <w:p w14:paraId="529A4214" w14:textId="77777777" w:rsidR="00FE3019"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FE3019" w:rsidRPr="004E727A">
        <w:rPr>
          <w:rFonts w:ascii="Book Antiqua" w:eastAsia="Book Antiqua" w:hAnsi="Book Antiqua" w:cs="Book Antiqua"/>
          <w:b/>
          <w:bCs/>
          <w:noProof/>
          <w:color w:val="000000"/>
          <w:lang w:eastAsia="zh-CN"/>
        </w:rPr>
        <w:drawing>
          <wp:inline distT="0" distB="0" distL="0" distR="0" wp14:anchorId="464CA7BC" wp14:editId="67CA4874">
            <wp:extent cx="5852160" cy="2926080"/>
            <wp:effectExtent l="0" t="0" r="0" b="7620"/>
            <wp:docPr id="26"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4246C09C-0145-194A-83F8-DAB86CDAF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4246C09C-0145-194A-83F8-DAB86CDAF2EA}"/>
                        </a:ext>
                      </a:extLst>
                    </pic:cNvPr>
                    <pic:cNvPicPr>
                      <a:picLocks noChangeAspect="1"/>
                    </pic:cNvPicPr>
                  </pic:nvPicPr>
                  <pic:blipFill>
                    <a:blip r:embed="rId9"/>
                    <a:stretch>
                      <a:fillRect/>
                    </a:stretch>
                  </pic:blipFill>
                  <pic:spPr>
                    <a:xfrm>
                      <a:off x="0" y="0"/>
                      <a:ext cx="5853980" cy="2926990"/>
                    </a:xfrm>
                    <a:prstGeom prst="rect">
                      <a:avLst/>
                    </a:prstGeom>
                  </pic:spPr>
                </pic:pic>
              </a:graphicData>
            </a:graphic>
          </wp:inline>
        </w:drawing>
      </w:r>
    </w:p>
    <w:p w14:paraId="02E5E996" w14:textId="434CC376"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2</w:t>
      </w:r>
      <w:r w:rsidR="00737FE9" w:rsidRPr="004E727A">
        <w:rPr>
          <w:rFonts w:ascii="Book Antiqua" w:eastAsia="Book Antiqua" w:hAnsi="Book Antiqua" w:cs="Book Antiqua"/>
          <w:color w:val="000000"/>
        </w:rPr>
        <w:t> </w:t>
      </w:r>
      <w:r w:rsidR="008F1240" w:rsidRPr="004E727A">
        <w:rPr>
          <w:rFonts w:ascii="Book Antiqua" w:hAnsi="Book Antiqua" w:cs="Book Antiqua"/>
          <w:b/>
          <w:color w:val="000000"/>
        </w:rPr>
        <w:t>S</w:t>
      </w:r>
      <w:r w:rsidR="00737FE9" w:rsidRPr="004E727A">
        <w:rPr>
          <w:rFonts w:ascii="Book Antiqua" w:eastAsia="Book Antiqua" w:hAnsi="Book Antiqua" w:cs="Book Antiqua"/>
          <w:b/>
          <w:color w:val="000000"/>
        </w:rPr>
        <w:t>uperdonor bacterial profile deviated from the expected normal abundance in 14 of the 39 bacteria markers.</w:t>
      </w:r>
      <w:r w:rsidR="00737FE9" w:rsidRPr="004E727A">
        <w:rPr>
          <w:rFonts w:ascii="Book Antiqua" w:eastAsia="Book Antiqua" w:hAnsi="Book Antiqua" w:cs="Book Antiqua"/>
          <w:color w:val="000000"/>
        </w:rPr>
        <w:t xml:space="preserve"> The deviating bacteria belong to the typical commensal bacteria species that do not contribute to dysbiosis. Twelve of these bacteria belong to the </w:t>
      </w:r>
      <w:r w:rsidR="00737FE9" w:rsidRPr="004E727A">
        <w:rPr>
          <w:rFonts w:ascii="Book Antiqua" w:eastAsia="Book Antiqua" w:hAnsi="Book Antiqua" w:cs="Book Antiqua"/>
          <w:i/>
          <w:color w:val="000000"/>
        </w:rPr>
        <w:t>Firmicutes</w:t>
      </w:r>
      <w:r w:rsidR="00737FE9" w:rsidRPr="004E727A">
        <w:rPr>
          <w:rFonts w:ascii="Book Antiqua" w:eastAsia="Book Antiqua" w:hAnsi="Book Antiqua" w:cs="Book Antiqua"/>
          <w:color w:val="000000"/>
        </w:rPr>
        <w:t xml:space="preserve"> phylum (gray), one to the </w:t>
      </w:r>
      <w:r w:rsidR="00737FE9" w:rsidRPr="004E727A">
        <w:rPr>
          <w:rFonts w:ascii="Book Antiqua" w:eastAsia="Book Antiqua" w:hAnsi="Book Antiqua" w:cs="Book Antiqua"/>
          <w:i/>
          <w:color w:val="000000"/>
        </w:rPr>
        <w:t>Proteobacteria</w:t>
      </w:r>
      <w:r w:rsidR="00737FE9" w:rsidRPr="004E727A">
        <w:rPr>
          <w:rFonts w:ascii="Book Antiqua" w:eastAsia="Book Antiqua" w:hAnsi="Book Antiqua" w:cs="Book Antiqua"/>
          <w:color w:val="000000"/>
        </w:rPr>
        <w:t xml:space="preserve"> phylum (light green), and one to the </w:t>
      </w:r>
      <w:r w:rsidR="00737FE9" w:rsidRPr="004E727A">
        <w:rPr>
          <w:rFonts w:ascii="Book Antiqua" w:eastAsia="Book Antiqua" w:hAnsi="Book Antiqua" w:cs="Book Antiqua"/>
          <w:i/>
          <w:color w:val="000000"/>
        </w:rPr>
        <w:t>Verrucomicrobia</w:t>
      </w:r>
      <w:r w:rsidR="00737FE9" w:rsidRPr="004E727A">
        <w:rPr>
          <w:rFonts w:ascii="Book Antiqua" w:eastAsia="Book Antiqua" w:hAnsi="Book Antiqua" w:cs="Book Antiqua"/>
          <w:color w:val="000000"/>
        </w:rPr>
        <w:t xml:space="preserve"> phylum (light blue).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493EDDAF" w14:textId="77777777" w:rsidR="00FE3019"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FE3019" w:rsidRPr="004E727A">
        <w:rPr>
          <w:rFonts w:ascii="Book Antiqua" w:eastAsia="Book Antiqua" w:hAnsi="Book Antiqua" w:cs="Book Antiqua"/>
          <w:b/>
          <w:bCs/>
          <w:noProof/>
          <w:color w:val="000000"/>
          <w:lang w:eastAsia="zh-CN"/>
        </w:rPr>
        <w:drawing>
          <wp:inline distT="0" distB="0" distL="0" distR="0" wp14:anchorId="744E66C0" wp14:editId="7EC8DB38">
            <wp:extent cx="4004441" cy="4351338"/>
            <wp:effectExtent l="0" t="0" r="0" b="0"/>
            <wp:docPr id="25" name="Content Placeholder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E466E1EB-77C1-9C47-8CD3-58E9245052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E466E1EB-77C1-9C47-8CD3-58E92450527A}"/>
                        </a:ext>
                      </a:extLst>
                    </pic:cNvPr>
                    <pic:cNvPicPr>
                      <a:picLocks noGrp="1" noChangeAspect="1"/>
                    </pic:cNvPicPr>
                  </pic:nvPicPr>
                  <pic:blipFill rotWithShape="1">
                    <a:blip r:embed="rId10"/>
                    <a:srcRect l="23824" r="25549"/>
                    <a:stretch/>
                  </pic:blipFill>
                  <pic:spPr>
                    <a:xfrm>
                      <a:off x="0" y="0"/>
                      <a:ext cx="4004441" cy="4351338"/>
                    </a:xfrm>
                    <a:prstGeom prst="rect">
                      <a:avLst/>
                    </a:prstGeom>
                  </pic:spPr>
                </pic:pic>
              </a:graphicData>
            </a:graphic>
          </wp:inline>
        </w:drawing>
      </w:r>
    </w:p>
    <w:p w14:paraId="0BCB5347" w14:textId="01F3BCF1"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3</w:t>
      </w:r>
      <w:r w:rsidR="00737FE9" w:rsidRPr="004E727A">
        <w:rPr>
          <w:rFonts w:ascii="Book Antiqua" w:eastAsia="Book Antiqua" w:hAnsi="Book Antiqua" w:cs="Book Antiqua"/>
          <w:color w:val="000000"/>
        </w:rPr>
        <w:t> </w:t>
      </w:r>
      <w:bookmarkStart w:id="39" w:name="OLE_LINK40"/>
      <w:r w:rsidR="00737FE9" w:rsidRPr="004E727A">
        <w:rPr>
          <w:rFonts w:ascii="Book Antiqua" w:eastAsia="Book Antiqua" w:hAnsi="Book Antiqua" w:cs="Book Antiqua"/>
          <w:b/>
          <w:color w:val="000000"/>
        </w:rPr>
        <w:t xml:space="preserve">Scaled </w:t>
      </w:r>
      <w:bookmarkStart w:id="40" w:name="OLE_LINK46"/>
      <w:bookmarkStart w:id="41" w:name="OLE_LINK47"/>
      <w:r w:rsidR="008F1240" w:rsidRPr="004E727A">
        <w:rPr>
          <w:rFonts w:ascii="Book Antiqua" w:eastAsia="Book Antiqua" w:hAnsi="Book Antiqua" w:cs="Book Antiqua"/>
          <w:b/>
          <w:color w:val="000000"/>
        </w:rPr>
        <w:t>principal component analysis</w:t>
      </w:r>
      <w:bookmarkEnd w:id="40"/>
      <w:bookmarkEnd w:id="41"/>
      <w:r w:rsidR="008F1240" w:rsidRPr="004E727A">
        <w:rPr>
          <w:rFonts w:ascii="Book Antiqua" w:eastAsia="Book Antiqua" w:hAnsi="Book Antiqua" w:cs="Book Antiqua"/>
          <w:b/>
          <w:color w:val="000000"/>
        </w:rPr>
        <w:t xml:space="preserve"> </w:t>
      </w:r>
      <w:r w:rsidR="00737FE9" w:rsidRPr="004E727A">
        <w:rPr>
          <w:rFonts w:ascii="Book Antiqua" w:eastAsia="Book Antiqua" w:hAnsi="Book Antiqua" w:cs="Book Antiqua"/>
          <w:b/>
          <w:color w:val="000000"/>
        </w:rPr>
        <w:t>plot</w:t>
      </w:r>
      <w:bookmarkEnd w:id="39"/>
      <w:r w:rsidR="00737FE9" w:rsidRPr="004E727A">
        <w:rPr>
          <w:rFonts w:ascii="Book Antiqua" w:eastAsia="Book Antiqua" w:hAnsi="Book Antiqua" w:cs="Book Antiqua"/>
          <w:b/>
          <w:color w:val="000000"/>
        </w:rPr>
        <w:t xml:space="preserve"> of fecal samples from the superdonor and patients before transplantation. </w:t>
      </w:r>
      <w:r w:rsidR="00737FE9" w:rsidRPr="004E727A">
        <w:rPr>
          <w:rFonts w:ascii="Book Antiqua" w:eastAsia="Book Antiqua" w:hAnsi="Book Antiqua" w:cs="Book Antiqua"/>
          <w:color w:val="000000"/>
        </w:rPr>
        <w:t>The patient samples are indicated by small gray circles. The superdonor samples are indicated by the larger circles of different colors reflecting the</w:t>
      </w:r>
      <w:r w:rsidR="008F1240" w:rsidRPr="004E727A">
        <w:rPr>
          <w:rFonts w:ascii="Book Antiqua" w:eastAsia="Book Antiqua" w:hAnsi="Book Antiqua" w:cs="Book Antiqua"/>
          <w:color w:val="000000"/>
        </w:rPr>
        <w:t xml:space="preserve"> sampling times: black, 3 mo</w:t>
      </w:r>
      <w:r w:rsidR="00737FE9" w:rsidRPr="004E727A">
        <w:rPr>
          <w:rFonts w:ascii="Book Antiqua" w:eastAsia="Book Antiqua" w:hAnsi="Book Antiqua" w:cs="Book Antiqua"/>
          <w:color w:val="000000"/>
        </w:rPr>
        <w:t>; r</w:t>
      </w:r>
      <w:r w:rsidR="0023737F" w:rsidRPr="004E727A">
        <w:rPr>
          <w:rFonts w:ascii="Book Antiqua" w:eastAsia="Book Antiqua" w:hAnsi="Book Antiqua" w:cs="Book Antiqua"/>
          <w:color w:val="000000"/>
        </w:rPr>
        <w:t>ed, 6 mo; green, 9 mo</w:t>
      </w:r>
      <w:r w:rsidR="00737FE9" w:rsidRPr="004E727A">
        <w:rPr>
          <w:rFonts w:ascii="Book Antiqua" w:eastAsia="Book Antiqua" w:hAnsi="Book Antiqua" w:cs="Book Antiqua"/>
          <w:color w:val="000000"/>
        </w:rPr>
        <w:t xml:space="preserve">; blue, 12 mo; light </w:t>
      </w:r>
      <w:r w:rsidR="0023737F" w:rsidRPr="004E727A">
        <w:rPr>
          <w:rFonts w:ascii="Book Antiqua" w:eastAsia="Book Antiqua" w:hAnsi="Book Antiqua" w:cs="Book Antiqua"/>
          <w:color w:val="000000"/>
        </w:rPr>
        <w:t>blue, 15 mo; and pink, 18 mo</w:t>
      </w:r>
      <w:r w:rsidR="00737FE9" w:rsidRPr="004E727A">
        <w:rPr>
          <w:rFonts w:ascii="Book Antiqua" w:eastAsia="Book Antiqua" w:hAnsi="Book Antiqua" w:cs="Book Antiqua"/>
          <w:color w:val="000000"/>
        </w:rPr>
        <w:t>. All of the superdonor samples are grouped closely together and remain in very similar positions over time.</w:t>
      </w:r>
      <w:r w:rsidR="008F1240" w:rsidRPr="004E727A">
        <w:rPr>
          <w:rFonts w:ascii="Book Antiqua" w:hAnsi="Book Antiqua" w:cs="Book Antiqua"/>
          <w:color w:val="000000"/>
        </w:rPr>
        <w:t xml:space="preserv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124686F7"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7A8EDCC4" wp14:editId="55B83AEC">
            <wp:extent cx="4725898" cy="6301197"/>
            <wp:effectExtent l="0" t="0" r="0" b="4445"/>
            <wp:docPr id="24"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AB2348C1-F9FE-4740-BB54-00F33EE6A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AB2348C1-F9FE-4740-BB54-00F33EE6AFFC}"/>
                        </a:ext>
                      </a:extLst>
                    </pic:cNvPr>
                    <pic:cNvPicPr>
                      <a:picLocks noChangeAspect="1"/>
                    </pic:cNvPicPr>
                  </pic:nvPicPr>
                  <pic:blipFill>
                    <a:blip r:embed="rId11"/>
                    <a:stretch>
                      <a:fillRect/>
                    </a:stretch>
                  </pic:blipFill>
                  <pic:spPr>
                    <a:xfrm>
                      <a:off x="0" y="0"/>
                      <a:ext cx="4725898" cy="6301197"/>
                    </a:xfrm>
                    <a:prstGeom prst="rect">
                      <a:avLst/>
                    </a:prstGeom>
                  </pic:spPr>
                </pic:pic>
              </a:graphicData>
            </a:graphic>
          </wp:inline>
        </w:drawing>
      </w:r>
    </w:p>
    <w:p w14:paraId="495959B4" w14:textId="2F4C4B0C" w:rsidR="00760C7A" w:rsidRPr="004E727A" w:rsidRDefault="005D352F" w:rsidP="00760C7A">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4</w:t>
      </w:r>
      <w:r w:rsidR="00FB7A3C" w:rsidRPr="004E727A">
        <w:rPr>
          <w:rFonts w:ascii="Book Antiqua" w:eastAsiaTheme="minorEastAsia" w:hAnsi="Book Antiqua" w:cs="Book Antiqua"/>
          <w:b/>
          <w:bCs/>
          <w:color w:val="000000"/>
        </w:rPr>
        <w:t xml:space="preserve"> </w:t>
      </w:r>
      <w:r w:rsidR="00EB5CF9" w:rsidRPr="004E727A">
        <w:rPr>
          <w:rFonts w:ascii="Book Antiqua" w:eastAsiaTheme="minorEastAsia" w:hAnsi="Book Antiqua" w:cs="Book Antiqua"/>
          <w:b/>
          <w:bCs/>
          <w:color w:val="000000"/>
          <w:lang w:val="nb-NO"/>
        </w:rPr>
        <w:t>N</w:t>
      </w:r>
      <w:r w:rsidR="00993626" w:rsidRPr="004E727A">
        <w:rPr>
          <w:rFonts w:ascii="Book Antiqua" w:hAnsi="Book Antiqua" w:cs="Book Antiqua"/>
          <w:b/>
          <w:bCs/>
          <w:color w:val="000000"/>
          <w:lang w:val="nb-NO"/>
        </w:rPr>
        <w:t xml:space="preserve">onresponders to 30-g donor`s fecal transplant were retransplanted with 60-g donor´s transplant. </w:t>
      </w:r>
      <w:r w:rsidR="000D29C4" w:rsidRPr="004E727A">
        <w:rPr>
          <w:rFonts w:ascii="Book Antiqua" w:hAnsi="Book Antiqua" w:cs="Book Antiqua"/>
          <w:bCs/>
          <w:color w:val="000000"/>
        </w:rPr>
        <w:t xml:space="preserve">A-E: </w:t>
      </w:r>
      <w:r w:rsidR="00843A38" w:rsidRPr="004E727A">
        <w:rPr>
          <w:rFonts w:ascii="Book Antiqua" w:eastAsia="Book Antiqua" w:hAnsi="Book Antiqua" w:cs="Book Antiqua"/>
          <w:color w:val="000000"/>
        </w:rPr>
        <w:t>Irritable bowel syndrome</w:t>
      </w:r>
      <w:r w:rsidR="00737FE9" w:rsidRPr="004E727A">
        <w:rPr>
          <w:rFonts w:ascii="Book Antiqua" w:eastAsia="Book Antiqua" w:hAnsi="Book Antiqua" w:cs="Book Antiqua"/>
          <w:color w:val="000000"/>
        </w:rPr>
        <w:t>-</w:t>
      </w:r>
      <w:r w:rsidR="009F0E54" w:rsidRPr="004E727A">
        <w:rPr>
          <w:rFonts w:ascii="Book Antiqua" w:eastAsia="Book Antiqua" w:hAnsi="Book Antiqua" w:cs="Book Antiqua"/>
          <w:color w:val="000000"/>
        </w:rPr>
        <w:t>severity scoring system</w:t>
      </w:r>
      <w:r w:rsidR="008F1240" w:rsidRPr="004E727A">
        <w:rPr>
          <w:rFonts w:ascii="Book Antiqua" w:eastAsia="Book Antiqua" w:hAnsi="Book Antiqua" w:cs="Book Antiqua"/>
          <w:color w:val="000000"/>
        </w:rPr>
        <w:t xml:space="preserve"> </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SSS</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 xml:space="preserve"> total score (A) and IBS-SSS scores for abdominal pain (B), abdominal distension (C), dissatisfaction with bowel habits (D), and interference with quality of life (E) at different intervals after receiving 30-g and 60-g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ecal microbiota transplantation</w:t>
      </w:r>
      <w:r w:rsidR="00737FE9" w:rsidRPr="004E727A">
        <w:rPr>
          <w:rFonts w:ascii="Book Antiqua" w:eastAsia="Book Antiqua" w:hAnsi="Book Antiqua" w:cs="Book Antiqua"/>
          <w:color w:val="000000"/>
        </w:rPr>
        <w:t xml:space="preserve">. </w:t>
      </w:r>
      <w:r w:rsidR="00FE3019" w:rsidRPr="004E727A">
        <w:rPr>
          <w:rFonts w:ascii="Book Antiqua" w:hAnsi="Book Antiqua" w:cs="Book Antiqua"/>
          <w:color w:val="000000"/>
          <w:vertAlign w:val="superscript"/>
        </w:rPr>
        <w:t>*</w:t>
      </w:r>
      <w:r w:rsidR="000D29C4" w:rsidRPr="004E727A">
        <w:rPr>
          <w:rFonts w:ascii="Book Antiqua" w:eastAsia="Book Antiqua" w:hAnsi="Book Antiqua" w:cs="Book Antiqua"/>
          <w:i/>
          <w:color w:val="000000"/>
        </w:rPr>
        <w:t>P</w:t>
      </w:r>
      <w:r w:rsidR="000D29C4"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0D29C4"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0.05 compared with baseline. </w:t>
      </w:r>
      <w:r w:rsidR="00242AAE" w:rsidRPr="00242AAE">
        <w:rPr>
          <w:rFonts w:ascii="Book Antiqua" w:hAnsi="Book Antiqua"/>
        </w:rPr>
        <w:t>Citation:</w:t>
      </w:r>
      <w:r w:rsidR="00760C7A" w:rsidRPr="004E727A">
        <w:rPr>
          <w:rFonts w:ascii="Book Antiqua" w:hAnsi="Book Antiqua"/>
        </w:rPr>
        <w:t> </w:t>
      </w:r>
      <w:r w:rsidR="00760C7A" w:rsidRPr="00523617">
        <w:rPr>
          <w:rFonts w:ascii="Book Antiqua" w:hAnsi="Book Antiqua"/>
          <w:bCs/>
        </w:rPr>
        <w:t>El-Salhy M</w:t>
      </w:r>
      <w:r w:rsidR="00760C7A" w:rsidRPr="00523617">
        <w:rPr>
          <w:rFonts w:ascii="Book Antiqua" w:hAnsi="Book Antiqua"/>
        </w:rPr>
        <w:t xml:space="preserve">, </w:t>
      </w:r>
      <w:r w:rsidR="00760C7A" w:rsidRPr="004E727A">
        <w:rPr>
          <w:rFonts w:ascii="Book Antiqua" w:hAnsi="Book Antiqua"/>
        </w:rPr>
        <w:t>Hausken T, Hatlebakk JG. Increasing the Dose and/or Repeating Faecal Microbiota Transplantation (FMT) Increases the Response in Patients with Irritable Bowel Syndrome (IBS). </w:t>
      </w:r>
      <w:r w:rsidR="00760C7A" w:rsidRPr="004E727A">
        <w:rPr>
          <w:rFonts w:ascii="Book Antiqua" w:hAnsi="Book Antiqua"/>
          <w:i/>
          <w:iCs/>
        </w:rPr>
        <w:t>Nutrients</w:t>
      </w:r>
      <w:r w:rsidR="00760C7A" w:rsidRPr="004E727A">
        <w:rPr>
          <w:rFonts w:ascii="Book Antiqua" w:hAnsi="Book Antiqua"/>
        </w:rPr>
        <w:t> 2019; </w:t>
      </w:r>
      <w:r w:rsidR="00760C7A" w:rsidRPr="004E727A">
        <w:rPr>
          <w:rFonts w:ascii="Book Antiqua" w:hAnsi="Book Antiqua"/>
          <w:b/>
          <w:bCs/>
        </w:rPr>
        <w:t>11</w:t>
      </w:r>
      <w:r w:rsidR="00760C7A" w:rsidRPr="004E727A">
        <w:rPr>
          <w:rFonts w:ascii="Book Antiqua" w:hAnsi="Book Antiqua"/>
        </w:rPr>
        <w:t> [PMID: 31238507 DOI: 10.3390/nu11061415]</w:t>
      </w:r>
      <w:r w:rsidR="00242AAE" w:rsidRPr="00242AAE">
        <w:rPr>
          <w:rFonts w:ascii="Book Antiqua" w:hAnsi="Book Antiqua" w:hint="eastAsia"/>
          <w:vertAlign w:val="superscript"/>
        </w:rPr>
        <w:t>[54]</w:t>
      </w:r>
    </w:p>
    <w:p w14:paraId="36B45FBD" w14:textId="11782613" w:rsidR="00A77B3E" w:rsidRPr="004E727A" w:rsidRDefault="00A77B3E">
      <w:pPr>
        <w:spacing w:line="360" w:lineRule="auto"/>
        <w:jc w:val="both"/>
        <w:rPr>
          <w:rFonts w:ascii="Book Antiqua" w:eastAsiaTheme="minorEastAsia" w:hAnsi="Book Antiqua"/>
          <w:lang w:eastAsia="zh-CN"/>
        </w:rPr>
      </w:pPr>
    </w:p>
    <w:p w14:paraId="40C99D5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17B942FC" wp14:editId="1D066F93">
            <wp:extent cx="4452730" cy="4452730"/>
            <wp:effectExtent l="0" t="0" r="5080" b="5080"/>
            <wp:docPr id="23"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61D380F8-E25D-1242-8F9C-79291D5BCB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61D380F8-E25D-1242-8F9C-79291D5BCBC2}"/>
                        </a:ext>
                      </a:extLst>
                    </pic:cNvPr>
                    <pic:cNvPicPr>
                      <a:picLocks noChangeAspect="1"/>
                    </pic:cNvPicPr>
                  </pic:nvPicPr>
                  <pic:blipFill>
                    <a:blip r:embed="rId12"/>
                    <a:stretch>
                      <a:fillRect/>
                    </a:stretch>
                  </pic:blipFill>
                  <pic:spPr>
                    <a:xfrm>
                      <a:off x="0" y="0"/>
                      <a:ext cx="4453304" cy="4453304"/>
                    </a:xfrm>
                    <a:prstGeom prst="rect">
                      <a:avLst/>
                    </a:prstGeom>
                  </pic:spPr>
                </pic:pic>
              </a:graphicData>
            </a:graphic>
          </wp:inline>
        </w:drawing>
      </w:r>
    </w:p>
    <w:p w14:paraId="11A6F279" w14:textId="77777777" w:rsidR="00A77B3E" w:rsidRPr="004E727A" w:rsidRDefault="005D352F">
      <w:pPr>
        <w:spacing w:line="360" w:lineRule="auto"/>
        <w:jc w:val="both"/>
        <w:rPr>
          <w:rFonts w:ascii="Book Antiqua" w:hAnsi="Book Antiqua"/>
          <w:b/>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lang w:eastAsia="zh-CN"/>
        </w:rPr>
        <w:t>5</w:t>
      </w:r>
      <w:r w:rsidR="00737FE9" w:rsidRPr="004E727A">
        <w:rPr>
          <w:rFonts w:ascii="Book Antiqua" w:eastAsia="Book Antiqua" w:hAnsi="Book Antiqua" w:cs="Book Antiqua"/>
          <w:b/>
          <w:bCs/>
          <w:color w:val="000000"/>
        </w:rPr>
        <w:t> </w:t>
      </w:r>
      <w:r w:rsidR="003B72C7" w:rsidRPr="004E727A">
        <w:rPr>
          <w:rFonts w:ascii="Book Antiqua" w:hAnsi="Book Antiqua" w:cs="Book Antiqua"/>
          <w:b/>
          <w:color w:val="000000"/>
          <w:lang w:eastAsia="zh-CN"/>
        </w:rPr>
        <w:t>F</w:t>
      </w:r>
      <w:r w:rsidR="00737FE9" w:rsidRPr="004E727A">
        <w:rPr>
          <w:rFonts w:ascii="Book Antiqua" w:eastAsia="Book Antiqua" w:hAnsi="Book Antiqua" w:cs="Book Antiqua"/>
          <w:b/>
          <w:color w:val="000000"/>
        </w:rPr>
        <w:t>ecal transplant can be administered to the small intestine (distal duodenum) or to the large intestine (colon).</w:t>
      </w:r>
    </w:p>
    <w:p w14:paraId="4CB0BED5"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1D1971EA" wp14:editId="45D7E284">
            <wp:extent cx="3496855" cy="4548146"/>
            <wp:effectExtent l="0" t="0" r="8890" b="5080"/>
            <wp:docPr id="22"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10A5DD46-733B-1C45-8AAF-191B71047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10A5DD46-733B-1C45-8AAF-191B71047182}"/>
                        </a:ext>
                      </a:extLst>
                    </pic:cNvPr>
                    <pic:cNvPicPr>
                      <a:picLocks noChangeAspect="1"/>
                    </pic:cNvPicPr>
                  </pic:nvPicPr>
                  <pic:blipFill>
                    <a:blip r:embed="rId13"/>
                    <a:stretch>
                      <a:fillRect/>
                    </a:stretch>
                  </pic:blipFill>
                  <pic:spPr>
                    <a:xfrm>
                      <a:off x="0" y="0"/>
                      <a:ext cx="3497747" cy="4549306"/>
                    </a:xfrm>
                    <a:prstGeom prst="rect">
                      <a:avLst/>
                    </a:prstGeom>
                  </pic:spPr>
                </pic:pic>
              </a:graphicData>
            </a:graphic>
          </wp:inline>
        </w:drawing>
      </w:r>
    </w:p>
    <w:p w14:paraId="3395D808" w14:textId="77777777" w:rsidR="00A77B3E" w:rsidRPr="004E727A" w:rsidRDefault="005D352F">
      <w:pPr>
        <w:spacing w:line="360" w:lineRule="auto"/>
        <w:jc w:val="both"/>
        <w:rPr>
          <w:rFonts w:ascii="Book Antiqua" w:hAnsi="Book Antiqua"/>
          <w:b/>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lang w:eastAsia="zh-CN"/>
        </w:rPr>
        <w:t>6</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Although the fecal transplant can be administered to the small intestine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a nasojejunal probe and to the colon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an enema, administering a fecal transplant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the working channel of a gastroscope or colonoscope is faster and more acceptable to patients.</w:t>
      </w:r>
    </w:p>
    <w:p w14:paraId="168D7EE7"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07C97C3E" wp14:editId="57B00667">
            <wp:extent cx="5915025" cy="2996574"/>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0318" cy="2999256"/>
                    </a:xfrm>
                    <a:prstGeom prst="rect">
                      <a:avLst/>
                    </a:prstGeom>
                    <a:noFill/>
                  </pic:spPr>
                </pic:pic>
              </a:graphicData>
            </a:graphic>
          </wp:inline>
        </w:drawing>
      </w:r>
    </w:p>
    <w:p w14:paraId="4D4A2F25" w14:textId="574F863B"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7</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Scaled </w:t>
      </w:r>
      <w:r w:rsidR="000A23A3" w:rsidRPr="004E727A">
        <w:rPr>
          <w:rFonts w:ascii="Book Antiqua" w:eastAsia="Book Antiqua" w:hAnsi="Book Antiqua" w:cs="Book Antiqua"/>
          <w:b/>
          <w:color w:val="000000"/>
        </w:rPr>
        <w:t xml:space="preserve">principal component analysis </w:t>
      </w:r>
      <w:r w:rsidR="00737FE9" w:rsidRPr="004E727A">
        <w:rPr>
          <w:rFonts w:ascii="Book Antiqua" w:eastAsia="Book Antiqua" w:hAnsi="Book Antiqua" w:cs="Book Antiqua"/>
          <w:b/>
          <w:color w:val="000000"/>
        </w:rPr>
        <w:t xml:space="preserve">plot of fecal samples before and 1 mo after transplantation for </w:t>
      </w:r>
      <w:bookmarkStart w:id="42" w:name="OLE_LINK45"/>
      <w:r w:rsidR="00737FE9" w:rsidRPr="004E727A">
        <w:rPr>
          <w:rFonts w:ascii="Book Antiqua" w:eastAsia="Book Antiqua" w:hAnsi="Book Antiqua" w:cs="Book Antiqua"/>
          <w:b/>
          <w:color w:val="000000"/>
        </w:rPr>
        <w:t>placebo, 30-g</w:t>
      </w:r>
      <w:r w:rsidR="000A23A3" w:rsidRPr="004E727A">
        <w:rPr>
          <w:rFonts w:ascii="Book Antiqua" w:hAnsi="Book Antiqua" w:cs="Book Antiqua"/>
          <w:b/>
          <w:color w:val="000000"/>
        </w:rPr>
        <w:t xml:space="preserve"> and </w:t>
      </w:r>
      <w:r w:rsidR="000A23A3" w:rsidRPr="004E727A">
        <w:rPr>
          <w:rFonts w:ascii="Book Antiqua" w:eastAsia="Book Antiqua" w:hAnsi="Book Antiqua" w:cs="Book Antiqua"/>
          <w:b/>
          <w:color w:val="000000"/>
        </w:rPr>
        <w:t>60-g</w:t>
      </w:r>
      <w:r w:rsidR="00737FE9" w:rsidRPr="004E727A">
        <w:rPr>
          <w:rFonts w:ascii="Book Antiqua" w:eastAsia="Book Antiqua" w:hAnsi="Book Antiqua" w:cs="Book Antiqua"/>
          <w:b/>
          <w:color w:val="000000"/>
        </w:rPr>
        <w:t xml:space="preserve">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ecal microbiota transplantation</w:t>
      </w:r>
      <w:r w:rsidR="00737FE9" w:rsidRPr="004E727A">
        <w:rPr>
          <w:rFonts w:ascii="Book Antiqua" w:eastAsia="Book Antiqua" w:hAnsi="Book Antiqua" w:cs="Book Antiqua"/>
          <w:b/>
          <w:color w:val="000000"/>
        </w:rPr>
        <w:t>, responders</w:t>
      </w:r>
      <w:r w:rsidR="000A23A3" w:rsidRPr="004E727A">
        <w:rPr>
          <w:rFonts w:ascii="Book Antiqua" w:hAnsi="Book Antiqua" w:cs="Book Antiqua"/>
          <w:b/>
          <w:color w:val="000000"/>
        </w:rPr>
        <w:t xml:space="preserve"> </w:t>
      </w:r>
      <w:r w:rsidR="00737FE9" w:rsidRPr="004E727A">
        <w:rPr>
          <w:rFonts w:ascii="Book Antiqua" w:eastAsia="Book Antiqua" w:hAnsi="Book Antiqua" w:cs="Book Antiqua"/>
          <w:b/>
          <w:color w:val="000000"/>
        </w:rPr>
        <w:t>and nonresponders</w:t>
      </w:r>
      <w:bookmarkEnd w:id="42"/>
      <w:r w:rsidR="00737FE9" w:rsidRPr="004E727A">
        <w:rPr>
          <w:rFonts w:ascii="Book Antiqua" w:eastAsia="Book Antiqua" w:hAnsi="Book Antiqua" w:cs="Book Antiqua"/>
          <w:b/>
          <w:color w:val="000000"/>
        </w:rPr>
        <w:t>.</w:t>
      </w:r>
      <w:r w:rsidR="00737FE9" w:rsidRPr="004E727A">
        <w:rPr>
          <w:rFonts w:ascii="Book Antiqua" w:hAnsi="Book Antiqua" w:cs="Book Antiqua"/>
          <w:color w:val="000000"/>
        </w:rPr>
        <w:t xml:space="preserve"> </w:t>
      </w:r>
      <w:r w:rsidR="000A23A3" w:rsidRPr="004E727A">
        <w:rPr>
          <w:rFonts w:ascii="Book Antiqua" w:hAnsi="Book Antiqua" w:cs="Book Antiqua"/>
          <w:color w:val="000000"/>
        </w:rPr>
        <w:t>A: P</w:t>
      </w:r>
      <w:r w:rsidR="000A23A3" w:rsidRPr="004E727A">
        <w:rPr>
          <w:rFonts w:ascii="Book Antiqua" w:eastAsia="Book Antiqua" w:hAnsi="Book Antiqua" w:cs="Book Antiqua"/>
          <w:color w:val="000000"/>
        </w:rPr>
        <w:t>lacebo</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 xml:space="preserve">B: </w:t>
      </w:r>
      <w:r w:rsidR="000A23A3" w:rsidRPr="004E727A">
        <w:rPr>
          <w:rFonts w:ascii="Book Antiqua" w:eastAsia="Book Antiqua" w:hAnsi="Book Antiqua" w:cs="Book Antiqua"/>
          <w:color w:val="000000"/>
        </w:rPr>
        <w:t xml:space="preserve">30-g </w:t>
      </w:r>
      <w:r w:rsidR="000A23A3" w:rsidRPr="004E727A">
        <w:rPr>
          <w:rFonts w:ascii="Book Antiqua" w:hAnsi="Book Antiqua" w:cs="Book Antiqua"/>
          <w:color w:val="000000"/>
        </w:rPr>
        <w:t>f</w:t>
      </w:r>
      <w:r w:rsidR="000A23A3" w:rsidRPr="004E727A">
        <w:rPr>
          <w:rFonts w:ascii="Book Antiqua" w:eastAsia="Book Antiqua" w:hAnsi="Book Antiqua" w:cs="Book Antiqua"/>
          <w:color w:val="000000"/>
        </w:rPr>
        <w:t xml:space="preserve">ecal microbiota transplantation </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FMT</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 xml:space="preserve">C: </w:t>
      </w:r>
      <w:r w:rsidR="000A23A3" w:rsidRPr="004E727A">
        <w:rPr>
          <w:rFonts w:ascii="Book Antiqua" w:eastAsia="Book Antiqua" w:hAnsi="Book Antiqua" w:cs="Book Antiqua"/>
          <w:color w:val="000000"/>
        </w:rPr>
        <w:t>60-g FMT</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D: R</w:t>
      </w:r>
      <w:r w:rsidR="000A23A3" w:rsidRPr="004E727A">
        <w:rPr>
          <w:rFonts w:ascii="Book Antiqua" w:eastAsia="Book Antiqua" w:hAnsi="Book Antiqua" w:cs="Book Antiqua"/>
          <w:color w:val="000000"/>
        </w:rPr>
        <w:t>esponders</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E: N</w:t>
      </w:r>
      <w:r w:rsidR="000A23A3" w:rsidRPr="004E727A">
        <w:rPr>
          <w:rFonts w:ascii="Book Antiqua" w:eastAsia="Book Antiqua" w:hAnsi="Book Antiqua" w:cs="Book Antiqua"/>
          <w:color w:val="000000"/>
        </w:rPr>
        <w:t>onresponders</w:t>
      </w:r>
      <w:r w:rsidR="000A23A3"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Fecal samples before and after transplantation are indicated by pink circles and blue triangles, respectively. The ellipses cover 80% of the samples within a group.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31FF865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16F279E2" wp14:editId="6F3A8C1F">
            <wp:extent cx="4257675" cy="4257675"/>
            <wp:effectExtent l="0" t="0" r="0" b="0"/>
            <wp:docPr id="10"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AB0D6749-EB69-9C43-8670-9C6BD42CAA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AB0D6749-EB69-9C43-8670-9C6BD42CAA0F}"/>
                        </a:ext>
                      </a:extLst>
                    </pic:cNvPr>
                    <pic:cNvPicPr>
                      <a:picLocks noChangeAspect="1"/>
                    </pic:cNvPicPr>
                  </pic:nvPicPr>
                  <pic:blipFill>
                    <a:blip r:embed="rId15"/>
                    <a:stretch>
                      <a:fillRect/>
                    </a:stretch>
                  </pic:blipFill>
                  <pic:spPr>
                    <a:xfrm>
                      <a:off x="0" y="0"/>
                      <a:ext cx="4257675" cy="4257675"/>
                    </a:xfrm>
                    <a:prstGeom prst="rect">
                      <a:avLst/>
                    </a:prstGeom>
                  </pic:spPr>
                </pic:pic>
              </a:graphicData>
            </a:graphic>
          </wp:inline>
        </w:drawing>
      </w:r>
    </w:p>
    <w:p w14:paraId="32D29B84" w14:textId="264A0857"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005D352F" w:rsidRPr="004E727A">
        <w:rPr>
          <w:rFonts w:ascii="Book Antiqua" w:hAnsi="Book Antiqua" w:cs="Book Antiqua"/>
          <w:b/>
          <w:bCs/>
          <w:color w:val="000000"/>
        </w:rPr>
        <w:t>8</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 xml:space="preserve">Box plots of the logarithm of the difference in signals between baseline and 1 mo after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Pr="004E727A">
        <w:rPr>
          <w:rFonts w:ascii="Book Antiqua" w:eastAsia="Book Antiqua" w:hAnsi="Book Antiqua" w:cs="Book Antiqua"/>
          <w:b/>
          <w:color w:val="000000"/>
        </w:rPr>
        <w:t xml:space="preserve">for the responders in both the 30-g and 60-g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Pr="004E727A">
        <w:rPr>
          <w:rFonts w:ascii="Book Antiqua" w:eastAsia="Book Antiqua" w:hAnsi="Book Antiqua" w:cs="Book Antiqua"/>
          <w:b/>
          <w:color w:val="000000"/>
        </w:rPr>
        <w:t>groups.</w:t>
      </w:r>
      <w:r w:rsidRPr="004E727A">
        <w:rPr>
          <w:rFonts w:ascii="Book Antiqua" w:eastAsia="Book Antiqua" w:hAnsi="Book Antiqua" w:cs="Book Antiqua"/>
          <w:color w:val="000000"/>
        </w:rPr>
        <w:t xml:space="preserve"> Red stippled line indicates 0, where no change occurred between before and after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 xml:space="preserve">ecal microbiota transplantation </w:t>
      </w:r>
      <w:r w:rsidR="008F1240" w:rsidRPr="004E727A">
        <w:rPr>
          <w:rFonts w:ascii="Book Antiqua" w:hAnsi="Book Antiqua" w:cs="Book Antiqua"/>
          <w:color w:val="000000"/>
        </w:rPr>
        <w:t>(</w:t>
      </w:r>
      <w:r w:rsidRPr="004E727A">
        <w:rPr>
          <w:rFonts w:ascii="Book Antiqua" w:eastAsia="Book Antiqua" w:hAnsi="Book Antiqua" w:cs="Book Antiqua"/>
          <w:color w:val="000000"/>
        </w:rPr>
        <w:t>FMT</w:t>
      </w:r>
      <w:r w:rsidR="008F1240" w:rsidRPr="004E727A">
        <w:rPr>
          <w:rFonts w:ascii="Book Antiqua" w:hAnsi="Book Antiqua" w:cs="Book Antiqua"/>
          <w:color w:val="000000"/>
        </w:rPr>
        <w:t>)</w:t>
      </w:r>
      <w:r w:rsidRPr="004E727A">
        <w:rPr>
          <w:rFonts w:ascii="Book Antiqua" w:eastAsia="Book Antiqua" w:hAnsi="Book Antiqua" w:cs="Book Antiqua"/>
          <w:color w:val="000000"/>
        </w:rPr>
        <w:t>. Signals after FMT in responders were higher for </w:t>
      </w:r>
      <w:r w:rsidRPr="004E727A">
        <w:rPr>
          <w:rFonts w:ascii="Book Antiqua" w:eastAsia="Book Antiqua" w:hAnsi="Book Antiqua" w:cs="Book Antiqua"/>
          <w:i/>
          <w:iCs/>
          <w:color w:val="000000"/>
        </w:rPr>
        <w:t>Eubacterium biforme</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color w:val="000000"/>
        </w:rPr>
        <w:t> spp., and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 and lower for </w:t>
      </w:r>
      <w:r w:rsidRPr="004E727A">
        <w:rPr>
          <w:rFonts w:ascii="Book Antiqua" w:eastAsia="Book Antiqua" w:hAnsi="Book Antiqua" w:cs="Book Antiqua"/>
          <w:i/>
          <w:iCs/>
          <w:color w:val="000000"/>
        </w:rPr>
        <w:t>Bacteroides</w:t>
      </w:r>
      <w:r w:rsidRPr="004E727A">
        <w:rPr>
          <w:rFonts w:ascii="Book Antiqua" w:eastAsia="Book Antiqua" w:hAnsi="Book Antiqua" w:cs="Book Antiqua"/>
          <w:color w:val="000000"/>
        </w:rPr>
        <w:t> spp.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54A4E8D9"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341E63DE" wp14:editId="0CEA16FD">
            <wp:extent cx="4509827" cy="4972050"/>
            <wp:effectExtent l="0" t="0" r="0" b="0"/>
            <wp:docPr id="9"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180D10B0-8C61-9C45-B741-B484E7114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180D10B0-8C61-9C45-B741-B484E7114F71}"/>
                        </a:ext>
                      </a:extLst>
                    </pic:cNvPr>
                    <pic:cNvPicPr>
                      <a:picLocks noChangeAspect="1"/>
                    </pic:cNvPicPr>
                  </pic:nvPicPr>
                  <pic:blipFill rotWithShape="1">
                    <a:blip r:embed="rId16"/>
                    <a:srcRect b="22000"/>
                    <a:stretch/>
                  </pic:blipFill>
                  <pic:spPr>
                    <a:xfrm>
                      <a:off x="0" y="0"/>
                      <a:ext cx="4514623" cy="4977337"/>
                    </a:xfrm>
                    <a:prstGeom prst="rect">
                      <a:avLst/>
                    </a:prstGeom>
                  </pic:spPr>
                </pic:pic>
              </a:graphicData>
            </a:graphic>
          </wp:inline>
        </w:drawing>
      </w:r>
    </w:p>
    <w:p w14:paraId="5585BB2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Figure </w:t>
      </w:r>
      <w:r w:rsidR="005D352F" w:rsidRPr="004E727A">
        <w:rPr>
          <w:rFonts w:ascii="Book Antiqua" w:hAnsi="Book Antiqua" w:cs="Book Antiqua"/>
          <w:b/>
          <w:bCs/>
          <w:color w:val="000000"/>
          <w:lang w:eastAsia="zh-CN"/>
        </w:rPr>
        <w:t>9</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Differences in signals for </w:t>
      </w:r>
      <w:r w:rsidRPr="004E727A">
        <w:rPr>
          <w:rFonts w:ascii="Book Antiqua" w:eastAsia="Book Antiqua" w:hAnsi="Book Antiqua" w:cs="Book Antiqua"/>
          <w:b/>
          <w:i/>
          <w:iCs/>
          <w:color w:val="000000"/>
        </w:rPr>
        <w:t>Eubacterium biforme</w:t>
      </w:r>
      <w:r w:rsidRPr="004E727A">
        <w:rPr>
          <w:rFonts w:ascii="Book Antiqua" w:eastAsia="Book Antiqua" w:hAnsi="Book Antiqua" w:cs="Book Antiqua"/>
          <w:b/>
          <w:color w:val="000000"/>
        </w:rPr>
        <w:t xml:space="preserve"> in the responder, nonresponder, and placebo groups between before and 1 mo after transplantation. </w:t>
      </w:r>
      <w:r w:rsidRPr="004E727A">
        <w:rPr>
          <w:rFonts w:ascii="Book Antiqua" w:eastAsia="Book Antiqua" w:hAnsi="Book Antiqua" w:cs="Book Antiqua"/>
          <w:color w:val="000000"/>
        </w:rPr>
        <w:t>There were significant changes in the signal levels in responders (</w:t>
      </w:r>
      <w:r w:rsidR="004D6BFC" w:rsidRPr="004E727A">
        <w:rPr>
          <w:rFonts w:ascii="Book Antiqua" w:eastAsia="Book Antiqua" w:hAnsi="Book Antiqua" w:cs="Book Antiqua"/>
          <w:i/>
          <w:color w:val="000000"/>
        </w:rPr>
        <w:t>P</w:t>
      </w:r>
      <w:r w:rsidR="004D6BFC"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4D6BFC"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0.001). The nonresponders also exhibited increased signal levels, though the changes were smaller than those in the responders. </w:t>
      </w:r>
      <w:r w:rsidR="004D6BFC" w:rsidRPr="004E727A">
        <w:rPr>
          <w:rFonts w:ascii="Book Antiqua" w:hAnsi="Book Antiqua" w:cs="Book Antiqua"/>
          <w:color w:val="000000"/>
          <w:lang w:eastAsia="zh-CN"/>
        </w:rPr>
        <w:t xml:space="preserve">A: </w:t>
      </w:r>
      <w:r w:rsidRPr="004E727A">
        <w:rPr>
          <w:rFonts w:ascii="Book Antiqua" w:eastAsia="Book Antiqua" w:hAnsi="Book Antiqua" w:cs="Book Antiqua"/>
          <w:color w:val="000000"/>
        </w:rPr>
        <w:t>The signal level did not change in the placebo group</w:t>
      </w:r>
      <w:r w:rsidR="004D6BFC"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w:t>
      </w:r>
      <w:r w:rsidR="004D6BFC" w:rsidRPr="004E727A">
        <w:rPr>
          <w:rFonts w:ascii="Book Antiqua" w:hAnsi="Book Antiqua" w:cs="Book Antiqua"/>
          <w:color w:val="000000"/>
          <w:lang w:eastAsia="zh-CN"/>
        </w:rPr>
        <w:t xml:space="preserve">B: </w:t>
      </w:r>
      <w:r w:rsidRPr="004E727A">
        <w:rPr>
          <w:rFonts w:ascii="Book Antiqua" w:eastAsia="Book Antiqua" w:hAnsi="Book Antiqua" w:cs="Book Antiqua"/>
          <w:color w:val="000000"/>
        </w:rPr>
        <w:t>Signal levels at baseline were similar in the responder, nonresponder, and placebo groups, but they were higher for the superdonor</w:t>
      </w:r>
      <w:r w:rsidR="004D6BFC" w:rsidRPr="004E727A">
        <w:rPr>
          <w:rFonts w:ascii="Book Antiqua" w:hAnsi="Book Antiqua" w:cs="Book Antiqua"/>
          <w:color w:val="000000"/>
          <w:lang w:eastAsia="zh-CN"/>
        </w:rPr>
        <w:t>; C:</w:t>
      </w:r>
      <w:r w:rsidRPr="004E727A">
        <w:rPr>
          <w:rFonts w:ascii="Book Antiqua" w:eastAsia="Book Antiqua" w:hAnsi="Book Antiqua" w:cs="Book Antiqua"/>
          <w:color w:val="000000"/>
        </w:rPr>
        <w:t xml:space="preserve"> The signal levels in the responders and nonresponders became as high as that for the superdonor after </w:t>
      </w:r>
      <w:r w:rsidR="008F1240" w:rsidRPr="004E727A">
        <w:rPr>
          <w:rFonts w:ascii="Book Antiqua" w:hAnsi="Book Antiqua" w:cs="Book Antiqua"/>
          <w:color w:val="000000"/>
          <w:lang w:eastAsia="zh-CN"/>
        </w:rPr>
        <w:t>f</w:t>
      </w:r>
      <w:r w:rsidR="008F1240" w:rsidRPr="004E727A">
        <w:rPr>
          <w:rFonts w:ascii="Book Antiqua" w:eastAsia="Book Antiqua" w:hAnsi="Book Antiqua" w:cs="Book Antiqua"/>
          <w:color w:val="000000"/>
        </w:rPr>
        <w:t>ecal microbiota transplantation</w:t>
      </w:r>
      <w:r w:rsidRPr="004E727A">
        <w:rPr>
          <w:rFonts w:ascii="Book Antiqua" w:eastAsia="Book Antiqua" w:hAnsi="Book Antiqua" w:cs="Book Antiqua"/>
          <w:color w:val="000000"/>
        </w:rPr>
        <w:t>, while that in the placebo group did not change.</w:t>
      </w:r>
    </w:p>
    <w:p w14:paraId="0668A2DB"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0B80AB80" wp14:editId="1D497BF4">
            <wp:extent cx="5311470" cy="6639339"/>
            <wp:effectExtent l="0" t="0" r="3810" b="9525"/>
            <wp:docPr id="8" name="Content Placeholder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FF6D2592-9E57-334B-8286-C693575DEBB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FF6D2592-9E57-334B-8286-C693575DEBBD}"/>
                        </a:ext>
                      </a:extLst>
                    </pic:cNvPr>
                    <pic:cNvPicPr>
                      <a:picLocks noGrp="1" noChangeAspect="1"/>
                    </pic:cNvPicPr>
                  </pic:nvPicPr>
                  <pic:blipFill>
                    <a:blip r:embed="rId17"/>
                    <a:stretch>
                      <a:fillRect/>
                    </a:stretch>
                  </pic:blipFill>
                  <pic:spPr>
                    <a:xfrm>
                      <a:off x="0" y="0"/>
                      <a:ext cx="5317179" cy="6646475"/>
                    </a:xfrm>
                    <a:prstGeom prst="rect">
                      <a:avLst/>
                    </a:prstGeom>
                  </pic:spPr>
                </pic:pic>
              </a:graphicData>
            </a:graphic>
          </wp:inline>
        </w:drawing>
      </w:r>
    </w:p>
    <w:p w14:paraId="773C5212" w14:textId="5CE7A126"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0</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Differences in signals for </w:t>
      </w:r>
      <w:r w:rsidRPr="004E727A">
        <w:rPr>
          <w:rFonts w:ascii="Book Antiqua" w:eastAsia="Book Antiqua" w:hAnsi="Book Antiqua" w:cs="Book Antiqua"/>
          <w:b/>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b/>
          <w:color w:val="000000"/>
        </w:rPr>
        <w:t>spp. in the responder, nonresponder, and placebo groups between before and 1 mo after transplantation.</w:t>
      </w:r>
      <w:r w:rsidRPr="004E727A">
        <w:rPr>
          <w:rFonts w:ascii="Book Antiqua" w:eastAsia="Book Antiqua" w:hAnsi="Book Antiqua" w:cs="Book Antiqua"/>
          <w:color w:val="000000"/>
        </w:rPr>
        <w:t xml:space="preserve"> There were significant changes in the signal levels in responders (</w:t>
      </w:r>
      <w:r w:rsidR="00622788" w:rsidRPr="004E727A">
        <w:rPr>
          <w:rFonts w:ascii="Book Antiqua" w:eastAsia="Book Antiqua" w:hAnsi="Book Antiqua" w:cs="Book Antiqua"/>
          <w:i/>
          <w:color w:val="000000"/>
        </w:rPr>
        <w:t>P</w:t>
      </w:r>
      <w:r w:rsidR="00622788" w:rsidRPr="004E727A">
        <w:rPr>
          <w:rFonts w:ascii="Book Antiqua" w:hAnsi="Book Antiqua" w:cs="Book Antiqua"/>
          <w:color w:val="000000"/>
        </w:rPr>
        <w:t xml:space="preserve"> </w:t>
      </w:r>
      <w:r w:rsidRPr="004E727A">
        <w:rPr>
          <w:rFonts w:ascii="Book Antiqua" w:eastAsia="Book Antiqua" w:hAnsi="Book Antiqua" w:cs="Book Antiqua"/>
          <w:color w:val="000000"/>
        </w:rPr>
        <w:t>&lt;</w:t>
      </w:r>
      <w:r w:rsidR="00622788" w:rsidRPr="004E727A">
        <w:rPr>
          <w:rFonts w:ascii="Book Antiqua" w:hAnsi="Book Antiqua" w:cs="Book Antiqua"/>
          <w:color w:val="000000"/>
        </w:rPr>
        <w:t xml:space="preserve"> </w:t>
      </w:r>
      <w:r w:rsidRPr="004E727A">
        <w:rPr>
          <w:rFonts w:ascii="Book Antiqua" w:eastAsia="Book Antiqua" w:hAnsi="Book Antiqua" w:cs="Book Antiqua"/>
          <w:color w:val="000000"/>
        </w:rPr>
        <w:t xml:space="preserve">0.001). </w:t>
      </w:r>
      <w:r w:rsidR="00622788" w:rsidRPr="004E727A">
        <w:rPr>
          <w:rFonts w:ascii="Book Antiqua" w:hAnsi="Book Antiqua" w:cs="Book Antiqua"/>
          <w:color w:val="000000"/>
        </w:rPr>
        <w:t xml:space="preserve">A: </w:t>
      </w:r>
      <w:r w:rsidRPr="004E727A">
        <w:rPr>
          <w:rFonts w:ascii="Book Antiqua" w:eastAsia="Book Antiqua" w:hAnsi="Book Antiqua" w:cs="Book Antiqua"/>
          <w:color w:val="000000"/>
        </w:rPr>
        <w:t>The nonresponders exhibited similar signal levels to those in the responders, while there was no change in the placebo group</w:t>
      </w:r>
      <w:r w:rsidR="00622788" w:rsidRPr="004E727A">
        <w:rPr>
          <w:rFonts w:ascii="Book Antiqua" w:hAnsi="Book Antiqua" w:cs="Book Antiqua"/>
          <w:color w:val="000000"/>
        </w:rPr>
        <w:t>; B:</w:t>
      </w:r>
      <w:r w:rsidRPr="004E727A">
        <w:rPr>
          <w:rFonts w:ascii="Book Antiqua" w:eastAsia="Book Antiqua" w:hAnsi="Book Antiqua" w:cs="Book Antiqua"/>
          <w:color w:val="000000"/>
        </w:rPr>
        <w:t xml:space="preserve"> The signal levels in the responder, nonresponder, and placebo groups were similar, but it was higher for the superdonor</w:t>
      </w:r>
      <w:r w:rsidR="00622788" w:rsidRPr="004E727A">
        <w:rPr>
          <w:rFonts w:ascii="Book Antiqua" w:hAnsi="Book Antiqua" w:cs="Book Antiqua"/>
          <w:color w:val="000000"/>
        </w:rPr>
        <w:t>;</w:t>
      </w:r>
      <w:r w:rsidRPr="004E727A">
        <w:rPr>
          <w:rFonts w:ascii="Book Antiqua" w:eastAsia="Book Antiqua" w:hAnsi="Book Antiqua" w:cs="Book Antiqua"/>
          <w:color w:val="000000"/>
        </w:rPr>
        <w:t xml:space="preserve"> </w:t>
      </w:r>
      <w:r w:rsidR="00622788" w:rsidRPr="004E727A">
        <w:rPr>
          <w:rFonts w:ascii="Book Antiqua" w:hAnsi="Book Antiqua" w:cs="Book Antiqua"/>
          <w:color w:val="000000"/>
        </w:rPr>
        <w:t xml:space="preserve">C: </w:t>
      </w:r>
      <w:r w:rsidRPr="004E727A">
        <w:rPr>
          <w:rFonts w:ascii="Book Antiqua" w:eastAsia="Book Antiqua" w:hAnsi="Book Antiqua" w:cs="Book Antiqua"/>
          <w:color w:val="000000"/>
        </w:rPr>
        <w:t>After transplantation, the signal levels in responders and nonresponders became similar to that for the superdonor, while that in the placebo group did not differ</w:t>
      </w:r>
      <w:r w:rsidR="00622788" w:rsidRPr="004E727A">
        <w:rPr>
          <w:rFonts w:ascii="Book Antiqua" w:eastAsia="Book Antiqua" w:hAnsi="Book Antiqua" w:cs="Book Antiqua"/>
          <w:color w:val="000000"/>
        </w:rPr>
        <w:t xml:space="preserve"> from the baselin</w:t>
      </w:r>
      <w:r w:rsidR="00622788" w:rsidRPr="004E727A">
        <w:rPr>
          <w:rFonts w:ascii="Book Antiqua" w:hAnsi="Book Antiqua" w:cs="Book Antiqua"/>
          <w:color w:val="000000"/>
        </w:rPr>
        <w:t xml:space="preserv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60256450"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4B869319" wp14:editId="34823C26">
            <wp:extent cx="5352727" cy="6694998"/>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4310" cy="6709485"/>
                    </a:xfrm>
                    <a:prstGeom prst="rect">
                      <a:avLst/>
                    </a:prstGeom>
                    <a:noFill/>
                  </pic:spPr>
                </pic:pic>
              </a:graphicData>
            </a:graphic>
          </wp:inline>
        </w:drawing>
      </w:r>
    </w:p>
    <w:p w14:paraId="158640EF" w14:textId="67D77D97"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1</w:t>
      </w:r>
      <w:r w:rsidRPr="004E727A">
        <w:rPr>
          <w:rFonts w:ascii="Book Antiqua" w:eastAsia="Book Antiqua" w:hAnsi="Book Antiqua" w:cs="Book Antiqua"/>
          <w:color w:val="000000"/>
        </w:rPr>
        <w:t> </w:t>
      </w:r>
      <w:r w:rsidR="0049241D" w:rsidRPr="004E727A">
        <w:rPr>
          <w:rFonts w:ascii="Book Antiqua" w:eastAsia="Book Antiqua" w:hAnsi="Book Antiqua" w:cs="Book Antiqua"/>
          <w:b/>
          <w:color w:val="000000"/>
          <w:lang w:val="nb-NO"/>
        </w:rPr>
        <w:t xml:space="preserve">Changes in signals for </w:t>
      </w:r>
      <w:r w:rsidR="0049241D" w:rsidRPr="004E727A">
        <w:rPr>
          <w:rFonts w:ascii="Book Antiqua" w:eastAsia="Book Antiqua" w:hAnsi="Book Antiqua" w:cs="Book Antiqua"/>
          <w:b/>
          <w:i/>
          <w:iCs/>
          <w:color w:val="000000"/>
        </w:rPr>
        <w:t>Alistipes </w:t>
      </w:r>
      <w:r w:rsidR="0049241D" w:rsidRPr="004E727A">
        <w:rPr>
          <w:rFonts w:ascii="Book Antiqua" w:eastAsia="Book Antiqua" w:hAnsi="Book Antiqua" w:cs="Book Antiqua"/>
          <w:b/>
          <w:color w:val="000000"/>
        </w:rPr>
        <w:t>spp.</w:t>
      </w:r>
      <w:r w:rsidR="00FB7A3C" w:rsidRPr="004E727A">
        <w:rPr>
          <w:rFonts w:ascii="Book Antiqua" w:eastAsiaTheme="minorEastAsia" w:hAnsi="Book Antiqua" w:cs="Book Antiqua"/>
          <w:b/>
          <w:color w:val="000000"/>
        </w:rPr>
        <w:t xml:space="preserve"> </w:t>
      </w:r>
      <w:r w:rsidR="0049241D" w:rsidRPr="004E727A">
        <w:rPr>
          <w:rFonts w:ascii="Book Antiqua" w:eastAsia="Book Antiqua" w:hAnsi="Book Antiqua" w:cs="Book Antiqua"/>
          <w:b/>
          <w:color w:val="000000"/>
          <w:lang w:val="nb-NO"/>
        </w:rPr>
        <w:t xml:space="preserve">in responders, nonresponders, and placebo groups as well as in the donor. </w:t>
      </w:r>
      <w:r w:rsidR="000F42B4" w:rsidRPr="004E727A">
        <w:rPr>
          <w:rFonts w:ascii="Book Antiqua" w:hAnsi="Book Antiqua" w:cs="Book Antiqua"/>
          <w:color w:val="000000"/>
        </w:rPr>
        <w:t xml:space="preserve">A: </w:t>
      </w:r>
      <w:r w:rsidRPr="004E727A">
        <w:rPr>
          <w:rFonts w:ascii="Book Antiqua" w:eastAsia="Book Antiqua" w:hAnsi="Book Antiqua" w:cs="Book Antiqua"/>
          <w:color w:val="000000"/>
        </w:rPr>
        <w:t>Differences in signals for </w:t>
      </w:r>
      <w:r w:rsidRPr="004E727A">
        <w:rPr>
          <w:rFonts w:ascii="Book Antiqua" w:eastAsia="Book Antiqua" w:hAnsi="Book Antiqua" w:cs="Book Antiqua"/>
          <w:i/>
          <w:iCs/>
          <w:color w:val="000000"/>
        </w:rPr>
        <w:t>Alistipes </w:t>
      </w:r>
      <w:r w:rsidRPr="004E727A">
        <w:rPr>
          <w:rFonts w:ascii="Book Antiqua" w:eastAsia="Book Antiqua" w:hAnsi="Book Antiqua" w:cs="Book Antiqua"/>
          <w:color w:val="000000"/>
        </w:rPr>
        <w:t>spp. between before and 1 mo after transplantation in the responder, nonresponder, and placebo groups</w:t>
      </w:r>
      <w:r w:rsidR="000F42B4" w:rsidRPr="004E727A">
        <w:rPr>
          <w:rFonts w:ascii="Book Antiqua" w:hAnsi="Book Antiqua" w:cs="Book Antiqua"/>
          <w:color w:val="000000"/>
        </w:rPr>
        <w:t>; B:</w:t>
      </w:r>
      <w:r w:rsidRPr="004E727A">
        <w:rPr>
          <w:rFonts w:ascii="Book Antiqua" w:eastAsia="Book Antiqua" w:hAnsi="Book Antiqua" w:cs="Book Antiqua"/>
          <w:color w:val="000000"/>
        </w:rPr>
        <w:t xml:space="preserve"> There were significant changes in the signals level in responders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0.004). The signal levels also changed in nonresponders, but they did not change in the placebo group. Signal levels at baseline in the responder, nonresponder, and placebo groups as well as the superdonor</w:t>
      </w:r>
      <w:r w:rsidR="000F42B4" w:rsidRPr="004E727A">
        <w:rPr>
          <w:rFonts w:ascii="Book Antiqua" w:hAnsi="Book Antiqua" w:cs="Book Antiqua"/>
          <w:color w:val="000000"/>
        </w:rPr>
        <w:t>; C:</w:t>
      </w:r>
      <w:r w:rsidRPr="004E727A">
        <w:rPr>
          <w:rFonts w:ascii="Book Antiqua" w:eastAsia="Book Antiqua" w:hAnsi="Book Antiqua" w:cs="Book Antiqua"/>
          <w:color w:val="000000"/>
        </w:rPr>
        <w:t xml:space="preserve"> The baseline signal levels were similar in the responder, nonresponder, and placebo groups, while that for the superdonor was higher. Signal levels in the responder, nonresponder, and placebo groups and the superdonor afte</w:t>
      </w:r>
      <w:r w:rsidR="000F42B4" w:rsidRPr="004E727A">
        <w:rPr>
          <w:rFonts w:ascii="Book Antiqua" w:eastAsia="Book Antiqua" w:hAnsi="Book Antiqua" w:cs="Book Antiqua"/>
          <w:color w:val="000000"/>
        </w:rPr>
        <w:t>r transplantation</w:t>
      </w:r>
      <w:r w:rsidRPr="004E727A">
        <w:rPr>
          <w:rFonts w:ascii="Book Antiqua" w:eastAsia="Book Antiqua" w:hAnsi="Book Antiqua" w:cs="Book Antiqua"/>
          <w:color w:val="000000"/>
        </w:rPr>
        <w:t>. The signal levels were similar in responders, nonresponders and the superdonor, while it was lower in the placebo group.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5A75CB91"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39CCDFDB" wp14:editId="178A8296">
            <wp:extent cx="5849982" cy="5979381"/>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6635" cy="5986182"/>
                    </a:xfrm>
                    <a:prstGeom prst="rect">
                      <a:avLst/>
                    </a:prstGeom>
                    <a:noFill/>
                  </pic:spPr>
                </pic:pic>
              </a:graphicData>
            </a:graphic>
          </wp:inline>
        </w:drawing>
      </w:r>
    </w:p>
    <w:p w14:paraId="740F6319" w14:textId="3594B850"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2</w:t>
      </w:r>
      <w:r w:rsidRPr="004E727A">
        <w:rPr>
          <w:rFonts w:ascii="Book Antiqua" w:eastAsia="Book Antiqua" w:hAnsi="Book Antiqua" w:cs="Book Antiqua"/>
          <w:b/>
          <w:color w:val="000000"/>
        </w:rPr>
        <w:t> </w:t>
      </w:r>
      <w:r w:rsidR="0049241D" w:rsidRPr="004E727A">
        <w:rPr>
          <w:rFonts w:ascii="Book Antiqua" w:eastAsia="Book Antiqua" w:hAnsi="Book Antiqua" w:cs="Book Antiqua"/>
          <w:b/>
          <w:color w:val="000000"/>
          <w:lang w:val="nb-NO"/>
        </w:rPr>
        <w:t xml:space="preserve">Changes in signals for </w:t>
      </w:r>
      <w:r w:rsidR="0049241D" w:rsidRPr="004E727A">
        <w:rPr>
          <w:rFonts w:ascii="Book Antiqua" w:eastAsia="Book Antiqua" w:hAnsi="Book Antiqua" w:cs="Book Antiqua"/>
          <w:b/>
          <w:i/>
          <w:iCs/>
          <w:color w:val="000000"/>
        </w:rPr>
        <w:t>Bacteroides </w:t>
      </w:r>
      <w:r w:rsidR="0049241D" w:rsidRPr="004E727A">
        <w:rPr>
          <w:rFonts w:ascii="Book Antiqua" w:eastAsia="Book Antiqua" w:hAnsi="Book Antiqua" w:cs="Book Antiqua"/>
          <w:b/>
          <w:color w:val="000000"/>
        </w:rPr>
        <w:t xml:space="preserve">spp. </w:t>
      </w:r>
      <w:r w:rsidR="0049241D" w:rsidRPr="004E727A">
        <w:rPr>
          <w:rFonts w:ascii="Book Antiqua" w:eastAsia="Book Antiqua" w:hAnsi="Book Antiqua" w:cs="Book Antiqua"/>
          <w:b/>
          <w:color w:val="000000"/>
          <w:lang w:val="nb-NO"/>
        </w:rPr>
        <w:t>in responders, nonresponders, and placebo groups as well as in the donor.</w:t>
      </w:r>
      <w:r w:rsidR="0049241D" w:rsidRPr="004E727A">
        <w:rPr>
          <w:rFonts w:ascii="Book Antiqua" w:hAnsi="Book Antiqua" w:cs="Book Antiqua"/>
          <w:b/>
          <w:color w:val="000000"/>
        </w:rPr>
        <w:t xml:space="preserve"> </w:t>
      </w:r>
      <w:r w:rsidRPr="004E727A">
        <w:rPr>
          <w:rFonts w:ascii="Book Antiqua" w:hAnsi="Book Antiqua" w:cs="Book Antiqua"/>
          <w:color w:val="000000"/>
        </w:rPr>
        <w:t xml:space="preserve">A: </w:t>
      </w:r>
      <w:r w:rsidRPr="004E727A">
        <w:rPr>
          <w:rFonts w:ascii="Book Antiqua" w:eastAsia="Book Antiqua" w:hAnsi="Book Antiqua" w:cs="Book Antiqua"/>
          <w:color w:val="000000"/>
        </w:rPr>
        <w:t>Differences in signals for </w:t>
      </w:r>
      <w:r w:rsidRPr="004E727A">
        <w:rPr>
          <w:rFonts w:ascii="Book Antiqua" w:eastAsia="Book Antiqua" w:hAnsi="Book Antiqua" w:cs="Book Antiqua"/>
          <w:i/>
          <w:iCs/>
          <w:color w:val="000000"/>
        </w:rPr>
        <w:t>Bacteroides </w:t>
      </w:r>
      <w:r w:rsidRPr="004E727A">
        <w:rPr>
          <w:rFonts w:ascii="Book Antiqua" w:eastAsia="Book Antiqua" w:hAnsi="Book Antiqua" w:cs="Book Antiqua"/>
          <w:color w:val="000000"/>
        </w:rPr>
        <w:t xml:space="preserve">spp. between before and 1 mo after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ecal microbiota transplantation</w:t>
      </w:r>
      <w:r w:rsidRPr="004E727A">
        <w:rPr>
          <w:rFonts w:ascii="Book Antiqua" w:eastAsia="Book Antiqua" w:hAnsi="Book Antiqua" w:cs="Book Antiqua"/>
          <w:color w:val="000000"/>
        </w:rPr>
        <w:t xml:space="preserve"> in the responder, nonresponder, and placebo groups</w:t>
      </w:r>
      <w:r w:rsidRPr="004E727A">
        <w:rPr>
          <w:rFonts w:ascii="Book Antiqua" w:hAnsi="Book Antiqua" w:cs="Book Antiqua"/>
          <w:color w:val="000000"/>
        </w:rPr>
        <w:t>;</w:t>
      </w:r>
      <w:r w:rsidRPr="004E727A">
        <w:rPr>
          <w:rFonts w:ascii="Book Antiqua" w:eastAsia="Book Antiqua" w:hAnsi="Book Antiqua" w:cs="Book Antiqua"/>
          <w:color w:val="000000"/>
        </w:rPr>
        <w:t xml:space="preserve"> </w:t>
      </w:r>
      <w:r w:rsidRPr="004E727A">
        <w:rPr>
          <w:rFonts w:ascii="Book Antiqua" w:hAnsi="Book Antiqua" w:cs="Book Antiqua"/>
          <w:color w:val="000000"/>
        </w:rPr>
        <w:t xml:space="preserve">B: </w:t>
      </w:r>
      <w:r w:rsidRPr="004E727A">
        <w:rPr>
          <w:rFonts w:ascii="Book Antiqua" w:eastAsia="Book Antiqua" w:hAnsi="Book Antiqua" w:cs="Book Antiqua"/>
          <w:color w:val="000000"/>
        </w:rPr>
        <w:t>There were significant changes in the signal levels in responders (</w:t>
      </w:r>
      <w:r w:rsidRPr="004E727A">
        <w:rPr>
          <w:rFonts w:ascii="Book Antiqua" w:eastAsia="Book Antiqua" w:hAnsi="Book Antiqua" w:cs="Book Antiqua"/>
          <w:i/>
          <w:color w:val="000000"/>
        </w:rPr>
        <w:t>P</w:t>
      </w:r>
      <w:r w:rsidRPr="004E727A">
        <w:rPr>
          <w:rFonts w:ascii="Book Antiqua" w:hAnsi="Book Antiqua" w:cs="Book Antiqua"/>
          <w:color w:val="000000"/>
        </w:rPr>
        <w:t xml:space="preserve"> </w:t>
      </w:r>
      <w:r w:rsidRPr="004E727A">
        <w:rPr>
          <w:rFonts w:ascii="Book Antiqua" w:eastAsia="Book Antiqua" w:hAnsi="Book Antiqua" w:cs="Book Antiqua"/>
          <w:color w:val="000000"/>
        </w:rPr>
        <w:t>&lt;</w:t>
      </w:r>
      <w:r w:rsidRPr="004E727A">
        <w:rPr>
          <w:rFonts w:ascii="Book Antiqua" w:hAnsi="Book Antiqua" w:cs="Book Antiqua"/>
          <w:color w:val="000000"/>
        </w:rPr>
        <w:t xml:space="preserve"> </w:t>
      </w:r>
      <w:r w:rsidRPr="004E727A">
        <w:rPr>
          <w:rFonts w:ascii="Book Antiqua" w:eastAsia="Book Antiqua" w:hAnsi="Book Antiqua" w:cs="Book Antiqua"/>
          <w:color w:val="000000"/>
        </w:rPr>
        <w:t>0.034). The nonresponders showed similar changes, while there were no changes observed in the placebo group. Signal levels at baseline in the responder, nonresponder, and placebo groups and for the superdonor</w:t>
      </w:r>
      <w:r w:rsidRPr="004E727A">
        <w:rPr>
          <w:rFonts w:ascii="Book Antiqua" w:hAnsi="Book Antiqua" w:cs="Book Antiqua"/>
          <w:color w:val="000000"/>
        </w:rPr>
        <w:t>; C:</w:t>
      </w:r>
      <w:r w:rsidRPr="004E727A">
        <w:rPr>
          <w:rFonts w:ascii="Book Antiqua" w:eastAsia="Book Antiqua" w:hAnsi="Book Antiqua" w:cs="Book Antiqua"/>
          <w:color w:val="000000"/>
        </w:rPr>
        <w:t xml:space="preserve"> The baseline signal levels were similar in the responder, nonresponder, and placebo groups, and both higher and lower than those for the superdonor. Signal levels in the same groups after transplantation.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859-867. Copyright @BMJ Publishing Group Ltd 2020. Published by BMJ Publishing Group Ltd</w:t>
      </w:r>
      <w:r w:rsidR="00B50C21" w:rsidRPr="004E727A">
        <w:rPr>
          <w:rFonts w:ascii="Book Antiqua" w:hAnsi="Book Antiqua"/>
          <w:vertAlign w:val="superscript"/>
        </w:rPr>
        <w:t>[11]</w:t>
      </w:r>
      <w:r w:rsidR="00B50C21" w:rsidRPr="004E727A">
        <w:rPr>
          <w:rFonts w:ascii="Book Antiqua" w:hAnsi="Book Antiqua"/>
        </w:rPr>
        <w:t>.</w:t>
      </w:r>
    </w:p>
    <w:p w14:paraId="0D59A5BB"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467F061F" wp14:editId="121AB3FF">
            <wp:extent cx="5854530" cy="43910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5208" cy="4391533"/>
                    </a:xfrm>
                    <a:prstGeom prst="rect">
                      <a:avLst/>
                    </a:prstGeom>
                    <a:noFill/>
                  </pic:spPr>
                </pic:pic>
              </a:graphicData>
            </a:graphic>
          </wp:inline>
        </w:drawing>
      </w:r>
    </w:p>
    <w:p w14:paraId="43379CEC" w14:textId="7D6A0B13"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lang w:eastAsia="zh-CN"/>
        </w:rPr>
        <w:t>3</w:t>
      </w:r>
      <w:r w:rsidRPr="004E727A">
        <w:rPr>
          <w:rFonts w:ascii="Book Antiqua" w:eastAsia="Book Antiqua" w:hAnsi="Book Antiqua" w:cs="Book Antiqua"/>
          <w:b/>
          <w:color w:val="000000"/>
        </w:rPr>
        <w:t> </w:t>
      </w:r>
      <w:r w:rsidR="00EC648B" w:rsidRPr="004E727A">
        <w:rPr>
          <w:rFonts w:ascii="Book Antiqua" w:hAnsi="Book Antiqua" w:cs="Book Antiqua"/>
          <w:b/>
          <w:color w:val="000000"/>
          <w:lang w:eastAsia="zh-CN"/>
        </w:rPr>
        <w:t>S</w:t>
      </w:r>
      <w:r w:rsidRPr="004E727A">
        <w:rPr>
          <w:rFonts w:ascii="Book Antiqua" w:eastAsia="Book Antiqua" w:hAnsi="Book Antiqua" w:cs="Book Antiqua"/>
          <w:b/>
          <w:color w:val="000000"/>
        </w:rPr>
        <w:t xml:space="preserve">ignals of nine bacteria had changed at 1 year after </w:t>
      </w:r>
      <w:r w:rsidR="008F1240" w:rsidRPr="004E727A">
        <w:rPr>
          <w:rFonts w:ascii="Book Antiqua" w:hAnsi="Book Antiqua" w:cs="Book Antiqua"/>
          <w:b/>
          <w:color w:val="000000"/>
          <w:lang w:eastAsia="zh-CN"/>
        </w:rPr>
        <w:t>f</w:t>
      </w:r>
      <w:r w:rsidR="008F1240" w:rsidRPr="004E727A">
        <w:rPr>
          <w:rFonts w:ascii="Book Antiqua" w:eastAsia="Book Antiqua" w:hAnsi="Book Antiqua" w:cs="Book Antiqua"/>
          <w:b/>
          <w:color w:val="000000"/>
        </w:rPr>
        <w:t>ecal microbiota transplantation</w:t>
      </w:r>
      <w:r w:rsidRPr="004E727A">
        <w:rPr>
          <w:rFonts w:ascii="Book Antiqua" w:eastAsia="Book Antiqua" w:hAnsi="Book Antiqua" w:cs="Book Antiqua"/>
          <w:b/>
          <w:color w:val="000000"/>
        </w:rPr>
        <w:t xml:space="preserve"> in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r w:rsidRPr="004E727A">
        <w:rPr>
          <w:rFonts w:ascii="Book Antiqua" w:eastAsia="Book Antiqua" w:hAnsi="Book Antiqua" w:cs="Book Antiqua"/>
          <w:b/>
          <w:color w:val="000000"/>
        </w:rPr>
        <w:t xml:space="preserve"> patients that either maintained a response or experienced complete remission. </w:t>
      </w:r>
      <w:r w:rsidR="00EC648B" w:rsidRPr="004E727A">
        <w:rPr>
          <w:rFonts w:ascii="Book Antiqua" w:eastAsia="Book Antiqua" w:hAnsi="Book Antiqua" w:cs="Book Antiqua"/>
          <w:i/>
          <w:color w:val="000000"/>
        </w:rPr>
        <w:t>P</w:t>
      </w:r>
      <w:r w:rsidR="00EC648B"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values are in the upper-left corner, with corrected </w:t>
      </w:r>
      <w:r w:rsidR="00EC648B" w:rsidRPr="004E727A">
        <w:rPr>
          <w:rFonts w:ascii="Book Antiqua" w:eastAsia="Book Antiqua" w:hAnsi="Book Antiqua" w:cs="Book Antiqua"/>
          <w:i/>
          <w:color w:val="000000"/>
        </w:rPr>
        <w:t>P</w:t>
      </w:r>
      <w:r w:rsidR="00EC648B"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values in the upper-right corner. This figure is based on </w:t>
      </w:r>
      <w:r w:rsidR="0049241D" w:rsidRPr="004E727A">
        <w:rPr>
          <w:rFonts w:ascii="Book Antiqua" w:eastAsia="Book Antiqua" w:hAnsi="Book Antiqua" w:cs="Book Antiqua"/>
          <w:color w:val="000000"/>
          <w:lang w:val="nb-NO"/>
        </w:rPr>
        <w:t xml:space="preserve">unpublished </w:t>
      </w:r>
      <w:r w:rsidRPr="004E727A">
        <w:rPr>
          <w:rFonts w:ascii="Book Antiqua" w:eastAsia="Book Antiqua" w:hAnsi="Book Antiqua" w:cs="Book Antiqua"/>
          <w:color w:val="000000"/>
        </w:rPr>
        <w:t xml:space="preserve">data from El-Salhy </w:t>
      </w:r>
      <w:r w:rsidRPr="004E727A">
        <w:rPr>
          <w:rFonts w:ascii="Book Antiqua" w:eastAsia="Book Antiqua" w:hAnsi="Book Antiqua" w:cs="Book Antiqua"/>
          <w:i/>
          <w:iCs/>
          <w:color w:val="000000"/>
        </w:rPr>
        <w:t>et al</w:t>
      </w:r>
      <w:r w:rsidR="0049241D" w:rsidRPr="004E727A">
        <w:rPr>
          <w:rFonts w:ascii="Book Antiqua" w:eastAsia="Book Antiqua" w:hAnsi="Book Antiqua" w:cs="Book Antiqua"/>
          <w:color w:val="000000"/>
          <w:szCs w:val="20"/>
          <w:lang w:val="nb-NO"/>
        </w:rPr>
        <w:t>.</w:t>
      </w:r>
    </w:p>
    <w:p w14:paraId="478BE718"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25780439" wp14:editId="0846B63C">
            <wp:extent cx="5781675" cy="21194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83128" cy="2119948"/>
                    </a:xfrm>
                    <a:prstGeom prst="rect">
                      <a:avLst/>
                    </a:prstGeom>
                    <a:noFill/>
                  </pic:spPr>
                </pic:pic>
              </a:graphicData>
            </a:graphic>
          </wp:inline>
        </w:drawing>
      </w:r>
    </w:p>
    <w:p w14:paraId="2CDAB971" w14:textId="7610A9AF" w:rsidR="004F016B" w:rsidRPr="004E727A" w:rsidRDefault="00737FE9" w:rsidP="004F016B">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4</w:t>
      </w:r>
      <w:r w:rsidRPr="004E727A">
        <w:rPr>
          <w:rFonts w:ascii="Book Antiqua" w:eastAsia="Book Antiqua" w:hAnsi="Book Antiqua" w:cs="Book Antiqua"/>
          <w:color w:val="000000"/>
        </w:rPr>
        <w:t> </w:t>
      </w:r>
      <w:r w:rsidR="0094755E" w:rsidRPr="004E727A">
        <w:rPr>
          <w:rFonts w:ascii="Book Antiqua" w:eastAsia="Book Antiqua" w:hAnsi="Book Antiqua" w:cs="Book Antiqua"/>
          <w:color w:val="000000"/>
          <w:lang w:val="nb-NO"/>
        </w:rPr>
        <w:t xml:space="preserve">The correlation between </w:t>
      </w:r>
      <w:r w:rsidR="0094755E" w:rsidRPr="004E727A">
        <w:rPr>
          <w:rFonts w:ascii="Book Antiqua" w:eastAsia="Book Antiqua" w:hAnsi="Book Antiqua" w:cs="Book Antiqua"/>
          <w:color w:val="000000"/>
        </w:rPr>
        <w:t xml:space="preserve">butyric acid levels </w:t>
      </w:r>
      <w:r w:rsidR="0094755E" w:rsidRPr="004E727A">
        <w:rPr>
          <w:rFonts w:ascii="Book Antiqua" w:eastAsia="Book Antiqua" w:hAnsi="Book Antiqua" w:cs="Book Antiqua"/>
          <w:color w:val="000000"/>
          <w:lang w:val="nb-NO"/>
        </w:rPr>
        <w:t xml:space="preserve">and IBS symptoms and fatigue 1 mo after fecal transplation. </w:t>
      </w:r>
      <w:r w:rsidR="004A5DAE" w:rsidRPr="004E727A">
        <w:rPr>
          <w:rFonts w:ascii="Book Antiqua" w:hAnsi="Book Antiqua" w:cs="Book Antiqua"/>
          <w:color w:val="000000"/>
        </w:rPr>
        <w:t xml:space="preserve">A and B: </w:t>
      </w:r>
      <w:r w:rsidRPr="004E727A">
        <w:rPr>
          <w:rFonts w:ascii="Book Antiqua" w:eastAsia="Book Antiqua" w:hAnsi="Book Antiqua" w:cs="Book Antiqua"/>
          <w:color w:val="000000"/>
        </w:rPr>
        <w:t xml:space="preserve">Correlations between butyric acid levels and </w:t>
      </w:r>
      <w:r w:rsidR="00843A38" w:rsidRPr="004E727A">
        <w:rPr>
          <w:rFonts w:ascii="Book Antiqua" w:hAnsi="Book Antiqua" w:cs="Book Antiqua"/>
          <w:color w:val="000000"/>
        </w:rPr>
        <w:t>i</w:t>
      </w:r>
      <w:r w:rsidR="00843A38" w:rsidRPr="004E727A">
        <w:rPr>
          <w:rFonts w:ascii="Book Antiqua" w:eastAsia="Book Antiqua" w:hAnsi="Book Antiqua" w:cs="Book Antiqua"/>
          <w:color w:val="000000"/>
        </w:rPr>
        <w:t>rritable bowel syndrome</w:t>
      </w:r>
      <w:r w:rsidRPr="004E727A">
        <w:rPr>
          <w:rFonts w:ascii="Book Antiqua" w:eastAsia="Book Antiqua" w:hAnsi="Book Antiqua" w:cs="Book Antiqua"/>
          <w:color w:val="000000"/>
        </w:rPr>
        <w:t>-</w:t>
      </w:r>
      <w:r w:rsidR="009F0E54" w:rsidRPr="004E727A">
        <w:rPr>
          <w:rFonts w:ascii="Book Antiqua" w:eastAsia="Book Antiqua" w:hAnsi="Book Antiqua" w:cs="Book Antiqua"/>
          <w:color w:val="000000"/>
        </w:rPr>
        <w:t>severity scoring system</w:t>
      </w:r>
      <w:r w:rsidRPr="004E727A">
        <w:rPr>
          <w:rFonts w:ascii="Book Antiqua" w:eastAsia="Book Antiqua" w:hAnsi="Book Antiqua" w:cs="Book Antiqua"/>
          <w:color w:val="000000"/>
        </w:rPr>
        <w:t xml:space="preserve"> total scores (A) and </w:t>
      </w:r>
      <w:r w:rsidR="009F0E54" w:rsidRPr="004E727A">
        <w:rPr>
          <w:rFonts w:ascii="Book Antiqua" w:eastAsia="Book Antiqua" w:hAnsi="Book Antiqua" w:cs="Book Antiqua"/>
          <w:color w:val="000000"/>
        </w:rPr>
        <w:t>fatigue assess</w:t>
      </w:r>
      <w:r w:rsidRPr="004E727A">
        <w:rPr>
          <w:rFonts w:ascii="Book Antiqua" w:eastAsia="Book Antiqua" w:hAnsi="Book Antiqua" w:cs="Book Antiqua"/>
          <w:color w:val="000000"/>
        </w:rPr>
        <w:t xml:space="preserve">ment total score (B). </w:t>
      </w:r>
      <w:r w:rsidR="007E30FD" w:rsidRPr="004E727A">
        <w:rPr>
          <w:rFonts w:ascii="Book Antiqua" w:eastAsiaTheme="minorEastAsia" w:hAnsi="Book Antiqua" w:cs="Book Antiqua"/>
          <w:color w:val="000000"/>
        </w:rPr>
        <w:t>Citation:</w:t>
      </w:r>
      <w:r w:rsidRPr="004E727A">
        <w:rPr>
          <w:rFonts w:ascii="Book Antiqua" w:eastAsia="Book Antiqua" w:hAnsi="Book Antiqua" w:cs="Book Antiqua"/>
          <w:color w:val="000000"/>
        </w:rPr>
        <w:t xml:space="preserve"> </w:t>
      </w:r>
      <w:r w:rsidR="009C7C60" w:rsidRPr="004E727A">
        <w:rPr>
          <w:rFonts w:ascii="Book Antiqua" w:hAnsi="Book Antiqua"/>
          <w:bCs/>
        </w:rPr>
        <w:t>El-Salhy M</w:t>
      </w:r>
      <w:r w:rsidR="009C7C60" w:rsidRPr="004E727A">
        <w:rPr>
          <w:rFonts w:ascii="Book Antiqua" w:hAnsi="Book Antiqua"/>
        </w:rPr>
        <w:t>, Hausken T, Hatlebakk JG. Increasing the Dose and/or Repeating Faecal Microbiota Transplantation (FMT) Increases the Response in Patients with Irritable Bowel Syndrome (IBS). </w:t>
      </w:r>
      <w:r w:rsidR="004F016B" w:rsidRPr="008831A5">
        <w:rPr>
          <w:rFonts w:ascii="Book Antiqua" w:hAnsi="Book Antiqua"/>
          <w:bCs/>
        </w:rPr>
        <w:t>El-Salhy M</w:t>
      </w:r>
      <w:r w:rsidR="004F016B" w:rsidRPr="008831A5">
        <w:rPr>
          <w:rFonts w:ascii="Book Antiqua" w:hAnsi="Book Antiqua"/>
        </w:rPr>
        <w:t>,</w:t>
      </w:r>
      <w:r w:rsidR="004F016B" w:rsidRPr="004E727A">
        <w:rPr>
          <w:rFonts w:ascii="Book Antiqua" w:hAnsi="Book Antiqua"/>
        </w:rPr>
        <w:t xml:space="preserve"> Valeur J, Hausken T, Gunnar Hatlebakk J. Changes in fecal short-chain fatty acids following fecal microbiota transplantation in patients with irritable bowel syndrome. </w:t>
      </w:r>
      <w:r w:rsidR="004F016B" w:rsidRPr="004E727A">
        <w:rPr>
          <w:rFonts w:ascii="Book Antiqua" w:hAnsi="Book Antiqua"/>
          <w:i/>
          <w:iCs/>
        </w:rPr>
        <w:t>Neurogastroenterol Motil</w:t>
      </w:r>
      <w:r w:rsidR="004F016B" w:rsidRPr="004E727A">
        <w:rPr>
          <w:rFonts w:ascii="Book Antiqua" w:hAnsi="Book Antiqua"/>
        </w:rPr>
        <w:t> 2021; </w:t>
      </w:r>
      <w:r w:rsidR="004F016B" w:rsidRPr="004E727A">
        <w:rPr>
          <w:rFonts w:ascii="Book Antiqua" w:hAnsi="Book Antiqua"/>
          <w:b/>
          <w:bCs/>
        </w:rPr>
        <w:t>33</w:t>
      </w:r>
      <w:r w:rsidR="004F016B" w:rsidRPr="004E727A">
        <w:rPr>
          <w:rFonts w:ascii="Book Antiqua" w:hAnsi="Book Antiqua"/>
        </w:rPr>
        <w:t>: e13983 [PMID: 32945066 DOI: 10.1111/nmo.13983]</w:t>
      </w:r>
      <w:r w:rsidR="004F016B" w:rsidRPr="004F016B">
        <w:rPr>
          <w:rFonts w:ascii="Book Antiqua" w:hAnsi="Book Antiqua" w:hint="eastAsia"/>
          <w:vertAlign w:val="superscript"/>
        </w:rPr>
        <w:t>[</w:t>
      </w:r>
      <w:r w:rsidR="004F016B" w:rsidRPr="004F016B">
        <w:rPr>
          <w:rFonts w:ascii="Book Antiqua" w:hAnsi="Book Antiqua"/>
          <w:vertAlign w:val="superscript"/>
        </w:rPr>
        <w:t>55</w:t>
      </w:r>
      <w:r w:rsidR="004F016B" w:rsidRPr="004F016B">
        <w:rPr>
          <w:rFonts w:ascii="Book Antiqua" w:hAnsi="Book Antiqua" w:hint="eastAsia"/>
          <w:vertAlign w:val="superscript"/>
        </w:rPr>
        <w:t>]</w:t>
      </w:r>
      <w:r w:rsidR="004719B0" w:rsidRPr="004719B0">
        <w:rPr>
          <w:rFonts w:ascii="Book Antiqua" w:hAnsi="Book Antiqua" w:hint="eastAsia"/>
        </w:rPr>
        <w:t>.</w:t>
      </w:r>
    </w:p>
    <w:p w14:paraId="5D2D69FF" w14:textId="7100200E" w:rsidR="00A77B3E" w:rsidRPr="004E727A" w:rsidRDefault="00B50C21">
      <w:pPr>
        <w:spacing w:line="360" w:lineRule="auto"/>
        <w:jc w:val="both"/>
        <w:rPr>
          <w:rFonts w:ascii="Book Antiqua" w:eastAsiaTheme="minorEastAsia" w:hAnsi="Book Antiqua"/>
          <w:lang w:eastAsia="zh-CN"/>
        </w:rPr>
      </w:pPr>
      <w:r w:rsidRPr="004E727A">
        <w:rPr>
          <w:rFonts w:ascii="Book Antiqua" w:eastAsiaTheme="minorEastAsia" w:hAnsi="Book Antiqua"/>
          <w:lang w:eastAsia="zh-CN"/>
        </w:rPr>
        <w:t>.</w:t>
      </w:r>
    </w:p>
    <w:p w14:paraId="32483327" w14:textId="10A6264D"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p>
    <w:p w14:paraId="51181A95" w14:textId="4985C8B4" w:rsidR="006F5AEE" w:rsidRPr="004E727A" w:rsidRDefault="006F5AEE">
      <w:pPr>
        <w:spacing w:line="360" w:lineRule="auto"/>
        <w:jc w:val="both"/>
        <w:rPr>
          <w:rFonts w:ascii="Book Antiqua" w:eastAsiaTheme="minorEastAsia" w:hAnsi="Book Antiqua" w:cs="Book Antiqua"/>
          <w:b/>
          <w:bCs/>
          <w:color w:val="000000"/>
          <w:lang w:eastAsia="zh-CN"/>
        </w:rPr>
      </w:pPr>
      <w:r w:rsidRPr="004E727A">
        <w:rPr>
          <w:rFonts w:ascii="Book Antiqua" w:eastAsiaTheme="minorEastAsia" w:hAnsi="Book Antiqua" w:cs="Book Antiqua"/>
          <w:b/>
          <w:bCs/>
          <w:noProof/>
          <w:color w:val="000000"/>
          <w:lang w:eastAsia="zh-CN"/>
        </w:rPr>
        <w:drawing>
          <wp:inline distT="0" distB="0" distL="0" distR="0" wp14:anchorId="71436CF2" wp14:editId="28BEE34B">
            <wp:extent cx="5885234" cy="2152356"/>
            <wp:effectExtent l="0" t="0" r="127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91337" cy="2154588"/>
                    </a:xfrm>
                    <a:prstGeom prst="rect">
                      <a:avLst/>
                    </a:prstGeom>
                    <a:noFill/>
                  </pic:spPr>
                </pic:pic>
              </a:graphicData>
            </a:graphic>
          </wp:inline>
        </w:drawing>
      </w:r>
    </w:p>
    <w:p w14:paraId="16DF3F01" w14:textId="385C0423" w:rsidR="00A77B3E" w:rsidRPr="004E727A" w:rsidRDefault="005D352F">
      <w:pPr>
        <w:spacing w:line="360" w:lineRule="auto"/>
        <w:jc w:val="both"/>
        <w:rPr>
          <w:rFonts w:ascii="Book Antiqua" w:eastAsiaTheme="minorEastAsia" w:hAnsi="Book Antiqua" w:cs="Book Antiqua"/>
          <w:color w:val="000000"/>
          <w:lang w:eastAsia="zh-CN"/>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5</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Serotonin-immunoreactive cells (arrows) in the colon of a </w:t>
      </w:r>
      <w:bookmarkStart w:id="43" w:name="OLE_LINK12"/>
      <w:bookmarkStart w:id="44" w:name="OLE_LINK13"/>
      <w:r w:rsidR="00737FE9" w:rsidRPr="004E727A">
        <w:rPr>
          <w:rFonts w:ascii="Book Antiqua" w:eastAsia="Book Antiqua" w:hAnsi="Book Antiqua" w:cs="Book Antiqua"/>
          <w:b/>
          <w:color w:val="000000"/>
        </w:rPr>
        <w:t>healthy subject</w:t>
      </w:r>
      <w:bookmarkEnd w:id="43"/>
      <w:bookmarkEnd w:id="44"/>
      <w:r w:rsidR="00737FE9" w:rsidRPr="004E727A">
        <w:rPr>
          <w:rFonts w:ascii="Book Antiqua" w:eastAsia="Book Antiqua" w:hAnsi="Book Antiqua" w:cs="Book Antiqua"/>
          <w:b/>
          <w:color w:val="000000"/>
        </w:rPr>
        <w:t xml:space="preserve"> and in a </w:t>
      </w:r>
      <w:bookmarkStart w:id="45" w:name="OLE_LINK14"/>
      <w:bookmarkStart w:id="46" w:name="OLE_LINK15"/>
      <w:r w:rsidR="00737FE9" w:rsidRPr="004E727A">
        <w:rPr>
          <w:rFonts w:ascii="Book Antiqua" w:eastAsia="Book Antiqua" w:hAnsi="Book Antiqua" w:cs="Book Antiqua"/>
          <w:b/>
          <w:color w:val="000000"/>
        </w:rPr>
        <w:t xml:space="preserve">patient with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bookmarkEnd w:id="45"/>
      <w:bookmarkEnd w:id="46"/>
      <w:r w:rsidR="004D15A6" w:rsidRPr="004E727A">
        <w:rPr>
          <w:rFonts w:ascii="Book Antiqua" w:eastAsiaTheme="minorEastAsia" w:hAnsi="Book Antiqua" w:cs="Book Antiqua"/>
          <w:b/>
          <w:color w:val="000000"/>
          <w:lang w:val="nb-NO" w:eastAsia="zh-CN"/>
        </w:rPr>
        <w:t>.</w:t>
      </w:r>
      <w:r w:rsidR="004D15A6" w:rsidRPr="004E727A">
        <w:rPr>
          <w:rFonts w:ascii="Book Antiqua" w:eastAsiaTheme="minorEastAsia" w:hAnsi="Book Antiqua" w:cs="Book Antiqua"/>
          <w:color w:val="000000"/>
          <w:lang w:eastAsia="zh-CN"/>
        </w:rPr>
        <w:t xml:space="preserve"> </w:t>
      </w:r>
      <w:bookmarkStart w:id="47" w:name="OLE_LINK16"/>
      <w:bookmarkStart w:id="48" w:name="OLE_LINK17"/>
      <w:r w:rsidR="004D15A6" w:rsidRPr="004E727A">
        <w:rPr>
          <w:rFonts w:ascii="Book Antiqua" w:eastAsiaTheme="minorEastAsia" w:hAnsi="Book Antiqua" w:cs="Book Antiqua"/>
          <w:color w:val="000000"/>
          <w:lang w:eastAsia="zh-CN"/>
        </w:rPr>
        <w:t>A: H</w:t>
      </w:r>
      <w:r w:rsidR="004D15A6" w:rsidRPr="004E727A">
        <w:rPr>
          <w:rFonts w:ascii="Book Antiqua" w:eastAsia="Book Antiqua" w:hAnsi="Book Antiqua" w:cs="Book Antiqua"/>
          <w:color w:val="000000"/>
        </w:rPr>
        <w:t>ealthy subject</w:t>
      </w:r>
      <w:r w:rsidR="004D15A6" w:rsidRPr="004E727A">
        <w:rPr>
          <w:rFonts w:ascii="Book Antiqua" w:eastAsiaTheme="minorEastAsia" w:hAnsi="Book Antiqua" w:cs="Book Antiqua"/>
          <w:color w:val="000000"/>
          <w:lang w:eastAsia="zh-CN"/>
        </w:rPr>
        <w:t>; B:</w:t>
      </w:r>
      <w:r w:rsidR="004D15A6" w:rsidRPr="004E727A">
        <w:rPr>
          <w:rFonts w:ascii="Book Antiqua" w:eastAsia="Book Antiqua" w:hAnsi="Book Antiqua" w:cs="Book Antiqua"/>
          <w:color w:val="000000"/>
        </w:rPr>
        <w:t xml:space="preserve"> </w:t>
      </w:r>
      <w:r w:rsidR="004D15A6" w:rsidRPr="004E727A">
        <w:rPr>
          <w:rFonts w:ascii="Book Antiqua" w:eastAsiaTheme="minorEastAsia" w:hAnsi="Book Antiqua" w:cs="Book Antiqua"/>
          <w:color w:val="000000"/>
          <w:lang w:eastAsia="zh-CN"/>
        </w:rPr>
        <w:t>P</w:t>
      </w:r>
      <w:r w:rsidR="004D15A6" w:rsidRPr="004E727A">
        <w:rPr>
          <w:rFonts w:ascii="Book Antiqua" w:eastAsia="Book Antiqua" w:hAnsi="Book Antiqua" w:cs="Book Antiqua"/>
          <w:color w:val="000000"/>
        </w:rPr>
        <w:t xml:space="preserve">atient with </w:t>
      </w:r>
      <w:r w:rsidR="004D15A6" w:rsidRPr="004E727A">
        <w:rPr>
          <w:rFonts w:ascii="Book Antiqua" w:hAnsi="Book Antiqua" w:cs="Book Antiqua"/>
          <w:color w:val="000000"/>
          <w:lang w:eastAsia="zh-CN"/>
        </w:rPr>
        <w:t>i</w:t>
      </w:r>
      <w:r w:rsidR="004D15A6" w:rsidRPr="004E727A">
        <w:rPr>
          <w:rFonts w:ascii="Book Antiqua" w:eastAsia="Book Antiqua" w:hAnsi="Book Antiqua" w:cs="Book Antiqua"/>
          <w:color w:val="000000"/>
        </w:rPr>
        <w:t>rritable bowel syndrome</w:t>
      </w:r>
      <w:r w:rsidR="004D15A6" w:rsidRPr="004E727A">
        <w:rPr>
          <w:rFonts w:ascii="Book Antiqua" w:eastAsiaTheme="minorEastAsia" w:hAnsi="Book Antiqua" w:cs="Book Antiqua"/>
          <w:color w:val="000000"/>
          <w:lang w:eastAsia="zh-CN"/>
        </w:rPr>
        <w:t>.</w:t>
      </w:r>
    </w:p>
    <w:bookmarkEnd w:id="47"/>
    <w:bookmarkEnd w:id="48"/>
    <w:p w14:paraId="0D80C90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drawing>
          <wp:inline distT="0" distB="0" distL="0" distR="0" wp14:anchorId="7D995977" wp14:editId="7F0A1DFE">
            <wp:extent cx="5931323" cy="2114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6770" cy="2120057"/>
                    </a:xfrm>
                    <a:prstGeom prst="rect">
                      <a:avLst/>
                    </a:prstGeom>
                    <a:noFill/>
                  </pic:spPr>
                </pic:pic>
              </a:graphicData>
            </a:graphic>
          </wp:inline>
        </w:drawing>
      </w:r>
    </w:p>
    <w:p w14:paraId="20ADE0B3" w14:textId="3C7FDF4B" w:rsidR="00A77B3E" w:rsidRPr="004E727A" w:rsidRDefault="005D352F">
      <w:pPr>
        <w:spacing w:line="360" w:lineRule="auto"/>
        <w:jc w:val="both"/>
        <w:rPr>
          <w:rFonts w:ascii="Book Antiqua" w:hAnsi="Book Antiqua"/>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6</w:t>
      </w:r>
      <w:r w:rsidR="00737FE9" w:rsidRPr="004E727A">
        <w:rPr>
          <w:rFonts w:ascii="Book Antiqua" w:eastAsia="Book Antiqua" w:hAnsi="Book Antiqua" w:cs="Book Antiqua"/>
          <w:b/>
          <w:bCs/>
          <w:color w:val="000000"/>
        </w:rPr>
        <w:t> </w:t>
      </w:r>
      <w:r w:rsidR="0094755E" w:rsidRPr="004E727A">
        <w:rPr>
          <w:rFonts w:ascii="Book Antiqua" w:eastAsia="Book Antiqua" w:hAnsi="Book Antiqua" w:cs="Book Antiqua"/>
          <w:b/>
          <w:bCs/>
          <w:color w:val="000000"/>
          <w:lang w:val="nb-NO"/>
        </w:rPr>
        <w:t xml:space="preserve">Difference in </w:t>
      </w:r>
      <w:r w:rsidR="006F5AEE" w:rsidRPr="004E727A">
        <w:rPr>
          <w:rFonts w:ascii="Book Antiqua" w:hAnsi="Book Antiqua" w:cs="Book Antiqua"/>
          <w:b/>
          <w:color w:val="000000"/>
          <w:lang w:eastAsia="zh-CN"/>
        </w:rPr>
        <w:t>s</w:t>
      </w:r>
      <w:r w:rsidR="006F5AEE" w:rsidRPr="004E727A">
        <w:rPr>
          <w:rFonts w:ascii="Book Antiqua" w:eastAsia="Book Antiqua" w:hAnsi="Book Antiqua" w:cs="Book Antiqua"/>
          <w:b/>
          <w:color w:val="000000"/>
        </w:rPr>
        <w:t xml:space="preserve">erotonin </w:t>
      </w:r>
      <w:r w:rsidR="0094755E" w:rsidRPr="004E727A">
        <w:rPr>
          <w:rFonts w:ascii="Book Antiqua" w:eastAsia="Book Antiqua" w:hAnsi="Book Antiqua" w:cs="Book Antiqua"/>
          <w:b/>
          <w:color w:val="000000"/>
        </w:rPr>
        <w:t>selective reuptake transporter immunoreactivity</w:t>
      </w:r>
      <w:r w:rsidR="0094755E" w:rsidRPr="004E727A">
        <w:rPr>
          <w:rFonts w:ascii="Book Antiqua" w:hAnsi="Book Antiqua" w:cs="Book Antiqua"/>
          <w:b/>
          <w:bCs/>
          <w:color w:val="000000"/>
          <w:lang w:eastAsia="zh-CN"/>
        </w:rPr>
        <w:t xml:space="preserve"> </w:t>
      </w:r>
      <w:r w:rsidR="0094755E" w:rsidRPr="004E727A">
        <w:rPr>
          <w:rFonts w:ascii="Book Antiqua" w:hAnsi="Book Antiqua" w:cs="Book Antiqua"/>
          <w:b/>
          <w:bCs/>
          <w:color w:val="000000"/>
          <w:lang w:val="nb-NO" w:eastAsia="zh-CN"/>
        </w:rPr>
        <w:t>between a healthy subject and a patient with irritable bowel syndrome.</w:t>
      </w:r>
      <w:r w:rsidR="0094755E" w:rsidRPr="004E727A">
        <w:rPr>
          <w:rFonts w:ascii="Book Antiqua" w:hAnsi="Book Antiqua" w:cs="Book Antiqua"/>
          <w:bCs/>
          <w:color w:val="000000"/>
          <w:lang w:val="nb-NO" w:eastAsia="zh-CN"/>
        </w:rPr>
        <w:t xml:space="preserve"> </w:t>
      </w:r>
      <w:r w:rsidR="000A0713" w:rsidRPr="004E727A">
        <w:rPr>
          <w:rFonts w:ascii="Book Antiqua" w:hAnsi="Book Antiqua" w:cs="Book Antiqua"/>
          <w:bCs/>
          <w:color w:val="000000"/>
          <w:lang w:eastAsia="zh-CN"/>
        </w:rPr>
        <w:t xml:space="preserve">A and B: </w:t>
      </w:r>
      <w:r w:rsidR="000A0713" w:rsidRPr="004E727A">
        <w:rPr>
          <w:rFonts w:ascii="Book Antiqua" w:hAnsi="Book Antiqua" w:cs="Book Antiqua"/>
          <w:color w:val="000000"/>
          <w:lang w:eastAsia="zh-CN"/>
        </w:rPr>
        <w:t>S</w:t>
      </w:r>
      <w:r w:rsidR="000A0713" w:rsidRPr="004E727A">
        <w:rPr>
          <w:rFonts w:ascii="Book Antiqua" w:eastAsia="Book Antiqua" w:hAnsi="Book Antiqua" w:cs="Book Antiqua"/>
          <w:color w:val="000000"/>
        </w:rPr>
        <w:t>erotonin selective reuptake transporter</w:t>
      </w:r>
      <w:r w:rsidR="00737FE9" w:rsidRPr="004E727A">
        <w:rPr>
          <w:rFonts w:ascii="Book Antiqua" w:eastAsia="Book Antiqua" w:hAnsi="Book Antiqua" w:cs="Book Antiqua"/>
          <w:color w:val="000000"/>
        </w:rPr>
        <w:t xml:space="preserve"> immunoreactivity in the cytoplasm of the epithelial cells lining the rectal lumen (arrows) of a healthy subject (A) and of an </w:t>
      </w:r>
      <w:r w:rsidR="00843A38" w:rsidRPr="004E727A">
        <w:rPr>
          <w:rFonts w:ascii="Book Antiqua" w:hAnsi="Book Antiqua" w:cs="Book Antiqua"/>
          <w:color w:val="000000"/>
          <w:lang w:eastAsia="zh-CN"/>
        </w:rPr>
        <w:t>i</w:t>
      </w:r>
      <w:r w:rsidR="00843A38" w:rsidRPr="004E727A">
        <w:rPr>
          <w:rFonts w:ascii="Book Antiqua" w:eastAsia="Book Antiqua" w:hAnsi="Book Antiqua" w:cs="Book Antiqua"/>
          <w:color w:val="000000"/>
        </w:rPr>
        <w:t>rritable bowel syndrome</w:t>
      </w:r>
      <w:r w:rsidR="00737FE9" w:rsidRPr="004E727A">
        <w:rPr>
          <w:rFonts w:ascii="Book Antiqua" w:eastAsia="Book Antiqua" w:hAnsi="Book Antiqua" w:cs="Book Antiqua"/>
          <w:color w:val="000000"/>
        </w:rPr>
        <w:t xml:space="preserve"> patient (B).</w:t>
      </w:r>
    </w:p>
    <w:p w14:paraId="4991F8DC" w14:textId="4F714BBD" w:rsidR="008548E4" w:rsidRPr="004E727A" w:rsidRDefault="00923790">
      <w:pPr>
        <w:spacing w:line="360" w:lineRule="auto"/>
        <w:jc w:val="both"/>
        <w:rPr>
          <w:rFonts w:ascii="Book Antiqua" w:eastAsiaTheme="minorEastAsia" w:hAnsi="Book Antiqua" w:cs="Book Antiqua"/>
          <w:b/>
          <w:bCs/>
          <w:noProof/>
          <w:color w:val="000000"/>
          <w:lang w:eastAsia="zh-CN"/>
        </w:rPr>
      </w:pPr>
      <w:r w:rsidRPr="004E727A">
        <w:rPr>
          <w:rFonts w:ascii="Book Antiqua" w:eastAsia="Book Antiqua" w:hAnsi="Book Antiqua" w:cs="Book Antiqua"/>
          <w:b/>
          <w:bCs/>
          <w:color w:val="000000"/>
        </w:rPr>
        <w:br w:type="page"/>
      </w:r>
    </w:p>
    <w:p w14:paraId="48737670" w14:textId="030B9109" w:rsidR="00256B36" w:rsidRPr="004E727A" w:rsidRDefault="00256B36">
      <w:pPr>
        <w:spacing w:line="360" w:lineRule="auto"/>
        <w:jc w:val="both"/>
        <w:rPr>
          <w:rFonts w:ascii="Book Antiqua" w:eastAsiaTheme="minorEastAsia" w:hAnsi="Book Antiqua" w:cs="Book Antiqua"/>
          <w:b/>
          <w:bCs/>
          <w:color w:val="000000"/>
          <w:lang w:eastAsia="zh-CN"/>
        </w:rPr>
      </w:pPr>
      <w:r w:rsidRPr="004E727A">
        <w:rPr>
          <w:rFonts w:ascii="Book Antiqua" w:eastAsiaTheme="minorEastAsia" w:hAnsi="Book Antiqua" w:cs="Book Antiqua"/>
          <w:b/>
          <w:bCs/>
          <w:noProof/>
          <w:color w:val="000000"/>
          <w:lang w:eastAsia="zh-CN"/>
        </w:rPr>
        <w:drawing>
          <wp:inline distT="0" distB="0" distL="0" distR="0" wp14:anchorId="48286FA9" wp14:editId="02DECC94">
            <wp:extent cx="5922652" cy="2130357"/>
            <wp:effectExtent l="0" t="0" r="1905"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524" cy="2134987"/>
                    </a:xfrm>
                    <a:prstGeom prst="rect">
                      <a:avLst/>
                    </a:prstGeom>
                    <a:noFill/>
                  </pic:spPr>
                </pic:pic>
              </a:graphicData>
            </a:graphic>
          </wp:inline>
        </w:drawing>
      </w:r>
    </w:p>
    <w:p w14:paraId="3A4AAE11" w14:textId="6B8D4EFD" w:rsidR="00256B36" w:rsidRPr="004E727A" w:rsidRDefault="005D352F" w:rsidP="00256B36">
      <w:pPr>
        <w:spacing w:line="360" w:lineRule="auto"/>
        <w:jc w:val="both"/>
        <w:rPr>
          <w:rFonts w:ascii="Book Antiqua" w:hAnsi="Book Antiqua"/>
          <w:b/>
          <w:lang w:eastAsia="zh-CN"/>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7</w:t>
      </w:r>
      <w:r w:rsidR="00737FE9" w:rsidRPr="004E727A">
        <w:rPr>
          <w:rFonts w:ascii="Book Antiqua" w:eastAsia="Book Antiqua" w:hAnsi="Book Antiqua" w:cs="Book Antiqua"/>
          <w:b/>
          <w:bCs/>
          <w:color w:val="000000"/>
        </w:rPr>
        <w:t> </w:t>
      </w:r>
      <w:r w:rsidR="000A0713" w:rsidRPr="004E727A">
        <w:rPr>
          <w:rFonts w:ascii="Book Antiqua" w:eastAsia="Book Antiqua" w:hAnsi="Book Antiqua" w:cs="Book Antiqua"/>
          <w:b/>
          <w:color w:val="000000"/>
        </w:rPr>
        <w:t>Peptide YY</w:t>
      </w:r>
      <w:r w:rsidR="00737FE9" w:rsidRPr="004E727A">
        <w:rPr>
          <w:rFonts w:ascii="Book Antiqua" w:eastAsia="Book Antiqua" w:hAnsi="Book Antiqua" w:cs="Book Antiqua"/>
          <w:b/>
          <w:color w:val="000000"/>
        </w:rPr>
        <w:t xml:space="preserve"> immunoreactivity (arrows) in the colon of a healthy subject</w:t>
      </w:r>
      <w:r w:rsidR="00256B36" w:rsidRPr="004E727A">
        <w:rPr>
          <w:rFonts w:ascii="Book Antiqua" w:eastAsiaTheme="minorEastAsia" w:hAnsi="Book Antiqua" w:cs="Book Antiqua"/>
          <w:b/>
          <w:color w:val="000000"/>
          <w:lang w:val="nb-NO" w:eastAsia="zh-CN"/>
        </w:rPr>
        <w:t xml:space="preserve"> </w:t>
      </w:r>
      <w:r w:rsidR="00737FE9" w:rsidRPr="004E727A">
        <w:rPr>
          <w:rFonts w:ascii="Book Antiqua" w:eastAsia="Book Antiqua" w:hAnsi="Book Antiqua" w:cs="Book Antiqua"/>
          <w:b/>
          <w:color w:val="000000"/>
        </w:rPr>
        <w:t xml:space="preserve">and in a patient with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r w:rsidR="00737FE9" w:rsidRPr="004E727A">
        <w:rPr>
          <w:rFonts w:ascii="Book Antiqua" w:eastAsia="Book Antiqua" w:hAnsi="Book Antiqua" w:cs="Book Antiqua"/>
          <w:b/>
          <w:color w:val="000000"/>
        </w:rPr>
        <w:t>.</w:t>
      </w:r>
      <w:r w:rsidR="00256B36" w:rsidRPr="004E727A">
        <w:rPr>
          <w:rFonts w:ascii="Book Antiqua" w:eastAsiaTheme="minorEastAsia" w:hAnsi="Book Antiqua"/>
          <w:b/>
          <w:lang w:eastAsia="zh-CN"/>
        </w:rPr>
        <w:t xml:space="preserve"> </w:t>
      </w:r>
      <w:r w:rsidR="00256B36" w:rsidRPr="004E727A">
        <w:rPr>
          <w:rFonts w:ascii="Book Antiqua" w:eastAsiaTheme="minorEastAsia" w:hAnsi="Book Antiqua" w:cs="Book Antiqua"/>
          <w:color w:val="000000"/>
          <w:lang w:eastAsia="zh-CN"/>
        </w:rPr>
        <w:t>A: H</w:t>
      </w:r>
      <w:r w:rsidR="00256B36" w:rsidRPr="004E727A">
        <w:rPr>
          <w:rFonts w:ascii="Book Antiqua" w:eastAsia="Book Antiqua" w:hAnsi="Book Antiqua" w:cs="Book Antiqua"/>
          <w:color w:val="000000"/>
        </w:rPr>
        <w:t>ealthy subject</w:t>
      </w:r>
      <w:r w:rsidR="00256B36" w:rsidRPr="004E727A">
        <w:rPr>
          <w:rFonts w:ascii="Book Antiqua" w:eastAsiaTheme="minorEastAsia" w:hAnsi="Book Antiqua" w:cs="Book Antiqua"/>
          <w:color w:val="000000"/>
          <w:lang w:eastAsia="zh-CN"/>
        </w:rPr>
        <w:t>; B:</w:t>
      </w:r>
      <w:r w:rsidR="00256B36" w:rsidRPr="004E727A">
        <w:rPr>
          <w:rFonts w:ascii="Book Antiqua" w:eastAsia="Book Antiqua" w:hAnsi="Book Antiqua" w:cs="Book Antiqua"/>
          <w:color w:val="000000"/>
        </w:rPr>
        <w:t xml:space="preserve"> </w:t>
      </w:r>
      <w:r w:rsidR="00256B36" w:rsidRPr="004E727A">
        <w:rPr>
          <w:rFonts w:ascii="Book Antiqua" w:eastAsiaTheme="minorEastAsia" w:hAnsi="Book Antiqua" w:cs="Book Antiqua"/>
          <w:color w:val="000000"/>
          <w:lang w:eastAsia="zh-CN"/>
        </w:rPr>
        <w:t>P</w:t>
      </w:r>
      <w:r w:rsidR="00256B36" w:rsidRPr="004E727A">
        <w:rPr>
          <w:rFonts w:ascii="Book Antiqua" w:eastAsia="Book Antiqua" w:hAnsi="Book Antiqua" w:cs="Book Antiqua"/>
          <w:color w:val="000000"/>
        </w:rPr>
        <w:t xml:space="preserve">atient with </w:t>
      </w:r>
      <w:r w:rsidR="00256B36" w:rsidRPr="004E727A">
        <w:rPr>
          <w:rFonts w:ascii="Book Antiqua" w:hAnsi="Book Antiqua" w:cs="Book Antiqua"/>
          <w:color w:val="000000"/>
          <w:lang w:eastAsia="zh-CN"/>
        </w:rPr>
        <w:t>i</w:t>
      </w:r>
      <w:r w:rsidR="00256B36" w:rsidRPr="004E727A">
        <w:rPr>
          <w:rFonts w:ascii="Book Antiqua" w:eastAsia="Book Antiqua" w:hAnsi="Book Antiqua" w:cs="Book Antiqua"/>
          <w:color w:val="000000"/>
        </w:rPr>
        <w:t>rritable bowel syndrome</w:t>
      </w:r>
      <w:r w:rsidR="00256B36" w:rsidRPr="004E727A">
        <w:rPr>
          <w:rFonts w:ascii="Book Antiqua" w:eastAsiaTheme="minorEastAsia" w:hAnsi="Book Antiqua" w:cs="Book Antiqua"/>
          <w:color w:val="000000"/>
          <w:lang w:eastAsia="zh-CN"/>
        </w:rPr>
        <w:t>.</w:t>
      </w:r>
    </w:p>
    <w:p w14:paraId="59321C5F" w14:textId="77777777" w:rsidR="00A47C83" w:rsidRPr="004E727A" w:rsidRDefault="00A47C83">
      <w:pPr>
        <w:spacing w:line="360" w:lineRule="auto"/>
        <w:jc w:val="both"/>
        <w:rPr>
          <w:rFonts w:ascii="Book Antiqua" w:hAnsi="Book Antiqua"/>
          <w:b/>
          <w:lang w:eastAsia="zh-CN"/>
        </w:rPr>
        <w:sectPr w:rsidR="00A47C83" w:rsidRPr="004E727A" w:rsidSect="00072648">
          <w:pgSz w:w="12240" w:h="15840"/>
          <w:pgMar w:top="1440" w:right="1440" w:bottom="1440" w:left="1440" w:header="720" w:footer="720" w:gutter="0"/>
          <w:cols w:space="720"/>
          <w:docGrid w:linePitch="360"/>
        </w:sectPr>
      </w:pPr>
    </w:p>
    <w:p w14:paraId="727745CC" w14:textId="77777777" w:rsidR="00A77B3E" w:rsidRPr="004E727A" w:rsidRDefault="00A47C83">
      <w:pPr>
        <w:spacing w:line="360" w:lineRule="auto"/>
        <w:jc w:val="both"/>
        <w:rPr>
          <w:rFonts w:ascii="Book Antiqua" w:hAnsi="Book Antiqua"/>
          <w:b/>
          <w:lang w:eastAsia="zh-CN"/>
        </w:rPr>
      </w:pPr>
      <w:r w:rsidRPr="004E727A">
        <w:rPr>
          <w:rFonts w:ascii="Book Antiqua" w:hAnsi="Book Antiqua"/>
          <w:b/>
          <w:lang w:eastAsia="zh-CN"/>
        </w:rPr>
        <w:t>Table 1 Summary of seven randomized controlled trials of fecal microbiota transplantation for irritable bowel syndrome</w:t>
      </w:r>
    </w:p>
    <w:tbl>
      <w:tblPr>
        <w:tblStyle w:val="a9"/>
        <w:tblW w:w="13836" w:type="dxa"/>
        <w:tblInd w:w="-455" w:type="dxa"/>
        <w:tblLook w:val="04A0" w:firstRow="1" w:lastRow="0" w:firstColumn="1" w:lastColumn="0" w:noHBand="0" w:noVBand="1"/>
      </w:tblPr>
      <w:tblGrid>
        <w:gridCol w:w="1350"/>
        <w:gridCol w:w="2225"/>
        <w:gridCol w:w="1292"/>
        <w:gridCol w:w="1590"/>
        <w:gridCol w:w="1843"/>
        <w:gridCol w:w="1858"/>
        <w:gridCol w:w="1566"/>
        <w:gridCol w:w="2112"/>
      </w:tblGrid>
      <w:tr w:rsidR="00A47C83" w:rsidRPr="004E727A" w14:paraId="182C56C1" w14:textId="77777777" w:rsidTr="002B5CD6">
        <w:tc>
          <w:tcPr>
            <w:tcW w:w="1350" w:type="dxa"/>
            <w:tcBorders>
              <w:left w:val="nil"/>
              <w:bottom w:val="single" w:sz="4" w:space="0" w:color="auto"/>
              <w:right w:val="nil"/>
            </w:tcBorders>
          </w:tcPr>
          <w:p w14:paraId="64BD9047"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bookmarkStart w:id="49" w:name="_Hlk61445593"/>
            <w:r w:rsidRPr="004E727A">
              <w:rPr>
                <w:rFonts w:ascii="Book Antiqua" w:hAnsi="Book Antiqua" w:cs="Times New Roman"/>
                <w:b/>
                <w:bCs/>
              </w:rPr>
              <w:t>Study</w:t>
            </w:r>
          </w:p>
          <w:p w14:paraId="5754E6A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p>
        </w:tc>
        <w:tc>
          <w:tcPr>
            <w:tcW w:w="2225" w:type="dxa"/>
            <w:tcBorders>
              <w:left w:val="nil"/>
              <w:bottom w:val="single" w:sz="4" w:space="0" w:color="auto"/>
              <w:right w:val="nil"/>
            </w:tcBorders>
          </w:tcPr>
          <w:p w14:paraId="6F21A653"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IBS subtypes</w:t>
            </w:r>
          </w:p>
          <w:p w14:paraId="78F6C28C"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b/>
                <w:bCs/>
              </w:rPr>
            </w:pPr>
          </w:p>
        </w:tc>
        <w:tc>
          <w:tcPr>
            <w:tcW w:w="1292" w:type="dxa"/>
            <w:tcBorders>
              <w:left w:val="nil"/>
              <w:bottom w:val="single" w:sz="4" w:space="0" w:color="auto"/>
              <w:right w:val="nil"/>
            </w:tcBorders>
          </w:tcPr>
          <w:p w14:paraId="47B1E07E" w14:textId="1C9DE14C"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Number</w:t>
            </w:r>
            <w:r w:rsidR="00CF50A6" w:rsidRPr="004E727A">
              <w:rPr>
                <w:rFonts w:ascii="Book Antiqua" w:eastAsiaTheme="minorEastAsia" w:hAnsi="Book Antiqua" w:cs="Times New Roman"/>
                <w:b/>
                <w:bCs/>
                <w:lang w:eastAsia="zh-CN"/>
              </w:rPr>
              <w:t xml:space="preserve"> </w:t>
            </w:r>
            <w:r w:rsidRPr="004E727A">
              <w:rPr>
                <w:rFonts w:ascii="Book Antiqua" w:hAnsi="Book Antiqua" w:cs="Times New Roman"/>
                <w:b/>
                <w:bCs/>
              </w:rPr>
              <w:t>of patients</w:t>
            </w:r>
            <w:r w:rsidR="00CF50A6" w:rsidRPr="004E727A">
              <w:rPr>
                <w:rFonts w:ascii="Book Antiqua" w:eastAsiaTheme="minorEastAsia" w:hAnsi="Book Antiqua" w:cs="Times New Roman"/>
                <w:b/>
                <w:bCs/>
                <w:lang w:eastAsia="zh-CN"/>
              </w:rPr>
              <w:t xml:space="preserve"> </w:t>
            </w:r>
            <w:r w:rsidRPr="004E727A">
              <w:rPr>
                <w:rFonts w:ascii="Book Antiqua" w:hAnsi="Book Antiqua" w:cs="Times New Roman"/>
                <w:b/>
                <w:bCs/>
              </w:rPr>
              <w:t>(%</w:t>
            </w:r>
            <w:r w:rsidR="00562857" w:rsidRPr="004E727A">
              <w:rPr>
                <w:rFonts w:ascii="Book Antiqua" w:hAnsi="Book Antiqua" w:cs="Times New Roman"/>
                <w:b/>
                <w:bCs/>
                <w:lang w:eastAsia="zh-CN"/>
              </w:rPr>
              <w:t xml:space="preserve"> </w:t>
            </w:r>
            <w:r w:rsidR="00562857" w:rsidRPr="004E727A">
              <w:rPr>
                <w:rFonts w:ascii="Book Antiqua" w:hAnsi="Book Antiqua" w:cs="Times New Roman"/>
                <w:b/>
                <w:bCs/>
              </w:rPr>
              <w:t>female</w:t>
            </w:r>
            <w:r w:rsidRPr="004E727A">
              <w:rPr>
                <w:rFonts w:ascii="Book Antiqua" w:hAnsi="Book Antiqua" w:cs="Times New Roman"/>
                <w:b/>
                <w:bCs/>
              </w:rPr>
              <w:t>)</w:t>
            </w:r>
          </w:p>
        </w:tc>
        <w:tc>
          <w:tcPr>
            <w:tcW w:w="1590" w:type="dxa"/>
            <w:tcBorders>
              <w:left w:val="nil"/>
              <w:bottom w:val="single" w:sz="4" w:space="0" w:color="auto"/>
              <w:right w:val="nil"/>
            </w:tcBorders>
          </w:tcPr>
          <w:p w14:paraId="6ABACD95" w14:textId="6C3E54C0" w:rsidR="00A47C83" w:rsidRPr="004E727A" w:rsidRDefault="00562857"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lang w:eastAsia="zh-CN"/>
              </w:rPr>
              <w:t>I</w:t>
            </w:r>
            <w:r w:rsidR="00A47C83" w:rsidRPr="004E727A">
              <w:rPr>
                <w:rFonts w:ascii="Book Antiqua" w:hAnsi="Book Antiqua" w:cs="Times New Roman"/>
                <w:b/>
                <w:bCs/>
              </w:rPr>
              <w:t>ntervention</w:t>
            </w:r>
            <w:r w:rsidR="00637497" w:rsidRPr="004E727A">
              <w:rPr>
                <w:rFonts w:ascii="Book Antiqua" w:eastAsiaTheme="minorEastAsia" w:hAnsi="Book Antiqua" w:cs="Times New Roman"/>
                <w:b/>
                <w:bCs/>
                <w:lang w:eastAsia="zh-CN"/>
              </w:rPr>
              <w:t xml:space="preserve"> </w:t>
            </w:r>
            <w:r w:rsidR="00A47C83" w:rsidRPr="004E727A">
              <w:rPr>
                <w:rFonts w:ascii="Book Antiqua" w:hAnsi="Book Antiqua" w:cs="Times New Roman"/>
                <w:b/>
                <w:bCs/>
              </w:rPr>
              <w:t>(</w:t>
            </w:r>
            <w:r w:rsidRPr="004E727A">
              <w:rPr>
                <w:rFonts w:ascii="Book Antiqua" w:hAnsi="Book Antiqua" w:cs="Times New Roman"/>
                <w:b/>
                <w:bCs/>
              </w:rPr>
              <w:t xml:space="preserve">number </w:t>
            </w:r>
            <w:r w:rsidR="00A47C83" w:rsidRPr="004E727A">
              <w:rPr>
                <w:rFonts w:ascii="Book Antiqua" w:hAnsi="Book Antiqua" w:cs="Times New Roman"/>
                <w:b/>
                <w:bCs/>
              </w:rPr>
              <w:t>of patients)</w:t>
            </w:r>
          </w:p>
          <w:p w14:paraId="1B6DB20F"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p>
        </w:tc>
        <w:tc>
          <w:tcPr>
            <w:tcW w:w="1843" w:type="dxa"/>
            <w:tcBorders>
              <w:left w:val="nil"/>
              <w:bottom w:val="single" w:sz="4" w:space="0" w:color="auto"/>
              <w:right w:val="nil"/>
            </w:tcBorders>
          </w:tcPr>
          <w:p w14:paraId="5A54B6A0"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Route of administration</w:t>
            </w:r>
          </w:p>
        </w:tc>
        <w:tc>
          <w:tcPr>
            <w:tcW w:w="1858" w:type="dxa"/>
            <w:tcBorders>
              <w:left w:val="nil"/>
              <w:bottom w:val="single" w:sz="4" w:space="0" w:color="auto"/>
              <w:right w:val="nil"/>
            </w:tcBorders>
          </w:tcPr>
          <w:p w14:paraId="7EEEF56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hAnsi="Book Antiqua"/>
                <w:b/>
                <w:bCs/>
              </w:rPr>
              <w:t xml:space="preserve">Primary endpoint </w:t>
            </w:r>
          </w:p>
        </w:tc>
        <w:tc>
          <w:tcPr>
            <w:tcW w:w="1566" w:type="dxa"/>
            <w:tcBorders>
              <w:left w:val="nil"/>
              <w:bottom w:val="single" w:sz="4" w:space="0" w:color="auto"/>
              <w:right w:val="nil"/>
            </w:tcBorders>
          </w:tcPr>
          <w:p w14:paraId="30499C74"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eastAsia="Lato-Regular" w:hAnsi="Book Antiqua"/>
                <w:b/>
                <w:bCs/>
              </w:rPr>
              <w:t>Results</w:t>
            </w:r>
          </w:p>
        </w:tc>
        <w:tc>
          <w:tcPr>
            <w:tcW w:w="2112" w:type="dxa"/>
            <w:tcBorders>
              <w:left w:val="nil"/>
              <w:bottom w:val="single" w:sz="4" w:space="0" w:color="auto"/>
              <w:right w:val="nil"/>
            </w:tcBorders>
          </w:tcPr>
          <w:p w14:paraId="1303E9C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eastAsia="Lato-Regular" w:hAnsi="Book Antiqua"/>
                <w:b/>
                <w:bCs/>
              </w:rPr>
              <w:t>Microbiota assessment</w:t>
            </w:r>
          </w:p>
        </w:tc>
      </w:tr>
      <w:tr w:rsidR="00A47C83" w:rsidRPr="004E727A" w14:paraId="354909F0" w14:textId="77777777" w:rsidTr="002B5CD6">
        <w:tc>
          <w:tcPr>
            <w:tcW w:w="1350" w:type="dxa"/>
            <w:tcBorders>
              <w:top w:val="single" w:sz="4" w:space="0" w:color="auto"/>
              <w:left w:val="nil"/>
              <w:bottom w:val="nil"/>
              <w:right w:val="nil"/>
            </w:tcBorders>
          </w:tcPr>
          <w:p w14:paraId="7808ED52"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vertAlign w:val="superscript"/>
                <w:lang w:eastAsia="zh-CN"/>
              </w:rPr>
            </w:pPr>
            <w:bookmarkStart w:id="50" w:name="_Hlk71490658"/>
            <w:r w:rsidRPr="004E727A">
              <w:rPr>
                <w:rFonts w:ascii="Book Antiqua" w:eastAsia="Lato-Regular" w:hAnsi="Book Antiqua" w:cs="Times New Roman"/>
              </w:rPr>
              <w:t xml:space="preserve">Johnsen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[22]</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2018</w:t>
            </w:r>
          </w:p>
        </w:tc>
        <w:tc>
          <w:tcPr>
            <w:tcW w:w="2225" w:type="dxa"/>
            <w:tcBorders>
              <w:top w:val="single" w:sz="4" w:space="0" w:color="auto"/>
              <w:left w:val="nil"/>
              <w:bottom w:val="nil"/>
              <w:right w:val="nil"/>
            </w:tcBorders>
          </w:tcPr>
          <w:p w14:paraId="0985605F"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53.0% IBS</w:t>
            </w:r>
            <w:r w:rsidR="00562857" w:rsidRPr="004E727A">
              <w:rPr>
                <w:rFonts w:ascii="Book Antiqua" w:eastAsia="宋体" w:hAnsi="Book Antiqua" w:cs="宋体"/>
                <w:lang w:eastAsia="zh-CN"/>
              </w:rPr>
              <w:t>-</w:t>
            </w:r>
            <w:r w:rsidRPr="004E727A">
              <w:rPr>
                <w:rFonts w:ascii="Book Antiqua" w:eastAsia="Lato-Regular" w:hAnsi="Book Antiqua" w:cs="Times New Roman"/>
              </w:rPr>
              <w:t>D, 47.0% IBS</w:t>
            </w:r>
            <w:r w:rsidR="00562857" w:rsidRPr="004E727A">
              <w:rPr>
                <w:rFonts w:ascii="Book Antiqua" w:eastAsia="宋体" w:hAnsi="Book Antiqua" w:cs="宋体"/>
                <w:lang w:eastAsia="zh-CN"/>
              </w:rPr>
              <w:t>-</w:t>
            </w:r>
            <w:r w:rsidRPr="004E727A">
              <w:rPr>
                <w:rFonts w:ascii="Book Antiqua" w:eastAsia="Lato-Regular" w:hAnsi="Book Antiqua" w:cs="Times New Roman"/>
              </w:rPr>
              <w:t>M</w:t>
            </w:r>
          </w:p>
        </w:tc>
        <w:tc>
          <w:tcPr>
            <w:tcW w:w="1292" w:type="dxa"/>
            <w:tcBorders>
              <w:top w:val="single" w:sz="4" w:space="0" w:color="auto"/>
              <w:left w:val="nil"/>
              <w:bottom w:val="nil"/>
              <w:right w:val="nil"/>
            </w:tcBorders>
          </w:tcPr>
          <w:p w14:paraId="5CCEE07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83 (66.3%)</w:t>
            </w:r>
          </w:p>
        </w:tc>
        <w:tc>
          <w:tcPr>
            <w:tcW w:w="1590" w:type="dxa"/>
            <w:tcBorders>
              <w:top w:val="single" w:sz="4" w:space="0" w:color="auto"/>
              <w:left w:val="nil"/>
              <w:bottom w:val="nil"/>
              <w:right w:val="nil"/>
            </w:tcBorders>
          </w:tcPr>
          <w:p w14:paraId="0786522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50</w:t>
            </w:r>
            <w:r w:rsidR="00562857" w:rsidRPr="004E727A">
              <w:rPr>
                <w:rFonts w:ascii="Book Antiqua" w:eastAsia="宋体" w:hAnsi="Book Antiqua" w:cs="宋体"/>
                <w:lang w:eastAsia="zh-CN"/>
              </w:rPr>
              <w:t>-</w:t>
            </w:r>
            <w:r w:rsidRPr="004E727A">
              <w:rPr>
                <w:rFonts w:ascii="Book Antiqua" w:eastAsia="Lato-Regular" w:hAnsi="Book Antiqua" w:cs="Times New Roman"/>
              </w:rPr>
              <w:t xml:space="preserve">80 g of single FMT (2 donors) (55)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(28)</w:t>
            </w:r>
          </w:p>
        </w:tc>
        <w:tc>
          <w:tcPr>
            <w:tcW w:w="1843" w:type="dxa"/>
            <w:tcBorders>
              <w:top w:val="single" w:sz="4" w:space="0" w:color="auto"/>
              <w:left w:val="nil"/>
              <w:bottom w:val="nil"/>
              <w:right w:val="nil"/>
            </w:tcBorders>
          </w:tcPr>
          <w:p w14:paraId="4709A377"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single" w:sz="4" w:space="0" w:color="auto"/>
              <w:left w:val="nil"/>
              <w:bottom w:val="nil"/>
              <w:right w:val="nil"/>
            </w:tcBorders>
          </w:tcPr>
          <w:p w14:paraId="57D0E026"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75</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wk</w:t>
            </w:r>
            <w:r w:rsidRPr="004E727A">
              <w:rPr>
                <w:rFonts w:ascii="Book Antiqua" w:eastAsia="Lato-Regular" w:hAnsi="Book Antiqua" w:cs="Times New Roman"/>
              </w:rPr>
              <w:t xml:space="preserve"> and 12 </w:t>
            </w:r>
            <w:r w:rsidR="00562857" w:rsidRPr="004E727A">
              <w:rPr>
                <w:rFonts w:ascii="Book Antiqua" w:eastAsia="Lato-Regular" w:hAnsi="Book Antiqua" w:cs="Times New Roman"/>
              </w:rPr>
              <w:t>mo</w:t>
            </w:r>
          </w:p>
        </w:tc>
        <w:tc>
          <w:tcPr>
            <w:tcW w:w="1566" w:type="dxa"/>
            <w:tcBorders>
              <w:top w:val="single" w:sz="4" w:space="0" w:color="auto"/>
              <w:left w:val="nil"/>
              <w:bottom w:val="nil"/>
              <w:right w:val="nil"/>
            </w:tcBorders>
          </w:tcPr>
          <w:p w14:paraId="0333FC6F" w14:textId="4FAB7903" w:rsidR="00A47C83" w:rsidRPr="004E727A" w:rsidRDefault="00A47C83" w:rsidP="00FB7A3C">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w:t>
            </w:r>
            <w:r w:rsidR="00562857" w:rsidRPr="004E727A">
              <w:rPr>
                <w:rFonts w:ascii="Book Antiqua" w:eastAsia="Lato-Regular" w:hAnsi="Book Antiqua"/>
              </w:rPr>
              <w:t>12-w</w:t>
            </w:r>
            <w:r w:rsidRPr="004E727A">
              <w:rPr>
                <w:rFonts w:ascii="Book Antiqua" w:eastAsia="Lato-Regular" w:hAnsi="Book Antiqua"/>
              </w:rPr>
              <w:t xml:space="preserve">k FMT 65% </w:t>
            </w:r>
            <w:r w:rsidRPr="004E727A">
              <w:rPr>
                <w:rFonts w:ascii="Book Antiqua" w:eastAsia="Lato-Regular" w:hAnsi="Book Antiqua"/>
                <w:i/>
              </w:rPr>
              <w:t>vs</w:t>
            </w:r>
            <w:r w:rsidRPr="004E727A">
              <w:rPr>
                <w:rFonts w:ascii="Book Antiqua" w:eastAsia="Lato-Regular" w:hAnsi="Book Antiqua"/>
              </w:rPr>
              <w:t xml:space="preserve"> placebo 43%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&lt;</w:t>
            </w:r>
            <w:r w:rsidR="00562857" w:rsidRPr="004E727A">
              <w:rPr>
                <w:rFonts w:ascii="Book Antiqua" w:eastAsiaTheme="minorEastAsia" w:hAnsi="Book Antiqua"/>
                <w:lang w:eastAsia="zh-CN"/>
              </w:rPr>
              <w:t xml:space="preserve"> </w:t>
            </w:r>
            <w:r w:rsidRPr="004E727A">
              <w:rPr>
                <w:rFonts w:ascii="Book Antiqua" w:eastAsia="Lato-Regular" w:hAnsi="Book Antiqua"/>
              </w:rPr>
              <w:t>0.05);</w:t>
            </w:r>
            <w:r w:rsidR="00FB7A3C" w:rsidRPr="004E727A">
              <w:rPr>
                <w:rFonts w:ascii="Book Antiqua" w:eastAsiaTheme="minorEastAsia" w:hAnsi="Book Antiqua"/>
                <w:lang w:eastAsia="zh-CN"/>
              </w:rPr>
              <w:t xml:space="preserve">  </w:t>
            </w:r>
            <w:r w:rsidR="00562857" w:rsidRPr="004E727A">
              <w:rPr>
                <w:rFonts w:ascii="Book Antiqua" w:eastAsia="Lato-Regular" w:hAnsi="Book Antiqua"/>
              </w:rPr>
              <w:t>12-mo</w:t>
            </w:r>
            <w:r w:rsidR="00562857" w:rsidRPr="004E727A">
              <w:rPr>
                <w:rFonts w:ascii="Book Antiqua" w:eastAsiaTheme="minorEastAsia" w:hAnsi="Book Antiqua"/>
                <w:lang w:eastAsia="zh-CN"/>
              </w:rPr>
              <w:t xml:space="preserve"> </w:t>
            </w:r>
            <w:r w:rsidRPr="004E727A">
              <w:rPr>
                <w:rFonts w:ascii="Book Antiqua" w:eastAsia="Lato-Regular" w:hAnsi="Book Antiqua"/>
              </w:rPr>
              <w:t xml:space="preserve">56% in FMT </w:t>
            </w:r>
            <w:r w:rsidRPr="004E727A">
              <w:rPr>
                <w:rFonts w:ascii="Book Antiqua" w:eastAsia="Lato-Regular" w:hAnsi="Book Antiqua"/>
                <w:i/>
              </w:rPr>
              <w:t>vs</w:t>
            </w:r>
            <w:r w:rsidRPr="004E727A">
              <w:rPr>
                <w:rFonts w:ascii="Book Antiqua" w:eastAsia="Lato-Regular" w:hAnsi="Book Antiqua"/>
              </w:rPr>
              <w:t xml:space="preserve"> placebo 36%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&gt;</w:t>
            </w:r>
            <w:r w:rsidR="00562857" w:rsidRPr="004E727A">
              <w:rPr>
                <w:rFonts w:ascii="Book Antiqua" w:eastAsiaTheme="minorEastAsia" w:hAnsi="Book Antiqua"/>
                <w:lang w:eastAsia="zh-CN"/>
              </w:rPr>
              <w:t xml:space="preserve"> </w:t>
            </w:r>
            <w:r w:rsidRPr="004E727A">
              <w:rPr>
                <w:rFonts w:ascii="Book Antiqua" w:eastAsia="Lato-Regular" w:hAnsi="Book Antiqua"/>
              </w:rPr>
              <w:t>0.05)</w:t>
            </w:r>
          </w:p>
        </w:tc>
        <w:tc>
          <w:tcPr>
            <w:tcW w:w="2112" w:type="dxa"/>
            <w:tcBorders>
              <w:top w:val="single" w:sz="4" w:space="0" w:color="auto"/>
              <w:left w:val="nil"/>
              <w:bottom w:val="nil"/>
              <w:right w:val="nil"/>
            </w:tcBorders>
          </w:tcPr>
          <w:p w14:paraId="7C67CDA4"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Unkown</w:t>
            </w:r>
          </w:p>
        </w:tc>
      </w:tr>
      <w:tr w:rsidR="00A47C83" w:rsidRPr="004E727A" w14:paraId="4F745D56" w14:textId="77777777" w:rsidTr="002B5CD6">
        <w:trPr>
          <w:trHeight w:val="645"/>
        </w:trPr>
        <w:tc>
          <w:tcPr>
            <w:tcW w:w="1350" w:type="dxa"/>
            <w:tcBorders>
              <w:top w:val="nil"/>
              <w:left w:val="nil"/>
              <w:bottom w:val="nil"/>
              <w:right w:val="nil"/>
            </w:tcBorders>
          </w:tcPr>
          <w:p w14:paraId="4E0F023F"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lang w:eastAsia="zh-CN"/>
              </w:rPr>
            </w:pPr>
            <w:bookmarkStart w:id="51" w:name="_Hlk71490667"/>
            <w:bookmarkEnd w:id="50"/>
            <w:r w:rsidRPr="004E727A">
              <w:rPr>
                <w:rFonts w:ascii="Book Antiqua" w:hAnsi="Book Antiqua"/>
                <w:bCs/>
              </w:rPr>
              <w:t>Halkjær</w:t>
            </w:r>
            <w:r w:rsidRPr="004E727A">
              <w:rPr>
                <w:rFonts w:ascii="Book Antiqua" w:eastAsia="Lato-Regular" w:hAnsi="Book Antiqua" w:cs="Times New Roman"/>
              </w:rPr>
              <w:t xml:space="preserve">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[23]</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2018</w:t>
            </w:r>
          </w:p>
        </w:tc>
        <w:tc>
          <w:tcPr>
            <w:tcW w:w="2225" w:type="dxa"/>
            <w:tcBorders>
              <w:top w:val="nil"/>
              <w:left w:val="nil"/>
              <w:bottom w:val="nil"/>
              <w:right w:val="nil"/>
            </w:tcBorders>
          </w:tcPr>
          <w:p w14:paraId="30D5FE5C"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37.3% IBS</w:t>
            </w:r>
            <w:r w:rsidR="00562857" w:rsidRPr="004E727A">
              <w:rPr>
                <w:rFonts w:ascii="Book Antiqua" w:eastAsia="宋体" w:hAnsi="Book Antiqua" w:cs="宋体"/>
                <w:lang w:eastAsia="zh-CN"/>
              </w:rPr>
              <w:t>-</w:t>
            </w:r>
            <w:r w:rsidRPr="004E727A">
              <w:rPr>
                <w:rFonts w:ascii="Book Antiqua" w:eastAsia="Lato-Regular" w:hAnsi="Book Antiqua" w:cs="Times New Roman"/>
              </w:rPr>
              <w:t>M, 33.3% IBS</w:t>
            </w:r>
            <w:r w:rsidR="00562857" w:rsidRPr="004E727A">
              <w:rPr>
                <w:rFonts w:ascii="Book Antiqua" w:eastAsia="宋体" w:hAnsi="Book Antiqua" w:cs="宋体"/>
                <w:lang w:eastAsia="zh-CN"/>
              </w:rPr>
              <w:t>-</w:t>
            </w:r>
            <w:r w:rsidRPr="004E727A">
              <w:rPr>
                <w:rFonts w:ascii="Book Antiqua" w:eastAsia="Lato-Regular" w:hAnsi="Book Antiqua" w:cs="Times New Roman"/>
              </w:rPr>
              <w:t>C, 29.4% IBS</w:t>
            </w:r>
            <w:r w:rsidR="00562857" w:rsidRPr="004E727A">
              <w:rPr>
                <w:rFonts w:ascii="Book Antiqua" w:eastAsia="宋体" w:hAnsi="Book Antiqua" w:cs="宋体"/>
                <w:lang w:eastAsia="zh-CN"/>
              </w:rPr>
              <w:t>-</w:t>
            </w:r>
            <w:r w:rsidRPr="004E727A">
              <w:rPr>
                <w:rFonts w:ascii="Book Antiqua" w:eastAsia="Lato-Regular" w:hAnsi="Book Antiqua" w:cs="Times New Roman"/>
              </w:rPr>
              <w:t>D</w:t>
            </w:r>
          </w:p>
        </w:tc>
        <w:tc>
          <w:tcPr>
            <w:tcW w:w="1292" w:type="dxa"/>
            <w:tcBorders>
              <w:top w:val="nil"/>
              <w:left w:val="nil"/>
              <w:bottom w:val="nil"/>
              <w:right w:val="nil"/>
            </w:tcBorders>
          </w:tcPr>
          <w:p w14:paraId="1C8BD03D"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52 (68.6)</w:t>
            </w:r>
          </w:p>
        </w:tc>
        <w:tc>
          <w:tcPr>
            <w:tcW w:w="1590" w:type="dxa"/>
            <w:tcBorders>
              <w:top w:val="nil"/>
              <w:left w:val="nil"/>
              <w:bottom w:val="nil"/>
              <w:right w:val="nil"/>
            </w:tcBorders>
          </w:tcPr>
          <w:p w14:paraId="3AC06C3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50 g of</w:t>
            </w:r>
          </w:p>
          <w:p w14:paraId="0304020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donor stool per day</w:t>
            </w:r>
          </w:p>
          <w:p w14:paraId="4BCD7E2F"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for 12 d (4 donors) (26) </w:t>
            </w:r>
            <w:r w:rsidRPr="004E727A">
              <w:rPr>
                <w:rFonts w:ascii="Book Antiqua" w:eastAsia="Lato-Regular" w:hAnsi="Book Antiqua" w:cs="Times New Roman"/>
                <w:i/>
              </w:rPr>
              <w:t>vs</w:t>
            </w:r>
            <w:r w:rsidRPr="004E727A">
              <w:rPr>
                <w:rFonts w:ascii="Book Antiqua" w:eastAsia="Lato-Regular" w:hAnsi="Book Antiqua" w:cs="Times New Roman"/>
              </w:rPr>
              <w:t xml:space="preserve"> placebo capsules (26)</w:t>
            </w:r>
          </w:p>
        </w:tc>
        <w:tc>
          <w:tcPr>
            <w:tcW w:w="1843" w:type="dxa"/>
            <w:tcBorders>
              <w:top w:val="nil"/>
              <w:left w:val="nil"/>
              <w:bottom w:val="nil"/>
              <w:right w:val="nil"/>
            </w:tcBorders>
          </w:tcPr>
          <w:p w14:paraId="256EB62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Oral capsules</w:t>
            </w:r>
          </w:p>
        </w:tc>
        <w:tc>
          <w:tcPr>
            <w:tcW w:w="1858" w:type="dxa"/>
            <w:tcBorders>
              <w:top w:val="nil"/>
              <w:left w:val="nil"/>
              <w:bottom w:val="nil"/>
              <w:right w:val="nil"/>
            </w:tcBorders>
          </w:tcPr>
          <w:p w14:paraId="234EE849"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50</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wk</w:t>
            </w:r>
          </w:p>
        </w:tc>
        <w:tc>
          <w:tcPr>
            <w:tcW w:w="1566" w:type="dxa"/>
            <w:tcBorders>
              <w:top w:val="nil"/>
              <w:left w:val="nil"/>
              <w:bottom w:val="nil"/>
              <w:right w:val="nil"/>
            </w:tcBorders>
          </w:tcPr>
          <w:p w14:paraId="25320480"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FMT 36.4% </w:t>
            </w:r>
            <w:r w:rsidRPr="004E727A">
              <w:rPr>
                <w:rFonts w:ascii="Book Antiqua" w:eastAsia="Lato-Regular" w:hAnsi="Book Antiqua"/>
                <w:i/>
              </w:rPr>
              <w:t>vs</w:t>
            </w:r>
            <w:r w:rsidRPr="004E727A">
              <w:rPr>
                <w:rFonts w:ascii="Book Antiqua" w:eastAsia="Lato-Regular" w:hAnsi="Book Antiqua"/>
              </w:rPr>
              <w:t xml:space="preserve"> placebo 79.2%,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&lt;</w:t>
            </w:r>
            <w:r w:rsidR="00562857" w:rsidRPr="004E727A">
              <w:rPr>
                <w:rFonts w:ascii="Book Antiqua" w:eastAsiaTheme="minorEastAsia" w:hAnsi="Book Antiqua"/>
                <w:lang w:eastAsia="zh-CN"/>
              </w:rPr>
              <w:t xml:space="preserve"> </w:t>
            </w:r>
            <w:r w:rsidRPr="004E727A">
              <w:rPr>
                <w:rFonts w:ascii="Book Antiqua" w:eastAsia="Lato-Regular" w:hAnsi="Book Antiqua"/>
              </w:rPr>
              <w:t>0.05</w:t>
            </w:r>
          </w:p>
        </w:tc>
        <w:tc>
          <w:tcPr>
            <w:tcW w:w="2112" w:type="dxa"/>
            <w:tcBorders>
              <w:top w:val="nil"/>
              <w:left w:val="nil"/>
              <w:bottom w:val="nil"/>
              <w:right w:val="nil"/>
            </w:tcBorders>
          </w:tcPr>
          <w:p w14:paraId="0AE35D06"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lang w:eastAsia="zh-CN"/>
              </w:rPr>
            </w:pPr>
            <w:r w:rsidRPr="004E727A">
              <w:rPr>
                <w:rFonts w:ascii="Book Antiqua" w:hAnsi="Book Antiqua" w:cs="ClassicalGaramondBT-Roman"/>
              </w:rPr>
              <w:t xml:space="preserve">FMT increased microbiota biodiversity shift to the donor </w:t>
            </w:r>
          </w:p>
        </w:tc>
      </w:tr>
      <w:tr w:rsidR="00A47C83" w:rsidRPr="004E727A" w14:paraId="7C684AFE" w14:textId="77777777" w:rsidTr="002B5CD6">
        <w:tc>
          <w:tcPr>
            <w:tcW w:w="1350" w:type="dxa"/>
            <w:tcBorders>
              <w:top w:val="nil"/>
              <w:left w:val="nil"/>
              <w:bottom w:val="nil"/>
              <w:right w:val="nil"/>
            </w:tcBorders>
          </w:tcPr>
          <w:p w14:paraId="3E2D81E3"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lang w:eastAsia="zh-CN"/>
              </w:rPr>
            </w:pPr>
            <w:bookmarkStart w:id="52" w:name="_Hlk71490714"/>
            <w:bookmarkEnd w:id="51"/>
            <w:r w:rsidRPr="004E727A">
              <w:rPr>
                <w:rFonts w:ascii="Book Antiqua" w:eastAsia="Lato-Regular" w:hAnsi="Book Antiqua" w:cs="Times New Roman"/>
              </w:rPr>
              <w:t xml:space="preserve">Aroniadis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[24]</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2019</w:t>
            </w:r>
          </w:p>
        </w:tc>
        <w:tc>
          <w:tcPr>
            <w:tcW w:w="2225" w:type="dxa"/>
            <w:tcBorders>
              <w:top w:val="nil"/>
              <w:left w:val="nil"/>
              <w:bottom w:val="nil"/>
              <w:right w:val="nil"/>
            </w:tcBorders>
          </w:tcPr>
          <w:p w14:paraId="72DCAC8A"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100% IBS</w:t>
            </w:r>
            <w:r w:rsidR="00562857" w:rsidRPr="004E727A">
              <w:rPr>
                <w:rFonts w:ascii="Book Antiqua" w:eastAsia="宋体" w:hAnsi="Book Antiqua" w:cs="宋体"/>
                <w:lang w:eastAsia="zh-CN"/>
              </w:rPr>
              <w:t>-</w:t>
            </w:r>
            <w:r w:rsidRPr="004E727A">
              <w:rPr>
                <w:rFonts w:ascii="Book Antiqua" w:eastAsia="Lato-Regular" w:hAnsi="Book Antiqua" w:cs="Times New Roman"/>
              </w:rPr>
              <w:t>D</w:t>
            </w:r>
          </w:p>
        </w:tc>
        <w:tc>
          <w:tcPr>
            <w:tcW w:w="1292" w:type="dxa"/>
            <w:tcBorders>
              <w:top w:val="nil"/>
              <w:left w:val="nil"/>
              <w:bottom w:val="nil"/>
              <w:right w:val="nil"/>
            </w:tcBorders>
          </w:tcPr>
          <w:p w14:paraId="16D42A7D"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24 (37.5)</w:t>
            </w:r>
          </w:p>
          <w:p w14:paraId="646EB6BA" w14:textId="77777777" w:rsidR="00A47C83" w:rsidRPr="004E727A" w:rsidRDefault="00562857"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Crossover after 12 w</w:t>
            </w:r>
            <w:r w:rsidR="00A47C83" w:rsidRPr="004E727A">
              <w:rPr>
                <w:rFonts w:ascii="Book Antiqua" w:eastAsia="Lato-Regular" w:hAnsi="Book Antiqua" w:cs="Times New Roman"/>
              </w:rPr>
              <w:t>k</w:t>
            </w:r>
          </w:p>
        </w:tc>
        <w:tc>
          <w:tcPr>
            <w:tcW w:w="1590" w:type="dxa"/>
            <w:tcBorders>
              <w:top w:val="nil"/>
              <w:left w:val="nil"/>
              <w:bottom w:val="nil"/>
              <w:right w:val="nil"/>
            </w:tcBorders>
          </w:tcPr>
          <w:p w14:paraId="0664FC0E"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9.5 g of</w:t>
            </w:r>
          </w:p>
          <w:p w14:paraId="6B26499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donor stool per day</w:t>
            </w:r>
          </w:p>
          <w:p w14:paraId="36E177D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for 3 d (4 donors involved but each participant received from 1 donor) </w:t>
            </w:r>
          </w:p>
          <w:p w14:paraId="02BFABF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(24) </w:t>
            </w:r>
            <w:r w:rsidRPr="004E727A">
              <w:rPr>
                <w:rFonts w:ascii="Book Antiqua" w:eastAsia="Lato-Regular" w:hAnsi="Book Antiqua" w:cs="Times New Roman"/>
                <w:i/>
              </w:rPr>
              <w:t>vs</w:t>
            </w:r>
            <w:r w:rsidRPr="004E727A">
              <w:rPr>
                <w:rFonts w:ascii="Book Antiqua" w:eastAsia="Lato-Regular" w:hAnsi="Book Antiqua" w:cs="Times New Roman"/>
              </w:rPr>
              <w:t xml:space="preserve"> placebo capsules (24)</w:t>
            </w:r>
          </w:p>
        </w:tc>
        <w:tc>
          <w:tcPr>
            <w:tcW w:w="1843" w:type="dxa"/>
            <w:tcBorders>
              <w:top w:val="nil"/>
              <w:left w:val="nil"/>
              <w:bottom w:val="nil"/>
              <w:right w:val="nil"/>
            </w:tcBorders>
          </w:tcPr>
          <w:p w14:paraId="0E348D9B"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Oral capsules</w:t>
            </w:r>
          </w:p>
        </w:tc>
        <w:tc>
          <w:tcPr>
            <w:tcW w:w="1858" w:type="dxa"/>
            <w:tcBorders>
              <w:top w:val="nil"/>
              <w:left w:val="nil"/>
              <w:bottom w:val="nil"/>
              <w:right w:val="nil"/>
            </w:tcBorders>
          </w:tcPr>
          <w:p w14:paraId="11291E3F"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50</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w:t>
            </w:r>
            <w:r w:rsidRPr="004E727A">
              <w:rPr>
                <w:rFonts w:ascii="Book Antiqua" w:eastAsia="Lato-Regular" w:hAnsi="Book Antiqua" w:cs="Times New Roman"/>
              </w:rPr>
              <w:t>k</w:t>
            </w:r>
          </w:p>
        </w:tc>
        <w:tc>
          <w:tcPr>
            <w:tcW w:w="1566" w:type="dxa"/>
            <w:tcBorders>
              <w:top w:val="nil"/>
              <w:left w:val="nil"/>
              <w:bottom w:val="nil"/>
              <w:right w:val="nil"/>
            </w:tcBorders>
          </w:tcPr>
          <w:p w14:paraId="717A246F"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FMT-first 50% </w:t>
            </w:r>
            <w:r w:rsidRPr="004E727A">
              <w:rPr>
                <w:rFonts w:ascii="Book Antiqua" w:eastAsia="Lato-Regular" w:hAnsi="Book Antiqua"/>
                <w:i/>
              </w:rPr>
              <w:t>vs</w:t>
            </w:r>
            <w:r w:rsidRPr="004E727A">
              <w:rPr>
                <w:rFonts w:ascii="Book Antiqua" w:eastAsia="Lato-Regular" w:hAnsi="Book Antiqua"/>
              </w:rPr>
              <w:t xml:space="preserve"> placebo-first 61%,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w:t>
            </w:r>
            <w:r w:rsidR="00562857" w:rsidRPr="004E727A">
              <w:rPr>
                <w:rFonts w:ascii="Book Antiqua" w:eastAsiaTheme="minorEastAsia" w:hAnsi="Book Antiqua"/>
                <w:lang w:eastAsia="zh-CN"/>
              </w:rPr>
              <w:t xml:space="preserve"> </w:t>
            </w:r>
            <w:r w:rsidRPr="004E727A">
              <w:rPr>
                <w:rFonts w:ascii="Book Antiqua" w:eastAsia="Lato-Regular" w:hAnsi="Book Antiqua"/>
              </w:rPr>
              <w:t>0.46)</w:t>
            </w:r>
          </w:p>
        </w:tc>
        <w:tc>
          <w:tcPr>
            <w:tcW w:w="2112" w:type="dxa"/>
            <w:tcBorders>
              <w:top w:val="nil"/>
              <w:left w:val="nil"/>
              <w:bottom w:val="nil"/>
              <w:right w:val="nil"/>
            </w:tcBorders>
          </w:tcPr>
          <w:p w14:paraId="75D4B673"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Prevotella abundance did not change after FMT; Similar diversity between responders and non-responders</w:t>
            </w:r>
          </w:p>
        </w:tc>
      </w:tr>
      <w:tr w:rsidR="00A47C83" w:rsidRPr="004E727A" w14:paraId="0DCAC606" w14:textId="77777777" w:rsidTr="002B5CD6">
        <w:tc>
          <w:tcPr>
            <w:tcW w:w="1350" w:type="dxa"/>
            <w:tcBorders>
              <w:top w:val="nil"/>
              <w:left w:val="nil"/>
              <w:bottom w:val="nil"/>
              <w:right w:val="nil"/>
            </w:tcBorders>
          </w:tcPr>
          <w:p w14:paraId="4811DDCC" w14:textId="77777777" w:rsidR="00A47C83" w:rsidRPr="004E727A" w:rsidRDefault="00562857" w:rsidP="0049241D">
            <w:pPr>
              <w:autoSpaceDE w:val="0"/>
              <w:autoSpaceDN w:val="0"/>
              <w:adjustRightInd w:val="0"/>
              <w:snapToGrid w:val="0"/>
              <w:spacing w:line="360" w:lineRule="auto"/>
              <w:jc w:val="both"/>
              <w:rPr>
                <w:rFonts w:ascii="Book Antiqua" w:hAnsi="Book Antiqua" w:cs="Times New Roman"/>
                <w:lang w:eastAsia="zh-CN"/>
              </w:rPr>
            </w:pPr>
            <w:bookmarkStart w:id="53" w:name="_Hlk71490744"/>
            <w:bookmarkEnd w:id="52"/>
            <w:r w:rsidRPr="004E727A">
              <w:rPr>
                <w:rFonts w:ascii="Book Antiqua" w:eastAsia="Lato-Regular" w:hAnsi="Book Antiqua" w:cs="Times New Roman"/>
              </w:rPr>
              <w:t xml:space="preserve">Holster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[25]</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2019</w:t>
            </w:r>
          </w:p>
        </w:tc>
        <w:tc>
          <w:tcPr>
            <w:tcW w:w="2225" w:type="dxa"/>
            <w:tcBorders>
              <w:top w:val="nil"/>
              <w:left w:val="nil"/>
              <w:bottom w:val="nil"/>
              <w:right w:val="nil"/>
            </w:tcBorders>
          </w:tcPr>
          <w:p w14:paraId="7076A7C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56% IBS</w:t>
            </w:r>
            <w:r w:rsidR="00562857" w:rsidRPr="004E727A">
              <w:rPr>
                <w:rFonts w:ascii="Book Antiqua" w:eastAsia="宋体" w:hAnsi="Book Antiqua" w:cs="宋体"/>
                <w:lang w:eastAsia="zh-CN"/>
              </w:rPr>
              <w:t>-</w:t>
            </w:r>
            <w:r w:rsidRPr="004E727A">
              <w:rPr>
                <w:rFonts w:ascii="Book Antiqua" w:eastAsia="Lato-Regular" w:hAnsi="Book Antiqua" w:cs="Times New Roman"/>
              </w:rPr>
              <w:t>D, 25.0% IBS</w:t>
            </w:r>
            <w:r w:rsidR="00562857" w:rsidRPr="004E727A">
              <w:rPr>
                <w:rFonts w:ascii="Book Antiqua" w:eastAsia="宋体" w:hAnsi="Book Antiqua" w:cs="宋体"/>
                <w:lang w:eastAsia="zh-CN"/>
              </w:rPr>
              <w:t>-</w:t>
            </w:r>
            <w:r w:rsidRPr="004E727A">
              <w:rPr>
                <w:rFonts w:ascii="Book Antiqua" w:eastAsia="Lato-Regular" w:hAnsi="Book Antiqua" w:cs="Times New Roman"/>
              </w:rPr>
              <w:t>C, 19% IBS</w:t>
            </w:r>
            <w:r w:rsidR="00562857" w:rsidRPr="004E727A">
              <w:rPr>
                <w:rFonts w:ascii="Book Antiqua" w:eastAsia="宋体" w:hAnsi="Book Antiqua" w:cs="宋体"/>
                <w:lang w:eastAsia="zh-CN"/>
              </w:rPr>
              <w:t>-</w:t>
            </w:r>
            <w:r w:rsidRPr="004E727A">
              <w:rPr>
                <w:rFonts w:ascii="Book Antiqua" w:eastAsia="Lato-Regular" w:hAnsi="Book Antiqua" w:cs="Times New Roman"/>
              </w:rPr>
              <w:t>M</w:t>
            </w:r>
          </w:p>
          <w:p w14:paraId="130EB6B7"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with a low amount of butyrateproducing</w:t>
            </w:r>
          </w:p>
          <w:p w14:paraId="36843A1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bacteria in their fecal samples</w:t>
            </w:r>
          </w:p>
        </w:tc>
        <w:tc>
          <w:tcPr>
            <w:tcW w:w="1292" w:type="dxa"/>
            <w:tcBorders>
              <w:top w:val="nil"/>
              <w:left w:val="nil"/>
              <w:bottom w:val="nil"/>
              <w:right w:val="nil"/>
            </w:tcBorders>
          </w:tcPr>
          <w:p w14:paraId="09B4386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17 (50.0%)</w:t>
            </w:r>
          </w:p>
        </w:tc>
        <w:tc>
          <w:tcPr>
            <w:tcW w:w="1590" w:type="dxa"/>
            <w:tcBorders>
              <w:top w:val="nil"/>
              <w:left w:val="nil"/>
              <w:bottom w:val="nil"/>
              <w:right w:val="nil"/>
            </w:tcBorders>
          </w:tcPr>
          <w:p w14:paraId="61E490EC"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30 g of single FMT (1 donor) (8)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(8)</w:t>
            </w:r>
          </w:p>
        </w:tc>
        <w:tc>
          <w:tcPr>
            <w:tcW w:w="1843" w:type="dxa"/>
            <w:tcBorders>
              <w:top w:val="nil"/>
              <w:left w:val="nil"/>
              <w:bottom w:val="nil"/>
              <w:right w:val="nil"/>
            </w:tcBorders>
          </w:tcPr>
          <w:p w14:paraId="18988ED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nil"/>
              <w:left w:val="nil"/>
              <w:bottom w:val="nil"/>
              <w:right w:val="nil"/>
            </w:tcBorders>
          </w:tcPr>
          <w:p w14:paraId="2FACB78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gastrointestinal</w:t>
            </w:r>
          </w:p>
          <w:p w14:paraId="1009A5B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symptom rating</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scale</w:t>
            </w:r>
            <w:r w:rsidR="00562857" w:rsidRPr="004E727A">
              <w:rPr>
                <w:rFonts w:ascii="Book Antiqua" w:eastAsia="宋体" w:hAnsi="Book Antiqua" w:cs="宋体"/>
                <w:lang w:eastAsia="zh-CN"/>
              </w:rPr>
              <w:t>-</w:t>
            </w:r>
            <w:r w:rsidRPr="004E727A">
              <w:rPr>
                <w:rFonts w:ascii="Book Antiqua" w:eastAsia="Lato-Regular" w:hAnsi="Book Antiqua" w:cs="Times New Roman"/>
              </w:rPr>
              <w:t>IBS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30%</w:t>
            </w:r>
          </w:p>
        </w:tc>
        <w:tc>
          <w:tcPr>
            <w:tcW w:w="1566" w:type="dxa"/>
            <w:tcBorders>
              <w:top w:val="nil"/>
              <w:left w:val="nil"/>
              <w:bottom w:val="nil"/>
              <w:right w:val="nil"/>
            </w:tcBorders>
          </w:tcPr>
          <w:p w14:paraId="5D261D2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Symptom and QoL improved from baseline only in FMT arm (</w:t>
            </w:r>
            <w:r w:rsidR="00562857" w:rsidRPr="004E727A">
              <w:rPr>
                <w:rFonts w:ascii="Book Antiqua" w:eastAsia="Lato-Regular" w:hAnsi="Book Antiqua" w:cs="Times New Roman"/>
                <w:i/>
              </w:rPr>
              <w:t>P</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&lt;</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0.05) but not different between arms</w:t>
            </w:r>
          </w:p>
        </w:tc>
        <w:tc>
          <w:tcPr>
            <w:tcW w:w="2112" w:type="dxa"/>
            <w:tcBorders>
              <w:top w:val="nil"/>
              <w:left w:val="nil"/>
              <w:bottom w:val="nil"/>
              <w:right w:val="nil"/>
            </w:tcBorders>
          </w:tcPr>
          <w:p w14:paraId="1A38BD81"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Trend of fecal and mucosal microbiota shift to the donor. No significant change in diversity and butyrate-producing bacteria</w:t>
            </w:r>
          </w:p>
        </w:tc>
      </w:tr>
      <w:tr w:rsidR="00A47C83" w:rsidRPr="004E727A" w14:paraId="6B58075E" w14:textId="77777777" w:rsidTr="002B5CD6">
        <w:tc>
          <w:tcPr>
            <w:tcW w:w="1350" w:type="dxa"/>
            <w:tcBorders>
              <w:top w:val="nil"/>
              <w:left w:val="nil"/>
              <w:bottom w:val="nil"/>
              <w:right w:val="nil"/>
            </w:tcBorders>
          </w:tcPr>
          <w:p w14:paraId="371B8496" w14:textId="77777777" w:rsidR="00A47C83" w:rsidRPr="004E727A" w:rsidRDefault="00562857" w:rsidP="0049241D">
            <w:pPr>
              <w:autoSpaceDE w:val="0"/>
              <w:autoSpaceDN w:val="0"/>
              <w:adjustRightInd w:val="0"/>
              <w:snapToGrid w:val="0"/>
              <w:spacing w:line="360" w:lineRule="auto"/>
              <w:jc w:val="both"/>
              <w:rPr>
                <w:rFonts w:ascii="Book Antiqua" w:eastAsia="Lato-Regular" w:hAnsi="Book Antiqua" w:cs="Times New Roman"/>
              </w:rPr>
            </w:pPr>
            <w:bookmarkStart w:id="54" w:name="_Hlk71490762"/>
            <w:bookmarkEnd w:id="53"/>
            <w:r w:rsidRPr="004E727A">
              <w:rPr>
                <w:rFonts w:ascii="Book Antiqua" w:eastAsia="Lato-Regular" w:hAnsi="Book Antiqua" w:cs="Times New Roman"/>
              </w:rPr>
              <w:t xml:space="preserve">Lahtinen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[26]</w:t>
            </w:r>
            <w:r w:rsidRPr="004E727A">
              <w:rPr>
                <w:rFonts w:ascii="Book Antiqua" w:hAnsi="Book Antiqua" w:cs="Times New Roman"/>
                <w:lang w:eastAsia="zh-CN"/>
              </w:rPr>
              <w:t>,</w:t>
            </w:r>
            <w:r w:rsidR="00A47C83" w:rsidRPr="004E727A">
              <w:rPr>
                <w:rFonts w:ascii="Book Antiqua" w:eastAsia="Lato-Regular" w:hAnsi="Book Antiqua" w:cs="Times New Roman"/>
              </w:rPr>
              <w:t xml:space="preserve"> 2020</w:t>
            </w:r>
          </w:p>
        </w:tc>
        <w:tc>
          <w:tcPr>
            <w:tcW w:w="2225" w:type="dxa"/>
            <w:tcBorders>
              <w:top w:val="nil"/>
              <w:left w:val="nil"/>
              <w:bottom w:val="nil"/>
              <w:right w:val="nil"/>
            </w:tcBorders>
          </w:tcPr>
          <w:p w14:paraId="35BA2F0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51%</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IBS-D, 28.6%</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IBS-U. 14%</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IBS-M, 6% in remission</w:t>
            </w:r>
          </w:p>
        </w:tc>
        <w:tc>
          <w:tcPr>
            <w:tcW w:w="1292" w:type="dxa"/>
            <w:tcBorders>
              <w:top w:val="nil"/>
              <w:left w:val="nil"/>
              <w:bottom w:val="nil"/>
              <w:right w:val="nil"/>
            </w:tcBorders>
          </w:tcPr>
          <w:p w14:paraId="42AA224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49</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(59.2%)</w:t>
            </w:r>
          </w:p>
        </w:tc>
        <w:tc>
          <w:tcPr>
            <w:tcW w:w="1590" w:type="dxa"/>
            <w:tcBorders>
              <w:top w:val="nil"/>
              <w:left w:val="nil"/>
              <w:bottom w:val="nil"/>
              <w:right w:val="nil"/>
            </w:tcBorders>
          </w:tcPr>
          <w:p w14:paraId="13F1499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30 g of single FMT (1 donor) (23) </w:t>
            </w:r>
            <w:r w:rsidRPr="004E727A">
              <w:rPr>
                <w:rFonts w:ascii="Book Antiqua" w:eastAsia="Lato-Regular" w:hAnsi="Book Antiqua" w:cs="Times New Roman"/>
                <w:i/>
              </w:rPr>
              <w:t>vs</w:t>
            </w:r>
            <w:r w:rsidRPr="004E727A">
              <w:rPr>
                <w:rFonts w:ascii="Book Antiqua" w:eastAsia="Lato-Regular" w:hAnsi="Book Antiqua" w:cs="Times New Roman"/>
              </w:rPr>
              <w:t xml:space="preserve"> 30 g of autologous</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stool (26)</w:t>
            </w:r>
          </w:p>
        </w:tc>
        <w:tc>
          <w:tcPr>
            <w:tcW w:w="1843" w:type="dxa"/>
            <w:tcBorders>
              <w:top w:val="nil"/>
              <w:left w:val="nil"/>
              <w:bottom w:val="nil"/>
              <w:right w:val="nil"/>
            </w:tcBorders>
          </w:tcPr>
          <w:p w14:paraId="2AA028B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nil"/>
              <w:left w:val="nil"/>
              <w:bottom w:val="nil"/>
              <w:right w:val="nil"/>
            </w:tcBorders>
          </w:tcPr>
          <w:p w14:paraId="5D47345F"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decline in the IBS-SSS score </w:t>
            </w:r>
            <w:r w:rsidR="00562857" w:rsidRPr="004E727A">
              <w:rPr>
                <w:rFonts w:ascii="Book Antiqua" w:eastAsia="Lato-Regular" w:hAnsi="Book Antiqua" w:cs="Times New Roman"/>
              </w:rPr>
              <w:t>of ≥ 50 points throughout 52 w</w:t>
            </w:r>
            <w:r w:rsidRPr="004E727A">
              <w:rPr>
                <w:rFonts w:ascii="Book Antiqua" w:eastAsia="Lato-Regular" w:hAnsi="Book Antiqua" w:cs="Times New Roman"/>
              </w:rPr>
              <w:t>k</w:t>
            </w:r>
          </w:p>
        </w:tc>
        <w:tc>
          <w:tcPr>
            <w:tcW w:w="1566" w:type="dxa"/>
            <w:tcBorders>
              <w:top w:val="nil"/>
              <w:left w:val="nil"/>
              <w:bottom w:val="nil"/>
              <w:right w:val="nil"/>
            </w:tcBorders>
          </w:tcPr>
          <w:p w14:paraId="0FB1015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Primary endpoint was not achieved in both arms. Only transient improved in FMT arm </w:t>
            </w:r>
            <w:r w:rsidRPr="004E727A">
              <w:rPr>
                <w:rFonts w:ascii="Book Antiqua" w:eastAsia="Lato-Regular" w:hAnsi="Book Antiqua" w:cs="Times New Roman"/>
                <w:i/>
              </w:rPr>
              <w:t>vs</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 xml:space="preserve">baseline at week 12 </w:t>
            </w:r>
          </w:p>
        </w:tc>
        <w:tc>
          <w:tcPr>
            <w:tcW w:w="2112" w:type="dxa"/>
            <w:tcBorders>
              <w:top w:val="nil"/>
              <w:left w:val="nil"/>
              <w:bottom w:val="nil"/>
              <w:right w:val="nil"/>
            </w:tcBorders>
          </w:tcPr>
          <w:p w14:paraId="148C745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Significant shift in the microbiota profile and richness increased in FMT group</w:t>
            </w:r>
          </w:p>
        </w:tc>
      </w:tr>
      <w:bookmarkEnd w:id="54"/>
      <w:tr w:rsidR="00A47C83" w:rsidRPr="004E727A" w14:paraId="0A4F1154" w14:textId="77777777" w:rsidTr="00072648">
        <w:tc>
          <w:tcPr>
            <w:tcW w:w="1350" w:type="dxa"/>
            <w:tcBorders>
              <w:top w:val="nil"/>
              <w:left w:val="nil"/>
              <w:bottom w:val="nil"/>
              <w:right w:val="nil"/>
            </w:tcBorders>
          </w:tcPr>
          <w:p w14:paraId="2B1F9238" w14:textId="7AE220EE" w:rsidR="00A47C83" w:rsidRPr="004E727A" w:rsidRDefault="00A47C83" w:rsidP="0049241D">
            <w:pPr>
              <w:autoSpaceDE w:val="0"/>
              <w:autoSpaceDN w:val="0"/>
              <w:adjustRightInd w:val="0"/>
              <w:snapToGrid w:val="0"/>
              <w:spacing w:line="360" w:lineRule="auto"/>
              <w:jc w:val="both"/>
              <w:rPr>
                <w:rFonts w:ascii="Book Antiqua" w:eastAsia="Lato-Regular" w:hAnsi="Book Antiqua"/>
              </w:rPr>
            </w:pPr>
            <w:r w:rsidRPr="004E727A">
              <w:rPr>
                <w:rFonts w:ascii="Book Antiqua" w:eastAsia="Lato-Regular" w:hAnsi="Book Antiqua"/>
              </w:rPr>
              <w:t xml:space="preserve">El-Salhy </w:t>
            </w:r>
            <w:r w:rsidRPr="004E727A">
              <w:rPr>
                <w:rFonts w:ascii="Book Antiqua" w:eastAsia="Lato-Regular" w:hAnsi="Book Antiqua"/>
                <w:i/>
              </w:rPr>
              <w:t>et</w:t>
            </w:r>
            <w:r w:rsidR="00562857" w:rsidRPr="004E727A">
              <w:rPr>
                <w:rFonts w:ascii="Book Antiqua" w:hAnsi="Book Antiqua"/>
                <w:i/>
                <w:lang w:eastAsia="zh-CN"/>
              </w:rPr>
              <w:t xml:space="preserve"> </w:t>
            </w:r>
            <w:r w:rsidR="00562857" w:rsidRPr="004E727A">
              <w:rPr>
                <w:rFonts w:ascii="Book Antiqua" w:eastAsia="Lato-Regular" w:hAnsi="Book Antiqua"/>
                <w:i/>
              </w:rPr>
              <w:t>al</w:t>
            </w:r>
            <w:r w:rsidR="001B1391" w:rsidRPr="004E727A">
              <w:rPr>
                <w:rFonts w:ascii="Book Antiqua" w:eastAsiaTheme="minorEastAsia" w:hAnsi="Book Antiqua"/>
                <w:vertAlign w:val="superscript"/>
                <w:lang w:eastAsia="zh-CN"/>
              </w:rPr>
              <w:t>[11]</w:t>
            </w:r>
            <w:r w:rsidR="00562857" w:rsidRPr="004E727A">
              <w:rPr>
                <w:rFonts w:ascii="Book Antiqua" w:hAnsi="Book Antiqua"/>
                <w:lang w:eastAsia="zh-CN"/>
              </w:rPr>
              <w:t>,</w:t>
            </w:r>
            <w:r w:rsidRPr="004E727A">
              <w:rPr>
                <w:rFonts w:ascii="Book Antiqua" w:eastAsia="Lato-Regular" w:hAnsi="Book Antiqua"/>
              </w:rPr>
              <w:t xml:space="preserve"> 2020</w:t>
            </w:r>
          </w:p>
        </w:tc>
        <w:tc>
          <w:tcPr>
            <w:tcW w:w="2225" w:type="dxa"/>
            <w:tcBorders>
              <w:top w:val="nil"/>
              <w:left w:val="nil"/>
              <w:bottom w:val="nil"/>
              <w:right w:val="nil"/>
            </w:tcBorders>
          </w:tcPr>
          <w:p w14:paraId="7539259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38.4%</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 xml:space="preserve">IBS-D, 37.8% </w:t>
            </w:r>
            <w:bookmarkStart w:id="55" w:name="OLE_LINK81"/>
            <w:bookmarkStart w:id="56" w:name="OLE_LINK82"/>
            <w:r w:rsidRPr="004E727A">
              <w:rPr>
                <w:rFonts w:ascii="Book Antiqua" w:eastAsia="Lato-Regular" w:hAnsi="Book Antiqua" w:cs="Times New Roman"/>
              </w:rPr>
              <w:t>IBS-C</w:t>
            </w:r>
            <w:bookmarkEnd w:id="55"/>
            <w:bookmarkEnd w:id="56"/>
            <w:r w:rsidRPr="004E727A">
              <w:rPr>
                <w:rFonts w:ascii="Book Antiqua" w:eastAsia="Lato-Regular" w:hAnsi="Book Antiqua" w:cs="Times New Roman"/>
              </w:rPr>
              <w:t>, 23.8%</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IBS-M</w:t>
            </w:r>
          </w:p>
        </w:tc>
        <w:tc>
          <w:tcPr>
            <w:tcW w:w="1292" w:type="dxa"/>
            <w:tcBorders>
              <w:top w:val="nil"/>
              <w:left w:val="nil"/>
              <w:bottom w:val="nil"/>
              <w:right w:val="nil"/>
            </w:tcBorders>
          </w:tcPr>
          <w:p w14:paraId="2C63007F" w14:textId="1F8E9CB9"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164</w:t>
            </w:r>
            <w:r w:rsidR="001B1391"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(81%)</w:t>
            </w:r>
          </w:p>
        </w:tc>
        <w:tc>
          <w:tcPr>
            <w:tcW w:w="1590" w:type="dxa"/>
            <w:tcBorders>
              <w:top w:val="nil"/>
              <w:left w:val="nil"/>
              <w:bottom w:val="nil"/>
              <w:right w:val="nil"/>
            </w:tcBorders>
          </w:tcPr>
          <w:p w14:paraId="6D16D34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single 30 g FMT (54) </w:t>
            </w:r>
            <w:r w:rsidRPr="004E727A">
              <w:rPr>
                <w:rFonts w:ascii="Book Antiqua" w:eastAsia="Lato-Regular" w:hAnsi="Book Antiqua" w:cs="Times New Roman"/>
                <w:i/>
              </w:rPr>
              <w:t>vs</w:t>
            </w:r>
            <w:r w:rsidRPr="004E727A">
              <w:rPr>
                <w:rFonts w:ascii="Book Antiqua" w:eastAsia="Lato-Regular" w:hAnsi="Book Antiqua" w:cs="Times New Roman"/>
              </w:rPr>
              <w:t xml:space="preserve"> 60 g (55)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(55)</w:t>
            </w:r>
          </w:p>
        </w:tc>
        <w:tc>
          <w:tcPr>
            <w:tcW w:w="1843" w:type="dxa"/>
            <w:tcBorders>
              <w:top w:val="nil"/>
              <w:left w:val="nil"/>
              <w:bottom w:val="nil"/>
              <w:right w:val="nil"/>
            </w:tcBorders>
          </w:tcPr>
          <w:p w14:paraId="1FB49ED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Distal duodenum </w:t>
            </w:r>
            <w:r w:rsidRPr="004E727A">
              <w:rPr>
                <w:rFonts w:ascii="Book Antiqua" w:eastAsia="Lato-Regular" w:hAnsi="Book Antiqua" w:cs="Times New Roman"/>
                <w:i/>
              </w:rPr>
              <w:t>via</w:t>
            </w:r>
            <w:r w:rsidRPr="004E727A">
              <w:rPr>
                <w:rFonts w:ascii="Book Antiqua" w:eastAsia="Lato-Regular" w:hAnsi="Book Antiqua" w:cs="Times New Roman"/>
              </w:rPr>
              <w:t xml:space="preserve"> a gastroscope</w:t>
            </w:r>
          </w:p>
        </w:tc>
        <w:tc>
          <w:tcPr>
            <w:tcW w:w="1858" w:type="dxa"/>
            <w:tcBorders>
              <w:top w:val="nil"/>
              <w:left w:val="nil"/>
              <w:bottom w:val="nil"/>
              <w:right w:val="nil"/>
            </w:tcBorders>
          </w:tcPr>
          <w:p w14:paraId="6F3E79BD" w14:textId="77777777" w:rsidR="00A47C83" w:rsidRPr="004E727A" w:rsidRDefault="00A47C83" w:rsidP="0049241D">
            <w:pPr>
              <w:autoSpaceDE w:val="0"/>
              <w:autoSpaceDN w:val="0"/>
              <w:adjustRightInd w:val="0"/>
              <w:snapToGrid w:val="0"/>
              <w:spacing w:line="360" w:lineRule="auto"/>
              <w:jc w:val="both"/>
              <w:rPr>
                <w:rFonts w:ascii="Book Antiqua" w:hAnsi="Book Antiqua" w:cs="ClassicalGaramondBT-Roman"/>
              </w:rPr>
            </w:pPr>
            <w:r w:rsidRPr="004E727A">
              <w:rPr>
                <w:rFonts w:ascii="Book Antiqua" w:hAnsi="Book Antiqua" w:cs="ClassicalGaramondBT-Roman"/>
              </w:rPr>
              <w:t xml:space="preserve">total </w:t>
            </w:r>
            <w:bookmarkStart w:id="57" w:name="OLE_LINK71"/>
            <w:bookmarkStart w:id="58" w:name="OLE_LINK72"/>
            <w:r w:rsidRPr="004E727A">
              <w:rPr>
                <w:rFonts w:ascii="Book Antiqua" w:hAnsi="Book Antiqua" w:cs="ClassicalGaramondBT-Roman"/>
              </w:rPr>
              <w:t>IBS-SSS</w:t>
            </w:r>
            <w:bookmarkEnd w:id="57"/>
            <w:bookmarkEnd w:id="58"/>
          </w:p>
          <w:p w14:paraId="4AD14D7B"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lang w:eastAsia="zh-CN"/>
              </w:rPr>
            </w:pPr>
            <w:r w:rsidRPr="004E727A">
              <w:rPr>
                <w:rFonts w:ascii="Book Antiqua" w:hAnsi="Book Antiqua" w:cs="ClassicalGaramondBT-Roman"/>
              </w:rPr>
              <w:t>score decreased by ≥</w:t>
            </w:r>
            <w:r w:rsidR="00562857" w:rsidRPr="004E727A">
              <w:rPr>
                <w:rFonts w:ascii="Book Antiqua" w:hAnsi="Book Antiqua" w:cs="ClassicalGaramondBT-Roman"/>
                <w:lang w:eastAsia="zh-CN"/>
              </w:rPr>
              <w:t xml:space="preserve"> </w:t>
            </w:r>
            <w:r w:rsidRPr="004E727A">
              <w:rPr>
                <w:rFonts w:ascii="Book Antiqua" w:hAnsi="Book Antiqua" w:cs="ClassicalGaramondBT-Roman"/>
              </w:rPr>
              <w:t>50 points at 3 mo</w:t>
            </w:r>
          </w:p>
        </w:tc>
        <w:tc>
          <w:tcPr>
            <w:tcW w:w="1566" w:type="dxa"/>
            <w:tcBorders>
              <w:top w:val="nil"/>
              <w:left w:val="nil"/>
              <w:bottom w:val="nil"/>
              <w:right w:val="nil"/>
            </w:tcBorders>
          </w:tcPr>
          <w:p w14:paraId="5A965168" w14:textId="77777777" w:rsidR="00A47C83" w:rsidRPr="004E727A" w:rsidRDefault="00A47C83" w:rsidP="00562857">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w:t>
            </w:r>
            <w:r w:rsidRPr="004E727A">
              <w:rPr>
                <w:rFonts w:ascii="Book Antiqua" w:eastAsia="Lato-Regular" w:hAnsi="Book Antiqua" w:cs="Times New Roman"/>
              </w:rPr>
              <w:t>30</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g FMT 76.9%, 60</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g</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 xml:space="preserve">FMT 89.1%, control 23.6% </w:t>
            </w:r>
            <w:r w:rsidR="00562857" w:rsidRPr="004E727A">
              <w:rPr>
                <w:rFonts w:ascii="Book Antiqua" w:eastAsia="Lato-Regular" w:hAnsi="Book Antiqua" w:cs="Times New Roman"/>
                <w:i/>
              </w:rPr>
              <w:t>P</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&lt;</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0.05; response independent of gender, IBS subtype</w:t>
            </w:r>
          </w:p>
        </w:tc>
        <w:tc>
          <w:tcPr>
            <w:tcW w:w="2112" w:type="dxa"/>
            <w:tcBorders>
              <w:top w:val="nil"/>
              <w:left w:val="nil"/>
              <w:bottom w:val="nil"/>
              <w:right w:val="nil"/>
            </w:tcBorders>
          </w:tcPr>
          <w:p w14:paraId="53BDE7EF" w14:textId="77777777" w:rsidR="00A47C83" w:rsidRPr="004E727A" w:rsidRDefault="00562857"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 At 1 mo</w:t>
            </w:r>
            <w:r w:rsidR="00A47C83" w:rsidRPr="004E727A">
              <w:rPr>
                <w:rFonts w:ascii="Book Antiqua" w:eastAsia="Lato-Regular" w:hAnsi="Book Antiqua" w:cs="Times New Roman"/>
              </w:rPr>
              <w:t xml:space="preserve">: dysbiosis index/prevalence were not different at baseline </w:t>
            </w:r>
            <w:r w:rsidR="00A47C83" w:rsidRPr="004E727A">
              <w:rPr>
                <w:rFonts w:ascii="Book Antiqua" w:eastAsia="Lato-Regular" w:hAnsi="Book Antiqua" w:cs="Times New Roman"/>
                <w:i/>
              </w:rPr>
              <w:t>vs</w:t>
            </w:r>
            <w:r w:rsidR="00A47C83" w:rsidRPr="004E727A">
              <w:rPr>
                <w:rFonts w:ascii="Book Antiqua" w:eastAsia="Lato-Regular" w:hAnsi="Book Antiqua" w:cs="Times New Roman"/>
              </w:rPr>
              <w:t xml:space="preserve"> post FMT (</w:t>
            </w:r>
            <w:r w:rsidRPr="004E727A">
              <w:rPr>
                <w:rFonts w:ascii="Book Antiqua" w:eastAsia="Lato-Regular" w:hAnsi="Book Antiqua" w:cs="Times New Roman"/>
                <w:i/>
              </w:rPr>
              <w:t>P</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&gt;</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 xml:space="preserve">0.05), </w:t>
            </w:r>
          </w:p>
          <w:p w14:paraId="37779DE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Responder had higher signals for</w:t>
            </w:r>
          </w:p>
          <w:p w14:paraId="02F19E3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i/>
              </w:rPr>
              <w:t>Eubacterium biforme</w:t>
            </w:r>
            <w:r w:rsidRPr="004E727A">
              <w:rPr>
                <w:rFonts w:ascii="Book Antiqua" w:eastAsia="Lato-Regular" w:hAnsi="Book Antiqua" w:cs="Times New Roman"/>
              </w:rPr>
              <w:t xml:space="preserve">, </w:t>
            </w:r>
            <w:r w:rsidRPr="004E727A">
              <w:rPr>
                <w:rFonts w:ascii="Book Antiqua" w:eastAsia="Lato-Regular" w:hAnsi="Book Antiqua" w:cs="Times New Roman"/>
                <w:i/>
              </w:rPr>
              <w:t>Lactobacillus</w:t>
            </w:r>
            <w:r w:rsidRPr="004E727A">
              <w:rPr>
                <w:rFonts w:ascii="Book Antiqua" w:eastAsia="Lato-Regular" w:hAnsi="Book Antiqua" w:cs="Times New Roman"/>
              </w:rPr>
              <w:t xml:space="preserve"> spp. and </w:t>
            </w:r>
            <w:r w:rsidRPr="004E727A">
              <w:rPr>
                <w:rFonts w:ascii="Book Antiqua" w:eastAsia="Lato-Regular" w:hAnsi="Book Antiqua" w:cs="Times New Roman"/>
                <w:i/>
              </w:rPr>
              <w:t>Alistipes</w:t>
            </w:r>
            <w:r w:rsidRPr="004E727A">
              <w:rPr>
                <w:rFonts w:ascii="Book Antiqua" w:eastAsia="Lato-Regular" w:hAnsi="Book Antiqua" w:cs="Times New Roman"/>
              </w:rPr>
              <w:t xml:space="preserve"> spp. </w:t>
            </w:r>
            <w:r w:rsidR="002B5CD6" w:rsidRPr="004E727A">
              <w:rPr>
                <w:rFonts w:ascii="Book Antiqua" w:eastAsia="Lato-Regular" w:hAnsi="Book Antiqua" w:cs="Times New Roman"/>
              </w:rPr>
              <w:t>A</w:t>
            </w:r>
            <w:r w:rsidRPr="004E727A">
              <w:rPr>
                <w:rFonts w:ascii="Book Antiqua" w:eastAsia="Lato-Regular" w:hAnsi="Book Antiqua" w:cs="Times New Roman"/>
              </w:rPr>
              <w:t>fter</w:t>
            </w:r>
            <w:r w:rsidR="002B5CD6" w:rsidRPr="004E727A">
              <w:rPr>
                <w:rFonts w:ascii="Book Antiqua" w:hAnsi="Book Antiqua" w:cs="Times New Roman"/>
                <w:lang w:eastAsia="zh-CN"/>
              </w:rPr>
              <w:t xml:space="preserve"> </w:t>
            </w:r>
            <w:r w:rsidRPr="004E727A">
              <w:rPr>
                <w:rFonts w:ascii="Book Antiqua" w:eastAsia="Lato-Regular" w:hAnsi="Book Antiqua" w:cs="Times New Roman"/>
              </w:rPr>
              <w:t xml:space="preserve">FMT, and lower signals for </w:t>
            </w:r>
            <w:r w:rsidRPr="004E727A">
              <w:rPr>
                <w:rFonts w:ascii="Book Antiqua" w:eastAsia="Lato-Regular" w:hAnsi="Book Antiqua" w:cs="Times New Roman"/>
                <w:i/>
              </w:rPr>
              <w:t>Bacteroides</w:t>
            </w:r>
            <w:r w:rsidRPr="004E727A">
              <w:rPr>
                <w:rFonts w:ascii="Book Antiqua" w:eastAsia="Lato-Regular" w:hAnsi="Book Antiqua" w:cs="Times New Roman"/>
              </w:rPr>
              <w:t xml:space="preserve"> spp</w:t>
            </w:r>
          </w:p>
        </w:tc>
      </w:tr>
      <w:tr w:rsidR="00A47C83" w:rsidRPr="004E727A" w14:paraId="0968C20D" w14:textId="77777777" w:rsidTr="002B5CD6">
        <w:tc>
          <w:tcPr>
            <w:tcW w:w="1350" w:type="dxa"/>
            <w:tcBorders>
              <w:top w:val="nil"/>
              <w:left w:val="nil"/>
              <w:right w:val="nil"/>
            </w:tcBorders>
          </w:tcPr>
          <w:p w14:paraId="16586E3B" w14:textId="77777777" w:rsidR="00A47C83" w:rsidRPr="004E727A" w:rsidRDefault="002B5CD6" w:rsidP="002B5CD6">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Holvoet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[27]</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2021</w:t>
            </w:r>
          </w:p>
        </w:tc>
        <w:tc>
          <w:tcPr>
            <w:tcW w:w="2225" w:type="dxa"/>
            <w:tcBorders>
              <w:top w:val="nil"/>
              <w:left w:val="nil"/>
              <w:right w:val="nil"/>
            </w:tcBorders>
          </w:tcPr>
          <w:p w14:paraId="59898612" w14:textId="77777777" w:rsidR="00A47C83" w:rsidRPr="004E727A" w:rsidRDefault="00A47C83" w:rsidP="002B5CD6">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100% </w:t>
            </w:r>
            <w:bookmarkStart w:id="59" w:name="OLE_LINK69"/>
            <w:bookmarkStart w:id="60" w:name="OLE_LINK70"/>
            <w:r w:rsidRPr="004E727A">
              <w:rPr>
                <w:rFonts w:ascii="Book Antiqua" w:eastAsia="Lato-Regular" w:hAnsi="Book Antiqua" w:cs="Times New Roman"/>
              </w:rPr>
              <w:t>IBS</w:t>
            </w:r>
            <w:bookmarkEnd w:id="59"/>
            <w:bookmarkEnd w:id="60"/>
            <w:r w:rsidR="002B5CD6" w:rsidRPr="004E727A">
              <w:rPr>
                <w:rFonts w:ascii="Book Antiqua" w:eastAsia="宋体" w:hAnsi="Book Antiqua" w:cs="宋体"/>
                <w:lang w:eastAsia="zh-CN"/>
              </w:rPr>
              <w:t>-</w:t>
            </w:r>
            <w:r w:rsidRPr="004E727A">
              <w:rPr>
                <w:rFonts w:ascii="Book Antiqua" w:eastAsia="Lato-Regular" w:hAnsi="Book Antiqua" w:cs="Times New Roman"/>
              </w:rPr>
              <w:t>D or IBS</w:t>
            </w:r>
            <w:r w:rsidR="002B5CD6" w:rsidRPr="004E727A">
              <w:rPr>
                <w:rFonts w:ascii="Book Antiqua" w:eastAsia="宋体" w:hAnsi="Book Antiqua" w:cs="宋体"/>
                <w:lang w:eastAsia="zh-CN"/>
              </w:rPr>
              <w:t>-</w:t>
            </w:r>
            <w:r w:rsidRPr="004E727A">
              <w:rPr>
                <w:rFonts w:ascii="Book Antiqua" w:eastAsia="Lato-Regular" w:hAnsi="Book Antiqua" w:cs="Times New Roman"/>
              </w:rPr>
              <w:t>M</w:t>
            </w:r>
            <w:r w:rsidR="002B5CD6" w:rsidRPr="004E727A">
              <w:rPr>
                <w:rFonts w:ascii="Book Antiqua" w:hAnsi="Book Antiqua" w:cs="Times New Roman"/>
                <w:lang w:eastAsia="zh-CN"/>
              </w:rPr>
              <w:t xml:space="preserve"> </w:t>
            </w:r>
            <w:r w:rsidRPr="004E727A">
              <w:rPr>
                <w:rFonts w:ascii="Book Antiqua" w:eastAsia="Lato-Regular" w:hAnsi="Book Antiqua"/>
              </w:rPr>
              <w:t>with predominant bloating</w:t>
            </w:r>
          </w:p>
        </w:tc>
        <w:tc>
          <w:tcPr>
            <w:tcW w:w="1292" w:type="dxa"/>
            <w:tcBorders>
              <w:top w:val="nil"/>
              <w:left w:val="nil"/>
              <w:right w:val="nil"/>
            </w:tcBorders>
          </w:tcPr>
          <w:p w14:paraId="0BE9376C"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62 (64.7)</w:t>
            </w:r>
          </w:p>
        </w:tc>
        <w:tc>
          <w:tcPr>
            <w:tcW w:w="1590" w:type="dxa"/>
            <w:tcBorders>
              <w:top w:val="nil"/>
              <w:left w:val="nil"/>
              <w:right w:val="nil"/>
            </w:tcBorders>
          </w:tcPr>
          <w:p w14:paraId="0CFFE1FC"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Single FMT (2 male donors, each participant received from 1 donor) (43)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(19)</w:t>
            </w:r>
          </w:p>
        </w:tc>
        <w:tc>
          <w:tcPr>
            <w:tcW w:w="1843" w:type="dxa"/>
            <w:tcBorders>
              <w:top w:val="nil"/>
              <w:left w:val="nil"/>
              <w:right w:val="nil"/>
            </w:tcBorders>
          </w:tcPr>
          <w:p w14:paraId="4F8D396B"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Small intestine </w:t>
            </w:r>
            <w:r w:rsidRPr="004E727A">
              <w:rPr>
                <w:rFonts w:ascii="Book Antiqua" w:eastAsia="Lato-Regular" w:hAnsi="Book Antiqua" w:cs="Times New Roman"/>
                <w:i/>
              </w:rPr>
              <w:t>via</w:t>
            </w:r>
            <w:r w:rsidRPr="004E727A">
              <w:rPr>
                <w:rFonts w:ascii="Book Antiqua" w:eastAsia="Lato-Regular" w:hAnsi="Book Antiqua" w:cs="Times New Roman"/>
              </w:rPr>
              <w:t xml:space="preserve"> a </w:t>
            </w:r>
            <w:r w:rsidR="002B5CD6" w:rsidRPr="004E727A">
              <w:rPr>
                <w:rFonts w:ascii="Book Antiqua" w:eastAsia="Lato-Regular" w:hAnsi="Book Antiqua" w:cs="Times New Roman"/>
              </w:rPr>
              <w:t xml:space="preserve">nasojejunal </w:t>
            </w:r>
            <w:r w:rsidRPr="004E727A">
              <w:rPr>
                <w:rFonts w:ascii="Book Antiqua" w:eastAsia="Lato-Regular" w:hAnsi="Book Antiqua" w:cs="Times New Roman"/>
              </w:rPr>
              <w:t>tube</w:t>
            </w:r>
          </w:p>
        </w:tc>
        <w:tc>
          <w:tcPr>
            <w:tcW w:w="1858" w:type="dxa"/>
            <w:tcBorders>
              <w:top w:val="nil"/>
              <w:left w:val="nil"/>
              <w:right w:val="nil"/>
            </w:tcBorders>
          </w:tcPr>
          <w:p w14:paraId="77E09289"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Self</w:t>
            </w:r>
            <w:r w:rsidR="002B5CD6" w:rsidRPr="004E727A">
              <w:rPr>
                <w:rFonts w:ascii="Book Antiqua" w:eastAsia="宋体" w:hAnsi="Book Antiqua" w:cs="宋体"/>
                <w:lang w:eastAsia="zh-CN"/>
              </w:rPr>
              <w:t>-</w:t>
            </w:r>
            <w:r w:rsidRPr="004E727A">
              <w:rPr>
                <w:rFonts w:ascii="Book Antiqua" w:eastAsia="Lato-Regular" w:hAnsi="Book Antiqua" w:cs="Times New Roman"/>
              </w:rPr>
              <w:t>reported adequate</w:t>
            </w:r>
          </w:p>
          <w:p w14:paraId="7D629BB6"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relief of symptoms at</w:t>
            </w:r>
          </w:p>
          <w:p w14:paraId="4AFC7E64" w14:textId="77777777" w:rsidR="00A47C83" w:rsidRPr="004E727A" w:rsidRDefault="002B5CD6" w:rsidP="002B5CD6">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12 wk and 1 y</w:t>
            </w:r>
            <w:r w:rsidR="00A47C83" w:rsidRPr="004E727A">
              <w:rPr>
                <w:rFonts w:ascii="Book Antiqua" w:eastAsia="Lato-Regular" w:hAnsi="Book Antiqua" w:cs="Times New Roman"/>
              </w:rPr>
              <w:t>r</w:t>
            </w:r>
          </w:p>
        </w:tc>
        <w:tc>
          <w:tcPr>
            <w:tcW w:w="1566" w:type="dxa"/>
            <w:tcBorders>
              <w:top w:val="nil"/>
              <w:left w:val="nil"/>
              <w:right w:val="nil"/>
            </w:tcBorders>
          </w:tcPr>
          <w:p w14:paraId="5389A41C" w14:textId="77777777" w:rsidR="00A47C83" w:rsidRPr="004E727A" w:rsidRDefault="00A47C83" w:rsidP="002B5CD6">
            <w:pPr>
              <w:pStyle w:val="a8"/>
              <w:pBdr>
                <w:left w:val="single" w:sz="4" w:space="4" w:color="auto"/>
              </w:pBdr>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FMT 56% </w:t>
            </w:r>
            <w:r w:rsidRPr="004E727A">
              <w:rPr>
                <w:rFonts w:ascii="Book Antiqua" w:eastAsia="Lato-Regular" w:hAnsi="Book Antiqua"/>
                <w:i/>
              </w:rPr>
              <w:t>vs</w:t>
            </w:r>
            <w:r w:rsidRPr="004E727A">
              <w:rPr>
                <w:rFonts w:ascii="Book Antiqua" w:eastAsia="Lato-Regular" w:hAnsi="Book Antiqua"/>
              </w:rPr>
              <w:t xml:space="preserve"> control 26% (</w:t>
            </w:r>
            <w:r w:rsidR="002B5CD6" w:rsidRPr="004E727A">
              <w:rPr>
                <w:rFonts w:ascii="Book Antiqua" w:eastAsia="Lato-Regular" w:hAnsi="Book Antiqua"/>
                <w:i/>
              </w:rPr>
              <w:t>P</w:t>
            </w:r>
            <w:r w:rsidR="002B5CD6" w:rsidRPr="004E727A">
              <w:rPr>
                <w:rFonts w:ascii="Book Antiqua" w:eastAsiaTheme="minorEastAsia" w:hAnsi="Book Antiqua"/>
                <w:lang w:eastAsia="zh-CN"/>
              </w:rPr>
              <w:t xml:space="preserve"> </w:t>
            </w:r>
            <w:r w:rsidRPr="004E727A">
              <w:rPr>
                <w:rFonts w:ascii="Book Antiqua" w:eastAsia="Lato-Regular" w:hAnsi="Book Antiqua"/>
              </w:rPr>
              <w:t>&lt;</w:t>
            </w:r>
            <w:r w:rsidR="002B5CD6" w:rsidRPr="004E727A">
              <w:rPr>
                <w:rFonts w:ascii="Book Antiqua" w:eastAsiaTheme="minorEastAsia" w:hAnsi="Book Antiqua"/>
                <w:lang w:eastAsia="zh-CN"/>
              </w:rPr>
              <w:t xml:space="preserve"> </w:t>
            </w:r>
            <w:r w:rsidRPr="004E727A">
              <w:rPr>
                <w:rFonts w:ascii="Book Antiqua" w:eastAsia="Lato-Regular" w:hAnsi="Book Antiqua"/>
              </w:rPr>
              <w:t xml:space="preserve">0.05); Good response predictor: women (69% </w:t>
            </w:r>
            <w:r w:rsidRPr="004E727A">
              <w:rPr>
                <w:rFonts w:ascii="Book Antiqua" w:eastAsia="Lato-Regular" w:hAnsi="Book Antiqua"/>
                <w:i/>
              </w:rPr>
              <w:t>vs</w:t>
            </w:r>
            <w:r w:rsidR="002B5CD6" w:rsidRPr="004E727A">
              <w:rPr>
                <w:rFonts w:ascii="Book Antiqua" w:eastAsiaTheme="minorEastAsia" w:hAnsi="Book Antiqua"/>
                <w:lang w:eastAsia="zh-CN"/>
              </w:rPr>
              <w:t xml:space="preserve"> </w:t>
            </w:r>
            <w:r w:rsidRPr="004E727A">
              <w:rPr>
                <w:rFonts w:ascii="Book Antiqua" w:eastAsia="Lato-Regular" w:hAnsi="Book Antiqua"/>
              </w:rPr>
              <w:t>29%), patients with high baseline diversity, distinct composition (</w:t>
            </w:r>
            <w:r w:rsidR="002B5CD6" w:rsidRPr="004E727A">
              <w:rPr>
                <w:rFonts w:ascii="Book Antiqua" w:eastAsia="Lato-Regular" w:hAnsi="Book Antiqua"/>
                <w:i/>
              </w:rPr>
              <w:t>P</w:t>
            </w:r>
            <w:r w:rsidR="002B5CD6" w:rsidRPr="004E727A">
              <w:rPr>
                <w:rFonts w:ascii="Book Antiqua" w:eastAsiaTheme="minorEastAsia" w:hAnsi="Book Antiqua"/>
                <w:lang w:eastAsia="zh-CN"/>
              </w:rPr>
              <w:t xml:space="preserve"> </w:t>
            </w:r>
            <w:r w:rsidRPr="004E727A">
              <w:rPr>
                <w:rFonts w:ascii="Book Antiqua" w:eastAsia="Lato-Regular" w:hAnsi="Book Antiqua"/>
              </w:rPr>
              <w:t>&lt;</w:t>
            </w:r>
            <w:r w:rsidR="002B5CD6" w:rsidRPr="004E727A">
              <w:rPr>
                <w:rFonts w:ascii="Book Antiqua" w:eastAsiaTheme="minorEastAsia" w:hAnsi="Book Antiqua"/>
                <w:lang w:eastAsia="zh-CN"/>
              </w:rPr>
              <w:t xml:space="preserve"> </w:t>
            </w:r>
            <w:r w:rsidRPr="004E727A">
              <w:rPr>
                <w:rFonts w:ascii="Book Antiqua" w:eastAsia="Lato-Regular" w:hAnsi="Book Antiqua"/>
              </w:rPr>
              <w:t>0.05)</w:t>
            </w:r>
            <w:r w:rsidR="002B5CD6" w:rsidRPr="004E727A">
              <w:rPr>
                <w:rFonts w:ascii="Book Antiqua" w:eastAsiaTheme="minorEastAsia" w:hAnsi="Book Antiqua"/>
                <w:lang w:eastAsia="zh-CN"/>
              </w:rPr>
              <w:t xml:space="preserve"> </w:t>
            </w:r>
            <w:r w:rsidRPr="004E727A">
              <w:rPr>
                <w:rFonts w:ascii="Book Antiqua" w:eastAsia="Lato-Regular" w:hAnsi="Book Antiqua"/>
              </w:rPr>
              <w:t>1 y</w:t>
            </w:r>
            <w:r w:rsidR="002B5CD6" w:rsidRPr="004E727A">
              <w:rPr>
                <w:rFonts w:ascii="Book Antiqua" w:eastAsiaTheme="minorEastAsia" w:hAnsi="Book Antiqua"/>
                <w:lang w:eastAsia="zh-CN"/>
              </w:rPr>
              <w:t>r</w:t>
            </w:r>
            <w:r w:rsidRPr="004E727A">
              <w:rPr>
                <w:rFonts w:ascii="Book Antiqua" w:eastAsia="Lato-Regular" w:hAnsi="Book Antiqua"/>
              </w:rPr>
              <w:t xml:space="preserve"> response FMT 21% </w:t>
            </w:r>
            <w:r w:rsidRPr="004E727A">
              <w:rPr>
                <w:rFonts w:ascii="Book Antiqua" w:eastAsia="Lato-Regular" w:hAnsi="Book Antiqua"/>
                <w:i/>
              </w:rPr>
              <w:t>vs</w:t>
            </w:r>
            <w:r w:rsidRPr="004E727A">
              <w:rPr>
                <w:rFonts w:ascii="Book Antiqua" w:eastAsia="Lato-Regular" w:hAnsi="Book Antiqua"/>
              </w:rPr>
              <w:t xml:space="preserve"> control 6%</w:t>
            </w:r>
            <w:r w:rsidR="002B5CD6" w:rsidRPr="004E727A">
              <w:rPr>
                <w:rFonts w:ascii="Book Antiqua" w:eastAsiaTheme="minorEastAsia" w:hAnsi="Book Antiqua"/>
                <w:lang w:eastAsia="zh-CN"/>
              </w:rPr>
              <w:t xml:space="preserve">; </w:t>
            </w:r>
            <w:r w:rsidRPr="004E727A">
              <w:rPr>
                <w:rFonts w:ascii="Book Antiqua" w:eastAsia="Lato-Regular" w:hAnsi="Book Antiqua"/>
              </w:rPr>
              <w:t>Second FMT restored response in 67% of patients with prior response</w:t>
            </w:r>
          </w:p>
        </w:tc>
        <w:tc>
          <w:tcPr>
            <w:tcW w:w="2112" w:type="dxa"/>
            <w:tcBorders>
              <w:top w:val="nil"/>
              <w:left w:val="nil"/>
              <w:right w:val="nil"/>
            </w:tcBorders>
          </w:tcPr>
          <w:p w14:paraId="6269A195"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bookmarkStart w:id="61" w:name="OLE_LINK67"/>
            <w:bookmarkStart w:id="62" w:name="OLE_LINK68"/>
            <w:r w:rsidRPr="004E727A">
              <w:rPr>
                <w:rFonts w:ascii="Book Antiqua" w:eastAsia="Lato-Regular" w:hAnsi="Book Antiqua"/>
              </w:rPr>
              <w:t>Unknown</w:t>
            </w:r>
            <w:bookmarkEnd w:id="61"/>
            <w:bookmarkEnd w:id="62"/>
          </w:p>
        </w:tc>
      </w:tr>
    </w:tbl>
    <w:bookmarkEnd w:id="49"/>
    <w:p w14:paraId="12E915F0" w14:textId="77777777" w:rsidR="00A47C83" w:rsidRPr="004E727A" w:rsidRDefault="002B5CD6">
      <w:pPr>
        <w:spacing w:line="360" w:lineRule="auto"/>
        <w:jc w:val="both"/>
        <w:rPr>
          <w:rFonts w:ascii="Book Antiqua" w:hAnsi="Book Antiqua"/>
          <w:b/>
          <w:lang w:eastAsia="zh-CN"/>
        </w:rPr>
      </w:pPr>
      <w:r w:rsidRPr="004E727A">
        <w:rPr>
          <w:rFonts w:ascii="Book Antiqua" w:eastAsia="Lato-Regular" w:hAnsi="Book Antiqua"/>
        </w:rPr>
        <w:t>IBS</w:t>
      </w:r>
      <w:r w:rsidRPr="004E727A">
        <w:rPr>
          <w:rFonts w:ascii="Book Antiqua" w:hAnsi="Book Antiqua"/>
          <w:lang w:eastAsia="zh-CN"/>
        </w:rPr>
        <w:t>-D:</w:t>
      </w:r>
      <w:r w:rsidRPr="004E727A">
        <w:rPr>
          <w:rFonts w:ascii="Book Antiqua" w:eastAsia="Book Antiqua" w:hAnsi="Book Antiqua" w:cs="Book Antiqua"/>
          <w:color w:val="000000"/>
        </w:rPr>
        <w:t xml:space="preserve"> </w:t>
      </w:r>
      <w:r w:rsidRPr="004E727A">
        <w:rPr>
          <w:rFonts w:ascii="Book Antiqua" w:hAnsi="Book Antiqua" w:cs="Book Antiqua"/>
          <w:color w:val="000000"/>
          <w:lang w:eastAsia="zh-CN"/>
        </w:rPr>
        <w:t>D</w:t>
      </w:r>
      <w:r w:rsidRPr="004E727A">
        <w:rPr>
          <w:rFonts w:ascii="Book Antiqua" w:eastAsia="Book Antiqua" w:hAnsi="Book Antiqua" w:cs="Book Antiqua"/>
          <w:color w:val="000000"/>
        </w:rPr>
        <w:t xml:space="preserve">iarrhea-predominant </w:t>
      </w:r>
      <w:bookmarkStart w:id="63" w:name="OLE_LINK78"/>
      <w:bookmarkStart w:id="64" w:name="OLE_LINK85"/>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bookmarkEnd w:id="63"/>
      <w:bookmarkEnd w:id="64"/>
      <w:r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IBS-M</w:t>
      </w:r>
      <w:r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w:t>
      </w:r>
      <w:r w:rsidRPr="004E727A">
        <w:rPr>
          <w:rFonts w:ascii="Book Antiqua" w:hAnsi="Book Antiqua" w:cs="Book Antiqua"/>
          <w:color w:val="000000"/>
          <w:lang w:eastAsia="zh-CN"/>
        </w:rPr>
        <w:t>M</w:t>
      </w:r>
      <w:r w:rsidRPr="004E727A">
        <w:rPr>
          <w:rFonts w:ascii="Book Antiqua" w:eastAsia="Book Antiqua" w:hAnsi="Book Antiqua" w:cs="Book Antiqua"/>
          <w:color w:val="000000"/>
        </w:rPr>
        <w:t xml:space="preserve">ixed-diarrhea-and-constipation </w:t>
      </w:r>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r w:rsidRPr="004E727A">
        <w:rPr>
          <w:rFonts w:ascii="Book Antiqua" w:hAnsi="Book Antiqua"/>
          <w:lang w:eastAsia="zh-CN"/>
        </w:rPr>
        <w:t xml:space="preserve">; </w:t>
      </w:r>
      <w:r w:rsidRPr="004E727A">
        <w:rPr>
          <w:rFonts w:ascii="Book Antiqua" w:eastAsia="Lato-Regular" w:hAnsi="Book Antiqua"/>
        </w:rPr>
        <w:t>IBS-C</w:t>
      </w:r>
      <w:r w:rsidRPr="004E727A">
        <w:rPr>
          <w:rFonts w:ascii="Book Antiqua" w:hAnsi="Book Antiqua"/>
          <w:lang w:eastAsia="zh-CN"/>
        </w:rPr>
        <w:t xml:space="preserve">: </w:t>
      </w:r>
      <w:r w:rsidRPr="004E727A">
        <w:rPr>
          <w:rFonts w:ascii="Book Antiqua" w:eastAsia="Book Antiqua" w:hAnsi="Book Antiqua" w:cs="Book Antiqua"/>
          <w:color w:val="000000"/>
        </w:rPr>
        <w:t>constipation-predominant</w:t>
      </w:r>
      <w:r w:rsidRPr="004E727A">
        <w:rPr>
          <w:rFonts w:ascii="Book Antiqua" w:hAnsi="Book Antiqua" w:cs="Book Antiqua"/>
          <w:color w:val="000000"/>
          <w:lang w:eastAsia="zh-CN"/>
        </w:rPr>
        <w:t xml:space="preserve"> i</w:t>
      </w:r>
      <w:r w:rsidRPr="004E727A">
        <w:rPr>
          <w:rFonts w:ascii="Book Antiqua" w:eastAsia="Book Antiqua" w:hAnsi="Book Antiqua" w:cs="Book Antiqua"/>
          <w:color w:val="000000"/>
        </w:rPr>
        <w:t>rritable bowel syndrome</w:t>
      </w:r>
      <w:r w:rsidRPr="004E727A">
        <w:rPr>
          <w:rFonts w:ascii="Book Antiqua" w:hAnsi="Book Antiqua"/>
          <w:lang w:eastAsia="zh-CN"/>
        </w:rPr>
        <w:t>;</w:t>
      </w:r>
      <w:r w:rsidRPr="004E727A">
        <w:rPr>
          <w:rFonts w:ascii="Book Antiqua" w:eastAsia="Lato-Regular" w:hAnsi="Book Antiqua"/>
        </w:rPr>
        <w:t xml:space="preserve"> FMT</w:t>
      </w:r>
      <w:r w:rsidRPr="004E727A">
        <w:rPr>
          <w:rFonts w:ascii="Book Antiqua" w:hAnsi="Book Antiqua"/>
          <w:lang w:eastAsia="zh-CN"/>
        </w:rPr>
        <w:t>:</w:t>
      </w:r>
      <w:r w:rsidRPr="004E727A">
        <w:rPr>
          <w:rFonts w:ascii="Book Antiqua" w:eastAsia="Book Antiqua" w:hAnsi="Book Antiqua" w:cs="Book Antiqua"/>
          <w:color w:val="000000"/>
        </w:rPr>
        <w:t xml:space="preserve"> Fecal microbiota transplantation</w:t>
      </w:r>
      <w:r w:rsidRPr="004E727A">
        <w:rPr>
          <w:rFonts w:ascii="Book Antiqua" w:hAnsi="Book Antiqua" w:cs="Book Antiqua"/>
          <w:color w:val="000000"/>
          <w:lang w:eastAsia="zh-CN"/>
        </w:rPr>
        <w:t>;</w:t>
      </w:r>
      <w:r w:rsidRPr="004E727A">
        <w:rPr>
          <w:rFonts w:ascii="Book Antiqua" w:hAnsi="Book Antiqua"/>
          <w:lang w:eastAsia="zh-CN"/>
        </w:rPr>
        <w:t xml:space="preserve"> </w:t>
      </w:r>
      <w:r w:rsidRPr="004E727A">
        <w:rPr>
          <w:rFonts w:ascii="Book Antiqua" w:hAnsi="Book Antiqua" w:cs="ClassicalGaramondBT-Roman"/>
        </w:rPr>
        <w:t>IBS-SSS</w:t>
      </w:r>
      <w:r w:rsidRPr="004E727A">
        <w:rPr>
          <w:rFonts w:ascii="Book Antiqua" w:hAnsi="Book Antiqua" w:cs="ClassicalGaramondBT-Roman"/>
          <w:lang w:eastAsia="zh-CN"/>
        </w:rPr>
        <w:t xml:space="preserve">: </w:t>
      </w:r>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r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severity scoring system</w:t>
      </w:r>
      <w:r w:rsidRPr="004E727A">
        <w:rPr>
          <w:rFonts w:ascii="Book Antiqua" w:hAnsi="Book Antiqua" w:cs="Book Antiqua"/>
          <w:color w:val="000000"/>
          <w:lang w:eastAsia="zh-CN"/>
        </w:rPr>
        <w:t>.</w:t>
      </w:r>
    </w:p>
    <w:p w14:paraId="12FB47EB" w14:textId="77777777" w:rsidR="00A47C83" w:rsidRPr="004E727A" w:rsidRDefault="00A47C83">
      <w:pPr>
        <w:spacing w:line="360" w:lineRule="auto"/>
        <w:jc w:val="both"/>
        <w:rPr>
          <w:rFonts w:ascii="Book Antiqua" w:hAnsi="Book Antiqua"/>
          <w:b/>
          <w:lang w:eastAsia="zh-CN"/>
        </w:rPr>
      </w:pPr>
      <w:r w:rsidRPr="004E727A">
        <w:rPr>
          <w:rFonts w:ascii="Book Antiqua" w:hAnsi="Book Antiqua"/>
          <w:b/>
          <w:lang w:eastAsia="zh-CN"/>
        </w:rPr>
        <w:br w:type="page"/>
        <w:t>Table 2 Criteria of a super-donor and how the 7 published randomized clinical trials met them</w:t>
      </w:r>
    </w:p>
    <w:tbl>
      <w:tblPr>
        <w:tblStyle w:val="a9"/>
        <w:tblW w:w="4990" w:type="pct"/>
        <w:tblLayout w:type="fixed"/>
        <w:tblLook w:val="04A0" w:firstRow="1" w:lastRow="0" w:firstColumn="1" w:lastColumn="0" w:noHBand="0" w:noVBand="1"/>
      </w:tblPr>
      <w:tblGrid>
        <w:gridCol w:w="1098"/>
        <w:gridCol w:w="847"/>
        <w:gridCol w:w="852"/>
        <w:gridCol w:w="1136"/>
        <w:gridCol w:w="1131"/>
        <w:gridCol w:w="994"/>
        <w:gridCol w:w="1136"/>
        <w:gridCol w:w="992"/>
        <w:gridCol w:w="992"/>
        <w:gridCol w:w="994"/>
        <w:gridCol w:w="994"/>
        <w:gridCol w:w="992"/>
        <w:gridCol w:w="992"/>
      </w:tblGrid>
      <w:tr w:rsidR="00A47C83" w:rsidRPr="004E727A" w14:paraId="4C6B2319" w14:textId="77777777" w:rsidTr="00973534">
        <w:tc>
          <w:tcPr>
            <w:tcW w:w="417" w:type="pct"/>
            <w:tcBorders>
              <w:left w:val="nil"/>
              <w:bottom w:val="single" w:sz="4" w:space="0" w:color="auto"/>
              <w:right w:val="nil"/>
            </w:tcBorders>
          </w:tcPr>
          <w:p w14:paraId="4D02D0E5"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Study</w:t>
            </w:r>
          </w:p>
        </w:tc>
        <w:tc>
          <w:tcPr>
            <w:tcW w:w="322" w:type="pct"/>
            <w:tcBorders>
              <w:left w:val="nil"/>
              <w:bottom w:val="single" w:sz="4" w:space="0" w:color="auto"/>
              <w:right w:val="nil"/>
            </w:tcBorders>
          </w:tcPr>
          <w:p w14:paraId="0014C8D2" w14:textId="77777777" w:rsidR="00A47C83" w:rsidRPr="004E727A" w:rsidRDefault="00A47C83" w:rsidP="0049241D">
            <w:pPr>
              <w:adjustRightInd w:val="0"/>
              <w:snapToGrid w:val="0"/>
              <w:spacing w:line="360" w:lineRule="auto"/>
              <w:jc w:val="both"/>
              <w:rPr>
                <w:rFonts w:ascii="Book Antiqua" w:hAnsi="Book Antiqua"/>
                <w:b/>
              </w:rPr>
            </w:pPr>
            <w:bookmarkStart w:id="65" w:name="OLE_LINK86"/>
            <w:r w:rsidRPr="004E727A">
              <w:rPr>
                <w:rFonts w:ascii="Book Antiqua" w:hAnsi="Book Antiqua"/>
                <w:b/>
              </w:rPr>
              <w:t>BMI</w:t>
            </w:r>
            <w:r w:rsidR="00973534" w:rsidRPr="004E727A">
              <w:rPr>
                <w:rFonts w:ascii="Book Antiqua" w:hAnsi="Book Antiqua"/>
                <w:b/>
                <w:lang w:eastAsia="zh-CN"/>
              </w:rPr>
              <w:t xml:space="preserve"> </w:t>
            </w:r>
            <w:bookmarkEnd w:id="65"/>
            <w:r w:rsidRPr="004E727A">
              <w:rPr>
                <w:rFonts w:ascii="Book Antiqua" w:hAnsi="Book Antiqua"/>
                <w:b/>
              </w:rPr>
              <w:t>sex</w:t>
            </w:r>
          </w:p>
        </w:tc>
        <w:tc>
          <w:tcPr>
            <w:tcW w:w="324" w:type="pct"/>
            <w:tcBorders>
              <w:left w:val="nil"/>
              <w:bottom w:val="single" w:sz="4" w:space="0" w:color="auto"/>
              <w:right w:val="nil"/>
            </w:tcBorders>
          </w:tcPr>
          <w:p w14:paraId="3868DBC8" w14:textId="77777777" w:rsidR="00A47C83" w:rsidRPr="004E727A" w:rsidRDefault="00A47C83" w:rsidP="0049241D">
            <w:pPr>
              <w:adjustRightInd w:val="0"/>
              <w:snapToGrid w:val="0"/>
              <w:spacing w:line="360" w:lineRule="auto"/>
              <w:jc w:val="both"/>
              <w:rPr>
                <w:rFonts w:ascii="Book Antiqua" w:hAnsi="Book Antiqua"/>
                <w:b/>
                <w:lang w:eastAsia="zh-CN"/>
              </w:rPr>
            </w:pPr>
            <w:r w:rsidRPr="004E727A">
              <w:rPr>
                <w:rFonts w:ascii="Book Antiqua" w:hAnsi="Book Antiqua"/>
                <w:b/>
              </w:rPr>
              <w:t>Age</w:t>
            </w:r>
            <w:r w:rsidR="00973534" w:rsidRPr="004E727A">
              <w:rPr>
                <w:rFonts w:ascii="Book Antiqua" w:hAnsi="Book Antiqua"/>
                <w:b/>
                <w:lang w:eastAsia="zh-CN"/>
              </w:rPr>
              <w:t xml:space="preserve"> </w:t>
            </w:r>
            <w:r w:rsidRPr="004E727A">
              <w:rPr>
                <w:rFonts w:ascii="Book Antiqua" w:hAnsi="Book Antiqua"/>
                <w:b/>
              </w:rPr>
              <w:t>&lt;</w:t>
            </w:r>
            <w:r w:rsidR="00973534" w:rsidRPr="004E727A">
              <w:rPr>
                <w:rFonts w:ascii="Book Antiqua" w:hAnsi="Book Antiqua"/>
                <w:b/>
                <w:lang w:eastAsia="zh-CN"/>
              </w:rPr>
              <w:t xml:space="preserve"> </w:t>
            </w:r>
            <w:r w:rsidR="00973534" w:rsidRPr="004E727A">
              <w:rPr>
                <w:rFonts w:ascii="Book Antiqua" w:hAnsi="Book Antiqua"/>
                <w:b/>
              </w:rPr>
              <w:t>50 y</w:t>
            </w:r>
            <w:r w:rsidRPr="004E727A">
              <w:rPr>
                <w:rFonts w:ascii="Book Antiqua" w:hAnsi="Book Antiqua"/>
                <w:b/>
              </w:rPr>
              <w:t>r</w:t>
            </w:r>
          </w:p>
        </w:tc>
        <w:tc>
          <w:tcPr>
            <w:tcW w:w="432" w:type="pct"/>
            <w:tcBorders>
              <w:left w:val="nil"/>
              <w:bottom w:val="single" w:sz="4" w:space="0" w:color="auto"/>
              <w:right w:val="nil"/>
            </w:tcBorders>
          </w:tcPr>
          <w:p w14:paraId="29C46A0A"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Smoking</w:t>
            </w:r>
          </w:p>
        </w:tc>
        <w:tc>
          <w:tcPr>
            <w:tcW w:w="430" w:type="pct"/>
            <w:tcBorders>
              <w:left w:val="nil"/>
              <w:bottom w:val="single" w:sz="4" w:space="0" w:color="auto"/>
              <w:right w:val="nil"/>
            </w:tcBorders>
          </w:tcPr>
          <w:p w14:paraId="6F24D5B3"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Vaginal delivery</w:t>
            </w:r>
          </w:p>
        </w:tc>
        <w:tc>
          <w:tcPr>
            <w:tcW w:w="378" w:type="pct"/>
            <w:tcBorders>
              <w:left w:val="nil"/>
              <w:bottom w:val="single" w:sz="4" w:space="0" w:color="auto"/>
              <w:right w:val="nil"/>
            </w:tcBorders>
          </w:tcPr>
          <w:p w14:paraId="73272C96"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Formula-fed</w:t>
            </w:r>
          </w:p>
        </w:tc>
        <w:tc>
          <w:tcPr>
            <w:tcW w:w="432" w:type="pct"/>
            <w:tcBorders>
              <w:left w:val="nil"/>
              <w:bottom w:val="single" w:sz="4" w:space="0" w:color="auto"/>
              <w:right w:val="nil"/>
            </w:tcBorders>
          </w:tcPr>
          <w:p w14:paraId="40E65A5F"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frequent treatment with antibiotics</w:t>
            </w:r>
          </w:p>
        </w:tc>
        <w:tc>
          <w:tcPr>
            <w:tcW w:w="377" w:type="pct"/>
            <w:tcBorders>
              <w:left w:val="nil"/>
              <w:bottom w:val="single" w:sz="4" w:space="0" w:color="auto"/>
              <w:right w:val="nil"/>
            </w:tcBorders>
          </w:tcPr>
          <w:p w14:paraId="6025CD4B"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regular intake of non-antibiotic drugs</w:t>
            </w:r>
          </w:p>
        </w:tc>
        <w:tc>
          <w:tcPr>
            <w:tcW w:w="377" w:type="pct"/>
            <w:tcBorders>
              <w:left w:val="nil"/>
              <w:bottom w:val="single" w:sz="4" w:space="0" w:color="auto"/>
              <w:right w:val="nil"/>
            </w:tcBorders>
          </w:tcPr>
          <w:p w14:paraId="2541ADD5"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regular exercise</w:t>
            </w:r>
          </w:p>
        </w:tc>
        <w:tc>
          <w:tcPr>
            <w:tcW w:w="378" w:type="pct"/>
            <w:tcBorders>
              <w:left w:val="nil"/>
              <w:bottom w:val="single" w:sz="4" w:space="0" w:color="auto"/>
              <w:right w:val="nil"/>
            </w:tcBorders>
          </w:tcPr>
          <w:p w14:paraId="63B69A52"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consuming a sport-specific diet</w:t>
            </w:r>
          </w:p>
        </w:tc>
        <w:tc>
          <w:tcPr>
            <w:tcW w:w="378" w:type="pct"/>
            <w:tcBorders>
              <w:left w:val="nil"/>
              <w:bottom w:val="single" w:sz="4" w:space="0" w:color="auto"/>
              <w:right w:val="nil"/>
            </w:tcBorders>
          </w:tcPr>
          <w:p w14:paraId="6F4B22BD"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first-degree relative</w:t>
            </w:r>
          </w:p>
        </w:tc>
        <w:tc>
          <w:tcPr>
            <w:tcW w:w="377" w:type="pct"/>
            <w:tcBorders>
              <w:left w:val="nil"/>
              <w:bottom w:val="single" w:sz="4" w:space="0" w:color="auto"/>
              <w:right w:val="nil"/>
            </w:tcBorders>
          </w:tcPr>
          <w:p w14:paraId="30809C88"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rPr>
              <w:t>bacterial signature</w:t>
            </w:r>
          </w:p>
        </w:tc>
        <w:tc>
          <w:tcPr>
            <w:tcW w:w="377" w:type="pct"/>
            <w:tcBorders>
              <w:left w:val="nil"/>
              <w:bottom w:val="single" w:sz="4" w:space="0" w:color="auto"/>
              <w:right w:val="nil"/>
            </w:tcBorders>
          </w:tcPr>
          <w:p w14:paraId="5101C839" w14:textId="77777777" w:rsidR="00A47C83" w:rsidRPr="004E727A" w:rsidRDefault="00A47C83" w:rsidP="0049241D">
            <w:pPr>
              <w:adjustRightInd w:val="0"/>
              <w:snapToGrid w:val="0"/>
              <w:spacing w:line="360" w:lineRule="auto"/>
              <w:jc w:val="both"/>
              <w:rPr>
                <w:rFonts w:ascii="Book Antiqua" w:hAnsi="Book Antiqua" w:cstheme="minorHAnsi"/>
                <w:b/>
              </w:rPr>
            </w:pPr>
            <w:r w:rsidRPr="004E727A">
              <w:rPr>
                <w:rFonts w:ascii="Book Antiqua" w:hAnsi="Book Antiqua" w:cstheme="minorHAnsi"/>
                <w:b/>
              </w:rPr>
              <w:t>stability of the bacterial composition over time</w:t>
            </w:r>
          </w:p>
        </w:tc>
      </w:tr>
      <w:tr w:rsidR="00A47C83" w:rsidRPr="004E727A" w14:paraId="3CB8A059" w14:textId="77777777" w:rsidTr="00973534">
        <w:tc>
          <w:tcPr>
            <w:tcW w:w="417" w:type="pct"/>
            <w:tcBorders>
              <w:left w:val="nil"/>
              <w:bottom w:val="nil"/>
              <w:right w:val="nil"/>
            </w:tcBorders>
          </w:tcPr>
          <w:p w14:paraId="452E619B" w14:textId="2C3557A6" w:rsidR="00A47C83" w:rsidRPr="004E727A" w:rsidRDefault="00973534" w:rsidP="0049241D">
            <w:pPr>
              <w:adjustRightInd w:val="0"/>
              <w:snapToGrid w:val="0"/>
              <w:spacing w:line="360" w:lineRule="auto"/>
              <w:jc w:val="both"/>
              <w:rPr>
                <w:rFonts w:ascii="Book Antiqua" w:hAnsi="Book Antiqua"/>
                <w:lang w:eastAsia="zh-CN"/>
              </w:rPr>
            </w:pPr>
            <w:r w:rsidRPr="004E727A">
              <w:rPr>
                <w:rFonts w:ascii="Book Antiqua" w:hAnsi="Book Antiqua"/>
              </w:rPr>
              <w:t>El-Salhy</w:t>
            </w:r>
            <w:r w:rsidRPr="004E727A">
              <w:rPr>
                <w:rFonts w:ascii="Book Antiqua" w:hAnsi="Book Antiqua"/>
                <w:i/>
              </w:rPr>
              <w:t xml:space="preserve"> et al</w:t>
            </w:r>
            <w:r w:rsidR="001B1391" w:rsidRPr="004E727A">
              <w:rPr>
                <w:rFonts w:ascii="Book Antiqua" w:eastAsiaTheme="minorEastAsia" w:hAnsi="Book Antiqua"/>
                <w:vertAlign w:val="superscript"/>
                <w:lang w:eastAsia="zh-CN"/>
              </w:rPr>
              <w:t>[11]</w:t>
            </w:r>
            <w:r w:rsidRPr="004E727A">
              <w:rPr>
                <w:rFonts w:ascii="Book Antiqua" w:hAnsi="Book Antiqua"/>
                <w:lang w:eastAsia="zh-CN"/>
              </w:rPr>
              <w:t>,</w:t>
            </w:r>
            <w:r w:rsidRPr="004E727A">
              <w:rPr>
                <w:rFonts w:ascii="Book Antiqua" w:hAnsi="Book Antiqua" w:cstheme="minorHAnsi"/>
              </w:rPr>
              <w:t xml:space="preserve"> </w:t>
            </w:r>
            <w:r w:rsidR="00A47C83" w:rsidRPr="004E727A">
              <w:rPr>
                <w:rFonts w:ascii="Book Antiqua" w:hAnsi="Book Antiqua" w:cstheme="minorHAnsi"/>
              </w:rPr>
              <w:t>2020</w:t>
            </w:r>
          </w:p>
        </w:tc>
        <w:tc>
          <w:tcPr>
            <w:tcW w:w="322" w:type="pct"/>
            <w:tcBorders>
              <w:left w:val="nil"/>
              <w:bottom w:val="nil"/>
              <w:right w:val="nil"/>
            </w:tcBorders>
          </w:tcPr>
          <w:p w14:paraId="1F6343E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left w:val="nil"/>
              <w:bottom w:val="nil"/>
              <w:right w:val="nil"/>
            </w:tcBorders>
          </w:tcPr>
          <w:p w14:paraId="3E30275E"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left w:val="nil"/>
              <w:bottom w:val="nil"/>
              <w:right w:val="nil"/>
            </w:tcBorders>
          </w:tcPr>
          <w:p w14:paraId="58631B10"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430" w:type="pct"/>
            <w:tcBorders>
              <w:left w:val="nil"/>
              <w:bottom w:val="nil"/>
              <w:right w:val="nil"/>
            </w:tcBorders>
          </w:tcPr>
          <w:p w14:paraId="6D120D7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689AF068"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432" w:type="pct"/>
            <w:tcBorders>
              <w:left w:val="nil"/>
              <w:bottom w:val="nil"/>
              <w:right w:val="nil"/>
            </w:tcBorders>
          </w:tcPr>
          <w:p w14:paraId="1B05BAE6"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45DFB95C"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32D6D3EB"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768C9B82"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0B36D2D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5142A139"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7" w:type="pct"/>
            <w:tcBorders>
              <w:left w:val="nil"/>
              <w:bottom w:val="nil"/>
              <w:right w:val="nil"/>
            </w:tcBorders>
          </w:tcPr>
          <w:p w14:paraId="042FE6DF"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r>
      <w:tr w:rsidR="00973534" w:rsidRPr="004E727A" w14:paraId="310A0BDE" w14:textId="77777777" w:rsidTr="00973534">
        <w:tc>
          <w:tcPr>
            <w:tcW w:w="417" w:type="pct"/>
            <w:tcBorders>
              <w:top w:val="nil"/>
              <w:left w:val="nil"/>
              <w:bottom w:val="nil"/>
              <w:right w:val="nil"/>
            </w:tcBorders>
          </w:tcPr>
          <w:p w14:paraId="11EC5E09"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vertAlign w:val="superscript"/>
                <w:lang w:eastAsia="zh-CN"/>
              </w:rPr>
            </w:pPr>
            <w:r w:rsidRPr="004E727A">
              <w:rPr>
                <w:rFonts w:ascii="Book Antiqua" w:eastAsia="Lato-Regular" w:hAnsi="Book Antiqua" w:cs="Times New Roman"/>
              </w:rPr>
              <w:t xml:space="preserve">Johnsen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[22]</w:t>
            </w:r>
            <w:r w:rsidRPr="004E727A">
              <w:rPr>
                <w:rFonts w:ascii="Book Antiqua" w:hAnsi="Book Antiqua" w:cs="Times New Roman"/>
                <w:lang w:eastAsia="zh-CN"/>
              </w:rPr>
              <w:t xml:space="preserve">, </w:t>
            </w:r>
            <w:r w:rsidRPr="004E727A">
              <w:rPr>
                <w:rFonts w:ascii="Book Antiqua" w:eastAsia="Lato-Regular" w:hAnsi="Book Antiqua" w:cs="Times New Roman"/>
              </w:rPr>
              <w:t>2018</w:t>
            </w:r>
          </w:p>
        </w:tc>
        <w:tc>
          <w:tcPr>
            <w:tcW w:w="322" w:type="pct"/>
            <w:tcBorders>
              <w:top w:val="nil"/>
              <w:left w:val="nil"/>
              <w:bottom w:val="nil"/>
              <w:right w:val="nil"/>
            </w:tcBorders>
          </w:tcPr>
          <w:p w14:paraId="33E041B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r w:rsidRPr="004E727A">
              <w:rPr>
                <w:rFonts w:ascii="Book Antiqua" w:hAnsi="Book Antiqua"/>
                <w:lang w:eastAsia="zh-CN"/>
              </w:rPr>
              <w:t>u</w:t>
            </w:r>
            <w:r w:rsidRPr="004E727A">
              <w:rPr>
                <w:rFonts w:ascii="Book Antiqua" w:hAnsi="Book Antiqua"/>
              </w:rPr>
              <w:t>nknown</w:t>
            </w:r>
          </w:p>
        </w:tc>
        <w:tc>
          <w:tcPr>
            <w:tcW w:w="324" w:type="pct"/>
            <w:tcBorders>
              <w:top w:val="nil"/>
              <w:left w:val="nil"/>
              <w:bottom w:val="nil"/>
              <w:right w:val="nil"/>
            </w:tcBorders>
          </w:tcPr>
          <w:p w14:paraId="3D46813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54D721F8"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5C3F19E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7BD0D76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15E5791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F644BF1"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5C2206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36331E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F7DE36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4B8AA02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02E734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7CAC432D" w14:textId="77777777" w:rsidTr="00973534">
        <w:tc>
          <w:tcPr>
            <w:tcW w:w="417" w:type="pct"/>
            <w:tcBorders>
              <w:top w:val="nil"/>
              <w:left w:val="nil"/>
              <w:bottom w:val="nil"/>
              <w:right w:val="nil"/>
            </w:tcBorders>
          </w:tcPr>
          <w:p w14:paraId="697614A5"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hAnsi="Book Antiqua"/>
                <w:bCs/>
              </w:rPr>
              <w:t>Halkjær</w:t>
            </w:r>
            <w:r w:rsidRPr="004E727A">
              <w:rPr>
                <w:rFonts w:ascii="Book Antiqua" w:eastAsia="Lato-Regular" w:hAnsi="Book Antiqua" w:cs="Times New Roman"/>
              </w:rPr>
              <w:t xml:space="preserve">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[23]</w:t>
            </w:r>
            <w:r w:rsidRPr="004E727A">
              <w:rPr>
                <w:rFonts w:ascii="Book Antiqua" w:hAnsi="Book Antiqua" w:cs="Times New Roman"/>
                <w:lang w:eastAsia="zh-CN"/>
              </w:rPr>
              <w:t xml:space="preserve">, </w:t>
            </w:r>
            <w:r w:rsidRPr="004E727A">
              <w:rPr>
                <w:rFonts w:ascii="Book Antiqua" w:eastAsia="Lato-Regular" w:hAnsi="Book Antiqua" w:cs="Times New Roman"/>
              </w:rPr>
              <w:t>2018</w:t>
            </w:r>
          </w:p>
        </w:tc>
        <w:tc>
          <w:tcPr>
            <w:tcW w:w="322" w:type="pct"/>
            <w:tcBorders>
              <w:top w:val="nil"/>
              <w:left w:val="nil"/>
              <w:bottom w:val="nil"/>
              <w:right w:val="nil"/>
            </w:tcBorders>
          </w:tcPr>
          <w:p w14:paraId="7202E55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Yes/unknown</w:t>
            </w:r>
          </w:p>
        </w:tc>
        <w:tc>
          <w:tcPr>
            <w:tcW w:w="324" w:type="pct"/>
            <w:tcBorders>
              <w:top w:val="nil"/>
              <w:left w:val="nil"/>
              <w:bottom w:val="nil"/>
              <w:right w:val="nil"/>
            </w:tcBorders>
          </w:tcPr>
          <w:p w14:paraId="74252DE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515F7F3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579F472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14798088"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1444A15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7ED9E4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61DEF62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4196B5A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4DC4707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041B24B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05BCBF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36874314" w14:textId="77777777" w:rsidTr="00973534">
        <w:tc>
          <w:tcPr>
            <w:tcW w:w="417" w:type="pct"/>
            <w:tcBorders>
              <w:top w:val="nil"/>
              <w:left w:val="nil"/>
              <w:bottom w:val="nil"/>
              <w:right w:val="nil"/>
            </w:tcBorders>
          </w:tcPr>
          <w:p w14:paraId="779A18FE"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Aroniadis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[24]</w:t>
            </w:r>
            <w:r w:rsidRPr="004E727A">
              <w:rPr>
                <w:rFonts w:ascii="Book Antiqua" w:hAnsi="Book Antiqua" w:cs="Times New Roman"/>
                <w:lang w:eastAsia="zh-CN"/>
              </w:rPr>
              <w:t xml:space="preserve">, </w:t>
            </w:r>
            <w:r w:rsidRPr="004E727A">
              <w:rPr>
                <w:rFonts w:ascii="Book Antiqua" w:eastAsia="Lato-Regular" w:hAnsi="Book Antiqua" w:cs="Times New Roman"/>
              </w:rPr>
              <w:t>2019</w:t>
            </w:r>
          </w:p>
        </w:tc>
        <w:tc>
          <w:tcPr>
            <w:tcW w:w="322" w:type="pct"/>
            <w:tcBorders>
              <w:top w:val="nil"/>
              <w:left w:val="nil"/>
              <w:bottom w:val="nil"/>
              <w:right w:val="nil"/>
            </w:tcBorders>
          </w:tcPr>
          <w:p w14:paraId="6DBDCE0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Yes/unknown</w:t>
            </w:r>
          </w:p>
        </w:tc>
        <w:tc>
          <w:tcPr>
            <w:tcW w:w="324" w:type="pct"/>
            <w:tcBorders>
              <w:top w:val="nil"/>
              <w:left w:val="nil"/>
              <w:bottom w:val="nil"/>
              <w:right w:val="nil"/>
            </w:tcBorders>
          </w:tcPr>
          <w:p w14:paraId="2595788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723C828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1667EEC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2C3F0BB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09B0A49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58A761D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86244C9"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5CF5A34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5685562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5446BF9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393161F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61BA32D3" w14:textId="77777777" w:rsidTr="00973534">
        <w:tc>
          <w:tcPr>
            <w:tcW w:w="417" w:type="pct"/>
            <w:tcBorders>
              <w:top w:val="nil"/>
              <w:left w:val="nil"/>
              <w:bottom w:val="nil"/>
              <w:right w:val="nil"/>
            </w:tcBorders>
          </w:tcPr>
          <w:p w14:paraId="7E2518A6"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Holster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[25]</w:t>
            </w:r>
            <w:r w:rsidRPr="004E727A">
              <w:rPr>
                <w:rFonts w:ascii="Book Antiqua" w:hAnsi="Book Antiqua" w:cs="Times New Roman"/>
                <w:lang w:eastAsia="zh-CN"/>
              </w:rPr>
              <w:t xml:space="preserve">, </w:t>
            </w:r>
            <w:r w:rsidRPr="004E727A">
              <w:rPr>
                <w:rFonts w:ascii="Book Antiqua" w:eastAsia="Lato-Regular" w:hAnsi="Book Antiqua" w:cs="Times New Roman"/>
              </w:rPr>
              <w:t>2019</w:t>
            </w:r>
          </w:p>
        </w:tc>
        <w:tc>
          <w:tcPr>
            <w:tcW w:w="322" w:type="pct"/>
            <w:tcBorders>
              <w:top w:val="nil"/>
              <w:left w:val="nil"/>
              <w:bottom w:val="nil"/>
              <w:right w:val="nil"/>
            </w:tcBorders>
          </w:tcPr>
          <w:p w14:paraId="702F95F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r w:rsidRPr="004E727A">
              <w:rPr>
                <w:rFonts w:ascii="Book Antiqua" w:hAnsi="Book Antiqua"/>
                <w:lang w:eastAsia="zh-CN"/>
              </w:rPr>
              <w:t>u</w:t>
            </w:r>
            <w:r w:rsidRPr="004E727A">
              <w:rPr>
                <w:rFonts w:ascii="Book Antiqua" w:hAnsi="Book Antiqua"/>
              </w:rPr>
              <w:t>nknown</w:t>
            </w:r>
          </w:p>
        </w:tc>
        <w:tc>
          <w:tcPr>
            <w:tcW w:w="324" w:type="pct"/>
            <w:tcBorders>
              <w:top w:val="nil"/>
              <w:left w:val="nil"/>
              <w:bottom w:val="nil"/>
              <w:right w:val="nil"/>
            </w:tcBorders>
          </w:tcPr>
          <w:p w14:paraId="6C98C95E"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3C72149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7F8D691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F051E3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32664C0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97E723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2F190F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2853F2E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379B7711"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233A28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71EE6589"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6ACD35CE" w14:textId="77777777" w:rsidTr="00973534">
        <w:tc>
          <w:tcPr>
            <w:tcW w:w="417" w:type="pct"/>
            <w:tcBorders>
              <w:top w:val="nil"/>
              <w:left w:val="nil"/>
              <w:bottom w:val="nil"/>
              <w:right w:val="nil"/>
            </w:tcBorders>
          </w:tcPr>
          <w:p w14:paraId="3F3CC4CF" w14:textId="77777777" w:rsidR="00973534" w:rsidRPr="004E727A" w:rsidRDefault="00973534"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Lahtinen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[26]</w:t>
            </w:r>
            <w:r w:rsidRPr="004E727A">
              <w:rPr>
                <w:rFonts w:ascii="Book Antiqua" w:hAnsi="Book Antiqua" w:cs="Times New Roman"/>
                <w:lang w:eastAsia="zh-CN"/>
              </w:rPr>
              <w:t>,</w:t>
            </w:r>
            <w:r w:rsidRPr="004E727A">
              <w:rPr>
                <w:rFonts w:ascii="Book Antiqua" w:eastAsia="Lato-Regular" w:hAnsi="Book Antiqua" w:cs="Times New Roman"/>
              </w:rPr>
              <w:t xml:space="preserve"> 2020</w:t>
            </w:r>
          </w:p>
        </w:tc>
        <w:tc>
          <w:tcPr>
            <w:tcW w:w="322" w:type="pct"/>
            <w:tcBorders>
              <w:top w:val="nil"/>
              <w:left w:val="nil"/>
              <w:bottom w:val="nil"/>
              <w:right w:val="nil"/>
            </w:tcBorders>
          </w:tcPr>
          <w:p w14:paraId="1957123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top w:val="nil"/>
              <w:left w:val="nil"/>
              <w:bottom w:val="nil"/>
              <w:right w:val="nil"/>
            </w:tcBorders>
          </w:tcPr>
          <w:p w14:paraId="3C6299B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2DB054EE"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60B6F89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top w:val="nil"/>
              <w:left w:val="nil"/>
              <w:bottom w:val="nil"/>
              <w:right w:val="nil"/>
            </w:tcBorders>
          </w:tcPr>
          <w:p w14:paraId="666A9EC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235B0D4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7719C28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3248651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1E5A4E0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8" w:type="pct"/>
            <w:tcBorders>
              <w:top w:val="nil"/>
              <w:left w:val="nil"/>
              <w:bottom w:val="nil"/>
              <w:right w:val="nil"/>
            </w:tcBorders>
          </w:tcPr>
          <w:p w14:paraId="096FA73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B6E2EC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D04C38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503424" w:rsidRPr="004E727A" w14:paraId="039817EE" w14:textId="77777777" w:rsidTr="00973534">
        <w:tc>
          <w:tcPr>
            <w:tcW w:w="417" w:type="pct"/>
            <w:tcBorders>
              <w:top w:val="nil"/>
              <w:left w:val="nil"/>
              <w:right w:val="nil"/>
            </w:tcBorders>
          </w:tcPr>
          <w:p w14:paraId="5D96091C" w14:textId="77777777" w:rsidR="00503424" w:rsidRPr="004E727A" w:rsidRDefault="0050342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Holvoet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[27]</w:t>
            </w:r>
            <w:r w:rsidRPr="004E727A">
              <w:rPr>
                <w:rFonts w:ascii="Book Antiqua" w:hAnsi="Book Antiqua" w:cs="Times New Roman"/>
                <w:lang w:eastAsia="zh-CN"/>
              </w:rPr>
              <w:t xml:space="preserve">, </w:t>
            </w:r>
            <w:r w:rsidRPr="004E727A">
              <w:rPr>
                <w:rFonts w:ascii="Book Antiqua" w:eastAsia="Lato-Regular" w:hAnsi="Book Antiqua" w:cs="Times New Roman"/>
              </w:rPr>
              <w:t>2021</w:t>
            </w:r>
          </w:p>
        </w:tc>
        <w:tc>
          <w:tcPr>
            <w:tcW w:w="322" w:type="pct"/>
            <w:tcBorders>
              <w:top w:val="nil"/>
              <w:left w:val="nil"/>
              <w:right w:val="nil"/>
            </w:tcBorders>
          </w:tcPr>
          <w:p w14:paraId="5FE858F4"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top w:val="nil"/>
              <w:left w:val="nil"/>
              <w:right w:val="nil"/>
            </w:tcBorders>
          </w:tcPr>
          <w:p w14:paraId="6FA9640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right w:val="nil"/>
            </w:tcBorders>
          </w:tcPr>
          <w:p w14:paraId="507037A4"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right w:val="nil"/>
            </w:tcBorders>
          </w:tcPr>
          <w:p w14:paraId="7C135E39"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0E12B422"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right w:val="nil"/>
            </w:tcBorders>
          </w:tcPr>
          <w:p w14:paraId="7E9546E7"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3FCE01DB"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5D2A04C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300708EF"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18EE9836"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14520BD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2A9DD243"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w:t>
            </w:r>
          </w:p>
        </w:tc>
      </w:tr>
    </w:tbl>
    <w:p w14:paraId="7D1D28DE" w14:textId="77777777" w:rsidR="00396432" w:rsidRDefault="00973534">
      <w:pPr>
        <w:spacing w:line="360" w:lineRule="auto"/>
        <w:jc w:val="both"/>
        <w:rPr>
          <w:rFonts w:ascii="Book Antiqua" w:hAnsi="Book Antiqua"/>
          <w:lang w:eastAsia="zh-CN"/>
        </w:rPr>
        <w:sectPr w:rsidR="00396432" w:rsidSect="00072648">
          <w:pgSz w:w="15840" w:h="12240" w:orient="landscape"/>
          <w:pgMar w:top="1440" w:right="1440" w:bottom="1440" w:left="1440" w:header="720" w:footer="720" w:gutter="0"/>
          <w:cols w:space="720"/>
          <w:docGrid w:linePitch="360"/>
        </w:sectPr>
      </w:pPr>
      <w:r w:rsidRPr="004E727A">
        <w:rPr>
          <w:rFonts w:ascii="Book Antiqua" w:hAnsi="Book Antiqua"/>
          <w:lang w:eastAsia="zh-CN"/>
        </w:rPr>
        <w:t>BMI: Body mass index</w:t>
      </w:r>
      <w:r w:rsidR="00503424" w:rsidRPr="004E727A">
        <w:rPr>
          <w:rFonts w:ascii="Book Antiqua" w:hAnsi="Book Antiqua"/>
          <w:lang w:eastAsia="zh-CN"/>
        </w:rPr>
        <w:t>.</w:t>
      </w:r>
    </w:p>
    <w:p w14:paraId="2FFAFABB" w14:textId="77777777" w:rsidR="00396432" w:rsidRDefault="00396432" w:rsidP="00396432">
      <w:pPr>
        <w:jc w:val="center"/>
        <w:rPr>
          <w:rFonts w:ascii="Book Antiqua" w:hAnsi="Book Antiqua"/>
          <w:lang w:eastAsia="zh-CN"/>
        </w:rPr>
      </w:pPr>
    </w:p>
    <w:p w14:paraId="4A719885" w14:textId="77777777" w:rsidR="00396432" w:rsidRDefault="00396432" w:rsidP="00396432">
      <w:pPr>
        <w:jc w:val="center"/>
        <w:rPr>
          <w:rFonts w:ascii="Book Antiqua" w:hAnsi="Book Antiqua"/>
          <w:lang w:eastAsia="zh-CN"/>
        </w:rPr>
      </w:pPr>
    </w:p>
    <w:p w14:paraId="02F51630" w14:textId="77777777" w:rsidR="00396432" w:rsidRDefault="00396432" w:rsidP="00396432">
      <w:pPr>
        <w:jc w:val="center"/>
        <w:rPr>
          <w:rFonts w:ascii="Book Antiqua" w:hAnsi="Book Antiqua"/>
          <w:lang w:eastAsia="zh-CN"/>
        </w:rPr>
      </w:pPr>
    </w:p>
    <w:p w14:paraId="0F60EA2F" w14:textId="77777777" w:rsidR="00396432" w:rsidRDefault="00396432" w:rsidP="00396432">
      <w:pPr>
        <w:jc w:val="center"/>
        <w:rPr>
          <w:rFonts w:ascii="Book Antiqua" w:hAnsi="Book Antiqua"/>
          <w:lang w:eastAsia="zh-CN"/>
        </w:rPr>
      </w:pPr>
    </w:p>
    <w:p w14:paraId="1404D024" w14:textId="77777777" w:rsidR="00396432" w:rsidRDefault="00396432" w:rsidP="00396432">
      <w:pPr>
        <w:jc w:val="center"/>
        <w:rPr>
          <w:rFonts w:ascii="Book Antiqua" w:hAnsi="Book Antiqua"/>
          <w:lang w:eastAsia="zh-CN"/>
        </w:rPr>
      </w:pPr>
    </w:p>
    <w:p w14:paraId="17B1AF00" w14:textId="77777777" w:rsidR="00396432" w:rsidRDefault="00396432" w:rsidP="00396432">
      <w:pPr>
        <w:jc w:val="center"/>
        <w:rPr>
          <w:rFonts w:ascii="Book Antiqua" w:hAnsi="Book Antiqua"/>
          <w:lang w:eastAsia="zh-CN"/>
        </w:rPr>
      </w:pPr>
      <w:r>
        <w:rPr>
          <w:rFonts w:ascii="Book Antiqua" w:hAnsi="Book Antiqua"/>
          <w:noProof/>
          <w:lang w:eastAsia="zh-CN"/>
        </w:rPr>
        <w:drawing>
          <wp:inline distT="0" distB="0" distL="0" distR="0" wp14:anchorId="5124067F" wp14:editId="6E1A2780">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16935623" w14:textId="77777777" w:rsidR="00396432" w:rsidRDefault="00396432" w:rsidP="00396432">
      <w:pPr>
        <w:jc w:val="center"/>
        <w:rPr>
          <w:rFonts w:ascii="Book Antiqua" w:hAnsi="Book Antiqua"/>
          <w:lang w:eastAsia="zh-CN"/>
        </w:rPr>
      </w:pPr>
    </w:p>
    <w:p w14:paraId="2D5C4CF7" w14:textId="77777777" w:rsidR="00396432" w:rsidRPr="00763D22" w:rsidRDefault="00396432" w:rsidP="00396432">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490167D0" w14:textId="77777777" w:rsidR="00396432" w:rsidRPr="00763D22" w:rsidRDefault="00396432" w:rsidP="0039643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5F8665C" w14:textId="77777777" w:rsidR="00396432" w:rsidRPr="00763D22" w:rsidRDefault="00396432" w:rsidP="00396432">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357BC26C" w14:textId="77777777" w:rsidR="00396432" w:rsidRPr="00763D22" w:rsidRDefault="00396432" w:rsidP="0039643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67DE6B65" w14:textId="77777777" w:rsidR="00396432" w:rsidRPr="00763D22" w:rsidRDefault="00396432" w:rsidP="00396432">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ACAEA71" w14:textId="77777777" w:rsidR="00396432" w:rsidRPr="00763D22" w:rsidRDefault="00396432" w:rsidP="00396432">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3590C858" w14:textId="77777777" w:rsidR="00396432" w:rsidRDefault="00396432" w:rsidP="00396432">
      <w:pPr>
        <w:jc w:val="center"/>
        <w:rPr>
          <w:rFonts w:ascii="Book Antiqua" w:hAnsi="Book Antiqua"/>
          <w:lang w:eastAsia="zh-CN"/>
        </w:rPr>
      </w:pPr>
    </w:p>
    <w:p w14:paraId="0E62A2E7" w14:textId="77777777" w:rsidR="00396432" w:rsidRDefault="00396432" w:rsidP="00396432">
      <w:pPr>
        <w:jc w:val="center"/>
        <w:rPr>
          <w:rFonts w:ascii="Book Antiqua" w:hAnsi="Book Antiqua"/>
          <w:lang w:eastAsia="zh-CN"/>
        </w:rPr>
      </w:pPr>
    </w:p>
    <w:p w14:paraId="79101D9B" w14:textId="77777777" w:rsidR="00396432" w:rsidRDefault="00396432" w:rsidP="00396432">
      <w:pPr>
        <w:jc w:val="center"/>
        <w:rPr>
          <w:rFonts w:ascii="Book Antiqua" w:hAnsi="Book Antiqua"/>
          <w:lang w:eastAsia="zh-CN"/>
        </w:rPr>
      </w:pPr>
    </w:p>
    <w:p w14:paraId="7A4CAB28" w14:textId="77777777" w:rsidR="00396432" w:rsidRDefault="00396432" w:rsidP="00396432">
      <w:pPr>
        <w:jc w:val="center"/>
        <w:rPr>
          <w:rFonts w:ascii="Book Antiqua" w:hAnsi="Book Antiqua"/>
          <w:lang w:eastAsia="zh-CN"/>
        </w:rPr>
      </w:pPr>
      <w:r>
        <w:rPr>
          <w:rFonts w:ascii="Book Antiqua" w:hAnsi="Book Antiqua"/>
          <w:noProof/>
          <w:lang w:eastAsia="zh-CN"/>
        </w:rPr>
        <w:drawing>
          <wp:inline distT="0" distB="0" distL="0" distR="0" wp14:anchorId="7C6A52E1" wp14:editId="15FA8BD6">
            <wp:extent cx="1447800" cy="1440180"/>
            <wp:effectExtent l="0" t="0" r="0" b="7620"/>
            <wp:docPr id="3" name="图片 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A4F144A" w14:textId="77777777" w:rsidR="00396432" w:rsidRDefault="00396432" w:rsidP="00396432">
      <w:pPr>
        <w:jc w:val="center"/>
        <w:rPr>
          <w:rFonts w:ascii="Book Antiqua" w:hAnsi="Book Antiqua"/>
          <w:lang w:eastAsia="zh-CN"/>
        </w:rPr>
      </w:pPr>
    </w:p>
    <w:p w14:paraId="76CA5756" w14:textId="77777777" w:rsidR="00396432" w:rsidRDefault="00396432" w:rsidP="00396432">
      <w:pPr>
        <w:jc w:val="center"/>
        <w:rPr>
          <w:rFonts w:ascii="Book Antiqua" w:hAnsi="Book Antiqua"/>
          <w:lang w:eastAsia="zh-CN"/>
        </w:rPr>
      </w:pPr>
    </w:p>
    <w:p w14:paraId="4B857321" w14:textId="77777777" w:rsidR="00396432" w:rsidRDefault="00396432" w:rsidP="00396432">
      <w:pPr>
        <w:jc w:val="center"/>
        <w:rPr>
          <w:rFonts w:ascii="Book Antiqua" w:hAnsi="Book Antiqua"/>
          <w:lang w:eastAsia="zh-CN"/>
        </w:rPr>
      </w:pPr>
    </w:p>
    <w:p w14:paraId="599EA09D" w14:textId="77777777" w:rsidR="00396432" w:rsidRDefault="00396432" w:rsidP="00396432">
      <w:pPr>
        <w:jc w:val="center"/>
        <w:rPr>
          <w:rFonts w:ascii="Book Antiqua" w:hAnsi="Book Antiqua"/>
          <w:lang w:eastAsia="zh-CN"/>
        </w:rPr>
      </w:pPr>
    </w:p>
    <w:p w14:paraId="358488E4" w14:textId="77777777" w:rsidR="00396432" w:rsidRDefault="00396432" w:rsidP="00396432">
      <w:pPr>
        <w:jc w:val="center"/>
        <w:rPr>
          <w:rFonts w:ascii="Book Antiqua" w:hAnsi="Book Antiqua"/>
          <w:lang w:eastAsia="zh-CN"/>
        </w:rPr>
      </w:pPr>
    </w:p>
    <w:p w14:paraId="38847536" w14:textId="77777777" w:rsidR="00396432" w:rsidRDefault="00396432" w:rsidP="00396432">
      <w:pPr>
        <w:jc w:val="center"/>
        <w:rPr>
          <w:rFonts w:ascii="Book Antiqua" w:hAnsi="Book Antiqua"/>
          <w:lang w:eastAsia="zh-CN"/>
        </w:rPr>
      </w:pPr>
    </w:p>
    <w:p w14:paraId="4C915F0D" w14:textId="77777777" w:rsidR="00396432" w:rsidRDefault="00396432" w:rsidP="00396432">
      <w:pPr>
        <w:jc w:val="center"/>
        <w:rPr>
          <w:rFonts w:ascii="Book Antiqua" w:hAnsi="Book Antiqua"/>
          <w:lang w:eastAsia="zh-CN"/>
        </w:rPr>
      </w:pPr>
    </w:p>
    <w:p w14:paraId="7FF845AB" w14:textId="77777777" w:rsidR="00396432" w:rsidRDefault="00396432" w:rsidP="00396432">
      <w:pPr>
        <w:jc w:val="center"/>
        <w:rPr>
          <w:rFonts w:ascii="Book Antiqua" w:hAnsi="Book Antiqua"/>
          <w:lang w:eastAsia="zh-CN"/>
        </w:rPr>
      </w:pPr>
    </w:p>
    <w:p w14:paraId="7295AA0D" w14:textId="77777777" w:rsidR="00396432" w:rsidRDefault="00396432" w:rsidP="00396432">
      <w:pPr>
        <w:jc w:val="center"/>
        <w:rPr>
          <w:rFonts w:ascii="Book Antiqua" w:hAnsi="Book Antiqua"/>
          <w:lang w:eastAsia="zh-CN"/>
        </w:rPr>
      </w:pPr>
    </w:p>
    <w:p w14:paraId="72A9BB5E" w14:textId="77777777" w:rsidR="00396432" w:rsidRPr="00763D22" w:rsidRDefault="00396432" w:rsidP="00396432">
      <w:pPr>
        <w:jc w:val="right"/>
        <w:rPr>
          <w:rFonts w:ascii="Book Antiqua" w:hAnsi="Book Antiqua"/>
          <w:color w:val="000000" w:themeColor="text1"/>
          <w:lang w:eastAsia="zh-CN"/>
        </w:rPr>
      </w:pPr>
    </w:p>
    <w:p w14:paraId="7485EEB8" w14:textId="77777777" w:rsidR="00396432" w:rsidRPr="00763D22" w:rsidRDefault="00396432" w:rsidP="00396432">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7CDAB2CA" w14:textId="01322E0C" w:rsidR="00A47C83" w:rsidRPr="00396432" w:rsidRDefault="00A47C83">
      <w:pPr>
        <w:spacing w:line="360" w:lineRule="auto"/>
        <w:jc w:val="both"/>
        <w:rPr>
          <w:rFonts w:ascii="Book Antiqua" w:hAnsi="Book Antiqua"/>
          <w:lang w:eastAsia="zh-CN"/>
        </w:rPr>
      </w:pPr>
      <w:bookmarkStart w:id="66" w:name="_GoBack"/>
      <w:bookmarkEnd w:id="66"/>
    </w:p>
    <w:sectPr w:rsidR="00A47C83" w:rsidRPr="00396432" w:rsidSect="00BD7A2A">
      <w:pgSz w:w="11907" w:h="16839" w:code="9"/>
      <w:pgMar w:top="1440" w:right="1797" w:bottom="1440" w:left="1797"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AD10FDF" w16cid:durableId="2442972D"/>
  <w16cid:commentId w16cid:paraId="0EFE86DF" w16cid:durableId="2442972F"/>
  <w16cid:commentId w16cid:paraId="5588DDB9" w16cid:durableId="24429730"/>
  <w16cid:commentId w16cid:paraId="7EAED6D6" w16cid:durableId="24429731"/>
  <w16cid:commentId w16cid:paraId="1474C2FC" w16cid:durableId="24429732"/>
  <w16cid:commentId w16cid:paraId="5E68FF1C" w16cid:durableId="24429733"/>
  <w16cid:commentId w16cid:paraId="7D0FAC89" w16cid:durableId="24429734"/>
  <w16cid:commentId w16cid:paraId="5D5AFC07" w16cid:durableId="2442973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B0E806" w14:textId="77777777" w:rsidR="00DC282B" w:rsidRDefault="00DC282B" w:rsidP="00981DE0">
      <w:r>
        <w:separator/>
      </w:r>
    </w:p>
  </w:endnote>
  <w:endnote w:type="continuationSeparator" w:id="0">
    <w:p w14:paraId="43FCC206" w14:textId="77777777" w:rsidR="00DC282B" w:rsidRDefault="00DC282B" w:rsidP="00981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ato-Regular">
    <w:altName w:val="Yu Gothic"/>
    <w:charset w:val="80"/>
    <w:family w:val="auto"/>
    <w:pitch w:val="default"/>
    <w:sig w:usb0="00000003" w:usb1="08070000" w:usb2="00000010" w:usb3="00000000" w:csb0="00020001" w:csb1="00000000"/>
  </w:font>
  <w:font w:name="ClassicalGaramondBT-Roman">
    <w:altName w:val="Cambria"/>
    <w:charset w:val="00"/>
    <w:family w:val="roman"/>
    <w:pitch w:val="default"/>
    <w:sig w:usb0="00000003" w:usb1="08070000" w:usb2="00000010" w:usb3="00000000" w:csb0="00020001"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673232"/>
      <w:docPartObj>
        <w:docPartGallery w:val="Page Numbers (Bottom of Page)"/>
        <w:docPartUnique/>
      </w:docPartObj>
    </w:sdtPr>
    <w:sdtEndPr/>
    <w:sdtContent>
      <w:sdt>
        <w:sdtPr>
          <w:id w:val="860082579"/>
          <w:docPartObj>
            <w:docPartGallery w:val="Page Numbers (Top of Page)"/>
            <w:docPartUnique/>
          </w:docPartObj>
        </w:sdtPr>
        <w:sdtEndPr/>
        <w:sdtContent>
          <w:p w14:paraId="462BD4E4" w14:textId="15617E10" w:rsidR="00765FD4" w:rsidRDefault="00765FD4">
            <w:pPr>
              <w:pStyle w:val="ab"/>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DC282B">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DC282B">
              <w:rPr>
                <w:b/>
                <w:bCs/>
                <w:noProof/>
              </w:rPr>
              <w:t>1</w:t>
            </w:r>
            <w:r>
              <w:rPr>
                <w:b/>
                <w:bCs/>
                <w:sz w:val="24"/>
                <w:szCs w:val="24"/>
              </w:rPr>
              <w:fldChar w:fldCharType="end"/>
            </w:r>
          </w:p>
        </w:sdtContent>
      </w:sdt>
    </w:sdtContent>
  </w:sdt>
  <w:p w14:paraId="3B46AEAE" w14:textId="77777777" w:rsidR="00765FD4" w:rsidRDefault="00765FD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F95B54" w14:textId="77777777" w:rsidR="00DC282B" w:rsidRDefault="00DC282B" w:rsidP="00981DE0">
      <w:r>
        <w:separator/>
      </w:r>
    </w:p>
  </w:footnote>
  <w:footnote w:type="continuationSeparator" w:id="0">
    <w:p w14:paraId="29A64B11" w14:textId="77777777" w:rsidR="00DC282B" w:rsidRDefault="00DC282B" w:rsidP="00981D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52D08"/>
    <w:rsid w:val="00072648"/>
    <w:rsid w:val="00081F21"/>
    <w:rsid w:val="000A0713"/>
    <w:rsid w:val="000A23A3"/>
    <w:rsid w:val="000D29C4"/>
    <w:rsid w:val="000E6813"/>
    <w:rsid w:val="000E79C8"/>
    <w:rsid w:val="000F2343"/>
    <w:rsid w:val="000F42B4"/>
    <w:rsid w:val="00142013"/>
    <w:rsid w:val="00157B36"/>
    <w:rsid w:val="001B09D3"/>
    <w:rsid w:val="001B1391"/>
    <w:rsid w:val="001F1CA7"/>
    <w:rsid w:val="002217D3"/>
    <w:rsid w:val="0023737F"/>
    <w:rsid w:val="00242AAE"/>
    <w:rsid w:val="00242D1F"/>
    <w:rsid w:val="00256B36"/>
    <w:rsid w:val="0027088F"/>
    <w:rsid w:val="0028654D"/>
    <w:rsid w:val="002A60CB"/>
    <w:rsid w:val="002A69E4"/>
    <w:rsid w:val="002B5CD6"/>
    <w:rsid w:val="0033438F"/>
    <w:rsid w:val="0038405F"/>
    <w:rsid w:val="00396432"/>
    <w:rsid w:val="003A7F19"/>
    <w:rsid w:val="003B72C7"/>
    <w:rsid w:val="003D1EB9"/>
    <w:rsid w:val="003F71EF"/>
    <w:rsid w:val="00437CE3"/>
    <w:rsid w:val="004719B0"/>
    <w:rsid w:val="004777B2"/>
    <w:rsid w:val="0049241D"/>
    <w:rsid w:val="004A5DAE"/>
    <w:rsid w:val="004C51F2"/>
    <w:rsid w:val="004D15A6"/>
    <w:rsid w:val="004D4728"/>
    <w:rsid w:val="004D6BFC"/>
    <w:rsid w:val="004E727A"/>
    <w:rsid w:val="004F016B"/>
    <w:rsid w:val="00503424"/>
    <w:rsid w:val="00523617"/>
    <w:rsid w:val="005436F4"/>
    <w:rsid w:val="0055282D"/>
    <w:rsid w:val="00562857"/>
    <w:rsid w:val="0058541E"/>
    <w:rsid w:val="005970C0"/>
    <w:rsid w:val="0059737C"/>
    <w:rsid w:val="005D352F"/>
    <w:rsid w:val="005E19E6"/>
    <w:rsid w:val="00622788"/>
    <w:rsid w:val="00624173"/>
    <w:rsid w:val="00637497"/>
    <w:rsid w:val="00646C07"/>
    <w:rsid w:val="00660356"/>
    <w:rsid w:val="006C4D14"/>
    <w:rsid w:val="006E0F9C"/>
    <w:rsid w:val="006F5AEE"/>
    <w:rsid w:val="007272F0"/>
    <w:rsid w:val="00737FE9"/>
    <w:rsid w:val="00741774"/>
    <w:rsid w:val="0075117D"/>
    <w:rsid w:val="00760C7A"/>
    <w:rsid w:val="007618D1"/>
    <w:rsid w:val="00765FD4"/>
    <w:rsid w:val="007A3D3E"/>
    <w:rsid w:val="007B7DAB"/>
    <w:rsid w:val="007C1BAF"/>
    <w:rsid w:val="007E2DFE"/>
    <w:rsid w:val="007E30FD"/>
    <w:rsid w:val="00823AE2"/>
    <w:rsid w:val="00843A38"/>
    <w:rsid w:val="008548E4"/>
    <w:rsid w:val="00860B59"/>
    <w:rsid w:val="00861049"/>
    <w:rsid w:val="008831A5"/>
    <w:rsid w:val="008B76CE"/>
    <w:rsid w:val="008D74F7"/>
    <w:rsid w:val="008F1240"/>
    <w:rsid w:val="008F1A37"/>
    <w:rsid w:val="00922018"/>
    <w:rsid w:val="00923790"/>
    <w:rsid w:val="00941C09"/>
    <w:rsid w:val="0094755E"/>
    <w:rsid w:val="00952859"/>
    <w:rsid w:val="00955DDB"/>
    <w:rsid w:val="009606E7"/>
    <w:rsid w:val="00973534"/>
    <w:rsid w:val="00981DE0"/>
    <w:rsid w:val="00993626"/>
    <w:rsid w:val="009A5AE5"/>
    <w:rsid w:val="009C7C60"/>
    <w:rsid w:val="009E1795"/>
    <w:rsid w:val="009F0E54"/>
    <w:rsid w:val="009F5571"/>
    <w:rsid w:val="00A47C83"/>
    <w:rsid w:val="00A763CD"/>
    <w:rsid w:val="00A77B3E"/>
    <w:rsid w:val="00A847D6"/>
    <w:rsid w:val="00A901BB"/>
    <w:rsid w:val="00AA379C"/>
    <w:rsid w:val="00AE0422"/>
    <w:rsid w:val="00AE3ADF"/>
    <w:rsid w:val="00AF0B7C"/>
    <w:rsid w:val="00B33CC7"/>
    <w:rsid w:val="00B441FE"/>
    <w:rsid w:val="00B50C21"/>
    <w:rsid w:val="00B57082"/>
    <w:rsid w:val="00B85790"/>
    <w:rsid w:val="00B93B2A"/>
    <w:rsid w:val="00BD079E"/>
    <w:rsid w:val="00BE0925"/>
    <w:rsid w:val="00BF69DD"/>
    <w:rsid w:val="00C36D05"/>
    <w:rsid w:val="00C46283"/>
    <w:rsid w:val="00C97D92"/>
    <w:rsid w:val="00CA2A55"/>
    <w:rsid w:val="00CA72F2"/>
    <w:rsid w:val="00CC43A6"/>
    <w:rsid w:val="00CE2277"/>
    <w:rsid w:val="00CF50A6"/>
    <w:rsid w:val="00D62645"/>
    <w:rsid w:val="00D671D1"/>
    <w:rsid w:val="00D77932"/>
    <w:rsid w:val="00D84B7D"/>
    <w:rsid w:val="00DA6BED"/>
    <w:rsid w:val="00DC282B"/>
    <w:rsid w:val="00DF6361"/>
    <w:rsid w:val="00E23849"/>
    <w:rsid w:val="00E2666A"/>
    <w:rsid w:val="00E4363E"/>
    <w:rsid w:val="00E56CAE"/>
    <w:rsid w:val="00EB5CF9"/>
    <w:rsid w:val="00EC1FA4"/>
    <w:rsid w:val="00EC648B"/>
    <w:rsid w:val="00ED1209"/>
    <w:rsid w:val="00F02343"/>
    <w:rsid w:val="00F15A8C"/>
    <w:rsid w:val="00F511E4"/>
    <w:rsid w:val="00F60473"/>
    <w:rsid w:val="00FA1D24"/>
    <w:rsid w:val="00FA504E"/>
    <w:rsid w:val="00FB7A3C"/>
    <w:rsid w:val="00FE3019"/>
    <w:rsid w:val="00FF47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F70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6F4"/>
    <w:rPr>
      <w:rFonts w:eastAsia="Times New Roman"/>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D079E"/>
    <w:pPr>
      <w:spacing w:before="100" w:beforeAutospacing="1" w:after="100" w:afterAutospacing="1"/>
    </w:pPr>
    <w:rPr>
      <w:rFonts w:ascii="宋体" w:eastAsia="宋体" w:hAnsi="宋体" w:cs="宋体"/>
      <w:lang w:eastAsia="zh-CN"/>
    </w:rPr>
  </w:style>
  <w:style w:type="character" w:styleId="a4">
    <w:name w:val="annotation reference"/>
    <w:basedOn w:val="a0"/>
    <w:rsid w:val="003A7F19"/>
    <w:rPr>
      <w:sz w:val="21"/>
      <w:szCs w:val="21"/>
    </w:rPr>
  </w:style>
  <w:style w:type="paragraph" w:styleId="a5">
    <w:name w:val="annotation text"/>
    <w:basedOn w:val="a"/>
    <w:link w:val="Char"/>
    <w:rsid w:val="003A7F19"/>
    <w:rPr>
      <w:rFonts w:eastAsiaTheme="minorEastAsia"/>
      <w:lang w:eastAsia="en-US"/>
    </w:rPr>
  </w:style>
  <w:style w:type="character" w:customStyle="1" w:styleId="Char">
    <w:name w:val="批注文字 Char"/>
    <w:basedOn w:val="a0"/>
    <w:link w:val="a5"/>
    <w:rsid w:val="003A7F19"/>
    <w:rPr>
      <w:sz w:val="24"/>
      <w:szCs w:val="24"/>
    </w:rPr>
  </w:style>
  <w:style w:type="paragraph" w:styleId="a6">
    <w:name w:val="annotation subject"/>
    <w:basedOn w:val="a5"/>
    <w:next w:val="a5"/>
    <w:link w:val="Char0"/>
    <w:rsid w:val="003A7F19"/>
    <w:rPr>
      <w:b/>
      <w:bCs/>
    </w:rPr>
  </w:style>
  <w:style w:type="character" w:customStyle="1" w:styleId="Char0">
    <w:name w:val="批注主题 Char"/>
    <w:basedOn w:val="Char"/>
    <w:link w:val="a6"/>
    <w:rsid w:val="003A7F19"/>
    <w:rPr>
      <w:b/>
      <w:bCs/>
      <w:sz w:val="24"/>
      <w:szCs w:val="24"/>
    </w:rPr>
  </w:style>
  <w:style w:type="paragraph" w:styleId="a7">
    <w:name w:val="Balloon Text"/>
    <w:basedOn w:val="a"/>
    <w:link w:val="Char1"/>
    <w:rsid w:val="003A7F19"/>
    <w:rPr>
      <w:rFonts w:eastAsiaTheme="minorEastAsia"/>
      <w:sz w:val="18"/>
      <w:szCs w:val="18"/>
      <w:lang w:eastAsia="en-US"/>
    </w:rPr>
  </w:style>
  <w:style w:type="character" w:customStyle="1" w:styleId="Char1">
    <w:name w:val="批注框文本 Char"/>
    <w:basedOn w:val="a0"/>
    <w:link w:val="a7"/>
    <w:rsid w:val="003A7F19"/>
    <w:rPr>
      <w:sz w:val="18"/>
      <w:szCs w:val="18"/>
    </w:rPr>
  </w:style>
  <w:style w:type="paragraph" w:styleId="a8">
    <w:name w:val="List Paragraph"/>
    <w:basedOn w:val="a"/>
    <w:uiPriority w:val="34"/>
    <w:qFormat/>
    <w:rsid w:val="00A47C83"/>
    <w:pPr>
      <w:ind w:left="720"/>
      <w:contextualSpacing/>
    </w:pPr>
    <w:rPr>
      <w:lang w:val="en-GB"/>
    </w:rPr>
  </w:style>
  <w:style w:type="table" w:styleId="a9">
    <w:name w:val="Table Grid"/>
    <w:basedOn w:val="a1"/>
    <w:uiPriority w:val="39"/>
    <w:rsid w:val="00A47C83"/>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Char2"/>
    <w:unhideWhenUsed/>
    <w:rsid w:val="00981DE0"/>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rsid w:val="00981DE0"/>
    <w:rPr>
      <w:rFonts w:eastAsia="Times New Roman"/>
      <w:sz w:val="18"/>
      <w:szCs w:val="18"/>
      <w:lang w:eastAsia="en-GB"/>
    </w:rPr>
  </w:style>
  <w:style w:type="paragraph" w:styleId="ab">
    <w:name w:val="footer"/>
    <w:basedOn w:val="a"/>
    <w:link w:val="Char3"/>
    <w:uiPriority w:val="99"/>
    <w:unhideWhenUsed/>
    <w:rsid w:val="00981DE0"/>
    <w:pPr>
      <w:tabs>
        <w:tab w:val="center" w:pos="4153"/>
        <w:tab w:val="right" w:pos="8306"/>
      </w:tabs>
      <w:snapToGrid w:val="0"/>
    </w:pPr>
    <w:rPr>
      <w:sz w:val="18"/>
      <w:szCs w:val="18"/>
    </w:rPr>
  </w:style>
  <w:style w:type="character" w:customStyle="1" w:styleId="Char3">
    <w:name w:val="页脚 Char"/>
    <w:basedOn w:val="a0"/>
    <w:link w:val="ab"/>
    <w:uiPriority w:val="99"/>
    <w:rsid w:val="00981DE0"/>
    <w:rPr>
      <w:rFonts w:eastAsia="Times New Roman"/>
      <w:sz w:val="18"/>
      <w:szCs w:val="18"/>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6F4"/>
    <w:rPr>
      <w:rFonts w:eastAsia="Times New Roman"/>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D079E"/>
    <w:pPr>
      <w:spacing w:before="100" w:beforeAutospacing="1" w:after="100" w:afterAutospacing="1"/>
    </w:pPr>
    <w:rPr>
      <w:rFonts w:ascii="宋体" w:eastAsia="宋体" w:hAnsi="宋体" w:cs="宋体"/>
      <w:lang w:eastAsia="zh-CN"/>
    </w:rPr>
  </w:style>
  <w:style w:type="character" w:styleId="a4">
    <w:name w:val="annotation reference"/>
    <w:basedOn w:val="a0"/>
    <w:rsid w:val="003A7F19"/>
    <w:rPr>
      <w:sz w:val="21"/>
      <w:szCs w:val="21"/>
    </w:rPr>
  </w:style>
  <w:style w:type="paragraph" w:styleId="a5">
    <w:name w:val="annotation text"/>
    <w:basedOn w:val="a"/>
    <w:link w:val="Char"/>
    <w:rsid w:val="003A7F19"/>
    <w:rPr>
      <w:rFonts w:eastAsiaTheme="minorEastAsia"/>
      <w:lang w:eastAsia="en-US"/>
    </w:rPr>
  </w:style>
  <w:style w:type="character" w:customStyle="1" w:styleId="Char">
    <w:name w:val="批注文字 Char"/>
    <w:basedOn w:val="a0"/>
    <w:link w:val="a5"/>
    <w:rsid w:val="003A7F19"/>
    <w:rPr>
      <w:sz w:val="24"/>
      <w:szCs w:val="24"/>
    </w:rPr>
  </w:style>
  <w:style w:type="paragraph" w:styleId="a6">
    <w:name w:val="annotation subject"/>
    <w:basedOn w:val="a5"/>
    <w:next w:val="a5"/>
    <w:link w:val="Char0"/>
    <w:rsid w:val="003A7F19"/>
    <w:rPr>
      <w:b/>
      <w:bCs/>
    </w:rPr>
  </w:style>
  <w:style w:type="character" w:customStyle="1" w:styleId="Char0">
    <w:name w:val="批注主题 Char"/>
    <w:basedOn w:val="Char"/>
    <w:link w:val="a6"/>
    <w:rsid w:val="003A7F19"/>
    <w:rPr>
      <w:b/>
      <w:bCs/>
      <w:sz w:val="24"/>
      <w:szCs w:val="24"/>
    </w:rPr>
  </w:style>
  <w:style w:type="paragraph" w:styleId="a7">
    <w:name w:val="Balloon Text"/>
    <w:basedOn w:val="a"/>
    <w:link w:val="Char1"/>
    <w:rsid w:val="003A7F19"/>
    <w:rPr>
      <w:rFonts w:eastAsiaTheme="minorEastAsia"/>
      <w:sz w:val="18"/>
      <w:szCs w:val="18"/>
      <w:lang w:eastAsia="en-US"/>
    </w:rPr>
  </w:style>
  <w:style w:type="character" w:customStyle="1" w:styleId="Char1">
    <w:name w:val="批注框文本 Char"/>
    <w:basedOn w:val="a0"/>
    <w:link w:val="a7"/>
    <w:rsid w:val="003A7F19"/>
    <w:rPr>
      <w:sz w:val="18"/>
      <w:szCs w:val="18"/>
    </w:rPr>
  </w:style>
  <w:style w:type="paragraph" w:styleId="a8">
    <w:name w:val="List Paragraph"/>
    <w:basedOn w:val="a"/>
    <w:uiPriority w:val="34"/>
    <w:qFormat/>
    <w:rsid w:val="00A47C83"/>
    <w:pPr>
      <w:ind w:left="720"/>
      <w:contextualSpacing/>
    </w:pPr>
    <w:rPr>
      <w:lang w:val="en-GB"/>
    </w:rPr>
  </w:style>
  <w:style w:type="table" w:styleId="a9">
    <w:name w:val="Table Grid"/>
    <w:basedOn w:val="a1"/>
    <w:uiPriority w:val="39"/>
    <w:rsid w:val="00A47C83"/>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Char2"/>
    <w:unhideWhenUsed/>
    <w:rsid w:val="00981DE0"/>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rsid w:val="00981DE0"/>
    <w:rPr>
      <w:rFonts w:eastAsia="Times New Roman"/>
      <w:sz w:val="18"/>
      <w:szCs w:val="18"/>
      <w:lang w:eastAsia="en-GB"/>
    </w:rPr>
  </w:style>
  <w:style w:type="paragraph" w:styleId="ab">
    <w:name w:val="footer"/>
    <w:basedOn w:val="a"/>
    <w:link w:val="Char3"/>
    <w:uiPriority w:val="99"/>
    <w:unhideWhenUsed/>
    <w:rsid w:val="00981DE0"/>
    <w:pPr>
      <w:tabs>
        <w:tab w:val="center" w:pos="4153"/>
        <w:tab w:val="right" w:pos="8306"/>
      </w:tabs>
      <w:snapToGrid w:val="0"/>
    </w:pPr>
    <w:rPr>
      <w:sz w:val="18"/>
      <w:szCs w:val="18"/>
    </w:rPr>
  </w:style>
  <w:style w:type="character" w:customStyle="1" w:styleId="Char3">
    <w:name w:val="页脚 Char"/>
    <w:basedOn w:val="a0"/>
    <w:link w:val="ab"/>
    <w:uiPriority w:val="99"/>
    <w:rsid w:val="00981DE0"/>
    <w:rPr>
      <w:rFonts w:eastAsia="Times New Roman"/>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99480">
      <w:bodyDiv w:val="1"/>
      <w:marLeft w:val="0"/>
      <w:marRight w:val="0"/>
      <w:marTop w:val="0"/>
      <w:marBottom w:val="0"/>
      <w:divBdr>
        <w:top w:val="none" w:sz="0" w:space="0" w:color="auto"/>
        <w:left w:val="none" w:sz="0" w:space="0" w:color="auto"/>
        <w:bottom w:val="none" w:sz="0" w:space="0" w:color="auto"/>
        <w:right w:val="none" w:sz="0" w:space="0" w:color="auto"/>
      </w:divBdr>
    </w:div>
    <w:div w:id="391778954">
      <w:bodyDiv w:val="1"/>
      <w:marLeft w:val="0"/>
      <w:marRight w:val="0"/>
      <w:marTop w:val="0"/>
      <w:marBottom w:val="0"/>
      <w:divBdr>
        <w:top w:val="none" w:sz="0" w:space="0" w:color="auto"/>
        <w:left w:val="none" w:sz="0" w:space="0" w:color="auto"/>
        <w:bottom w:val="none" w:sz="0" w:space="0" w:color="auto"/>
        <w:right w:val="none" w:sz="0" w:space="0" w:color="auto"/>
      </w:divBdr>
    </w:div>
    <w:div w:id="619537328">
      <w:bodyDiv w:val="1"/>
      <w:marLeft w:val="0"/>
      <w:marRight w:val="0"/>
      <w:marTop w:val="0"/>
      <w:marBottom w:val="0"/>
      <w:divBdr>
        <w:top w:val="none" w:sz="0" w:space="0" w:color="auto"/>
        <w:left w:val="none" w:sz="0" w:space="0" w:color="auto"/>
        <w:bottom w:val="none" w:sz="0" w:space="0" w:color="auto"/>
        <w:right w:val="none" w:sz="0" w:space="0" w:color="auto"/>
      </w:divBdr>
    </w:div>
    <w:div w:id="723483474">
      <w:bodyDiv w:val="1"/>
      <w:marLeft w:val="0"/>
      <w:marRight w:val="0"/>
      <w:marTop w:val="0"/>
      <w:marBottom w:val="0"/>
      <w:divBdr>
        <w:top w:val="none" w:sz="0" w:space="0" w:color="auto"/>
        <w:left w:val="none" w:sz="0" w:space="0" w:color="auto"/>
        <w:bottom w:val="none" w:sz="0" w:space="0" w:color="auto"/>
        <w:right w:val="none" w:sz="0" w:space="0" w:color="auto"/>
      </w:divBdr>
    </w:div>
    <w:div w:id="808980754">
      <w:bodyDiv w:val="1"/>
      <w:marLeft w:val="0"/>
      <w:marRight w:val="0"/>
      <w:marTop w:val="0"/>
      <w:marBottom w:val="0"/>
      <w:divBdr>
        <w:top w:val="none" w:sz="0" w:space="0" w:color="auto"/>
        <w:left w:val="none" w:sz="0" w:space="0" w:color="auto"/>
        <w:bottom w:val="none" w:sz="0" w:space="0" w:color="auto"/>
        <w:right w:val="none" w:sz="0" w:space="0" w:color="auto"/>
      </w:divBdr>
    </w:div>
    <w:div w:id="864487032">
      <w:bodyDiv w:val="1"/>
      <w:marLeft w:val="0"/>
      <w:marRight w:val="0"/>
      <w:marTop w:val="0"/>
      <w:marBottom w:val="0"/>
      <w:divBdr>
        <w:top w:val="none" w:sz="0" w:space="0" w:color="auto"/>
        <w:left w:val="none" w:sz="0" w:space="0" w:color="auto"/>
        <w:bottom w:val="none" w:sz="0" w:space="0" w:color="auto"/>
        <w:right w:val="none" w:sz="0" w:space="0" w:color="auto"/>
      </w:divBdr>
    </w:div>
    <w:div w:id="1116213189">
      <w:bodyDiv w:val="1"/>
      <w:marLeft w:val="0"/>
      <w:marRight w:val="0"/>
      <w:marTop w:val="0"/>
      <w:marBottom w:val="0"/>
      <w:divBdr>
        <w:top w:val="none" w:sz="0" w:space="0" w:color="auto"/>
        <w:left w:val="none" w:sz="0" w:space="0" w:color="auto"/>
        <w:bottom w:val="none" w:sz="0" w:space="0" w:color="auto"/>
        <w:right w:val="none" w:sz="0" w:space="0" w:color="auto"/>
      </w:divBdr>
    </w:div>
    <w:div w:id="1154687807">
      <w:bodyDiv w:val="1"/>
      <w:marLeft w:val="0"/>
      <w:marRight w:val="0"/>
      <w:marTop w:val="0"/>
      <w:marBottom w:val="0"/>
      <w:divBdr>
        <w:top w:val="none" w:sz="0" w:space="0" w:color="auto"/>
        <w:left w:val="none" w:sz="0" w:space="0" w:color="auto"/>
        <w:bottom w:val="none" w:sz="0" w:space="0" w:color="auto"/>
        <w:right w:val="none" w:sz="0" w:space="0" w:color="auto"/>
      </w:divBdr>
    </w:div>
    <w:div w:id="1326279106">
      <w:bodyDiv w:val="1"/>
      <w:marLeft w:val="0"/>
      <w:marRight w:val="0"/>
      <w:marTop w:val="0"/>
      <w:marBottom w:val="0"/>
      <w:divBdr>
        <w:top w:val="none" w:sz="0" w:space="0" w:color="auto"/>
        <w:left w:val="none" w:sz="0" w:space="0" w:color="auto"/>
        <w:bottom w:val="none" w:sz="0" w:space="0" w:color="auto"/>
        <w:right w:val="none" w:sz="0" w:space="0" w:color="auto"/>
      </w:divBdr>
    </w:div>
    <w:div w:id="1362392553">
      <w:bodyDiv w:val="1"/>
      <w:marLeft w:val="0"/>
      <w:marRight w:val="0"/>
      <w:marTop w:val="0"/>
      <w:marBottom w:val="0"/>
      <w:divBdr>
        <w:top w:val="none" w:sz="0" w:space="0" w:color="auto"/>
        <w:left w:val="none" w:sz="0" w:space="0" w:color="auto"/>
        <w:bottom w:val="none" w:sz="0" w:space="0" w:color="auto"/>
        <w:right w:val="none" w:sz="0" w:space="0" w:color="auto"/>
      </w:divBdr>
    </w:div>
    <w:div w:id="1388214327">
      <w:bodyDiv w:val="1"/>
      <w:marLeft w:val="0"/>
      <w:marRight w:val="0"/>
      <w:marTop w:val="0"/>
      <w:marBottom w:val="0"/>
      <w:divBdr>
        <w:top w:val="none" w:sz="0" w:space="0" w:color="auto"/>
        <w:left w:val="none" w:sz="0" w:space="0" w:color="auto"/>
        <w:bottom w:val="none" w:sz="0" w:space="0" w:color="auto"/>
        <w:right w:val="none" w:sz="0" w:space="0" w:color="auto"/>
      </w:divBdr>
    </w:div>
    <w:div w:id="15591984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2" Type="http://schemas.microsoft.com/office/2007/relationships/stylesWithEffects" Target="stylesWithEffects.xml"/><Relationship Id="rId16" Type="http://schemas.openxmlformats.org/officeDocument/2006/relationships/image" Target="media/image9.jpg"/><Relationship Id="rId20" Type="http://schemas.openxmlformats.org/officeDocument/2006/relationships/image" Target="media/image13.png"/><Relationship Id="rId29" Type="http://schemas.microsoft.com/office/2016/09/relationships/commentsIds" Target="commentsId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169</TotalTime>
  <Pages>59</Pages>
  <Words>10451</Words>
  <Characters>59572</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liujihong2008@qq.con</cp:lastModifiedBy>
  <cp:revision>81</cp:revision>
  <dcterms:created xsi:type="dcterms:W3CDTF">2021-05-10T17:12:00Z</dcterms:created>
  <dcterms:modified xsi:type="dcterms:W3CDTF">2021-06-04T01:24:00Z</dcterms:modified>
</cp:coreProperties>
</file>