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A474" w14:textId="77777777" w:rsidR="00CA5B1D" w:rsidRDefault="00557DFF">
      <w:pPr>
        <w:spacing w:line="360" w:lineRule="auto"/>
        <w:jc w:val="both"/>
        <w:rPr>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6A38BDB2" w14:textId="77777777" w:rsidR="00CA5B1D" w:rsidRDefault="00557DFF">
      <w:pPr>
        <w:spacing w:line="360" w:lineRule="auto"/>
        <w:jc w:val="both"/>
        <w:rPr>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63952</w:t>
      </w:r>
    </w:p>
    <w:p w14:paraId="1DD2416A" w14:textId="77777777" w:rsidR="00CA5B1D" w:rsidRDefault="00557DFF">
      <w:pPr>
        <w:spacing w:line="360" w:lineRule="auto"/>
        <w:jc w:val="both"/>
        <w:rPr>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CASE REPORT</w:t>
      </w:r>
    </w:p>
    <w:p w14:paraId="26243AA1" w14:textId="77777777" w:rsidR="00CA5B1D" w:rsidRDefault="00CA5B1D">
      <w:pPr>
        <w:spacing w:line="360" w:lineRule="auto"/>
        <w:jc w:val="both"/>
        <w:rPr>
          <w:color w:val="000000" w:themeColor="text1"/>
        </w:rPr>
      </w:pPr>
    </w:p>
    <w:p w14:paraId="56E9F207" w14:textId="77777777" w:rsidR="00CA5B1D" w:rsidRDefault="00557DFF">
      <w:pPr>
        <w:spacing w:line="360" w:lineRule="auto"/>
        <w:jc w:val="both"/>
        <w:rPr>
          <w:color w:val="000000" w:themeColor="text1"/>
        </w:rPr>
      </w:pPr>
      <w:r>
        <w:rPr>
          <w:rFonts w:ascii="Book Antiqua" w:eastAsia="Book Antiqua" w:hAnsi="Book Antiqua" w:cs="Book Antiqua"/>
          <w:b/>
          <w:bCs/>
          <w:color w:val="000000" w:themeColor="text1"/>
        </w:rPr>
        <w:t xml:space="preserve">Removal of "ruptured" pulmonary artery infusion port catheter by pigtail catheter combined with gooseneck trap: </w:t>
      </w:r>
      <w:r>
        <w:rPr>
          <w:rFonts w:ascii="Book Antiqua" w:eastAsia="Book Antiqua" w:hAnsi="Book Antiqua" w:cs="Book Antiqua"/>
          <w:b/>
          <w:bCs/>
          <w:caps/>
          <w:color w:val="000000" w:themeColor="text1"/>
        </w:rPr>
        <w:t>a</w:t>
      </w:r>
      <w:r>
        <w:rPr>
          <w:rFonts w:ascii="Book Antiqua" w:eastAsia="Book Antiqua" w:hAnsi="Book Antiqua" w:cs="Book Antiqua"/>
          <w:b/>
          <w:bCs/>
          <w:color w:val="000000" w:themeColor="text1"/>
        </w:rPr>
        <w:t xml:space="preserve"> case report</w:t>
      </w:r>
    </w:p>
    <w:p w14:paraId="67F6D194" w14:textId="77777777" w:rsidR="00CA5B1D" w:rsidRDefault="00CA5B1D">
      <w:pPr>
        <w:spacing w:line="360" w:lineRule="auto"/>
        <w:jc w:val="both"/>
        <w:rPr>
          <w:color w:val="000000" w:themeColor="text1"/>
        </w:rPr>
      </w:pPr>
    </w:p>
    <w:p w14:paraId="02D30F35"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 xml:space="preserve">Chen </w:t>
      </w:r>
      <w:r>
        <w:rPr>
          <w:rFonts w:ascii="Book Antiqua" w:hAnsi="Book Antiqua" w:cs="Book Antiqua" w:hint="eastAsia"/>
          <w:color w:val="000000" w:themeColor="text1"/>
          <w:lang w:eastAsia="zh-CN"/>
        </w:rPr>
        <w:t xml:space="preserve">GQ </w:t>
      </w:r>
      <w:r>
        <w:rPr>
          <w:rFonts w:ascii="Book Antiqua" w:hAnsi="Book Antiqua" w:cs="Book Antiqua" w:hint="eastAsia"/>
          <w:i/>
          <w:color w:val="000000" w:themeColor="text1"/>
          <w:lang w:eastAsia="zh-CN"/>
        </w:rPr>
        <w:t>et 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Removal of "exfoliated" catheter by intervention</w:t>
      </w:r>
    </w:p>
    <w:p w14:paraId="75FB2211" w14:textId="77777777" w:rsidR="00CA5B1D" w:rsidRDefault="00CA5B1D">
      <w:pPr>
        <w:spacing w:line="360" w:lineRule="auto"/>
        <w:jc w:val="both"/>
        <w:rPr>
          <w:color w:val="000000" w:themeColor="text1"/>
        </w:rPr>
      </w:pPr>
    </w:p>
    <w:p w14:paraId="3E56E0C3"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Gui-Qin Chen, Yang Wu, Kai-Fei Zhao, Rong-Shu Shi</w:t>
      </w:r>
    </w:p>
    <w:p w14:paraId="25F969B0" w14:textId="77777777" w:rsidR="00CA5B1D" w:rsidRDefault="00CA5B1D">
      <w:pPr>
        <w:spacing w:line="360" w:lineRule="auto"/>
        <w:jc w:val="both"/>
        <w:rPr>
          <w:color w:val="000000" w:themeColor="text1"/>
        </w:rPr>
      </w:pPr>
    </w:p>
    <w:p w14:paraId="6C585E66" w14:textId="77777777" w:rsidR="00CA5B1D" w:rsidRDefault="00557DFF">
      <w:pPr>
        <w:spacing w:line="360" w:lineRule="auto"/>
        <w:jc w:val="both"/>
        <w:rPr>
          <w:color w:val="000000" w:themeColor="text1"/>
        </w:rPr>
      </w:pPr>
      <w:r>
        <w:rPr>
          <w:rFonts w:ascii="Book Antiqua" w:eastAsia="Book Antiqua" w:hAnsi="Book Antiqua" w:cs="Book Antiqua"/>
          <w:b/>
          <w:bCs/>
          <w:color w:val="000000" w:themeColor="text1"/>
        </w:rPr>
        <w:t xml:space="preserve">Gui-Qin Chen, Yang Wu, </w:t>
      </w:r>
      <w:r>
        <w:rPr>
          <w:rFonts w:ascii="Book Antiqua" w:eastAsia="Book Antiqua" w:hAnsi="Book Antiqua" w:cs="Book Antiqua"/>
          <w:color w:val="000000" w:themeColor="text1"/>
        </w:rPr>
        <w:t>Department of Radiology, The Affiliated Hospital of Zunyi Medical University, Zunyi 563000, Guizhou Province, China</w:t>
      </w:r>
    </w:p>
    <w:p w14:paraId="152A6A9D" w14:textId="77777777" w:rsidR="00CA5B1D" w:rsidRDefault="00CA5B1D">
      <w:pPr>
        <w:spacing w:line="360" w:lineRule="auto"/>
        <w:jc w:val="both"/>
        <w:rPr>
          <w:color w:val="000000" w:themeColor="text1"/>
        </w:rPr>
      </w:pPr>
    </w:p>
    <w:p w14:paraId="1748D0BF" w14:textId="77777777" w:rsidR="00CA5B1D" w:rsidRDefault="00557DFF">
      <w:pPr>
        <w:spacing w:line="360" w:lineRule="auto"/>
        <w:jc w:val="both"/>
        <w:rPr>
          <w:color w:val="000000" w:themeColor="text1"/>
        </w:rPr>
      </w:pPr>
      <w:r>
        <w:rPr>
          <w:rFonts w:ascii="Book Antiqua" w:eastAsia="Book Antiqua" w:hAnsi="Book Antiqua" w:cs="Book Antiqua"/>
          <w:b/>
          <w:bCs/>
          <w:color w:val="000000" w:themeColor="text1"/>
        </w:rPr>
        <w:t xml:space="preserve">Kai-Fei Zhao, Rong-Shu Shi, </w:t>
      </w:r>
      <w:r>
        <w:rPr>
          <w:rFonts w:ascii="Book Antiqua" w:eastAsia="Book Antiqua" w:hAnsi="Book Antiqua" w:cs="Book Antiqua"/>
          <w:color w:val="000000" w:themeColor="text1"/>
        </w:rPr>
        <w:t>Department of Intervention, The Affiliated Hospital of Zunyi Medical University, Zunyi 563000, Guizhou Province, China</w:t>
      </w:r>
    </w:p>
    <w:p w14:paraId="5F7CDC58" w14:textId="77777777" w:rsidR="00CA5B1D" w:rsidRDefault="00CA5B1D">
      <w:pPr>
        <w:spacing w:line="360" w:lineRule="auto"/>
        <w:jc w:val="both"/>
        <w:rPr>
          <w:color w:val="000000" w:themeColor="text1"/>
        </w:rPr>
      </w:pPr>
    </w:p>
    <w:p w14:paraId="541DF535" w14:textId="77777777" w:rsidR="00CA5B1D" w:rsidRDefault="00557DFF">
      <w:pPr>
        <w:spacing w:line="360" w:lineRule="auto"/>
        <w:jc w:val="both"/>
        <w:rPr>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Chen GQ and Wu Y reviewed the literature and contributed to manuscript drafting; Zhao KF reviewed the literature and contributed to manuscript drafting; Shi RS analyzed and interpreted the patient data; All authors read and approved the final manuscript.</w:t>
      </w:r>
    </w:p>
    <w:p w14:paraId="1C54D8E8" w14:textId="77777777" w:rsidR="00CA5B1D" w:rsidRDefault="00CA5B1D">
      <w:pPr>
        <w:spacing w:line="360" w:lineRule="auto"/>
        <w:jc w:val="both"/>
        <w:rPr>
          <w:color w:val="000000" w:themeColor="text1"/>
        </w:rPr>
      </w:pPr>
    </w:p>
    <w:p w14:paraId="7E121046" w14:textId="77777777" w:rsidR="00CA5B1D" w:rsidRDefault="00557DFF">
      <w:pPr>
        <w:spacing w:line="360" w:lineRule="auto"/>
        <w:jc w:val="both"/>
        <w:rPr>
          <w:color w:val="000000" w:themeColor="text1"/>
        </w:rPr>
      </w:pPr>
      <w:r>
        <w:rPr>
          <w:rFonts w:ascii="Book Antiqua" w:eastAsia="Book Antiqua" w:hAnsi="Book Antiqua" w:cs="Book Antiqua"/>
          <w:b/>
          <w:bCs/>
          <w:color w:val="000000" w:themeColor="text1"/>
        </w:rPr>
        <w:t xml:space="preserve">Corresponding author: Kai-Fei Zhao, MD, Additional Professor, Deputy Director, Doctor, </w:t>
      </w:r>
      <w:r>
        <w:rPr>
          <w:rFonts w:ascii="Book Antiqua" w:eastAsia="Book Antiqua" w:hAnsi="Book Antiqua" w:cs="Book Antiqua"/>
          <w:color w:val="000000" w:themeColor="text1"/>
        </w:rPr>
        <w:t>Department of Intervention, The Affiliated Hospital of Zunyi Medical University, No. 149 Dalian Road, Zunyi 563000, Guizhou Province, China. zhaokaifei0852@sina.com</w:t>
      </w:r>
    </w:p>
    <w:p w14:paraId="16073F06" w14:textId="77777777" w:rsidR="00CA5B1D" w:rsidRDefault="00CA5B1D">
      <w:pPr>
        <w:spacing w:line="360" w:lineRule="auto"/>
        <w:jc w:val="both"/>
        <w:rPr>
          <w:color w:val="000000" w:themeColor="text1"/>
        </w:rPr>
      </w:pPr>
    </w:p>
    <w:p w14:paraId="2F098ABE" w14:textId="77777777" w:rsidR="00CA5B1D" w:rsidRDefault="00557DFF">
      <w:pPr>
        <w:spacing w:line="360" w:lineRule="auto"/>
        <w:jc w:val="both"/>
        <w:rPr>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May 17, 2021</w:t>
      </w:r>
    </w:p>
    <w:p w14:paraId="1C1C7264" w14:textId="77777777" w:rsidR="00CA5B1D" w:rsidRDefault="00557DFF">
      <w:pPr>
        <w:spacing w:line="360" w:lineRule="auto"/>
        <w:jc w:val="both"/>
        <w:rPr>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June 28, 2021</w:t>
      </w:r>
    </w:p>
    <w:p w14:paraId="0A5D383A" w14:textId="77777777" w:rsidR="00CA5B1D" w:rsidRDefault="00557DFF">
      <w:pPr>
        <w:spacing w:line="360" w:lineRule="auto"/>
        <w:jc w:val="both"/>
        <w:rPr>
          <w:color w:val="000000" w:themeColor="text1"/>
        </w:rPr>
      </w:pPr>
      <w:r>
        <w:rPr>
          <w:rFonts w:ascii="Book Antiqua" w:eastAsia="Book Antiqua" w:hAnsi="Book Antiqua" w:cs="Book Antiqua"/>
          <w:b/>
          <w:bCs/>
          <w:color w:val="000000" w:themeColor="text1"/>
        </w:rPr>
        <w:t xml:space="preserve">Accepted: </w:t>
      </w:r>
      <w:bookmarkStart w:id="0" w:name="OLE_LINK15"/>
      <w:bookmarkStart w:id="1" w:name="OLE_LINK48"/>
      <w:bookmarkStart w:id="2" w:name="OLE_LINK33"/>
      <w:r>
        <w:rPr>
          <w:rFonts w:ascii="Book Antiqua" w:eastAsia="宋体" w:hAnsi="Book Antiqua" w:hint="eastAsia"/>
          <w:color w:val="000000" w:themeColor="text1"/>
        </w:rPr>
        <w:t>Au</w:t>
      </w:r>
      <w:r>
        <w:rPr>
          <w:rFonts w:ascii="Book Antiqua" w:eastAsia="宋体" w:hAnsi="Book Antiqua"/>
          <w:color w:val="000000" w:themeColor="text1"/>
        </w:rPr>
        <w:t>gust 23, 2021</w:t>
      </w:r>
      <w:bookmarkEnd w:id="0"/>
      <w:bookmarkEnd w:id="1"/>
      <w:bookmarkEnd w:id="2"/>
    </w:p>
    <w:p w14:paraId="3542D101" w14:textId="77777777" w:rsidR="00CA5B1D" w:rsidRDefault="00557DFF">
      <w:pPr>
        <w:spacing w:line="360" w:lineRule="auto"/>
        <w:jc w:val="both"/>
        <w:rPr>
          <w:rFonts w:eastAsia="宋体"/>
          <w:color w:val="000000" w:themeColor="text1"/>
          <w:lang w:eastAsia="zh-CN"/>
        </w:rPr>
      </w:pPr>
      <w:r>
        <w:rPr>
          <w:rFonts w:ascii="Book Antiqua" w:eastAsia="Book Antiqua" w:hAnsi="Book Antiqua" w:cs="Book Antiqua"/>
          <w:b/>
          <w:bCs/>
          <w:color w:val="000000" w:themeColor="text1"/>
        </w:rPr>
        <w:t xml:space="preserve">Published online: </w:t>
      </w:r>
      <w:r>
        <w:rPr>
          <w:rFonts w:ascii="Book Antiqua" w:eastAsia="Book Antiqua" w:hAnsi="Book Antiqua" w:cs="Book Antiqua"/>
          <w:color w:val="000000" w:themeColor="text1"/>
        </w:rPr>
        <w:t>October 16</w:t>
      </w:r>
      <w:r>
        <w:rPr>
          <w:rFonts w:ascii="Book Antiqua" w:eastAsia="宋体" w:hAnsi="Book Antiqua" w:cs="Book Antiqua" w:hint="eastAsia"/>
          <w:color w:val="000000" w:themeColor="text1"/>
          <w:lang w:eastAsia="zh-CN"/>
        </w:rPr>
        <w:t>, 2021</w:t>
      </w:r>
    </w:p>
    <w:p w14:paraId="5F58D539" w14:textId="77777777" w:rsidR="00CA5B1D" w:rsidRDefault="00CA5B1D">
      <w:pPr>
        <w:spacing w:line="360" w:lineRule="auto"/>
        <w:jc w:val="both"/>
        <w:rPr>
          <w:color w:val="000000" w:themeColor="text1"/>
        </w:rPr>
        <w:sectPr w:rsidR="00CA5B1D">
          <w:footerReference w:type="default" r:id="rId9"/>
          <w:pgSz w:w="12240" w:h="15840"/>
          <w:pgMar w:top="1440" w:right="1440" w:bottom="1440" w:left="1440" w:header="720" w:footer="720" w:gutter="0"/>
          <w:cols w:space="720"/>
          <w:docGrid w:linePitch="360"/>
        </w:sectPr>
      </w:pPr>
    </w:p>
    <w:p w14:paraId="6DF8DEF2" w14:textId="77777777" w:rsidR="00CA5B1D" w:rsidRDefault="00557DFF">
      <w:pPr>
        <w:spacing w:line="360" w:lineRule="auto"/>
        <w:jc w:val="both"/>
        <w:rPr>
          <w:color w:val="000000" w:themeColor="text1"/>
        </w:rPr>
      </w:pPr>
      <w:r>
        <w:rPr>
          <w:rFonts w:ascii="Book Antiqua" w:eastAsia="Book Antiqua" w:hAnsi="Book Antiqua" w:cs="Book Antiqua"/>
          <w:b/>
          <w:color w:val="000000" w:themeColor="text1"/>
        </w:rPr>
        <w:lastRenderedPageBreak/>
        <w:t>Abstract</w:t>
      </w:r>
    </w:p>
    <w:p w14:paraId="7F8DD1B0"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BACKGROUND</w:t>
      </w:r>
    </w:p>
    <w:p w14:paraId="7EB23CCD"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 xml:space="preserve">Implanted intravenous infusion port (IVAP) is indicated for patients undergoing chemotherapy, total parenteral nutrition and long-term antibiotic treatment. Among their complications, the rupture and migration of the catheter of an IVAP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internal jugular vein represents a very rare but potentially severe condition.</w:t>
      </w:r>
    </w:p>
    <w:p w14:paraId="16D38C05" w14:textId="77777777" w:rsidR="00CA5B1D" w:rsidRDefault="00CA5B1D">
      <w:pPr>
        <w:spacing w:line="360" w:lineRule="auto"/>
        <w:jc w:val="both"/>
        <w:rPr>
          <w:color w:val="000000" w:themeColor="text1"/>
        </w:rPr>
      </w:pPr>
    </w:p>
    <w:p w14:paraId="4CAF65EC"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CASE SUMMARY</w:t>
      </w:r>
    </w:p>
    <w:p w14:paraId="7FE5DADC"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 xml:space="preserve">A 43-year-old woman was identified with a spontaneous fracture and migration of catheter of an IVAP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right internal jugular vein after adjuvant chemotherapy for left breast cancer. A computed tomography showed the fractured catheter of the IVAP in the pulmonary artery. Therefore, we conducted an emergency procedure to remove the catheter fragment by a pigtail catheter combined with a gooseneck trap.</w:t>
      </w:r>
    </w:p>
    <w:p w14:paraId="300A18BE" w14:textId="77777777" w:rsidR="00CA5B1D" w:rsidRDefault="00CA5B1D">
      <w:pPr>
        <w:spacing w:line="360" w:lineRule="auto"/>
        <w:jc w:val="both"/>
        <w:rPr>
          <w:color w:val="000000" w:themeColor="text1"/>
        </w:rPr>
      </w:pPr>
    </w:p>
    <w:p w14:paraId="0E63FD61"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CONCLUSION</w:t>
      </w:r>
    </w:p>
    <w:p w14:paraId="2CFC293D"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When the fractured catheter of an IVAP was detected, the special shape of the pigtail catheter in combination with the gooseneck trap successfully facilitated the removal of the dislodged catheter.</w:t>
      </w:r>
    </w:p>
    <w:p w14:paraId="60C6C913" w14:textId="77777777" w:rsidR="00CA5B1D" w:rsidRDefault="00CA5B1D">
      <w:pPr>
        <w:spacing w:line="360" w:lineRule="auto"/>
        <w:jc w:val="both"/>
        <w:rPr>
          <w:color w:val="000000" w:themeColor="text1"/>
        </w:rPr>
      </w:pPr>
    </w:p>
    <w:p w14:paraId="451CB56B" w14:textId="77777777" w:rsidR="00CA5B1D" w:rsidRDefault="00557DFF">
      <w:pPr>
        <w:spacing w:line="360" w:lineRule="auto"/>
        <w:jc w:val="both"/>
        <w:rPr>
          <w:color w:val="000000" w:themeColor="text1"/>
        </w:rPr>
      </w:pPr>
      <w:r>
        <w:rPr>
          <w:rFonts w:ascii="Book Antiqua" w:eastAsia="Book Antiqua" w:hAnsi="Book Antiqua" w:cs="Book Antiqua"/>
          <w:b/>
          <w:bCs/>
          <w:color w:val="000000" w:themeColor="text1"/>
        </w:rPr>
        <w:t xml:space="preserve">Key Words: </w:t>
      </w:r>
      <w:bookmarkStart w:id="3" w:name="OLE_LINK491"/>
      <w:r>
        <w:rPr>
          <w:rFonts w:ascii="Book Antiqua" w:eastAsia="Book Antiqua" w:hAnsi="Book Antiqua" w:cs="Book Antiqua"/>
          <w:color w:val="000000" w:themeColor="text1"/>
        </w:rPr>
        <w:t xml:space="preserve">Implanted intravenous infusion port; </w:t>
      </w:r>
      <w:r>
        <w:rPr>
          <w:rFonts w:ascii="Book Antiqua" w:eastAsia="Book Antiqua" w:hAnsi="Book Antiqua" w:cs="Book Antiqua"/>
          <w:caps/>
          <w:color w:val="000000" w:themeColor="text1"/>
        </w:rPr>
        <w:t>f</w:t>
      </w:r>
      <w:r>
        <w:rPr>
          <w:rFonts w:ascii="Book Antiqua" w:eastAsia="Book Antiqua" w:hAnsi="Book Antiqua" w:cs="Book Antiqua"/>
          <w:color w:val="000000" w:themeColor="text1"/>
        </w:rPr>
        <w:t xml:space="preserve">ractured catheter; </w:t>
      </w:r>
      <w:r>
        <w:rPr>
          <w:rFonts w:ascii="Book Antiqua" w:eastAsia="Book Antiqua" w:hAnsi="Book Antiqua" w:cs="Book Antiqua"/>
          <w:caps/>
          <w:color w:val="000000" w:themeColor="text1"/>
        </w:rPr>
        <w:t>g</w:t>
      </w:r>
      <w:r>
        <w:rPr>
          <w:rFonts w:ascii="Book Antiqua" w:eastAsia="Book Antiqua" w:hAnsi="Book Antiqua" w:cs="Book Antiqua"/>
          <w:color w:val="000000" w:themeColor="text1"/>
        </w:rPr>
        <w:t xml:space="preserve">ooseneck trap; </w:t>
      </w:r>
      <w:r>
        <w:rPr>
          <w:rFonts w:ascii="Book Antiqua" w:eastAsia="Book Antiqua" w:hAnsi="Book Antiqua" w:cs="Book Antiqua"/>
          <w:caps/>
          <w:color w:val="000000" w:themeColor="text1"/>
        </w:rPr>
        <w:t>p</w:t>
      </w:r>
      <w:r>
        <w:rPr>
          <w:rFonts w:ascii="Book Antiqua" w:eastAsia="Book Antiqua" w:hAnsi="Book Antiqua" w:cs="Book Antiqua"/>
          <w:color w:val="000000" w:themeColor="text1"/>
        </w:rPr>
        <w:t xml:space="preserve">igtail catheter; </w:t>
      </w:r>
      <w:r>
        <w:rPr>
          <w:rFonts w:ascii="Book Antiqua" w:eastAsia="Book Antiqua" w:hAnsi="Book Antiqua" w:cs="Book Antiqua"/>
          <w:caps/>
          <w:color w:val="000000" w:themeColor="text1"/>
        </w:rPr>
        <w:t>p</w:t>
      </w:r>
      <w:r>
        <w:rPr>
          <w:rFonts w:ascii="Book Antiqua" w:eastAsia="Book Antiqua" w:hAnsi="Book Antiqua" w:cs="Book Antiqua"/>
          <w:color w:val="000000" w:themeColor="text1"/>
        </w:rPr>
        <w:t xml:space="preserve">ulmonary; </w:t>
      </w:r>
      <w:r>
        <w:rPr>
          <w:rFonts w:ascii="Book Antiqua" w:eastAsia="Book Antiqua" w:hAnsi="Book Antiqua" w:cs="Book Antiqua"/>
          <w:caps/>
          <w:color w:val="000000" w:themeColor="text1"/>
        </w:rPr>
        <w:t>c</w:t>
      </w:r>
      <w:r>
        <w:rPr>
          <w:rFonts w:ascii="Book Antiqua" w:eastAsia="Book Antiqua" w:hAnsi="Book Antiqua" w:cs="Book Antiqua"/>
          <w:color w:val="000000" w:themeColor="text1"/>
        </w:rPr>
        <w:t>ase report</w:t>
      </w:r>
    </w:p>
    <w:p w14:paraId="62E194A0" w14:textId="77777777" w:rsidR="00BA4A72" w:rsidRDefault="00BA4A72" w:rsidP="00BA4A72">
      <w:pPr>
        <w:spacing w:line="360" w:lineRule="auto"/>
        <w:jc w:val="both"/>
        <w:rPr>
          <w:lang w:eastAsia="zh-CN"/>
        </w:rPr>
      </w:pPr>
      <w:bookmarkStart w:id="4" w:name="OLE_LINK494"/>
      <w:bookmarkStart w:id="5" w:name="OLE_LINK493"/>
      <w:bookmarkEnd w:id="3"/>
    </w:p>
    <w:p w14:paraId="030FB74A" w14:textId="77777777" w:rsidR="00BA4A72" w:rsidRDefault="00BA4A72" w:rsidP="00BA4A7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CF73A59" w14:textId="77777777" w:rsidR="00BA4A72" w:rsidRDefault="00BA4A72" w:rsidP="00BA4A72">
      <w:pPr>
        <w:spacing w:line="360" w:lineRule="auto"/>
        <w:jc w:val="both"/>
        <w:rPr>
          <w:lang w:eastAsia="zh-CN"/>
        </w:rPr>
      </w:pPr>
    </w:p>
    <w:p w14:paraId="7EB0C04D" w14:textId="148ADCD6" w:rsidR="00654353" w:rsidRDefault="00BA4A72" w:rsidP="00BA4A72">
      <w:pPr>
        <w:spacing w:line="360" w:lineRule="auto"/>
        <w:jc w:val="both"/>
        <w:rPr>
          <w:rFonts w:ascii="Book Antiqua" w:eastAsia="Book Antiqua" w:hAnsi="Book Antiqua" w:cs="Book Antiqua"/>
          <w:color w:val="000000" w:themeColor="text1"/>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557DFF">
        <w:rPr>
          <w:rFonts w:ascii="Book Antiqua" w:eastAsia="Book Antiqua" w:hAnsi="Book Antiqua" w:cs="Book Antiqua"/>
          <w:color w:val="000000" w:themeColor="text1"/>
        </w:rPr>
        <w:t xml:space="preserve">Chen GQ, Wu Y, Zhao KF, Shi RS. Removal of "ruptured" pulmonary artery infusion port catheter by pigtail catheter combined with gooseneck trap: A case report. </w:t>
      </w:r>
      <w:r w:rsidR="00557DFF">
        <w:rPr>
          <w:rFonts w:ascii="Book Antiqua" w:eastAsia="Book Antiqua" w:hAnsi="Book Antiqua" w:cs="Book Antiqua"/>
          <w:i/>
          <w:iCs/>
          <w:color w:val="000000" w:themeColor="text1"/>
        </w:rPr>
        <w:t>World J Clin Cases</w:t>
      </w:r>
      <w:r w:rsidR="00557DFF">
        <w:rPr>
          <w:rFonts w:ascii="Book Antiqua" w:eastAsia="Book Antiqua" w:hAnsi="Book Antiqua" w:cs="Book Antiqua"/>
          <w:color w:val="000000" w:themeColor="text1"/>
        </w:rPr>
        <w:t xml:space="preserve"> 2021; </w:t>
      </w:r>
      <w:r w:rsidR="00557DFF">
        <w:rPr>
          <w:rFonts w:ascii="Book Antiqua" w:eastAsia="Book Antiqua" w:hAnsi="Book Antiqua" w:cs="Book Antiqua" w:hint="eastAsia"/>
          <w:color w:val="000000" w:themeColor="text1"/>
        </w:rPr>
        <w:t xml:space="preserve">9(29): </w:t>
      </w:r>
      <w:r w:rsidR="00654353">
        <w:rPr>
          <w:rFonts w:ascii="Book Antiqua" w:hAnsi="Book Antiqua"/>
        </w:rPr>
        <w:t>8820-8824</w:t>
      </w:r>
    </w:p>
    <w:p w14:paraId="4ED52886" w14:textId="438868FB" w:rsidR="00654353" w:rsidRDefault="00557DFF" w:rsidP="00BA4A72">
      <w:pPr>
        <w:spacing w:line="360" w:lineRule="auto"/>
        <w:jc w:val="both"/>
        <w:rPr>
          <w:rFonts w:ascii="Book Antiqua" w:eastAsia="Book Antiqua" w:hAnsi="Book Antiqua" w:cs="Book Antiqua"/>
          <w:color w:val="000000" w:themeColor="text1"/>
        </w:rPr>
      </w:pPr>
      <w:r>
        <w:rPr>
          <w:rFonts w:ascii="Book Antiqua" w:eastAsia="Book Antiqua" w:hAnsi="Book Antiqua" w:cs="Book Antiqua" w:hint="eastAsia"/>
          <w:color w:val="000000" w:themeColor="text1"/>
        </w:rPr>
        <w:t>URL: https://www.wjgnet.com/2307-8960/full/v9/i29/</w:t>
      </w:r>
      <w:r w:rsidR="00654353">
        <w:rPr>
          <w:rFonts w:ascii="Book Antiqua" w:hAnsi="Book Antiqua"/>
        </w:rPr>
        <w:t>8820</w:t>
      </w:r>
      <w:r>
        <w:rPr>
          <w:rFonts w:ascii="Book Antiqua" w:eastAsia="Book Antiqua" w:hAnsi="Book Antiqua" w:cs="Book Antiqua" w:hint="eastAsia"/>
          <w:color w:val="000000" w:themeColor="text1"/>
        </w:rPr>
        <w:t xml:space="preserve">.htm  </w:t>
      </w:r>
    </w:p>
    <w:p w14:paraId="3F434471" w14:textId="5F79898E" w:rsidR="00CA5B1D" w:rsidRDefault="00557DFF" w:rsidP="00BA4A72">
      <w:pPr>
        <w:spacing w:line="360" w:lineRule="auto"/>
        <w:jc w:val="both"/>
        <w:rPr>
          <w:color w:val="000000" w:themeColor="text1"/>
        </w:rPr>
      </w:pPr>
      <w:r>
        <w:rPr>
          <w:rFonts w:ascii="Book Antiqua" w:eastAsia="Book Antiqua" w:hAnsi="Book Antiqua" w:cs="Book Antiqua" w:hint="eastAsia"/>
          <w:color w:val="000000" w:themeColor="text1"/>
        </w:rPr>
        <w:t>DOI: https://dx.doi.org/10.12998/wjcc.v9.i29.</w:t>
      </w:r>
      <w:r w:rsidR="00654353">
        <w:rPr>
          <w:rFonts w:ascii="Book Antiqua" w:hAnsi="Book Antiqua"/>
        </w:rPr>
        <w:t>8820</w:t>
      </w:r>
    </w:p>
    <w:bookmarkEnd w:id="4"/>
    <w:bookmarkEnd w:id="5"/>
    <w:p w14:paraId="12A58C2E" w14:textId="77777777" w:rsidR="00CA5B1D" w:rsidRDefault="00CA5B1D">
      <w:pPr>
        <w:spacing w:line="360" w:lineRule="auto"/>
        <w:jc w:val="both"/>
        <w:rPr>
          <w:color w:val="000000" w:themeColor="text1"/>
        </w:rPr>
      </w:pPr>
    </w:p>
    <w:p w14:paraId="73FF6E1D" w14:textId="77777777" w:rsidR="00CA5B1D" w:rsidRDefault="00557DFF">
      <w:pPr>
        <w:spacing w:line="360" w:lineRule="auto"/>
        <w:jc w:val="both"/>
        <w:rPr>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Implanted intravenous infusion port (IVAP) is indicated for patients undergoing chemotherapy, total parenteral nutrition and long-term antibiotic treatment. Among their complications, the rupture and migration of the catheter of a IVAP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internal jugular vein represents a very rare but potentially severe condition. We report a case of a 43-year-old woman who was identified with a spontaneous fracture and migration of catheter of an IVAP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right internal jugular vein after adjuvant chemotherapy for left breast cancer. Computed tomography showed the fractured catheter of the IVAP in the pulmonary artery. Therefore, we conducted an emergency procedure to remove the catheter fragment by a pigtail catheter combined with the gooseneck trap.</w:t>
      </w:r>
    </w:p>
    <w:p w14:paraId="29305196" w14:textId="77777777" w:rsidR="00CA5B1D" w:rsidRDefault="00557DFF">
      <w:pPr>
        <w:rPr>
          <w:color w:val="000000" w:themeColor="text1"/>
        </w:rPr>
      </w:pPr>
      <w:r>
        <w:rPr>
          <w:color w:val="000000" w:themeColor="text1"/>
        </w:rPr>
        <w:br w:type="page"/>
      </w:r>
    </w:p>
    <w:p w14:paraId="3DB6B57E" w14:textId="77777777" w:rsidR="00CA5B1D" w:rsidRDefault="00557DFF">
      <w:pPr>
        <w:spacing w:line="360" w:lineRule="auto"/>
        <w:jc w:val="both"/>
        <w:rPr>
          <w:color w:val="000000" w:themeColor="text1"/>
        </w:rPr>
      </w:pPr>
      <w:r>
        <w:rPr>
          <w:rFonts w:ascii="Book Antiqua" w:eastAsia="Book Antiqua" w:hAnsi="Book Antiqua" w:cs="Book Antiqua"/>
          <w:b/>
          <w:caps/>
          <w:color w:val="000000" w:themeColor="text1"/>
          <w:u w:val="single"/>
        </w:rPr>
        <w:lastRenderedPageBreak/>
        <w:t>INTRODUCTION</w:t>
      </w:r>
    </w:p>
    <w:p w14:paraId="255D7FFC"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Implanted intravenous infusion port (IVAP) is a subcutaneous intravenous infusion device that can be retained in the body for a long time and is widely used in many countries</w:t>
      </w:r>
      <w:r>
        <w:rPr>
          <w:rFonts w:ascii="Book Antiqua" w:eastAsia="Book Antiqua" w:hAnsi="Book Antiqua" w:cs="Book Antiqua"/>
          <w:color w:val="000000" w:themeColor="text1"/>
          <w:szCs w:val="20"/>
          <w:vertAlign w:val="superscript"/>
        </w:rPr>
        <w:t>[1]</w:t>
      </w:r>
      <w:r>
        <w:rPr>
          <w:rFonts w:ascii="Book Antiqua" w:eastAsia="Book Antiqua" w:hAnsi="Book Antiqua" w:cs="Book Antiqua"/>
          <w:color w:val="000000" w:themeColor="text1"/>
        </w:rPr>
        <w:t xml:space="preserve">. Because tumor patients need repeated chemotherapy and long-term infusion of high concentration nutrients, the traditional method of intravenous infusion is unsuitable, and IVAP is a common catheterization method for these patients, which can provide a good access to chemotherapy, reduce the pain of multiple punctures and improve clinical work efficiency. The puncture site is mainly subclavian vein, but due to individual differences, the catheter can be easily placed too deep or too shallow when there is no monitoring by imaging equipment. Moreover, complications, such as blockage, infection, pneumothorax, hemothorax, arterial injury, thrombus, catheter rupture, spondylolisthesis,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rPr>
        <w:t>., may occur due to improper nursing</w:t>
      </w:r>
      <w:r>
        <w:rPr>
          <w:rFonts w:ascii="Book Antiqua" w:eastAsia="Book Antiqua" w:hAnsi="Book Antiqua" w:cs="Book Antiqua"/>
          <w:color w:val="000000" w:themeColor="text1"/>
          <w:szCs w:val="20"/>
          <w:vertAlign w:val="superscript"/>
        </w:rPr>
        <w:t>[2-4]</w:t>
      </w:r>
      <w:r>
        <w:rPr>
          <w:rFonts w:ascii="Book Antiqua" w:eastAsia="Book Antiqua" w:hAnsi="Book Antiqua" w:cs="Book Antiqua"/>
          <w:color w:val="000000" w:themeColor="text1"/>
        </w:rPr>
        <w:t>. Catheter rupture is one of the most serious complications after implantation, with a reported incidence rate of 1.5%-2.6%</w:t>
      </w:r>
      <w:r>
        <w:rPr>
          <w:rFonts w:ascii="Book Antiqua" w:eastAsia="Book Antiqua" w:hAnsi="Book Antiqua" w:cs="Book Antiqua"/>
          <w:color w:val="000000" w:themeColor="text1"/>
          <w:szCs w:val="20"/>
          <w:vertAlign w:val="superscript"/>
        </w:rPr>
        <w:t>[5,6]</w:t>
      </w:r>
      <w:r>
        <w:rPr>
          <w:rFonts w:ascii="Book Antiqua" w:eastAsia="Book Antiqua" w:hAnsi="Book Antiqua" w:cs="Book Antiqua"/>
          <w:color w:val="000000" w:themeColor="text1"/>
        </w:rPr>
        <w:t>. Although very rare, it poses a serious threat to patients' life and needs to be actively resolved. In the case of damage, the IVAP must be removed. Ectopic embolism occurs in a very small number of patients with IVAP shedding, which causes serious complications and eventually leads to medical disputes. Herein, we have described a case with broken catheter that could not be removed by conventional technique. Hence, we finally used the special shape of pigtail catheter to remove the blocked IVAP exfoliated catheter, which has not been previously reported.</w:t>
      </w:r>
    </w:p>
    <w:p w14:paraId="0F03BEE4" w14:textId="77777777" w:rsidR="00CA5B1D" w:rsidRDefault="00CA5B1D">
      <w:pPr>
        <w:spacing w:line="360" w:lineRule="auto"/>
        <w:jc w:val="both"/>
        <w:rPr>
          <w:color w:val="000000" w:themeColor="text1"/>
        </w:rPr>
      </w:pPr>
    </w:p>
    <w:p w14:paraId="1DBEEA3A" w14:textId="77777777" w:rsidR="00CA5B1D" w:rsidRDefault="00557DFF">
      <w:pPr>
        <w:spacing w:line="360" w:lineRule="auto"/>
        <w:jc w:val="both"/>
        <w:rPr>
          <w:color w:val="000000" w:themeColor="text1"/>
        </w:rPr>
      </w:pPr>
      <w:r>
        <w:rPr>
          <w:rFonts w:ascii="Book Antiqua" w:eastAsia="Book Antiqua" w:hAnsi="Book Antiqua" w:cs="Book Antiqua"/>
          <w:b/>
          <w:caps/>
          <w:color w:val="000000" w:themeColor="text1"/>
          <w:u w:val="single"/>
        </w:rPr>
        <w:t>CASE PRESENTATION</w:t>
      </w:r>
    </w:p>
    <w:p w14:paraId="402C6BCB" w14:textId="77777777" w:rsidR="00CA5B1D" w:rsidRDefault="00557DFF">
      <w:pPr>
        <w:spacing w:line="360" w:lineRule="auto"/>
        <w:jc w:val="both"/>
        <w:rPr>
          <w:color w:val="000000" w:themeColor="text1"/>
        </w:rPr>
      </w:pPr>
      <w:r>
        <w:rPr>
          <w:rFonts w:ascii="Book Antiqua" w:eastAsia="Book Antiqua" w:hAnsi="Book Antiqua" w:cs="Book Antiqua"/>
          <w:b/>
          <w:i/>
          <w:color w:val="000000" w:themeColor="text1"/>
        </w:rPr>
        <w:t>Chief complaints</w:t>
      </w:r>
    </w:p>
    <w:p w14:paraId="0330117C"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The patient was a 43-year-old woman with a single, progressive, increment mass in the upper inner quadrant of the left breast. After the eighth chemotherapy, the patient's IVAP catheter was dislodged, with wheezing, coughing, chest tightness, shortness of breath and dysphasia following exercise.</w:t>
      </w:r>
    </w:p>
    <w:p w14:paraId="661B6124" w14:textId="77777777" w:rsidR="00CA5B1D" w:rsidRDefault="00CA5B1D">
      <w:pPr>
        <w:spacing w:line="360" w:lineRule="auto"/>
        <w:jc w:val="both"/>
        <w:rPr>
          <w:color w:val="000000" w:themeColor="text1"/>
        </w:rPr>
      </w:pPr>
    </w:p>
    <w:p w14:paraId="436A8A88" w14:textId="77777777" w:rsidR="00CA5B1D" w:rsidRDefault="00557DFF">
      <w:pPr>
        <w:spacing w:line="360" w:lineRule="auto"/>
        <w:jc w:val="both"/>
        <w:rPr>
          <w:color w:val="000000" w:themeColor="text1"/>
        </w:rPr>
      </w:pPr>
      <w:r>
        <w:rPr>
          <w:rFonts w:ascii="Book Antiqua" w:eastAsia="Book Antiqua" w:hAnsi="Book Antiqua" w:cs="Book Antiqua"/>
          <w:b/>
          <w:i/>
          <w:color w:val="000000" w:themeColor="text1"/>
        </w:rPr>
        <w:t>History of present illness</w:t>
      </w:r>
    </w:p>
    <w:p w14:paraId="695155D3"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lastRenderedPageBreak/>
        <w:t>Breast cancer after chemotherapy.</w:t>
      </w:r>
    </w:p>
    <w:p w14:paraId="7056785C" w14:textId="77777777" w:rsidR="00CA5B1D" w:rsidRDefault="00CA5B1D">
      <w:pPr>
        <w:spacing w:line="360" w:lineRule="auto"/>
        <w:jc w:val="both"/>
        <w:rPr>
          <w:color w:val="000000" w:themeColor="text1"/>
        </w:rPr>
      </w:pPr>
    </w:p>
    <w:p w14:paraId="4054532A" w14:textId="77777777" w:rsidR="00CA5B1D" w:rsidRDefault="00557DFF">
      <w:pPr>
        <w:spacing w:line="360" w:lineRule="auto"/>
        <w:jc w:val="both"/>
        <w:rPr>
          <w:color w:val="000000" w:themeColor="text1"/>
        </w:rPr>
      </w:pPr>
      <w:r>
        <w:rPr>
          <w:rFonts w:ascii="Book Antiqua" w:eastAsia="Book Antiqua" w:hAnsi="Book Antiqua" w:cs="Book Antiqua"/>
          <w:b/>
          <w:i/>
          <w:color w:val="000000" w:themeColor="text1"/>
        </w:rPr>
        <w:t>History of past illness</w:t>
      </w:r>
    </w:p>
    <w:p w14:paraId="7E0741E7"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 xml:space="preserve">On October 9, 2017, the patient underwent breast-conserving surgery, sentinel lymph node biopsy and a modified radical mastectomy for left breast cancer. After the operation, IVAP was implanted into the right internal jugular vein for eight courses of chemotherapy, consisting of 5-fluorouracil, epirubicin, cyclophosphamide and docetaxel, were administered. </w:t>
      </w:r>
    </w:p>
    <w:p w14:paraId="77783E57" w14:textId="77777777" w:rsidR="00CA5B1D" w:rsidRDefault="00CA5B1D">
      <w:pPr>
        <w:spacing w:line="360" w:lineRule="auto"/>
        <w:jc w:val="both"/>
        <w:rPr>
          <w:color w:val="000000" w:themeColor="text1"/>
        </w:rPr>
      </w:pPr>
    </w:p>
    <w:p w14:paraId="5AFC8085" w14:textId="77777777" w:rsidR="00CA5B1D" w:rsidRDefault="00557DFF">
      <w:pPr>
        <w:spacing w:line="360" w:lineRule="auto"/>
        <w:jc w:val="both"/>
        <w:rPr>
          <w:color w:val="000000" w:themeColor="text1"/>
        </w:rPr>
      </w:pPr>
      <w:r>
        <w:rPr>
          <w:rFonts w:ascii="Book Antiqua" w:eastAsia="Book Antiqua" w:hAnsi="Book Antiqua" w:cs="Book Antiqua"/>
          <w:b/>
          <w:i/>
          <w:color w:val="000000" w:themeColor="text1"/>
        </w:rPr>
        <w:t>Personal and family history</w:t>
      </w:r>
    </w:p>
    <w:p w14:paraId="23DB6455"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The patient denied any other specific personal or family history of other diseases.</w:t>
      </w:r>
    </w:p>
    <w:p w14:paraId="32A4C794" w14:textId="77777777" w:rsidR="00CA5B1D" w:rsidRDefault="00CA5B1D">
      <w:pPr>
        <w:spacing w:line="360" w:lineRule="auto"/>
        <w:jc w:val="both"/>
        <w:rPr>
          <w:color w:val="000000" w:themeColor="text1"/>
        </w:rPr>
      </w:pPr>
    </w:p>
    <w:p w14:paraId="7689432B" w14:textId="77777777" w:rsidR="00CA5B1D" w:rsidRDefault="00557DFF">
      <w:pPr>
        <w:spacing w:line="360" w:lineRule="auto"/>
        <w:jc w:val="both"/>
        <w:rPr>
          <w:color w:val="000000" w:themeColor="text1"/>
        </w:rPr>
      </w:pPr>
      <w:r>
        <w:rPr>
          <w:rFonts w:ascii="Book Antiqua" w:eastAsia="Book Antiqua" w:hAnsi="Book Antiqua" w:cs="Book Antiqua"/>
          <w:b/>
          <w:i/>
          <w:color w:val="000000" w:themeColor="text1"/>
        </w:rPr>
        <w:t>Physical examination</w:t>
      </w:r>
    </w:p>
    <w:p w14:paraId="0AE2B0A0"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The patient presented with the following vital signs: Body temperature, 36.1 °C; blood pressure, 111/75 mmHg; pulse rate, 78 beats/min; and respiratory rate, 19 breaths/min. She was conscious and cooperative during physical examination. She had clear breathing sounds in both lungs. Her heart rate was 78 bpm with a normal rhythm, and no other abnormalities were noted.</w:t>
      </w:r>
    </w:p>
    <w:p w14:paraId="359EA219" w14:textId="77777777" w:rsidR="00CA5B1D" w:rsidRDefault="00CA5B1D">
      <w:pPr>
        <w:spacing w:line="360" w:lineRule="auto"/>
        <w:jc w:val="both"/>
        <w:rPr>
          <w:color w:val="000000" w:themeColor="text1"/>
        </w:rPr>
      </w:pPr>
    </w:p>
    <w:p w14:paraId="21BD66DC" w14:textId="77777777" w:rsidR="00CA5B1D" w:rsidRDefault="00557DFF">
      <w:pPr>
        <w:spacing w:line="360" w:lineRule="auto"/>
        <w:jc w:val="both"/>
        <w:rPr>
          <w:color w:val="000000" w:themeColor="text1"/>
        </w:rPr>
      </w:pPr>
      <w:r>
        <w:rPr>
          <w:rFonts w:ascii="Book Antiqua" w:eastAsia="Book Antiqua" w:hAnsi="Book Antiqua" w:cs="Book Antiqua"/>
          <w:b/>
          <w:i/>
          <w:color w:val="000000" w:themeColor="text1"/>
        </w:rPr>
        <w:t>Laboratory examinations</w:t>
      </w:r>
    </w:p>
    <w:p w14:paraId="7A1FCE39"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The patient did not have a laboratory examination.</w:t>
      </w:r>
    </w:p>
    <w:p w14:paraId="31376BC6" w14:textId="77777777" w:rsidR="00CA5B1D" w:rsidRDefault="00CA5B1D">
      <w:pPr>
        <w:spacing w:line="360" w:lineRule="auto"/>
        <w:jc w:val="both"/>
        <w:rPr>
          <w:color w:val="000000" w:themeColor="text1"/>
        </w:rPr>
      </w:pPr>
    </w:p>
    <w:p w14:paraId="362E6991" w14:textId="77777777" w:rsidR="00CA5B1D" w:rsidRDefault="00557DFF">
      <w:pPr>
        <w:spacing w:line="360" w:lineRule="auto"/>
        <w:jc w:val="both"/>
        <w:rPr>
          <w:color w:val="000000" w:themeColor="text1"/>
        </w:rPr>
      </w:pPr>
      <w:r>
        <w:rPr>
          <w:rFonts w:ascii="Book Antiqua" w:eastAsia="Book Antiqua" w:hAnsi="Book Antiqua" w:cs="Book Antiqua"/>
          <w:b/>
          <w:i/>
          <w:color w:val="000000" w:themeColor="text1"/>
        </w:rPr>
        <w:t>Imaging examinations</w:t>
      </w:r>
    </w:p>
    <w:p w14:paraId="2D94A2F6"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 xml:space="preserve">An emergency computed tomography (CT) performed on March 21, 2018 identified a strip high density shadow in the main pulmonary artery-right pulmonary artery-hilar area (Figure 1). </w:t>
      </w:r>
    </w:p>
    <w:p w14:paraId="3A3C958D" w14:textId="77777777" w:rsidR="00CA5B1D" w:rsidRDefault="00557DFF">
      <w:pPr>
        <w:spacing w:line="360" w:lineRule="auto"/>
        <w:ind w:firstLine="480"/>
        <w:jc w:val="both"/>
        <w:rPr>
          <w:color w:val="000000" w:themeColor="text1"/>
        </w:rPr>
      </w:pPr>
      <w:r>
        <w:rPr>
          <w:rFonts w:ascii="Book Antiqua" w:eastAsia="Book Antiqua" w:hAnsi="Book Antiqua" w:cs="Book Antiqua"/>
          <w:color w:val="000000" w:themeColor="text1"/>
        </w:rPr>
        <w:t>Under digital subtraction angiography fluoroscopy, the main pulmonary artery and right pulmonary artery showed tubular shadow (Figure 2A)</w:t>
      </w:r>
    </w:p>
    <w:p w14:paraId="4142286D" w14:textId="77777777" w:rsidR="00CA5B1D" w:rsidRDefault="00CA5B1D">
      <w:pPr>
        <w:spacing w:line="360" w:lineRule="auto"/>
        <w:ind w:firstLine="480"/>
        <w:jc w:val="both"/>
        <w:rPr>
          <w:color w:val="000000" w:themeColor="text1"/>
        </w:rPr>
      </w:pPr>
    </w:p>
    <w:p w14:paraId="2215AE26" w14:textId="77777777" w:rsidR="00CA5B1D" w:rsidRDefault="00557DFF">
      <w:pPr>
        <w:spacing w:line="360" w:lineRule="auto"/>
        <w:jc w:val="both"/>
        <w:rPr>
          <w:color w:val="000000" w:themeColor="text1"/>
        </w:rPr>
      </w:pPr>
      <w:r>
        <w:rPr>
          <w:rFonts w:ascii="Book Antiqua" w:eastAsia="Book Antiqua" w:hAnsi="Book Antiqua" w:cs="Book Antiqua"/>
          <w:b/>
          <w:caps/>
          <w:color w:val="000000" w:themeColor="text1"/>
          <w:u w:val="single"/>
        </w:rPr>
        <w:lastRenderedPageBreak/>
        <w:t>FINAL DIAGNOSIS</w:t>
      </w:r>
    </w:p>
    <w:p w14:paraId="34C6A566"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The final diagnosis of the presented case is exfoliated catheter.</w:t>
      </w:r>
    </w:p>
    <w:p w14:paraId="43C3F95F" w14:textId="77777777" w:rsidR="00CA5B1D" w:rsidRDefault="00CA5B1D">
      <w:pPr>
        <w:spacing w:line="360" w:lineRule="auto"/>
        <w:jc w:val="both"/>
        <w:rPr>
          <w:color w:val="000000" w:themeColor="text1"/>
        </w:rPr>
      </w:pPr>
    </w:p>
    <w:p w14:paraId="504277A5" w14:textId="77777777" w:rsidR="00CA5B1D" w:rsidRDefault="00557DFF">
      <w:pPr>
        <w:spacing w:line="360" w:lineRule="auto"/>
        <w:jc w:val="both"/>
        <w:rPr>
          <w:color w:val="000000" w:themeColor="text1"/>
        </w:rPr>
      </w:pPr>
      <w:r>
        <w:rPr>
          <w:rFonts w:ascii="Book Antiqua" w:eastAsia="Book Antiqua" w:hAnsi="Book Antiqua" w:cs="Book Antiqua"/>
          <w:b/>
          <w:caps/>
          <w:color w:val="000000" w:themeColor="text1"/>
          <w:u w:val="single"/>
        </w:rPr>
        <w:t>TREATMENT</w:t>
      </w:r>
    </w:p>
    <w:p w14:paraId="20F4CF62"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We prepared to extract the IVAP by interventional method after consultation with relevant departments. During the operation, the patient was supine on the digital subtraction angiography examination bed. After local anesthesia of the right inguinal region, a 12F arterial sheath (model SFPQ12F) was introduced. A 5F gooseneck trap (model WXSK-20) was introduced along the arterial sheath to attempt to remove the exfoliated catheter from the main pulmonary artery and right pulmonary artery, but several attempts were unsuccessful. To analyze the location of the dislodged catheter and the effect on cardiopulmonary activity, a 5F pigtail catheter (model 45150-503H5) was selected, and the dislodged catheter was towed to the inferior vena cava after the two catheters were crossed by rotating the catheter outside the body according to the natural bending at the front end of the catheter. The IVAP catheter was then successfully removed using a 5F gooseneck trap (Figure 2</w:t>
      </w:r>
      <w:r>
        <w:rPr>
          <w:rFonts w:ascii="Book Antiqua" w:hAnsi="Book Antiqua" w:cs="Book Antiqua" w:hint="eastAsia"/>
          <w:color w:val="000000" w:themeColor="text1"/>
          <w:lang w:eastAsia="zh-CN"/>
        </w:rPr>
        <w:t>B</w:t>
      </w:r>
      <w:r>
        <w:rPr>
          <w:rFonts w:ascii="Book Antiqua" w:eastAsia="Book Antiqua" w:hAnsi="Book Antiqua" w:cs="Book Antiqua"/>
          <w:color w:val="000000" w:themeColor="text1"/>
        </w:rPr>
        <w:t xml:space="preserve">-F). </w:t>
      </w:r>
    </w:p>
    <w:p w14:paraId="6AC49F4B" w14:textId="77777777" w:rsidR="00CA5B1D" w:rsidRDefault="00CA5B1D">
      <w:pPr>
        <w:spacing w:line="360" w:lineRule="auto"/>
        <w:jc w:val="both"/>
        <w:rPr>
          <w:color w:val="000000" w:themeColor="text1"/>
        </w:rPr>
      </w:pPr>
    </w:p>
    <w:p w14:paraId="141FDF09" w14:textId="77777777" w:rsidR="00CA5B1D" w:rsidRDefault="00557DFF">
      <w:pPr>
        <w:spacing w:line="360" w:lineRule="auto"/>
        <w:jc w:val="both"/>
        <w:rPr>
          <w:color w:val="000000" w:themeColor="text1"/>
        </w:rPr>
      </w:pPr>
      <w:r>
        <w:rPr>
          <w:rFonts w:ascii="Book Antiqua" w:eastAsia="Book Antiqua" w:hAnsi="Book Antiqua" w:cs="Book Antiqua"/>
          <w:b/>
          <w:caps/>
          <w:color w:val="000000" w:themeColor="text1"/>
          <w:u w:val="single"/>
        </w:rPr>
        <w:t>OUTCOME AND FOLLOW-UP</w:t>
      </w:r>
    </w:p>
    <w:p w14:paraId="25BC0735"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Post-operation, the patient had no chest stuffiness, and her shortness of breath symptom improved. She was discharged 2 d later.</w:t>
      </w:r>
    </w:p>
    <w:p w14:paraId="396D32CD" w14:textId="77777777" w:rsidR="00CA5B1D" w:rsidRDefault="00CA5B1D">
      <w:pPr>
        <w:spacing w:line="360" w:lineRule="auto"/>
        <w:jc w:val="both"/>
        <w:rPr>
          <w:color w:val="000000" w:themeColor="text1"/>
        </w:rPr>
      </w:pPr>
    </w:p>
    <w:p w14:paraId="2D42C54E" w14:textId="77777777" w:rsidR="00CA5B1D" w:rsidRDefault="00557DFF">
      <w:pPr>
        <w:spacing w:line="360" w:lineRule="auto"/>
        <w:jc w:val="both"/>
        <w:rPr>
          <w:color w:val="000000" w:themeColor="text1"/>
        </w:rPr>
      </w:pPr>
      <w:r>
        <w:rPr>
          <w:rFonts w:ascii="Book Antiqua" w:eastAsia="Book Antiqua" w:hAnsi="Book Antiqua" w:cs="Book Antiqua"/>
          <w:b/>
          <w:caps/>
          <w:color w:val="000000" w:themeColor="text1"/>
          <w:u w:val="single"/>
        </w:rPr>
        <w:t>DISCUSSION</w:t>
      </w:r>
    </w:p>
    <w:p w14:paraId="75980B36"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IVAP chemotherapy can provide permanent venous access for patients and prevent the injury of peripheral blood vessels caused by irritant drugs</w:t>
      </w:r>
      <w:r>
        <w:rPr>
          <w:rFonts w:ascii="Book Antiqua" w:eastAsia="Book Antiqua" w:hAnsi="Book Antiqua" w:cs="Book Antiqua"/>
          <w:color w:val="000000" w:themeColor="text1"/>
          <w:szCs w:val="20"/>
          <w:vertAlign w:val="superscript"/>
        </w:rPr>
        <w:t>[7]</w:t>
      </w:r>
      <w:r>
        <w:rPr>
          <w:rFonts w:ascii="Book Antiqua" w:eastAsia="Book Antiqua" w:hAnsi="Book Antiqua" w:cs="Book Antiqua"/>
          <w:color w:val="000000" w:themeColor="text1"/>
        </w:rPr>
        <w:t xml:space="preserve">. It has the advantages of one-time puncture, convenient infusion, long-term indwelling </w:t>
      </w:r>
      <w:r>
        <w:rPr>
          <w:rFonts w:ascii="Book Antiqua" w:eastAsia="Book Antiqua" w:hAnsi="Book Antiqua" w:cs="Book Antiqua"/>
          <w:i/>
          <w:iCs/>
          <w:color w:val="000000" w:themeColor="text1"/>
        </w:rPr>
        <w:t xml:space="preserve">in vivo </w:t>
      </w:r>
      <w:r>
        <w:rPr>
          <w:rFonts w:ascii="Book Antiqua" w:eastAsia="Book Antiqua" w:hAnsi="Book Antiqua" w:cs="Book Antiqua"/>
          <w:color w:val="000000" w:themeColor="text1"/>
        </w:rPr>
        <w:t xml:space="preserve">and less pain for patients. With the increasing application of IVAP in tumor chemotherapy, the incidence of adverse events such as catheter thrombosis, obstruction and exfoliation is also increasing. Catheter rupture and shedding is one of the most serious complications. If the shedding catheter dislocates to the heart or pulmonary artery with blood flow, it will lead </w:t>
      </w:r>
      <w:r>
        <w:rPr>
          <w:rFonts w:ascii="Book Antiqua" w:eastAsia="Book Antiqua" w:hAnsi="Book Antiqua" w:cs="Book Antiqua"/>
          <w:color w:val="000000" w:themeColor="text1"/>
        </w:rPr>
        <w:lastRenderedPageBreak/>
        <w:t>to arrhythmia, pericardial tamponade, pulmonary embolism, cardiac rupture, pulmonary artery rupture and other life-threatening complications</w:t>
      </w:r>
      <w:r>
        <w:rPr>
          <w:rFonts w:ascii="Book Antiqua" w:eastAsia="Book Antiqua" w:hAnsi="Book Antiqua" w:cs="Book Antiqua"/>
          <w:color w:val="000000" w:themeColor="text1"/>
          <w:szCs w:val="20"/>
          <w:vertAlign w:val="superscript"/>
        </w:rPr>
        <w:t>[8,9]</w:t>
      </w:r>
      <w:r>
        <w:rPr>
          <w:rFonts w:ascii="Book Antiqua" w:eastAsia="Book Antiqua" w:hAnsi="Book Antiqua" w:cs="Book Antiqua"/>
          <w:color w:val="000000" w:themeColor="text1"/>
        </w:rPr>
        <w:t>. Catheter fracture and slippage may be caused by the following: (1) Non-standard operation; (2) Inappropriate selection of the tube parts; (3) Patients have poor protection consciousness; and (4) Long-term implantation, repeated wear and oxidation of catheter. The catheter retention time should not exceed 1 year in general, and the longer the retention time, the higher the risk of complications</w:t>
      </w:r>
      <w:r>
        <w:rPr>
          <w:rFonts w:ascii="Book Antiqua" w:eastAsia="Book Antiqua" w:hAnsi="Book Antiqua" w:cs="Book Antiqua"/>
          <w:color w:val="000000" w:themeColor="text1"/>
          <w:szCs w:val="20"/>
          <w:vertAlign w:val="superscript"/>
        </w:rPr>
        <w:t>[10]</w:t>
      </w:r>
      <w:r>
        <w:rPr>
          <w:rFonts w:ascii="Book Antiqua" w:eastAsia="Book Antiqua" w:hAnsi="Book Antiqua" w:cs="Book Antiqua"/>
          <w:color w:val="000000" w:themeColor="text1"/>
        </w:rPr>
        <w:t>. The catheter fracture in our patient may have been due to long-term implantation, repeated wear, oxidation and folding of the catheter, as well as the poor comprehension of catheter protection, which finally led to the fracture and slippage of the catheter. The reason why it was difficult to extract the common ferrule for catheter in this case might be that the main pulmonary artery was wide, and the blood flow rate was high. In addition, cardiopulmonary activities increased the operation difficulty. The head end of the pigtail catheter is naturally bent, the surface is smooth and the stimulation to blood vessels is mild. We used the special curved shape of the head end of the pigtail catheter to cross and twist the IVAP catheter and traction the IVAP catheter to the inferior vena cava, and then used the gooseneck trap to successfully remove it through the 12F sheath.</w:t>
      </w:r>
    </w:p>
    <w:p w14:paraId="64F31A90" w14:textId="77777777" w:rsidR="00CA5B1D" w:rsidRDefault="00CA5B1D">
      <w:pPr>
        <w:spacing w:line="360" w:lineRule="auto"/>
        <w:jc w:val="both"/>
        <w:rPr>
          <w:color w:val="000000" w:themeColor="text1"/>
        </w:rPr>
      </w:pPr>
    </w:p>
    <w:p w14:paraId="5D4F0191" w14:textId="77777777" w:rsidR="00CA5B1D" w:rsidRDefault="00557DFF">
      <w:pPr>
        <w:spacing w:line="360" w:lineRule="auto"/>
        <w:jc w:val="both"/>
        <w:rPr>
          <w:color w:val="000000" w:themeColor="text1"/>
        </w:rPr>
      </w:pPr>
      <w:r>
        <w:rPr>
          <w:rFonts w:ascii="Book Antiqua" w:eastAsia="Book Antiqua" w:hAnsi="Book Antiqua" w:cs="Book Antiqua"/>
          <w:b/>
          <w:caps/>
          <w:color w:val="000000" w:themeColor="text1"/>
          <w:u w:val="single"/>
        </w:rPr>
        <w:t>CONCLUSION</w:t>
      </w:r>
    </w:p>
    <w:p w14:paraId="3AFC1029"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In conclusion, conventional extraction techniques may be unable to remove the dislodged catheter. The special shape of the pigtail catheter in combination with the gooseneck trap successfully facilitated the removal of the dislodged catheter from the pulmonary artery infusion port without any complications. Hence, this is a safe and reliable method that could be clinically applied in the future.</w:t>
      </w:r>
    </w:p>
    <w:p w14:paraId="7304D1BA" w14:textId="77777777" w:rsidR="00CA5B1D" w:rsidRDefault="00CA5B1D">
      <w:pPr>
        <w:spacing w:line="360" w:lineRule="auto"/>
        <w:jc w:val="both"/>
        <w:rPr>
          <w:color w:val="000000" w:themeColor="text1"/>
        </w:rPr>
      </w:pPr>
    </w:p>
    <w:p w14:paraId="1AEECECC" w14:textId="77777777" w:rsidR="00CA5B1D" w:rsidRDefault="00557DFF">
      <w:pPr>
        <w:spacing w:line="360" w:lineRule="auto"/>
        <w:jc w:val="both"/>
        <w:rPr>
          <w:color w:val="000000" w:themeColor="text1"/>
        </w:rPr>
      </w:pPr>
      <w:r>
        <w:rPr>
          <w:rFonts w:ascii="Book Antiqua" w:eastAsia="Book Antiqua" w:hAnsi="Book Antiqua" w:cs="Book Antiqua"/>
          <w:b/>
          <w:caps/>
          <w:color w:val="000000" w:themeColor="text1"/>
          <w:u w:val="single"/>
        </w:rPr>
        <w:t>ACKNOWLEDGEMENTS</w:t>
      </w:r>
    </w:p>
    <w:p w14:paraId="56803642"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shd w:val="clear" w:color="auto" w:fill="FFFFFF"/>
        </w:rPr>
        <w:t>We are thankful to the patient who agreed to participate in this study.</w:t>
      </w:r>
    </w:p>
    <w:p w14:paraId="0FAE6D21" w14:textId="77777777" w:rsidR="00CA5B1D" w:rsidRDefault="00CA5B1D">
      <w:pPr>
        <w:spacing w:line="360" w:lineRule="auto"/>
        <w:jc w:val="both"/>
        <w:rPr>
          <w:color w:val="000000" w:themeColor="text1"/>
        </w:rPr>
      </w:pPr>
    </w:p>
    <w:p w14:paraId="319D34B9" w14:textId="77777777" w:rsidR="00CA5B1D" w:rsidRDefault="00557DFF">
      <w:pPr>
        <w:spacing w:line="360" w:lineRule="auto"/>
        <w:jc w:val="both"/>
        <w:rPr>
          <w:color w:val="000000" w:themeColor="text1"/>
        </w:rPr>
      </w:pPr>
      <w:r>
        <w:rPr>
          <w:rFonts w:ascii="Book Antiqua" w:eastAsia="Book Antiqua" w:hAnsi="Book Antiqua" w:cs="Book Antiqua"/>
          <w:b/>
          <w:color w:val="000000" w:themeColor="text1"/>
        </w:rPr>
        <w:t>REFERENCES</w:t>
      </w:r>
    </w:p>
    <w:p w14:paraId="76FC7DB6" w14:textId="77777777" w:rsidR="00CA5B1D" w:rsidRDefault="00557DFF">
      <w:pPr>
        <w:spacing w:line="360" w:lineRule="auto"/>
        <w:jc w:val="both"/>
        <w:rPr>
          <w:color w:val="000000" w:themeColor="text1"/>
        </w:rPr>
      </w:pPr>
      <w:bookmarkStart w:id="6" w:name="OLE_LINK1"/>
      <w:r>
        <w:rPr>
          <w:rFonts w:ascii="Book Antiqua" w:eastAsia="Book Antiqua" w:hAnsi="Book Antiqua" w:cs="Book Antiqua"/>
          <w:color w:val="000000" w:themeColor="text1"/>
        </w:rPr>
        <w:lastRenderedPageBreak/>
        <w:t xml:space="preserve">1 </w:t>
      </w:r>
      <w:r>
        <w:rPr>
          <w:rFonts w:ascii="Book Antiqua" w:eastAsia="Book Antiqua" w:hAnsi="Book Antiqua" w:cs="Book Antiqua"/>
          <w:b/>
          <w:bCs/>
          <w:color w:val="000000" w:themeColor="text1"/>
        </w:rPr>
        <w:t>Ma L</w:t>
      </w:r>
      <w:r>
        <w:rPr>
          <w:rFonts w:ascii="Book Antiqua" w:eastAsia="Book Antiqua" w:hAnsi="Book Antiqua" w:cs="Book Antiqua"/>
          <w:color w:val="000000" w:themeColor="text1"/>
        </w:rPr>
        <w:t>, Xia C, Sun X, Zuo Y, Zhao L. The effects of oral acetylsalicylic acid on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blood fluidity and infusion speed in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the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cancer patients with PICC. </w:t>
      </w:r>
      <w:r>
        <w:rPr>
          <w:rFonts w:ascii="Book Antiqua" w:eastAsia="Book Antiqua" w:hAnsi="Book Antiqua" w:cs="Book Antiqua"/>
          <w:i/>
          <w:iCs/>
          <w:color w:val="000000" w:themeColor="text1"/>
        </w:rPr>
        <w:t>Clin Hemorheol Microcirc</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65</w:t>
      </w:r>
      <w:r>
        <w:rPr>
          <w:rFonts w:ascii="Book Antiqua" w:eastAsia="Book Antiqua" w:hAnsi="Book Antiqua" w:cs="Book Antiqua"/>
          <w:color w:val="000000" w:themeColor="text1"/>
        </w:rPr>
        <w:t>: 11-22 [PMID: 27258204 DOI: 10.3233/CH-162068]</w:t>
      </w:r>
    </w:p>
    <w:p w14:paraId="4F6FAD85"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 xml:space="preserve">2 </w:t>
      </w:r>
      <w:r>
        <w:rPr>
          <w:rFonts w:ascii="Book Antiqua" w:eastAsia="Book Antiqua" w:hAnsi="Book Antiqua" w:cs="Book Antiqua"/>
          <w:b/>
          <w:bCs/>
          <w:color w:val="000000" w:themeColor="text1"/>
        </w:rPr>
        <w:t>Miao J</w:t>
      </w:r>
      <w:r>
        <w:rPr>
          <w:rFonts w:ascii="Book Antiqua" w:eastAsia="Book Antiqua" w:hAnsi="Book Antiqua" w:cs="Book Antiqua"/>
          <w:color w:val="000000" w:themeColor="text1"/>
        </w:rPr>
        <w:t xml:space="preserve">, Ji L, Lu J, Chen J. Randomized clinical trial comparing ultrasound-guided procedure with the Seldinger's technique for placement of implantable venous ports. </w:t>
      </w:r>
      <w:r>
        <w:rPr>
          <w:rFonts w:ascii="Book Antiqua" w:eastAsia="Book Antiqua" w:hAnsi="Book Antiqua" w:cs="Book Antiqua"/>
          <w:i/>
          <w:iCs/>
          <w:color w:val="000000" w:themeColor="text1"/>
        </w:rPr>
        <w:t>Cell Biochem Biophys</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70</w:t>
      </w:r>
      <w:r>
        <w:rPr>
          <w:rFonts w:ascii="Book Antiqua" w:eastAsia="Book Antiqua" w:hAnsi="Book Antiqua" w:cs="Book Antiqua"/>
          <w:color w:val="000000" w:themeColor="text1"/>
        </w:rPr>
        <w:t>: 559-563 [PMID: 24748179 DOI: 10.1007/s12013-014-9956-x]</w:t>
      </w:r>
    </w:p>
    <w:p w14:paraId="0A60B1A5"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 xml:space="preserve">3 </w:t>
      </w:r>
      <w:r>
        <w:rPr>
          <w:rFonts w:ascii="Book Antiqua" w:eastAsia="Book Antiqua" w:hAnsi="Book Antiqua" w:cs="Book Antiqua"/>
          <w:b/>
          <w:bCs/>
          <w:color w:val="000000" w:themeColor="text1"/>
        </w:rPr>
        <w:t>Ribeiro RC</w:t>
      </w:r>
      <w:r>
        <w:rPr>
          <w:rFonts w:ascii="Book Antiqua" w:eastAsia="Book Antiqua" w:hAnsi="Book Antiqua" w:cs="Book Antiqua"/>
          <w:color w:val="000000" w:themeColor="text1"/>
        </w:rPr>
        <w:t xml:space="preserve">, Abib SC, Aguiar AS, Schettini ST. Long-term complications in totally implantable venous access devices: randomized study comparing subclavian and internal jugular vein puncture. </w:t>
      </w:r>
      <w:r>
        <w:rPr>
          <w:rFonts w:ascii="Book Antiqua" w:eastAsia="Book Antiqua" w:hAnsi="Book Antiqua" w:cs="Book Antiqua"/>
          <w:i/>
          <w:iCs/>
          <w:color w:val="000000" w:themeColor="text1"/>
        </w:rPr>
        <w:t>Pediatr Blood Cancer</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58</w:t>
      </w:r>
      <w:r>
        <w:rPr>
          <w:rFonts w:ascii="Book Antiqua" w:eastAsia="Book Antiqua" w:hAnsi="Book Antiqua" w:cs="Book Antiqua"/>
          <w:color w:val="000000" w:themeColor="text1"/>
        </w:rPr>
        <w:t>: 274-277 [PMID: 21674765 DOI: 10.1002/pbc.23220]</w:t>
      </w:r>
    </w:p>
    <w:p w14:paraId="3A8BB0C1"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Machat S</w:t>
      </w:r>
      <w:r>
        <w:rPr>
          <w:rFonts w:ascii="Book Antiqua" w:eastAsia="Book Antiqua" w:hAnsi="Book Antiqua" w:cs="Book Antiqua"/>
          <w:color w:val="000000" w:themeColor="text1"/>
        </w:rPr>
        <w:t xml:space="preserve">, Eisenhuber E, Pfarl G, Stübler J, Koelblinger C, Zacherl J, Schima W. Complications of central venous port systems: a pictorial review. </w:t>
      </w:r>
      <w:r>
        <w:rPr>
          <w:rFonts w:ascii="Book Antiqua" w:eastAsia="Book Antiqua" w:hAnsi="Book Antiqua" w:cs="Book Antiqua"/>
          <w:i/>
          <w:iCs/>
          <w:color w:val="000000" w:themeColor="text1"/>
        </w:rPr>
        <w:t>Insights Imaging</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86 [PMID: 31463643 DOI: 10.1186/s13244-019-0770-2]</w:t>
      </w:r>
    </w:p>
    <w:p w14:paraId="1C089D3A"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 xml:space="preserve">5 </w:t>
      </w:r>
      <w:r>
        <w:rPr>
          <w:rFonts w:ascii="Book Antiqua" w:eastAsia="Book Antiqua" w:hAnsi="Book Antiqua" w:cs="Book Antiqua"/>
          <w:b/>
          <w:bCs/>
          <w:color w:val="000000" w:themeColor="text1"/>
        </w:rPr>
        <w:t>Gallieni M</w:t>
      </w:r>
      <w:r>
        <w:rPr>
          <w:rFonts w:ascii="Book Antiqua" w:eastAsia="Book Antiqua" w:hAnsi="Book Antiqua" w:cs="Book Antiqua"/>
          <w:color w:val="000000" w:themeColor="text1"/>
        </w:rPr>
        <w:t xml:space="preserve">, Pittiruti M, Biffi R. Vascular access in oncology patients. </w:t>
      </w:r>
      <w:r>
        <w:rPr>
          <w:rFonts w:ascii="Book Antiqua" w:eastAsia="Book Antiqua" w:hAnsi="Book Antiqua" w:cs="Book Antiqua"/>
          <w:i/>
          <w:iCs/>
          <w:color w:val="000000" w:themeColor="text1"/>
        </w:rPr>
        <w:t>CA Cancer J Clin</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58</w:t>
      </w:r>
      <w:r>
        <w:rPr>
          <w:rFonts w:ascii="Book Antiqua" w:eastAsia="Book Antiqua" w:hAnsi="Book Antiqua" w:cs="Book Antiqua"/>
          <w:color w:val="000000" w:themeColor="text1"/>
        </w:rPr>
        <w:t>: 323-346 [PMID: 18971486 DOI: 10.3322/CA.2008.0015]</w:t>
      </w:r>
    </w:p>
    <w:p w14:paraId="11848DFE"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Xu L</w:t>
      </w:r>
      <w:r>
        <w:rPr>
          <w:rFonts w:ascii="Book Antiqua" w:eastAsia="Book Antiqua" w:hAnsi="Book Antiqua" w:cs="Book Antiqua"/>
          <w:color w:val="000000" w:themeColor="text1"/>
        </w:rPr>
        <w:t xml:space="preserve">, Qin W, Zheng W, Sun X. Ultrasound-guided totally implantable venous access ports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 right innominate vein: a new approach for patients with breast cancer. </w:t>
      </w:r>
      <w:r>
        <w:rPr>
          <w:rFonts w:ascii="Book Antiqua" w:eastAsia="Book Antiqua" w:hAnsi="Book Antiqua" w:cs="Book Antiqua"/>
          <w:i/>
          <w:iCs/>
          <w:color w:val="000000" w:themeColor="text1"/>
        </w:rPr>
        <w:t>World J Surg Oncol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196 [PMID: 31767003 DOI: 10.1186/s12957-019-1727-0]</w:t>
      </w:r>
    </w:p>
    <w:p w14:paraId="25480D89"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 xml:space="preserve">7 </w:t>
      </w:r>
      <w:r>
        <w:rPr>
          <w:rFonts w:ascii="Book Antiqua" w:eastAsia="Book Antiqua" w:hAnsi="Book Antiqua" w:cs="Book Antiqua"/>
          <w:b/>
          <w:bCs/>
          <w:color w:val="000000" w:themeColor="text1"/>
        </w:rPr>
        <w:t>Li G</w:t>
      </w:r>
      <w:r>
        <w:rPr>
          <w:rFonts w:ascii="Book Antiqua" w:eastAsia="Book Antiqua" w:hAnsi="Book Antiqua" w:cs="Book Antiqua"/>
          <w:color w:val="000000" w:themeColor="text1"/>
        </w:rPr>
        <w:t xml:space="preserve">, Zhang Y, Ma H, Zheng J. Arm port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chest port: a systematic review and meta-analysis. </w:t>
      </w:r>
      <w:r>
        <w:rPr>
          <w:rFonts w:ascii="Book Antiqua" w:eastAsia="Book Antiqua" w:hAnsi="Book Antiqua" w:cs="Book Antiqua"/>
          <w:i/>
          <w:iCs/>
          <w:color w:val="000000" w:themeColor="text1"/>
        </w:rPr>
        <w:t>Cancer Manag Res</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6099-6112 [PMID: 31308748 DOI: 10.2147/CMAR.S205988]</w:t>
      </w:r>
    </w:p>
    <w:p w14:paraId="583C0674"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 xml:space="preserve">8 </w:t>
      </w:r>
      <w:r>
        <w:rPr>
          <w:rFonts w:ascii="Book Antiqua" w:eastAsia="Book Antiqua" w:hAnsi="Book Antiqua" w:cs="Book Antiqua"/>
          <w:b/>
          <w:bCs/>
          <w:color w:val="000000" w:themeColor="text1"/>
        </w:rPr>
        <w:t>Ben Kridis W</w:t>
      </w:r>
      <w:r>
        <w:rPr>
          <w:rFonts w:ascii="Book Antiqua" w:eastAsia="Book Antiqua" w:hAnsi="Book Antiqua" w:cs="Book Antiqua"/>
          <w:color w:val="000000" w:themeColor="text1"/>
        </w:rPr>
        <w:t xml:space="preserve">, Sahnoun M, Maraoui H, Amari N, Frikha M. Fracture at catheter of totally implantable venous access port with migration into the right pulmonary artery: A serious complication. </w:t>
      </w:r>
      <w:r>
        <w:rPr>
          <w:rFonts w:ascii="Book Antiqua" w:eastAsia="Book Antiqua" w:hAnsi="Book Antiqua" w:cs="Book Antiqua"/>
          <w:i/>
          <w:iCs/>
          <w:color w:val="000000" w:themeColor="text1"/>
        </w:rPr>
        <w:t>Acta Clin Belg</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71</w:t>
      </w:r>
      <w:r>
        <w:rPr>
          <w:rFonts w:ascii="Book Antiqua" w:eastAsia="Book Antiqua" w:hAnsi="Book Antiqua" w:cs="Book Antiqua"/>
          <w:color w:val="000000" w:themeColor="text1"/>
        </w:rPr>
        <w:t>: 349-352 [PMID: 27177614 DOI: 10.1080/17843286.2016.1153212]</w:t>
      </w:r>
    </w:p>
    <w:p w14:paraId="11D06723"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 xml:space="preserve">9 </w:t>
      </w:r>
      <w:r>
        <w:rPr>
          <w:rFonts w:ascii="Book Antiqua" w:eastAsia="Book Antiqua" w:hAnsi="Book Antiqua" w:cs="Book Antiqua"/>
          <w:b/>
          <w:bCs/>
          <w:color w:val="000000" w:themeColor="text1"/>
        </w:rPr>
        <w:t>Letachowicz K</w:t>
      </w:r>
      <w:r>
        <w:rPr>
          <w:rFonts w:ascii="Book Antiqua" w:eastAsia="Book Antiqua" w:hAnsi="Book Antiqua" w:cs="Book Antiqua"/>
          <w:color w:val="000000" w:themeColor="text1"/>
        </w:rPr>
        <w:t xml:space="preserve">, Gołębiowski T, Miś M, Wolańczyk M, Zmonarski S, Krajewska M. Partial breakage of a tunneled dialysis catheter: An uncommon finding. </w:t>
      </w:r>
      <w:r>
        <w:rPr>
          <w:rFonts w:ascii="Book Antiqua" w:eastAsia="Book Antiqua" w:hAnsi="Book Antiqua" w:cs="Book Antiqua"/>
          <w:i/>
          <w:iCs/>
          <w:color w:val="000000" w:themeColor="text1"/>
        </w:rPr>
        <w:t>Hemodial Int</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E15-E17 [PMID: 33073510 DOI: 10.1111/hdi.12894]</w:t>
      </w:r>
    </w:p>
    <w:p w14:paraId="031158C6"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lastRenderedPageBreak/>
        <w:t xml:space="preserve">10 </w:t>
      </w:r>
      <w:r>
        <w:rPr>
          <w:rFonts w:ascii="Book Antiqua" w:eastAsia="Book Antiqua" w:hAnsi="Book Antiqua" w:cs="Book Antiqua"/>
          <w:b/>
          <w:bCs/>
          <w:color w:val="000000" w:themeColor="text1"/>
        </w:rPr>
        <w:t>Busch JD</w:t>
      </w:r>
      <w:r>
        <w:rPr>
          <w:rFonts w:ascii="Book Antiqua" w:eastAsia="Book Antiqua" w:hAnsi="Book Antiqua" w:cs="Book Antiqua"/>
          <w:color w:val="000000" w:themeColor="text1"/>
        </w:rPr>
        <w:t xml:space="preserve">, Herrmann J, Heller F, Derlin T, Koops A, Adam G, Habermann CR. Follow-up of radiologically totally implanted central venous access ports of the upper arm: long-term complications in 127,750 catheter-days. </w:t>
      </w:r>
      <w:r>
        <w:rPr>
          <w:rFonts w:ascii="Book Antiqua" w:eastAsia="Book Antiqua" w:hAnsi="Book Antiqua" w:cs="Book Antiqua"/>
          <w:i/>
          <w:iCs/>
          <w:color w:val="000000" w:themeColor="text1"/>
        </w:rPr>
        <w:t>AJR Am J Roentgenol</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199</w:t>
      </w:r>
      <w:r>
        <w:rPr>
          <w:rFonts w:ascii="Book Antiqua" w:eastAsia="Book Antiqua" w:hAnsi="Book Antiqua" w:cs="Book Antiqua"/>
          <w:color w:val="000000" w:themeColor="text1"/>
        </w:rPr>
        <w:t>: 447-452 [PMID: 22826411 DOI: 10.2214/AJR.11.7970]</w:t>
      </w:r>
    </w:p>
    <w:bookmarkEnd w:id="6"/>
    <w:p w14:paraId="4B875A1A" w14:textId="77777777" w:rsidR="00CA5B1D" w:rsidRDefault="00CA5B1D">
      <w:pPr>
        <w:spacing w:line="360" w:lineRule="auto"/>
        <w:jc w:val="both"/>
        <w:rPr>
          <w:color w:val="000000" w:themeColor="text1"/>
        </w:rPr>
        <w:sectPr w:rsidR="00CA5B1D">
          <w:pgSz w:w="12240" w:h="15840"/>
          <w:pgMar w:top="1440" w:right="1440" w:bottom="1440" w:left="1440" w:header="720" w:footer="720" w:gutter="0"/>
          <w:cols w:space="720"/>
          <w:docGrid w:linePitch="360"/>
        </w:sectPr>
      </w:pPr>
    </w:p>
    <w:p w14:paraId="22987DCD" w14:textId="77777777" w:rsidR="00CA5B1D" w:rsidRDefault="00557DFF">
      <w:pPr>
        <w:spacing w:line="360" w:lineRule="auto"/>
        <w:jc w:val="both"/>
        <w:rPr>
          <w:color w:val="000000" w:themeColor="text1"/>
        </w:rPr>
      </w:pPr>
      <w:r>
        <w:rPr>
          <w:rFonts w:ascii="Book Antiqua" w:eastAsia="Book Antiqua" w:hAnsi="Book Antiqua" w:cs="Book Antiqua"/>
          <w:b/>
          <w:color w:val="000000" w:themeColor="text1"/>
        </w:rPr>
        <w:lastRenderedPageBreak/>
        <w:t>Footnotes</w:t>
      </w:r>
    </w:p>
    <w:p w14:paraId="4F1EF099" w14:textId="77777777" w:rsidR="00CA5B1D" w:rsidRDefault="00557DFF">
      <w:pPr>
        <w:spacing w:line="360" w:lineRule="auto"/>
        <w:jc w:val="both"/>
        <w:rPr>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 xml:space="preserve">Informed written consent was obtained from the patient for publication of this report and any accompanying images. </w:t>
      </w:r>
    </w:p>
    <w:p w14:paraId="7100F03A" w14:textId="77777777" w:rsidR="00CA5B1D" w:rsidRDefault="00CA5B1D">
      <w:pPr>
        <w:spacing w:line="360" w:lineRule="auto"/>
        <w:jc w:val="both"/>
        <w:rPr>
          <w:color w:val="000000" w:themeColor="text1"/>
        </w:rPr>
      </w:pPr>
    </w:p>
    <w:p w14:paraId="4C0CC852" w14:textId="77777777" w:rsidR="00CA5B1D" w:rsidRDefault="00557DFF">
      <w:pPr>
        <w:spacing w:line="360" w:lineRule="auto"/>
        <w:jc w:val="both"/>
        <w:rPr>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declare that they have no conflict of interest.</w:t>
      </w:r>
    </w:p>
    <w:p w14:paraId="216DD752" w14:textId="77777777" w:rsidR="00CA5B1D" w:rsidRDefault="00CA5B1D">
      <w:pPr>
        <w:spacing w:line="360" w:lineRule="auto"/>
        <w:jc w:val="both"/>
        <w:rPr>
          <w:color w:val="000000" w:themeColor="text1"/>
        </w:rPr>
      </w:pPr>
    </w:p>
    <w:p w14:paraId="0DEA1CFD" w14:textId="77777777" w:rsidR="00CA5B1D" w:rsidRDefault="00557DFF">
      <w:pPr>
        <w:spacing w:line="360" w:lineRule="auto"/>
        <w:jc w:val="both"/>
        <w:rPr>
          <w:color w:val="000000" w:themeColor="text1"/>
        </w:rPr>
      </w:pPr>
      <w:r>
        <w:rPr>
          <w:rFonts w:ascii="Book Antiqua" w:eastAsia="Book Antiqua" w:hAnsi="Book Antiqua" w:cs="Book Antiqua"/>
          <w:b/>
          <w:bCs/>
          <w:color w:val="000000" w:themeColor="text1"/>
        </w:rPr>
        <w:t xml:space="preserve">CARE Checklist (2016) statement: </w:t>
      </w:r>
      <w:r>
        <w:rPr>
          <w:rFonts w:ascii="Book Antiqua" w:eastAsia="Book Antiqua" w:hAnsi="Book Antiqua" w:cs="Book Antiqua"/>
          <w:color w:val="000000" w:themeColor="text1"/>
        </w:rPr>
        <w:t>The authors have read the CARE Checklist (2016), and the manuscript was prepared and revised according to the CARE Checklist (2016).</w:t>
      </w:r>
    </w:p>
    <w:p w14:paraId="6966D23A" w14:textId="77777777" w:rsidR="00CA5B1D" w:rsidRDefault="00CA5B1D">
      <w:pPr>
        <w:spacing w:line="360" w:lineRule="auto"/>
        <w:jc w:val="both"/>
        <w:rPr>
          <w:color w:val="000000" w:themeColor="text1"/>
        </w:rPr>
      </w:pPr>
    </w:p>
    <w:p w14:paraId="289BDD61" w14:textId="77777777" w:rsidR="00CA5B1D" w:rsidRDefault="00557DFF">
      <w:pPr>
        <w:spacing w:line="360" w:lineRule="auto"/>
        <w:jc w:val="both"/>
        <w:rPr>
          <w:color w:val="000000" w:themeColor="text1"/>
        </w:rPr>
      </w:pPr>
      <w:r>
        <w:rPr>
          <w:rFonts w:ascii="Book Antiqua" w:eastAsia="Book Antiqua" w:hAnsi="Book Antiqua" w:cs="Book Antiqua"/>
          <w:b/>
          <w:bCs/>
          <w:color w:val="000000" w:themeColor="text1"/>
        </w:rPr>
        <w:t xml:space="preserve">Open-Access: </w:t>
      </w:r>
      <w:bookmarkStart w:id="7" w:name="OLE_LINK489"/>
      <w:bookmarkStart w:id="8" w:name="OLE_LINK490"/>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bookmarkEnd w:id="8"/>
    <w:p w14:paraId="7E8891B3" w14:textId="77777777" w:rsidR="00CA5B1D" w:rsidRDefault="00CA5B1D">
      <w:pPr>
        <w:spacing w:line="360" w:lineRule="auto"/>
        <w:jc w:val="both"/>
        <w:rPr>
          <w:color w:val="000000" w:themeColor="text1"/>
        </w:rPr>
      </w:pPr>
    </w:p>
    <w:p w14:paraId="584A7A76" w14:textId="77777777" w:rsidR="00CA5B1D" w:rsidRDefault="00557DFF">
      <w:pPr>
        <w:spacing w:line="360" w:lineRule="auto"/>
        <w:jc w:val="both"/>
        <w:rPr>
          <w:color w:val="000000" w:themeColor="text1"/>
        </w:rPr>
      </w:pPr>
      <w:r>
        <w:rPr>
          <w:rFonts w:ascii="Book Antiqua" w:eastAsia="Book Antiqua" w:hAnsi="Book Antiqua" w:cs="Book Antiqua"/>
          <w:b/>
          <w:color w:val="000000" w:themeColor="text1"/>
        </w:rPr>
        <w:t xml:space="preserve">Manuscript source: </w:t>
      </w:r>
      <w:r>
        <w:rPr>
          <w:rFonts w:ascii="Book Antiqua" w:eastAsia="Book Antiqua" w:hAnsi="Book Antiqua" w:cs="Book Antiqua"/>
          <w:color w:val="000000" w:themeColor="text1"/>
        </w:rPr>
        <w:t>Unsolicited manuscript</w:t>
      </w:r>
    </w:p>
    <w:p w14:paraId="3C48D337" w14:textId="77777777" w:rsidR="00CA5B1D" w:rsidRDefault="00CA5B1D">
      <w:pPr>
        <w:spacing w:line="360" w:lineRule="auto"/>
        <w:jc w:val="both"/>
        <w:rPr>
          <w:color w:val="000000" w:themeColor="text1"/>
        </w:rPr>
      </w:pPr>
    </w:p>
    <w:p w14:paraId="50DBB05C" w14:textId="77777777" w:rsidR="00CA5B1D" w:rsidRDefault="00557DFF">
      <w:pPr>
        <w:spacing w:line="360" w:lineRule="auto"/>
        <w:jc w:val="both"/>
        <w:rPr>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May 17, 2021</w:t>
      </w:r>
    </w:p>
    <w:p w14:paraId="170988EC" w14:textId="77777777" w:rsidR="00CA5B1D" w:rsidRDefault="00557DFF">
      <w:pPr>
        <w:spacing w:line="360" w:lineRule="auto"/>
        <w:jc w:val="both"/>
        <w:rPr>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June 25, 2021</w:t>
      </w:r>
    </w:p>
    <w:p w14:paraId="63D694DB" w14:textId="77777777" w:rsidR="00CA5B1D" w:rsidRDefault="00557DFF">
      <w:pPr>
        <w:spacing w:line="360" w:lineRule="auto"/>
        <w:jc w:val="both"/>
        <w:rPr>
          <w:color w:val="000000" w:themeColor="text1"/>
        </w:rPr>
      </w:pPr>
      <w:r>
        <w:rPr>
          <w:rFonts w:ascii="Book Antiqua" w:eastAsia="Book Antiqua" w:hAnsi="Book Antiqua" w:cs="Book Antiqua"/>
          <w:b/>
          <w:color w:val="000000" w:themeColor="text1"/>
        </w:rPr>
        <w:t xml:space="preserve">Article in press: </w:t>
      </w:r>
      <w:r>
        <w:rPr>
          <w:rFonts w:ascii="Book Antiqua" w:eastAsia="宋体" w:hAnsi="Book Antiqua" w:hint="eastAsia"/>
          <w:color w:val="000000" w:themeColor="text1"/>
        </w:rPr>
        <w:t>Au</w:t>
      </w:r>
      <w:r>
        <w:rPr>
          <w:rFonts w:ascii="Book Antiqua" w:eastAsia="宋体" w:hAnsi="Book Antiqua"/>
          <w:color w:val="000000" w:themeColor="text1"/>
        </w:rPr>
        <w:t>gust 23, 2021</w:t>
      </w:r>
    </w:p>
    <w:p w14:paraId="3A198E92" w14:textId="77777777" w:rsidR="00CA5B1D" w:rsidRDefault="00CA5B1D">
      <w:pPr>
        <w:spacing w:line="360" w:lineRule="auto"/>
        <w:jc w:val="both"/>
        <w:rPr>
          <w:color w:val="000000" w:themeColor="text1"/>
        </w:rPr>
      </w:pPr>
    </w:p>
    <w:p w14:paraId="017F37EE" w14:textId="77777777" w:rsidR="00CA5B1D" w:rsidRDefault="00557DFF">
      <w:pPr>
        <w:spacing w:line="360" w:lineRule="auto"/>
        <w:jc w:val="both"/>
        <w:rPr>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Radiology, nuclear medicine and medical imaging</w:t>
      </w:r>
    </w:p>
    <w:p w14:paraId="0891647B" w14:textId="77777777" w:rsidR="00CA5B1D" w:rsidRDefault="00557DFF">
      <w:pPr>
        <w:spacing w:line="360" w:lineRule="auto"/>
        <w:jc w:val="both"/>
        <w:rPr>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4CC86CF2" w14:textId="77777777" w:rsidR="00CA5B1D" w:rsidRDefault="00557DFF">
      <w:pPr>
        <w:spacing w:line="360" w:lineRule="auto"/>
        <w:jc w:val="both"/>
        <w:rPr>
          <w:color w:val="000000" w:themeColor="text1"/>
        </w:rPr>
      </w:pPr>
      <w:r>
        <w:rPr>
          <w:rFonts w:ascii="Book Antiqua" w:eastAsia="Book Antiqua" w:hAnsi="Book Antiqua" w:cs="Book Antiqua"/>
          <w:b/>
          <w:color w:val="000000" w:themeColor="text1"/>
        </w:rPr>
        <w:t>Peer-review report’s scientific quality classification</w:t>
      </w:r>
    </w:p>
    <w:p w14:paraId="40084FFA"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Grade A (Excellent): A</w:t>
      </w:r>
    </w:p>
    <w:p w14:paraId="19F0F3B4"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Grade B (Very good): 0</w:t>
      </w:r>
    </w:p>
    <w:p w14:paraId="4BC1F79D"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Grade C (Good): 0</w:t>
      </w:r>
    </w:p>
    <w:p w14:paraId="6B4516DA"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t>Grade D (Fair): 0</w:t>
      </w:r>
    </w:p>
    <w:p w14:paraId="548A9AB6" w14:textId="77777777" w:rsidR="00CA5B1D" w:rsidRDefault="00557DFF">
      <w:pPr>
        <w:spacing w:line="360" w:lineRule="auto"/>
        <w:jc w:val="both"/>
        <w:rPr>
          <w:color w:val="000000" w:themeColor="text1"/>
        </w:rPr>
      </w:pPr>
      <w:r>
        <w:rPr>
          <w:rFonts w:ascii="Book Antiqua" w:eastAsia="Book Antiqua" w:hAnsi="Book Antiqua" w:cs="Book Antiqua"/>
          <w:color w:val="000000" w:themeColor="text1"/>
        </w:rPr>
        <w:lastRenderedPageBreak/>
        <w:t>Grade E (Poor): 0</w:t>
      </w:r>
    </w:p>
    <w:p w14:paraId="645E1926" w14:textId="77777777" w:rsidR="00CA5B1D" w:rsidRDefault="00CA5B1D">
      <w:pPr>
        <w:spacing w:line="360" w:lineRule="auto"/>
        <w:jc w:val="both"/>
        <w:rPr>
          <w:color w:val="000000" w:themeColor="text1"/>
        </w:rPr>
      </w:pPr>
    </w:p>
    <w:p w14:paraId="08F7A944" w14:textId="77777777" w:rsidR="00CA5B1D" w:rsidRDefault="00557DFF">
      <w:pPr>
        <w:spacing w:line="360" w:lineRule="auto"/>
        <w:jc w:val="both"/>
        <w:rPr>
          <w:rFonts w:ascii="Book Antiqua" w:eastAsia="宋体" w:hAnsi="Book Antiqua" w:cs="Book Antiqua"/>
          <w:b/>
          <w:color w:val="000000" w:themeColor="text1"/>
          <w:lang w:eastAsia="zh-CN"/>
        </w:rPr>
      </w:pPr>
      <w:r>
        <w:rPr>
          <w:rFonts w:ascii="Book Antiqua" w:eastAsia="宋体" w:hAnsi="Book Antiqua" w:cs="Book Antiqua" w:hint="eastAsia"/>
          <w:b/>
          <w:color w:val="000000" w:themeColor="text1"/>
          <w:lang w:eastAsia="zh-CN"/>
        </w:rPr>
        <w:t>P-</w:t>
      </w:r>
      <w:r>
        <w:rPr>
          <w:rFonts w:ascii="Book Antiqua" w:eastAsia="Book Antiqua" w:hAnsi="Book Antiqua" w:cs="Book Antiqua"/>
          <w:b/>
          <w:color w:val="000000" w:themeColor="text1"/>
        </w:rPr>
        <w:t xml:space="preserve">Reviewer: </w:t>
      </w:r>
      <w:r>
        <w:rPr>
          <w:rFonts w:ascii="Book Antiqua" w:eastAsia="Book Antiqua" w:hAnsi="Book Antiqua" w:cs="Book Antiqua"/>
          <w:color w:val="000000" w:themeColor="text1"/>
        </w:rPr>
        <w:t>Deshwal H</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Ma YJ</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 xml:space="preserve">Filipodia </w:t>
      </w:r>
      <w:r>
        <w:rPr>
          <w:rFonts w:ascii="Book Antiqua" w:eastAsia="Book Antiqua" w:hAnsi="Book Antiqua" w:cs="Book Antiqua"/>
          <w:b/>
          <w:color w:val="000000" w:themeColor="text1"/>
        </w:rPr>
        <w:t xml:space="preserve">P-Editor: </w:t>
      </w:r>
      <w:r>
        <w:rPr>
          <w:rFonts w:ascii="Book Antiqua" w:eastAsia="宋体" w:hAnsi="Book Antiqua" w:cs="Book Antiqua" w:hint="eastAsia"/>
          <w:bCs/>
          <w:color w:val="000000" w:themeColor="text1"/>
          <w:lang w:eastAsia="zh-CN"/>
        </w:rPr>
        <w:t>Guo X</w:t>
      </w:r>
    </w:p>
    <w:p w14:paraId="20253CBE" w14:textId="77777777" w:rsidR="00CA5B1D" w:rsidRDefault="00CA5B1D">
      <w:pPr>
        <w:numPr>
          <w:ilvl w:val="0"/>
          <w:numId w:val="1"/>
        </w:numPr>
        <w:spacing w:line="360" w:lineRule="auto"/>
        <w:jc w:val="both"/>
        <w:rPr>
          <w:rFonts w:ascii="Book Antiqua" w:eastAsia="Book Antiqua" w:hAnsi="Book Antiqua" w:cs="Book Antiqua"/>
          <w:b/>
          <w:color w:val="000000" w:themeColor="text1"/>
        </w:rPr>
        <w:sectPr w:rsidR="00CA5B1D">
          <w:pgSz w:w="12240" w:h="15840"/>
          <w:pgMar w:top="1440" w:right="1440" w:bottom="1440" w:left="1440" w:header="720" w:footer="720" w:gutter="0"/>
          <w:cols w:space="720"/>
          <w:docGrid w:linePitch="360"/>
        </w:sectPr>
      </w:pPr>
    </w:p>
    <w:p w14:paraId="4F9810DA" w14:textId="77777777" w:rsidR="00CA5B1D" w:rsidRDefault="00557DFF">
      <w:pPr>
        <w:spacing w:line="360" w:lineRule="auto"/>
        <w:jc w:val="both"/>
        <w:rPr>
          <w:color w:val="000000" w:themeColor="text1"/>
          <w:lang w:eastAsia="zh-CN"/>
        </w:rPr>
      </w:pPr>
      <w:r>
        <w:rPr>
          <w:rFonts w:ascii="Book Antiqua" w:eastAsia="Book Antiqua" w:hAnsi="Book Antiqua" w:cs="Book Antiqua"/>
          <w:b/>
          <w:color w:val="000000"/>
        </w:rPr>
        <w:lastRenderedPageBreak/>
        <w:t>Figure Legends</w:t>
      </w:r>
    </w:p>
    <w:p w14:paraId="17CB4E25" w14:textId="77777777" w:rsidR="00CA5B1D" w:rsidRDefault="00557DFF">
      <w:pPr>
        <w:spacing w:line="360" w:lineRule="auto"/>
        <w:jc w:val="both"/>
        <w:rPr>
          <w:color w:val="000000" w:themeColor="text1"/>
          <w:lang w:eastAsia="zh-CN"/>
        </w:rPr>
      </w:pPr>
      <w:r>
        <w:rPr>
          <w:noProof/>
          <w:color w:val="000000" w:themeColor="text1"/>
        </w:rPr>
        <mc:AlternateContent>
          <mc:Choice Requires="wps">
            <w:drawing>
              <wp:anchor distT="0" distB="0" distL="114300" distR="114300" simplePos="0" relativeHeight="251660288" behindDoc="0" locked="0" layoutInCell="1" allowOverlap="1" wp14:anchorId="5549E831" wp14:editId="0F5D8076">
                <wp:simplePos x="0" y="0"/>
                <wp:positionH relativeFrom="column">
                  <wp:posOffset>3683000</wp:posOffset>
                </wp:positionH>
                <wp:positionV relativeFrom="paragraph">
                  <wp:posOffset>443865</wp:posOffset>
                </wp:positionV>
                <wp:extent cx="222250" cy="317500"/>
                <wp:effectExtent l="12700" t="12700" r="19050" b="25400"/>
                <wp:wrapNone/>
                <wp:docPr id="16" name="AutoShape 5"/>
                <wp:cNvGraphicFramePr/>
                <a:graphic xmlns:a="http://schemas.openxmlformats.org/drawingml/2006/main">
                  <a:graphicData uri="http://schemas.microsoft.com/office/word/2010/wordprocessingShape">
                    <wps:wsp>
                      <wps:cNvCnPr/>
                      <wps:spPr bwMode="auto">
                        <a:xfrm>
                          <a:off x="0" y="0"/>
                          <a:ext cx="222250" cy="317500"/>
                        </a:xfrm>
                        <a:prstGeom prst="straightConnector1">
                          <a:avLst/>
                        </a:prstGeom>
                        <a:noFill/>
                        <a:ln w="31750" cmpd="sng">
                          <a:solidFill>
                            <a:sysClr val="window" lastClr="FFFFFF">
                              <a:lumMod val="100000"/>
                              <a:lumOff val="0"/>
                            </a:sysClr>
                          </a:solidFill>
                          <a:prstDash val="solid"/>
                          <a:round/>
                          <a:headEnd type="none" w="med" len="med"/>
                          <a:tailEnd type="triangle" w="med" len="med"/>
                        </a:ln>
                        <a:effectLst/>
                      </wps:spPr>
                      <wps:bodyPr/>
                    </wps:wsp>
                  </a:graphicData>
                </a:graphic>
              </wp:anchor>
            </w:drawing>
          </mc:Choice>
          <mc:Fallback xmlns:wpsCustomData="http://www.wps.cn/officeDocument/2013/wpsCustomData">
            <w:pict>
              <v:shape id="AutoShape 5" o:spid="_x0000_s1026" o:spt="32" type="#_x0000_t32" style="position:absolute;left:0pt;margin-left:290pt;margin-top:34.95pt;height:25pt;width:17.5pt;z-index:251660288;mso-width-relative:page;mso-height-relative:page;" filled="f" stroked="t" coordsize="21600,21600" o:gfxdata="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L0Be9YAAAAKAQAADwAA&#10;AAAAAAABACAAAAAiAAAAZHJzL2Rvd25yZXYueG1sUEsBAhQAFAAAAAgAh07iQA0yvHoYAgAAVQQA&#10;AA4AAAAAAAAAAQAgAAAAJQEAAGRycy9lMm9Eb2MueG1sUEsFBgAAAAAGAAYAWQEAAK8FAAAAAA==&#10;">
                <v:fill on="f" focussize="0,0"/>
                <v:stroke weight="2.5pt" color="#FFFFFF" joinstyle="round" endarrow="block"/>
                <v:imagedata o:title=""/>
                <o:lock v:ext="edit" aspectratio="f"/>
              </v:shape>
            </w:pict>
          </mc:Fallback>
        </mc:AlternateContent>
      </w:r>
      <w:r>
        <w:rPr>
          <w:noProof/>
          <w:color w:val="000000" w:themeColor="text1"/>
        </w:rPr>
        <mc:AlternateContent>
          <mc:Choice Requires="wps">
            <w:drawing>
              <wp:anchor distT="0" distB="0" distL="114300" distR="114300" simplePos="0" relativeHeight="251659264" behindDoc="0" locked="0" layoutInCell="1" allowOverlap="1" wp14:anchorId="1115EE7C" wp14:editId="116AC6B1">
                <wp:simplePos x="0" y="0"/>
                <wp:positionH relativeFrom="column">
                  <wp:posOffset>1028700</wp:posOffset>
                </wp:positionH>
                <wp:positionV relativeFrom="paragraph">
                  <wp:posOffset>374015</wp:posOffset>
                </wp:positionV>
                <wp:extent cx="222250" cy="317500"/>
                <wp:effectExtent l="12700" t="12700" r="19050" b="25400"/>
                <wp:wrapNone/>
                <wp:docPr id="15" name="AutoShape 5"/>
                <wp:cNvGraphicFramePr/>
                <a:graphic xmlns:a="http://schemas.openxmlformats.org/drawingml/2006/main">
                  <a:graphicData uri="http://schemas.microsoft.com/office/word/2010/wordprocessingShape">
                    <wps:wsp>
                      <wps:cNvCnPr/>
                      <wps:spPr bwMode="auto">
                        <a:xfrm>
                          <a:off x="0" y="0"/>
                          <a:ext cx="222250" cy="317500"/>
                        </a:xfrm>
                        <a:prstGeom prst="straightConnector1">
                          <a:avLst/>
                        </a:prstGeom>
                        <a:noFill/>
                        <a:ln w="31750" cmpd="sng">
                          <a:solidFill>
                            <a:sysClr val="window" lastClr="FFFFFF">
                              <a:lumMod val="100000"/>
                              <a:lumOff val="0"/>
                            </a:sysClr>
                          </a:solidFill>
                          <a:prstDash val="solid"/>
                          <a:round/>
                          <a:headEnd type="none" w="med" len="med"/>
                          <a:tailEnd type="triangle" w="med" len="med"/>
                        </a:ln>
                        <a:effectLst/>
                      </wps:spPr>
                      <wps:bodyPr/>
                    </wps:wsp>
                  </a:graphicData>
                </a:graphic>
              </wp:anchor>
            </w:drawing>
          </mc:Choice>
          <mc:Fallback xmlns:wpsCustomData="http://www.wps.cn/officeDocument/2013/wpsCustomData">
            <w:pict>
              <v:shape id="AutoShape 5" o:spid="_x0000_s1026" o:spt="32" type="#_x0000_t32" style="position:absolute;left:0pt;margin-left:81pt;margin-top:29.45pt;height:25pt;width:17.5pt;z-index:251659264;mso-width-relative:page;mso-height-relative:page;" filled="f" stroked="t" coordsize="21600,21600" o:gfxdata="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g8eFHUAAAACgEAAA8AAAAA&#10;AAAAAQAgAAAAIgAAAGRycy9kb3ducmV2LnhtbFBLAQIUABQAAAAIAIdO4kA5pGj/GAIAAFUEAAAO&#10;AAAAAAAAAAEAIAAAACMBAABkcnMvZTJvRG9jLnhtbFBLBQYAAAAABgAGAFkBAACtBQAAAAA=&#10;">
                <v:fill on="f" focussize="0,0"/>
                <v:stroke weight="2.5pt" color="#FFFFFF" joinstyle="round" endarrow="block"/>
                <v:imagedata o:title=""/>
                <o:lock v:ext="edit" aspectratio="f"/>
              </v:shape>
            </w:pict>
          </mc:Fallback>
        </mc:AlternateContent>
      </w:r>
      <w:r>
        <w:rPr>
          <w:noProof/>
          <w:color w:val="000000" w:themeColor="text1"/>
          <w:lang w:eastAsia="zh-CN"/>
        </w:rPr>
        <w:drawing>
          <wp:inline distT="0" distB="0" distL="0" distR="0" wp14:anchorId="48553E41" wp14:editId="0942282C">
            <wp:extent cx="2493645" cy="1797050"/>
            <wp:effectExtent l="0" t="0" r="0" b="0"/>
            <wp:docPr id="4" name="图片 3" descr="Figure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Figure 1A"/>
                    <pic:cNvPicPr>
                      <a:picLocks noChangeAspect="1"/>
                    </pic:cNvPicPr>
                  </pic:nvPicPr>
                  <pic:blipFill>
                    <a:blip r:embed="rId10"/>
                    <a:stretch>
                      <a:fillRect/>
                    </a:stretch>
                  </pic:blipFill>
                  <pic:spPr>
                    <a:xfrm>
                      <a:off x="0" y="0"/>
                      <a:ext cx="2498143" cy="1799878"/>
                    </a:xfrm>
                    <a:prstGeom prst="rect">
                      <a:avLst/>
                    </a:prstGeom>
                  </pic:spPr>
                </pic:pic>
              </a:graphicData>
            </a:graphic>
          </wp:inline>
        </w:drawing>
      </w:r>
      <w:r>
        <w:rPr>
          <w:rFonts w:hint="eastAsia"/>
          <w:color w:val="000000" w:themeColor="text1"/>
          <w:lang w:eastAsia="zh-CN"/>
        </w:rPr>
        <w:t xml:space="preserve"> </w:t>
      </w:r>
      <w:r>
        <w:rPr>
          <w:noProof/>
          <w:color w:val="000000" w:themeColor="text1"/>
          <w:lang w:eastAsia="zh-CN"/>
        </w:rPr>
        <w:drawing>
          <wp:inline distT="0" distB="0" distL="0" distR="0" wp14:anchorId="4A0BCA52" wp14:editId="415D7751">
            <wp:extent cx="2527300" cy="1778000"/>
            <wp:effectExtent l="0" t="0" r="0" b="0"/>
            <wp:docPr id="5" name="图片 4" descr="Figure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Figure 1B"/>
                    <pic:cNvPicPr>
                      <a:picLocks noChangeAspect="1"/>
                    </pic:cNvPicPr>
                  </pic:nvPicPr>
                  <pic:blipFill>
                    <a:blip r:embed="rId11"/>
                    <a:stretch>
                      <a:fillRect/>
                    </a:stretch>
                  </pic:blipFill>
                  <pic:spPr>
                    <a:xfrm>
                      <a:off x="0" y="0"/>
                      <a:ext cx="2527463" cy="1778000"/>
                    </a:xfrm>
                    <a:prstGeom prst="rect">
                      <a:avLst/>
                    </a:prstGeom>
                  </pic:spPr>
                </pic:pic>
              </a:graphicData>
            </a:graphic>
          </wp:inline>
        </w:drawing>
      </w:r>
    </w:p>
    <w:p w14:paraId="6D8197D6" w14:textId="77777777" w:rsidR="00CA5B1D" w:rsidRDefault="00557DFF">
      <w:pPr>
        <w:spacing w:line="360" w:lineRule="auto"/>
        <w:jc w:val="both"/>
        <w:rPr>
          <w:rFonts w:ascii="Book Antiqua" w:hAnsi="Book Antiqua" w:cs="Book Antiqua"/>
          <w:b/>
          <w:bCs/>
          <w:color w:val="000000" w:themeColor="text1"/>
          <w:lang w:eastAsia="zh-CN"/>
        </w:rPr>
      </w:pPr>
      <w:r>
        <w:rPr>
          <w:rFonts w:ascii="Book Antiqua" w:eastAsia="Book Antiqua" w:hAnsi="Book Antiqua" w:cs="Book Antiqua"/>
          <w:b/>
          <w:bCs/>
          <w:color w:val="000000" w:themeColor="text1"/>
        </w:rPr>
        <w:t>Figure 1</w:t>
      </w:r>
      <w:r>
        <w:rPr>
          <w:rFonts w:ascii="Book Antiqua" w:hAnsi="Book Antiqua" w:cs="Book Antiqua" w:hint="eastAsia"/>
          <w:b/>
          <w:bCs/>
          <w:color w:val="000000" w:themeColor="text1"/>
          <w:lang w:eastAsia="zh-CN"/>
        </w:rPr>
        <w:t xml:space="preserve"> </w:t>
      </w:r>
      <w:r>
        <w:rPr>
          <w:rFonts w:ascii="Book Antiqua" w:hAnsi="Book Antiqua"/>
          <w:b/>
          <w:bCs/>
          <w:color w:val="000000" w:themeColor="text1"/>
          <w:sz w:val="27"/>
          <w:szCs w:val="27"/>
          <w:shd w:val="clear" w:color="auto" w:fill="FFFFFF"/>
        </w:rPr>
        <w:t>Computed tomography</w:t>
      </w:r>
      <w:r>
        <w:rPr>
          <w:rFonts w:ascii="Book Antiqua" w:hAnsi="Book Antiqua" w:hint="eastAsia"/>
          <w:b/>
          <w:bCs/>
          <w:color w:val="000000" w:themeColor="text1"/>
          <w:sz w:val="27"/>
          <w:szCs w:val="27"/>
          <w:shd w:val="clear" w:color="auto" w:fill="FFFFFF"/>
          <w:lang w:eastAsia="zh-CN"/>
        </w:rPr>
        <w:t>.</w:t>
      </w:r>
      <w:r>
        <w:rPr>
          <w:rFonts w:ascii="Book Antiqua" w:hAnsi="Book Antiqua"/>
          <w:color w:val="000000" w:themeColor="text1"/>
          <w:sz w:val="27"/>
          <w:szCs w:val="27"/>
          <w:shd w:val="clear" w:color="auto" w:fill="FFFFFF"/>
        </w:rPr>
        <w:t xml:space="preserve"> </w:t>
      </w:r>
      <w:r>
        <w:rPr>
          <w:rFonts w:ascii="Book Antiqua" w:hAnsi="Book Antiqua"/>
          <w:caps/>
          <w:color w:val="000000" w:themeColor="text1"/>
          <w:sz w:val="27"/>
          <w:szCs w:val="27"/>
          <w:shd w:val="clear" w:color="auto" w:fill="FFFFFF"/>
        </w:rPr>
        <w:t>b</w:t>
      </w:r>
      <w:r>
        <w:rPr>
          <w:rFonts w:ascii="Book Antiqua" w:hAnsi="Book Antiqua"/>
          <w:color w:val="000000" w:themeColor="text1"/>
          <w:sz w:val="27"/>
          <w:szCs w:val="27"/>
          <w:shd w:val="clear" w:color="auto" w:fill="FFFFFF"/>
        </w:rPr>
        <w:t>oth axial image</w:t>
      </w:r>
      <w:r>
        <w:rPr>
          <w:rFonts w:ascii="Book Antiqua" w:hAnsi="Book Antiqua" w:hint="eastAsia"/>
          <w:color w:val="000000" w:themeColor="text1"/>
          <w:sz w:val="27"/>
          <w:szCs w:val="27"/>
          <w:shd w:val="clear" w:color="auto" w:fill="FFFFFF"/>
          <w:lang w:eastAsia="zh-CN"/>
        </w:rPr>
        <w:t xml:space="preserve"> </w:t>
      </w:r>
      <w:r>
        <w:rPr>
          <w:rFonts w:ascii="Book Antiqua" w:hAnsi="Book Antiqua"/>
          <w:color w:val="000000" w:themeColor="text1"/>
          <w:sz w:val="27"/>
          <w:szCs w:val="27"/>
          <w:shd w:val="clear" w:color="auto" w:fill="FFFFFF"/>
        </w:rPr>
        <w:t>showing</w:t>
      </w:r>
      <w:r>
        <w:rPr>
          <w:rFonts w:ascii="Book Antiqua" w:hAnsi="Book Antiqua" w:hint="eastAsia"/>
          <w:color w:val="000000" w:themeColor="text1"/>
          <w:sz w:val="27"/>
          <w:szCs w:val="27"/>
          <w:shd w:val="clear" w:color="auto" w:fill="FFFFFF"/>
          <w:lang w:eastAsia="zh-CN"/>
        </w:rPr>
        <w:t xml:space="preserve"> </w:t>
      </w:r>
      <w:r>
        <w:rPr>
          <w:rFonts w:ascii="Book Antiqua" w:hAnsi="Book Antiqua"/>
          <w:color w:val="000000" w:themeColor="text1"/>
          <w:sz w:val="27"/>
          <w:szCs w:val="27"/>
          <w:shd w:val="clear" w:color="auto" w:fill="FFFFFF"/>
        </w:rPr>
        <w:t>a strip high density shadow in the main pulmonary artery-right pulmonary artery-hilar area</w:t>
      </w:r>
      <w:r>
        <w:rPr>
          <w:rFonts w:ascii="Book Antiqua" w:hAnsi="Book Antiqua" w:hint="eastAsia"/>
          <w:color w:val="000000" w:themeColor="text1"/>
          <w:sz w:val="27"/>
          <w:szCs w:val="27"/>
          <w:shd w:val="clear" w:color="auto" w:fill="FFFFFF"/>
          <w:lang w:eastAsia="zh-CN"/>
        </w:rPr>
        <w:t xml:space="preserve"> </w:t>
      </w:r>
      <w:r>
        <w:rPr>
          <w:rFonts w:ascii="Book Antiqua" w:hAnsi="Book Antiqua"/>
          <w:color w:val="000000" w:themeColor="text1"/>
          <w:sz w:val="27"/>
          <w:szCs w:val="27"/>
          <w:shd w:val="clear" w:color="auto" w:fill="FFFFFF"/>
        </w:rPr>
        <w:t>(white</w:t>
      </w:r>
      <w:r>
        <w:rPr>
          <w:rFonts w:ascii="Book Antiqua" w:hAnsi="Book Antiqua" w:hint="eastAsia"/>
          <w:color w:val="000000" w:themeColor="text1"/>
          <w:sz w:val="27"/>
          <w:szCs w:val="27"/>
          <w:shd w:val="clear" w:color="auto" w:fill="FFFFFF"/>
          <w:lang w:eastAsia="zh-CN"/>
        </w:rPr>
        <w:t xml:space="preserve"> </w:t>
      </w:r>
      <w:r>
        <w:rPr>
          <w:rFonts w:ascii="Book Antiqua" w:hAnsi="Book Antiqua"/>
          <w:color w:val="000000" w:themeColor="text1"/>
          <w:sz w:val="27"/>
          <w:szCs w:val="27"/>
          <w:shd w:val="clear" w:color="auto" w:fill="FFFFFF"/>
        </w:rPr>
        <w:t>arrows).</w:t>
      </w:r>
      <w:r>
        <w:rPr>
          <w:rFonts w:ascii="Book Antiqua" w:hAnsi="Book Antiqua" w:hint="eastAsia"/>
          <w:color w:val="000000" w:themeColor="text1"/>
          <w:sz w:val="27"/>
          <w:szCs w:val="27"/>
          <w:shd w:val="clear" w:color="auto" w:fill="FFFFFF"/>
          <w:lang w:eastAsia="zh-CN"/>
        </w:rPr>
        <w:t xml:space="preserve"> </w:t>
      </w:r>
    </w:p>
    <w:p w14:paraId="1FAAE800" w14:textId="7B97A777" w:rsidR="00CA5B1D" w:rsidRDefault="00557DFF">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br w:type="page"/>
      </w:r>
    </w:p>
    <w:p w14:paraId="7860D3F7" w14:textId="5BAAEF56" w:rsidR="00CA5B1D" w:rsidRDefault="000E096F">
      <w:pPr>
        <w:spacing w:line="360" w:lineRule="auto"/>
        <w:jc w:val="both"/>
        <w:rPr>
          <w:color w:val="000000" w:themeColor="text1"/>
          <w:lang w:eastAsia="zh-CN"/>
        </w:rPr>
      </w:pPr>
      <w:r>
        <w:rPr>
          <w:noProof/>
          <w:color w:val="000000" w:themeColor="text1"/>
        </w:rPr>
        <w:lastRenderedPageBreak/>
        <w:drawing>
          <wp:inline distT="0" distB="0" distL="0" distR="0" wp14:anchorId="37E0AD8C" wp14:editId="0DE1557D">
            <wp:extent cx="5023114" cy="5715012"/>
            <wp:effectExtent l="0" t="0" r="635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23114" cy="5715012"/>
                    </a:xfrm>
                    <a:prstGeom prst="rect">
                      <a:avLst/>
                    </a:prstGeom>
                  </pic:spPr>
                </pic:pic>
              </a:graphicData>
            </a:graphic>
          </wp:inline>
        </w:drawing>
      </w:r>
    </w:p>
    <w:p w14:paraId="35B0A8D6" w14:textId="0B50FA89" w:rsidR="00472268" w:rsidRDefault="00557DFF">
      <w:pPr>
        <w:spacing w:line="360" w:lineRule="auto"/>
        <w:jc w:val="both"/>
        <w:rPr>
          <w:rFonts w:ascii="Book Antiqua" w:hAnsi="Book Antiqua" w:cs="Book Antiqua"/>
          <w:bCs/>
          <w:color w:val="000000" w:themeColor="text1"/>
          <w:lang w:eastAsia="zh-CN"/>
        </w:rPr>
      </w:pPr>
      <w:r>
        <w:rPr>
          <w:rFonts w:ascii="Book Antiqua" w:eastAsia="Book Antiqua" w:hAnsi="Book Antiqua" w:cs="Book Antiqua"/>
          <w:b/>
          <w:bCs/>
          <w:color w:val="000000" w:themeColor="text1"/>
        </w:rPr>
        <w:t>Figure 2</w:t>
      </w:r>
      <w:r>
        <w:rPr>
          <w:rFonts w:hint="eastAsia"/>
          <w:color w:val="000000" w:themeColor="text1"/>
          <w:lang w:eastAsia="zh-CN"/>
        </w:rPr>
        <w:t xml:space="preserve"> </w:t>
      </w:r>
      <w:r>
        <w:rPr>
          <w:rFonts w:ascii="Book Antiqua" w:hAnsi="Book Antiqua" w:cs="Book Antiqua" w:hint="eastAsia"/>
          <w:b/>
          <w:bCs/>
          <w:color w:val="000000" w:themeColor="text1"/>
          <w:lang w:eastAsia="zh-CN"/>
        </w:rPr>
        <w:t>D</w:t>
      </w:r>
      <w:r>
        <w:rPr>
          <w:rFonts w:ascii="Book Antiqua" w:hAnsi="Book Antiqua" w:cs="Book Antiqua"/>
          <w:b/>
          <w:bCs/>
          <w:color w:val="000000" w:themeColor="text1"/>
          <w:lang w:eastAsia="zh-CN"/>
        </w:rPr>
        <w:t>igital subtraction angiography images</w:t>
      </w:r>
      <w:r>
        <w:rPr>
          <w:noProof/>
          <w:color w:val="000000" w:themeColor="text1"/>
        </w:rPr>
        <mc:AlternateContent>
          <mc:Choice Requires="wps">
            <w:drawing>
              <wp:anchor distT="0" distB="0" distL="114300" distR="114300" simplePos="0" relativeHeight="251665408" behindDoc="0" locked="0" layoutInCell="1" allowOverlap="1" wp14:anchorId="184117A8" wp14:editId="1435525D">
                <wp:simplePos x="0" y="0"/>
                <wp:positionH relativeFrom="column">
                  <wp:posOffset>2129155</wp:posOffset>
                </wp:positionH>
                <wp:positionV relativeFrom="paragraph">
                  <wp:posOffset>7487285</wp:posOffset>
                </wp:positionV>
                <wp:extent cx="489585" cy="39370"/>
                <wp:effectExtent l="0" t="76200" r="0" b="49530"/>
                <wp:wrapNone/>
                <wp:docPr id="10" name="直接连接符 26"/>
                <wp:cNvGraphicFramePr/>
                <a:graphic xmlns:a="http://schemas.openxmlformats.org/drawingml/2006/main">
                  <a:graphicData uri="http://schemas.microsoft.com/office/word/2010/wordprocessingShape">
                    <wps:wsp>
                      <wps:cNvCnPr/>
                      <wps:spPr>
                        <a:xfrm flipH="1" flipV="1">
                          <a:off x="0" y="0"/>
                          <a:ext cx="489585" cy="39370"/>
                        </a:xfrm>
                        <a:prstGeom prst="line">
                          <a:avLst/>
                        </a:prstGeom>
                        <a:ln w="19050" cap="flat" cmpd="sng">
                          <a:solidFill>
                            <a:srgbClr val="FFFFFF"/>
                          </a:solidFill>
                          <a:prstDash val="solid"/>
                          <a:headEnd type="none" w="med" len="med"/>
                          <a:tailEnd type="arrow" w="med" len="med"/>
                        </a:ln>
                      </wps:spPr>
                      <wps:bodyPr/>
                    </wps:wsp>
                  </a:graphicData>
                </a:graphic>
              </wp:anchor>
            </w:drawing>
          </mc:Choice>
          <mc:Fallback xmlns:wpsCustomData="http://www.wps.cn/officeDocument/2013/wpsCustomData">
            <w:pict>
              <v:line id="直接连接符 26" o:spid="_x0000_s1026" o:spt="20" style="position:absolute;left:0pt;flip:x y;margin-left:167.65pt;margin-top:589.55pt;height:3.1pt;width:38.55pt;z-index:251665408;mso-width-relative:page;mso-height-relative:page;" filled="f" stroked="t" coordsize="21600,21600" o:gfxdata="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&#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Ncm2x2QAAAA0BAAAPAAAAAAAAAAEAIAAAACIAAABk&#10;cnMvZG93bnJldi54bWxQSwECFAAUAAAACACHTuJA+qHC8AUCAADzAwAADgAAAAAAAAABACAAAAAo&#10;AQAAZHJzL2Uyb0RvYy54bWxQSwUGAAAAAAYABgBZAQAAnwUAAAAA&#10;">
                <v:fill on="f" focussize="0,0"/>
                <v:stroke weight="1.5pt" color="#FFFFFF" joinstyle="round" endarrow="open"/>
                <v:imagedata o:title=""/>
                <o:lock v:ext="edit" aspectratio="f"/>
              </v:line>
            </w:pict>
          </mc:Fallback>
        </mc:AlternateContent>
      </w:r>
      <w:r>
        <w:rPr>
          <w:rFonts w:ascii="Book Antiqua" w:hAnsi="Book Antiqua" w:cs="Book Antiqua" w:hint="eastAsia"/>
          <w:b/>
          <w:bCs/>
          <w:color w:val="000000" w:themeColor="text1"/>
          <w:lang w:eastAsia="zh-CN"/>
        </w:rPr>
        <w:t xml:space="preserve">. </w:t>
      </w:r>
      <w:r>
        <w:rPr>
          <w:rFonts w:ascii="Book Antiqua" w:hAnsi="Book Antiqua" w:cs="Book Antiqua" w:hint="eastAsia"/>
          <w:bCs/>
          <w:color w:val="000000" w:themeColor="text1"/>
          <w:lang w:eastAsia="zh-CN"/>
        </w:rPr>
        <w:t xml:space="preserve">A: </w:t>
      </w:r>
      <w:r>
        <w:rPr>
          <w:rFonts w:ascii="Book Antiqua" w:hAnsi="Book Antiqua" w:cs="Book Antiqua"/>
          <w:bCs/>
          <w:color w:val="000000" w:themeColor="text1"/>
          <w:lang w:eastAsia="zh-CN"/>
        </w:rPr>
        <w:t xml:space="preserve">The main pulmonary artery and right pulmonary artery showed tubular shadow (white arrow); B-F: </w:t>
      </w:r>
      <w:r>
        <w:rPr>
          <w:rFonts w:ascii="Book Antiqua" w:hAnsi="Book Antiqua" w:cs="Book Antiqua"/>
          <w:bCs/>
          <w:caps/>
          <w:color w:val="000000" w:themeColor="text1"/>
          <w:lang w:eastAsia="zh-CN"/>
        </w:rPr>
        <w:t>a</w:t>
      </w:r>
      <w:r>
        <w:rPr>
          <w:rFonts w:ascii="Book Antiqua" w:hAnsi="Book Antiqua" w:cs="Book Antiqua"/>
          <w:bCs/>
          <w:color w:val="000000" w:themeColor="text1"/>
          <w:lang w:eastAsia="zh-CN"/>
        </w:rPr>
        <w:t xml:space="preserve"> 5F pigtail catheter was selected, and the dislodged catheter was towed to the inferior vena cava after the two catheters were crossed by rotating the catheter outside the body according to the natural bending at the front end of the catheter, The intravenous infusion port catheter was then successfully removed using a 5F gooseneck trap (white arrows).</w:t>
      </w:r>
    </w:p>
    <w:p w14:paraId="3CA81470" w14:textId="77777777" w:rsidR="00472268" w:rsidRDefault="00472268">
      <w:pPr>
        <w:rPr>
          <w:rFonts w:ascii="Book Antiqua" w:hAnsi="Book Antiqua" w:cs="Book Antiqua"/>
          <w:bCs/>
          <w:color w:val="000000" w:themeColor="text1"/>
          <w:lang w:eastAsia="zh-CN"/>
        </w:rPr>
      </w:pPr>
      <w:r>
        <w:rPr>
          <w:rFonts w:ascii="Book Antiqua" w:hAnsi="Book Antiqua" w:cs="Book Antiqua"/>
          <w:bCs/>
          <w:color w:val="000000" w:themeColor="text1"/>
          <w:lang w:eastAsia="zh-CN"/>
        </w:rPr>
        <w:br w:type="page"/>
      </w:r>
    </w:p>
    <w:p w14:paraId="3035912F" w14:textId="77777777" w:rsidR="00472268" w:rsidRDefault="00472268" w:rsidP="00472268">
      <w:pPr>
        <w:jc w:val="center"/>
        <w:rPr>
          <w:rFonts w:ascii="Book Antiqua" w:hAnsi="Book Antiqua"/>
          <w:lang w:eastAsia="zh-CN"/>
        </w:rPr>
      </w:pPr>
    </w:p>
    <w:p w14:paraId="120F9537" w14:textId="77777777" w:rsidR="00472268" w:rsidRDefault="00472268" w:rsidP="00472268">
      <w:pPr>
        <w:jc w:val="center"/>
        <w:rPr>
          <w:rFonts w:ascii="Book Antiqua" w:hAnsi="Book Antiqua"/>
          <w:lang w:eastAsia="zh-CN"/>
        </w:rPr>
      </w:pPr>
    </w:p>
    <w:p w14:paraId="7ADC09FC" w14:textId="77777777" w:rsidR="00472268" w:rsidRDefault="00472268" w:rsidP="00472268">
      <w:pPr>
        <w:jc w:val="center"/>
        <w:rPr>
          <w:rFonts w:ascii="Book Antiqua" w:hAnsi="Book Antiqua"/>
          <w:lang w:eastAsia="zh-CN"/>
        </w:rPr>
      </w:pPr>
    </w:p>
    <w:p w14:paraId="667812CA" w14:textId="77777777" w:rsidR="00472268" w:rsidRDefault="00472268" w:rsidP="00472268">
      <w:pPr>
        <w:jc w:val="center"/>
        <w:rPr>
          <w:rFonts w:ascii="Book Antiqua" w:hAnsi="Book Antiqua"/>
          <w:lang w:eastAsia="zh-CN"/>
        </w:rPr>
      </w:pPr>
    </w:p>
    <w:p w14:paraId="2775AE2B" w14:textId="77777777" w:rsidR="00472268" w:rsidRDefault="00472268" w:rsidP="00472268">
      <w:pPr>
        <w:jc w:val="center"/>
        <w:rPr>
          <w:rFonts w:ascii="Book Antiqua" w:hAnsi="Book Antiqua"/>
          <w:lang w:eastAsia="zh-CN"/>
        </w:rPr>
      </w:pPr>
    </w:p>
    <w:p w14:paraId="68A778D7" w14:textId="5A455D74" w:rsidR="00472268" w:rsidRDefault="00472268" w:rsidP="00472268">
      <w:pPr>
        <w:jc w:val="center"/>
        <w:rPr>
          <w:rFonts w:ascii="Book Antiqua" w:hAnsi="Book Antiqua"/>
          <w:lang w:eastAsia="zh-CN"/>
        </w:rPr>
      </w:pPr>
      <w:r>
        <w:rPr>
          <w:rFonts w:ascii="Book Antiqua" w:hAnsi="Book Antiqua"/>
          <w:noProof/>
          <w:lang w:eastAsia="zh-CN"/>
        </w:rPr>
        <w:drawing>
          <wp:inline distT="0" distB="0" distL="0" distR="0" wp14:anchorId="5DD946C9" wp14:editId="70ADE55F">
            <wp:extent cx="2497455" cy="1439545"/>
            <wp:effectExtent l="0" t="0" r="0" b="825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7BD3CC68" w14:textId="77777777" w:rsidR="00472268" w:rsidRDefault="00472268" w:rsidP="00472268">
      <w:pPr>
        <w:jc w:val="center"/>
        <w:rPr>
          <w:rFonts w:ascii="Book Antiqua" w:hAnsi="Book Antiqua"/>
          <w:lang w:eastAsia="zh-CN"/>
        </w:rPr>
      </w:pPr>
    </w:p>
    <w:p w14:paraId="0755BF1A" w14:textId="77777777" w:rsidR="00472268" w:rsidRDefault="00472268" w:rsidP="0047226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F90EBBC" w14:textId="77777777" w:rsidR="00472268" w:rsidRDefault="00472268" w:rsidP="0047226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5B07A56" w14:textId="77777777" w:rsidR="00472268" w:rsidRDefault="00472268" w:rsidP="0047226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523CF1" w14:textId="77777777" w:rsidR="00472268" w:rsidRDefault="00472268" w:rsidP="0047226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F89B3B" w14:textId="77777777" w:rsidR="00472268" w:rsidRDefault="00472268" w:rsidP="0047226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67EA51" w14:textId="77777777" w:rsidR="00472268" w:rsidRDefault="00472268" w:rsidP="0047226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49514FE" w14:textId="77777777" w:rsidR="00472268" w:rsidRDefault="00472268" w:rsidP="00472268">
      <w:pPr>
        <w:jc w:val="center"/>
        <w:rPr>
          <w:rFonts w:ascii="Book Antiqua" w:hAnsi="Book Antiqua"/>
          <w:lang w:eastAsia="zh-CN"/>
        </w:rPr>
      </w:pPr>
    </w:p>
    <w:p w14:paraId="16533FF3" w14:textId="77777777" w:rsidR="00472268" w:rsidRDefault="00472268" w:rsidP="00472268">
      <w:pPr>
        <w:jc w:val="center"/>
        <w:rPr>
          <w:rFonts w:ascii="Book Antiqua" w:hAnsi="Book Antiqua"/>
          <w:lang w:eastAsia="zh-CN"/>
        </w:rPr>
      </w:pPr>
    </w:p>
    <w:p w14:paraId="12C90181" w14:textId="77777777" w:rsidR="00472268" w:rsidRDefault="00472268" w:rsidP="00472268">
      <w:pPr>
        <w:jc w:val="center"/>
        <w:rPr>
          <w:rFonts w:ascii="Book Antiqua" w:hAnsi="Book Antiqua"/>
          <w:lang w:eastAsia="zh-CN"/>
        </w:rPr>
      </w:pPr>
    </w:p>
    <w:p w14:paraId="444B7C7E" w14:textId="779F6E1A" w:rsidR="00472268" w:rsidRDefault="00472268" w:rsidP="00472268">
      <w:pPr>
        <w:jc w:val="center"/>
        <w:rPr>
          <w:rFonts w:ascii="Book Antiqua" w:hAnsi="Book Antiqua"/>
          <w:lang w:eastAsia="zh-CN"/>
        </w:rPr>
      </w:pPr>
      <w:r>
        <w:rPr>
          <w:rFonts w:ascii="Book Antiqua" w:hAnsi="Book Antiqua"/>
          <w:noProof/>
          <w:lang w:eastAsia="zh-CN"/>
        </w:rPr>
        <w:drawing>
          <wp:inline distT="0" distB="0" distL="0" distR="0" wp14:anchorId="737D7D1C" wp14:editId="1B99D57A">
            <wp:extent cx="1446530" cy="1439545"/>
            <wp:effectExtent l="0" t="0" r="127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1EF3C451" w14:textId="77777777" w:rsidR="00472268" w:rsidRDefault="00472268" w:rsidP="00472268">
      <w:pPr>
        <w:jc w:val="center"/>
        <w:rPr>
          <w:rFonts w:ascii="Book Antiqua" w:hAnsi="Book Antiqua"/>
          <w:lang w:eastAsia="zh-CN"/>
        </w:rPr>
      </w:pPr>
    </w:p>
    <w:p w14:paraId="08BF2967" w14:textId="77777777" w:rsidR="00472268" w:rsidRDefault="00472268" w:rsidP="00472268">
      <w:pPr>
        <w:jc w:val="center"/>
        <w:rPr>
          <w:rFonts w:ascii="Book Antiqua" w:hAnsi="Book Antiqua"/>
          <w:lang w:eastAsia="zh-CN"/>
        </w:rPr>
      </w:pPr>
    </w:p>
    <w:p w14:paraId="28A3FCF5" w14:textId="77777777" w:rsidR="00472268" w:rsidRDefault="00472268" w:rsidP="00472268">
      <w:pPr>
        <w:jc w:val="center"/>
        <w:rPr>
          <w:rFonts w:ascii="Book Antiqua" w:hAnsi="Book Antiqua"/>
          <w:lang w:eastAsia="zh-CN"/>
        </w:rPr>
      </w:pPr>
    </w:p>
    <w:p w14:paraId="362C00BF" w14:textId="77777777" w:rsidR="00472268" w:rsidRDefault="00472268" w:rsidP="00472268">
      <w:pPr>
        <w:jc w:val="center"/>
        <w:rPr>
          <w:rFonts w:ascii="Book Antiqua" w:hAnsi="Book Antiqua"/>
          <w:lang w:eastAsia="zh-CN"/>
        </w:rPr>
      </w:pPr>
    </w:p>
    <w:p w14:paraId="51256CA3" w14:textId="77777777" w:rsidR="00472268" w:rsidRDefault="00472268" w:rsidP="00472268">
      <w:pPr>
        <w:jc w:val="center"/>
        <w:rPr>
          <w:rFonts w:ascii="Book Antiqua" w:hAnsi="Book Antiqua"/>
          <w:lang w:eastAsia="zh-CN"/>
        </w:rPr>
      </w:pPr>
    </w:p>
    <w:p w14:paraId="23C58D79" w14:textId="77777777" w:rsidR="00472268" w:rsidRDefault="00472268" w:rsidP="00472268">
      <w:pPr>
        <w:jc w:val="center"/>
        <w:rPr>
          <w:rFonts w:ascii="Book Antiqua" w:hAnsi="Book Antiqua"/>
          <w:lang w:eastAsia="zh-CN"/>
        </w:rPr>
      </w:pPr>
    </w:p>
    <w:p w14:paraId="6CD10FC7" w14:textId="77777777" w:rsidR="00472268" w:rsidRDefault="00472268" w:rsidP="00472268">
      <w:pPr>
        <w:jc w:val="center"/>
        <w:rPr>
          <w:rFonts w:ascii="Book Antiqua" w:hAnsi="Book Antiqua"/>
          <w:lang w:eastAsia="zh-CN"/>
        </w:rPr>
      </w:pPr>
    </w:p>
    <w:p w14:paraId="2B5747AB" w14:textId="77777777" w:rsidR="00472268" w:rsidRDefault="00472268" w:rsidP="00472268">
      <w:pPr>
        <w:jc w:val="center"/>
        <w:rPr>
          <w:rFonts w:ascii="Book Antiqua" w:hAnsi="Book Antiqua"/>
          <w:lang w:eastAsia="zh-CN"/>
        </w:rPr>
      </w:pPr>
    </w:p>
    <w:p w14:paraId="4E65470F" w14:textId="77777777" w:rsidR="00472268" w:rsidRDefault="00472268" w:rsidP="00472268">
      <w:pPr>
        <w:jc w:val="center"/>
        <w:rPr>
          <w:rFonts w:ascii="Book Antiqua" w:hAnsi="Book Antiqua"/>
          <w:lang w:eastAsia="zh-CN"/>
        </w:rPr>
      </w:pPr>
    </w:p>
    <w:p w14:paraId="1E63DF6C" w14:textId="77777777" w:rsidR="00472268" w:rsidRDefault="00472268" w:rsidP="00472268">
      <w:pPr>
        <w:jc w:val="right"/>
        <w:rPr>
          <w:rFonts w:ascii="Book Antiqua" w:hAnsi="Book Antiqua"/>
          <w:color w:val="000000" w:themeColor="text1"/>
          <w:lang w:eastAsia="zh-CN"/>
        </w:rPr>
      </w:pPr>
    </w:p>
    <w:p w14:paraId="787EE4F5" w14:textId="77777777" w:rsidR="00472268" w:rsidRDefault="00472268" w:rsidP="00472268">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89305C5" w14:textId="77777777" w:rsidR="00CA5B1D" w:rsidRPr="00472268" w:rsidRDefault="00CA5B1D">
      <w:pPr>
        <w:spacing w:line="360" w:lineRule="auto"/>
        <w:jc w:val="both"/>
        <w:rPr>
          <w:rFonts w:ascii="Book Antiqua" w:hAnsi="Book Antiqua" w:cs="Book Antiqua"/>
          <w:bCs/>
          <w:color w:val="000000" w:themeColor="text1"/>
          <w:lang w:eastAsia="zh-CN"/>
        </w:rPr>
      </w:pPr>
    </w:p>
    <w:sectPr w:rsidR="00CA5B1D" w:rsidRPr="00472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E946" w14:textId="77777777" w:rsidR="007E1AB9" w:rsidRDefault="007E1AB9">
      <w:r>
        <w:separator/>
      </w:r>
    </w:p>
  </w:endnote>
  <w:endnote w:type="continuationSeparator" w:id="0">
    <w:p w14:paraId="3E795FBB" w14:textId="77777777" w:rsidR="007E1AB9" w:rsidRDefault="007E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082331"/>
    </w:sdtPr>
    <w:sdtEndPr/>
    <w:sdtContent>
      <w:sdt>
        <w:sdtPr>
          <w:id w:val="98381352"/>
        </w:sdtPr>
        <w:sdtEndPr/>
        <w:sdtContent>
          <w:p w14:paraId="02663028" w14:textId="77777777" w:rsidR="00CA5B1D" w:rsidRDefault="00557DFF">
            <w:pPr>
              <w:pStyle w:val="a7"/>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14</w:t>
            </w:r>
            <w:r>
              <w:rPr>
                <w:rFonts w:ascii="Book Antiqua" w:hAnsi="Book Antiqua"/>
                <w:sz w:val="24"/>
                <w:szCs w:val="24"/>
              </w:rPr>
              <w:fldChar w:fldCharType="end"/>
            </w:r>
          </w:p>
        </w:sdtContent>
      </w:sdt>
    </w:sdtContent>
  </w:sdt>
  <w:p w14:paraId="25522409" w14:textId="77777777" w:rsidR="00CA5B1D" w:rsidRDefault="00CA5B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BEFE" w14:textId="77777777" w:rsidR="007E1AB9" w:rsidRDefault="007E1AB9">
      <w:r>
        <w:separator/>
      </w:r>
    </w:p>
  </w:footnote>
  <w:footnote w:type="continuationSeparator" w:id="0">
    <w:p w14:paraId="7E106289" w14:textId="77777777" w:rsidR="007E1AB9" w:rsidRDefault="007E1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687303"/>
    <w:multiLevelType w:val="singleLevel"/>
    <w:tmpl w:val="E8687303"/>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247D9067-9EC4-454C-9397-ABEDD21AD3E9}"/>
    <w:docVar w:name="KY_MEDREF_VERSION" w:val="3"/>
  </w:docVars>
  <w:rsids>
    <w:rsidRoot w:val="00A77B3E"/>
    <w:rsid w:val="00072B99"/>
    <w:rsid w:val="000E096F"/>
    <w:rsid w:val="001356F9"/>
    <w:rsid w:val="0015296D"/>
    <w:rsid w:val="00243394"/>
    <w:rsid w:val="00291B6F"/>
    <w:rsid w:val="002E5D93"/>
    <w:rsid w:val="00454C83"/>
    <w:rsid w:val="00472268"/>
    <w:rsid w:val="00557DFF"/>
    <w:rsid w:val="005630B8"/>
    <w:rsid w:val="005B1D24"/>
    <w:rsid w:val="005B48A6"/>
    <w:rsid w:val="005C5467"/>
    <w:rsid w:val="00654353"/>
    <w:rsid w:val="006B1797"/>
    <w:rsid w:val="00735A03"/>
    <w:rsid w:val="00760F3F"/>
    <w:rsid w:val="00776324"/>
    <w:rsid w:val="00794325"/>
    <w:rsid w:val="007E1AB9"/>
    <w:rsid w:val="00813FF0"/>
    <w:rsid w:val="0097146D"/>
    <w:rsid w:val="00A17262"/>
    <w:rsid w:val="00A77B3E"/>
    <w:rsid w:val="00A85163"/>
    <w:rsid w:val="00AA7424"/>
    <w:rsid w:val="00AF0882"/>
    <w:rsid w:val="00B25BB4"/>
    <w:rsid w:val="00B57536"/>
    <w:rsid w:val="00BA4A72"/>
    <w:rsid w:val="00CA2A55"/>
    <w:rsid w:val="00CA5B1D"/>
    <w:rsid w:val="00CF1BB3"/>
    <w:rsid w:val="00D93115"/>
    <w:rsid w:val="00F00328"/>
    <w:rsid w:val="00F3030F"/>
    <w:rsid w:val="113B2EFA"/>
    <w:rsid w:val="211849C2"/>
    <w:rsid w:val="2E592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FE9CCAD"/>
  <w15:docId w15:val="{7AE51650-66E1-47FB-9651-538C3A04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alloon Text"/>
    <w:basedOn w:val="a"/>
    <w:link w:val="a6"/>
    <w:qFormat/>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uiPriority w:val="99"/>
    <w:qFormat/>
    <w:rPr>
      <w:sz w:val="21"/>
      <w:szCs w:val="21"/>
    </w:rPr>
  </w:style>
  <w:style w:type="character" w:customStyle="1" w:styleId="a4">
    <w:name w:val="批注文字 字符"/>
    <w:basedOn w:val="a0"/>
    <w:link w:val="a3"/>
    <w:uiPriority w:val="99"/>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customStyle="1" w:styleId="1">
    <w:name w:val="修订1"/>
    <w:hidden/>
    <w:uiPriority w:val="99"/>
    <w:semiHidden/>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01494">
      <w:bodyDiv w:val="1"/>
      <w:marLeft w:val="0"/>
      <w:marRight w:val="0"/>
      <w:marTop w:val="0"/>
      <w:marBottom w:val="0"/>
      <w:divBdr>
        <w:top w:val="none" w:sz="0" w:space="0" w:color="auto"/>
        <w:left w:val="none" w:sz="0" w:space="0" w:color="auto"/>
        <w:bottom w:val="none" w:sz="0" w:space="0" w:color="auto"/>
        <w:right w:val="none" w:sz="0" w:space="0" w:color="auto"/>
      </w:divBdr>
    </w:div>
    <w:div w:id="153264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A7BC20-0ACB-49F4-BD6F-8FA8BD61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2305</Words>
  <Characters>13143</Characters>
  <Application>Microsoft Office Word</Application>
  <DocSecurity>0</DocSecurity>
  <Lines>109</Lines>
  <Paragraphs>30</Paragraphs>
  <ScaleCrop>false</ScaleCrop>
  <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 Jia-Hui</cp:lastModifiedBy>
  <cp:revision>7</cp:revision>
  <dcterms:created xsi:type="dcterms:W3CDTF">2021-08-31T21:54:00Z</dcterms:created>
  <dcterms:modified xsi:type="dcterms:W3CDTF">2021-10-14T11:06:00Z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B7E865A515B34C17B8927C56EE0BE52F</vt:lpwstr>
  </property>
</Properties>
</file>