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27F" w:rsidRDefault="00542EC0" w:rsidP="001736C0">
      <w:pPr>
        <w:snapToGrid w:val="0"/>
        <w:spacing w:after="0"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5F527F" w:rsidRDefault="00542EC0" w:rsidP="001736C0">
      <w:pPr>
        <w:snapToGrid w:val="0"/>
        <w:spacing w:after="0"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63962</w:t>
      </w:r>
    </w:p>
    <w:p w:rsidR="005F527F" w:rsidRDefault="00542EC0" w:rsidP="001736C0">
      <w:pPr>
        <w:snapToGrid w:val="0"/>
        <w:spacing w:after="0"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Basic Study</w:t>
      </w:r>
    </w:p>
    <w:p w:rsidR="005F527F" w:rsidRDefault="00542EC0" w:rsidP="001736C0">
      <w:pPr>
        <w:snapToGrid w:val="0"/>
        <w:spacing w:after="0" w:line="360" w:lineRule="auto"/>
        <w:jc w:val="both"/>
      </w:pPr>
      <w:r>
        <w:rPr>
          <w:rFonts w:ascii="Book Antiqua" w:eastAsia="Book Antiqua" w:hAnsi="Book Antiqua" w:cs="Book Antiqua"/>
          <w:b/>
          <w:bCs/>
          <w:color w:val="000000"/>
        </w:rPr>
        <w:t>Insight into molecular mechanisms underlying hepatic dysfunction in severe COVID-19 patients using systems biology</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Hammoudeh</w:t>
      </w:r>
      <w:r>
        <w:rPr>
          <w:rFonts w:ascii="Book Antiqua" w:eastAsia="宋体" w:hAnsi="Book Antiqua" w:cs="Book Antiqua" w:hint="eastAsia"/>
          <w:color w:val="000000"/>
          <w:lang w:eastAsia="zh-CN"/>
        </w:rPr>
        <w:t xml:space="preserve"> SM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Hepatic dysfunction mechanisms in severe COVID-19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Sarah Musa Hammoudeh, Arabella Musa Hammoudeh, Poorna Manasa Bhamidimarri, Bassam Mahboub, Rabih Halwani, Qutayba Hamid, Mohamed Rahmani, Rifat Hamoudi</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Sarah Musa Hammoudeh, Poorna Manasa Bhamidimarri, Ra</w:t>
      </w:r>
      <w:r>
        <w:rPr>
          <w:rFonts w:ascii="Book Antiqua" w:eastAsia="Book Antiqua" w:hAnsi="Book Antiqua" w:cs="Book Antiqua"/>
          <w:b/>
          <w:bCs/>
          <w:color w:val="000000"/>
        </w:rPr>
        <w:t xml:space="preserve">bih Halwani, Qutayba Hamid, Mohamed Rahmani, Rifat Hamoudi, </w:t>
      </w:r>
      <w:r>
        <w:rPr>
          <w:rFonts w:ascii="Book Antiqua" w:eastAsia="Book Antiqua" w:hAnsi="Book Antiqua" w:cs="Book Antiqua"/>
          <w:color w:val="000000"/>
        </w:rPr>
        <w:t>Sharjah Institute for Medical Research, College of Medicine, University of Sharjah, Sharjah 27272,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Sarah Musa Hammoudeh, Arabella Musa Hammoudeh, Bassam Mahboub, Rabih Halwan</w:t>
      </w:r>
      <w:r>
        <w:rPr>
          <w:rFonts w:ascii="Book Antiqua" w:eastAsia="Book Antiqua" w:hAnsi="Book Antiqua" w:cs="Book Antiqua"/>
          <w:b/>
          <w:bCs/>
          <w:color w:val="000000"/>
        </w:rPr>
        <w:t xml:space="preserve">i, Qutayba Hamid, Mohamed Rahmani, Rifat Hamoudi, </w:t>
      </w:r>
      <w:r>
        <w:rPr>
          <w:rFonts w:ascii="Book Antiqua" w:eastAsia="Book Antiqua" w:hAnsi="Book Antiqua" w:cs="Book Antiqua"/>
          <w:color w:val="000000"/>
        </w:rPr>
        <w:t>College of Medicine, University of Sharjah, Sharjah 27272,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Arabella Musa Hammoudeh, </w:t>
      </w:r>
      <w:r>
        <w:rPr>
          <w:rFonts w:ascii="Book Antiqua" w:eastAsia="Book Antiqua" w:hAnsi="Book Antiqua" w:cs="Book Antiqua"/>
          <w:color w:val="000000"/>
        </w:rPr>
        <w:t>General Surgery Department, Tawam Hospital, SEHA, Al-Ain 15258,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Bassam Mahboub</w:t>
      </w:r>
      <w:r>
        <w:rPr>
          <w:rFonts w:ascii="Book Antiqua" w:eastAsia="Book Antiqua" w:hAnsi="Book Antiqua" w:cs="Book Antiqua"/>
          <w:b/>
          <w:bCs/>
          <w:color w:val="000000"/>
        </w:rPr>
        <w:t xml:space="preserve">, </w:t>
      </w:r>
      <w:r>
        <w:rPr>
          <w:rFonts w:ascii="Book Antiqua" w:eastAsia="Book Antiqua" w:hAnsi="Book Antiqua" w:cs="Book Antiqua"/>
          <w:color w:val="000000"/>
        </w:rPr>
        <w:t>Rashid Hospital, 315 Umm Hurair Second, Dubai Health Authority, Dubai 4545, United Arab Emirates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Qutayba Hamid, </w:t>
      </w:r>
      <w:r>
        <w:rPr>
          <w:rFonts w:ascii="Book Antiqua" w:eastAsia="Book Antiqua" w:hAnsi="Book Antiqua" w:cs="Book Antiqua"/>
          <w:color w:val="000000"/>
        </w:rPr>
        <w:t>Meakins-Christie Laboratories, McGill University, Quebec H4A 3J1, Montreal, Canada</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lastRenderedPageBreak/>
        <w:t xml:space="preserve">Rifat Hamoudi, </w:t>
      </w:r>
      <w:r>
        <w:rPr>
          <w:rFonts w:ascii="Book Antiqua" w:eastAsia="Book Antiqua" w:hAnsi="Book Antiqua" w:cs="Book Antiqua"/>
          <w:color w:val="000000"/>
        </w:rPr>
        <w:t>Division of Surgery and Interventional Sci</w:t>
      </w:r>
      <w:r>
        <w:rPr>
          <w:rFonts w:ascii="Book Antiqua" w:eastAsia="Book Antiqua" w:hAnsi="Book Antiqua" w:cs="Book Antiqua"/>
          <w:color w:val="000000"/>
        </w:rPr>
        <w:t>ence, University College London, London W1W 7TY, United Kingdom</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Hammoudeh SM, Hammoudeh AM, Rahmani M, and Hamoudi R were responsible for the conception, design, and development of the methodology;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Hammoudeh SM, Hammoudeh AM, Bhamidi</w:t>
      </w:r>
      <w:r>
        <w:rPr>
          <w:rFonts w:ascii="Book Antiqua" w:eastAsia="Book Antiqua" w:hAnsi="Book Antiqua" w:cs="Book Antiqua"/>
          <w:color w:val="000000"/>
        </w:rPr>
        <w:t>marri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PM, Rahmani M, and Hamoudi R were responsible for the application of the methodology, the bioinformatics analysis and data interpretation;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Hammoudeh SM, Hammoudeh AM, Bhamidimarri PM, Mahboub B, Halwani R, Hamid Q, Rahmani M, and Hamoudi R were respo</w:t>
      </w:r>
      <w:r>
        <w:rPr>
          <w:rFonts w:ascii="Book Antiqua" w:eastAsia="Book Antiqua" w:hAnsi="Book Antiqua" w:cs="Book Antiqua"/>
          <w:color w:val="000000"/>
        </w:rPr>
        <w:t>nsible for writing and reviewing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Hamoudi R, Rahmani M, Hamid Q, and Halwani R were responsible for the supervision of the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final manuscript was approved by all authors.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University of Sharjah,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CoV19-0308, No. </w:t>
      </w:r>
      <w:r>
        <w:rPr>
          <w:rFonts w:ascii="Book Antiqua" w:eastAsia="Book Antiqua" w:hAnsi="Book Antiqua" w:cs="Book Antiqua"/>
          <w:color w:val="000000"/>
        </w:rPr>
        <w:t>CoV19-0307</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No: 1901090254; Sharjah Research Academy,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MED001; and Al-Jalila Foundation Seed Grant,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AJF202019.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Corresponding author: Rifat Hamoudi, PhD, Professor, </w:t>
      </w:r>
      <w:r>
        <w:rPr>
          <w:rFonts w:ascii="Book Antiqua" w:eastAsia="Book Antiqua" w:hAnsi="Book Antiqua" w:cs="Book Antiqua"/>
          <w:color w:val="000000"/>
        </w:rPr>
        <w:t>Sharjah Institute for Medical Research, College of Medicine, University of Sharja</w:t>
      </w:r>
      <w:r>
        <w:rPr>
          <w:rFonts w:ascii="Book Antiqua" w:eastAsia="Book Antiqua" w:hAnsi="Book Antiqua" w:cs="Book Antiqua"/>
          <w:color w:val="000000"/>
        </w:rPr>
        <w:t>h, P.O. Box, Sharjah 27272, United Arab Emirates. rhamoudi@sharjah.ac.ae</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6, 2021</w:t>
      </w: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Accepted: </w:t>
      </w:r>
      <w:r w:rsidR="00680656" w:rsidRPr="00DE1749">
        <w:rPr>
          <w:rFonts w:ascii="Book Antiqua" w:eastAsia="Book Antiqua" w:hAnsi="Book Antiqua" w:cs="Book Antiqua"/>
          <w:bCs/>
          <w:color w:val="000000"/>
        </w:rPr>
        <w:t>May 10, 2021</w:t>
      </w: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Published online: </w:t>
      </w:r>
    </w:p>
    <w:p w:rsidR="005F527F" w:rsidRDefault="005F527F" w:rsidP="001736C0">
      <w:pPr>
        <w:snapToGrid w:val="0"/>
        <w:spacing w:after="0" w:line="360" w:lineRule="auto"/>
        <w:jc w:val="both"/>
        <w:sectPr w:rsidR="005F527F">
          <w:footerReference w:type="default" r:id="rId7"/>
          <w:pgSz w:w="12240" w:h="15840"/>
          <w:pgMar w:top="1440" w:right="1440" w:bottom="1440" w:left="1440" w:header="720" w:footer="720" w:gutter="0"/>
          <w:cols w:space="720"/>
          <w:docGrid w:linePitch="360"/>
        </w:sectPr>
      </w:pPr>
    </w:p>
    <w:p w:rsidR="005F527F" w:rsidRDefault="00542EC0" w:rsidP="001736C0">
      <w:pPr>
        <w:snapToGrid w:val="0"/>
        <w:spacing w:after="0" w:line="360" w:lineRule="auto"/>
        <w:jc w:val="both"/>
      </w:pPr>
      <w:r>
        <w:rPr>
          <w:rFonts w:ascii="Book Antiqua" w:eastAsia="Book Antiqua" w:hAnsi="Book Antiqua" w:cs="Book Antiqua"/>
          <w:b/>
          <w:color w:val="000000"/>
        </w:rPr>
        <w:lastRenderedPageBreak/>
        <w:t>Abstract</w:t>
      </w:r>
    </w:p>
    <w:p w:rsidR="005F527F" w:rsidRDefault="00542EC0" w:rsidP="001736C0">
      <w:pPr>
        <w:snapToGrid w:val="0"/>
        <w:spacing w:after="0" w:line="360" w:lineRule="auto"/>
        <w:jc w:val="both"/>
      </w:pPr>
      <w:r>
        <w:rPr>
          <w:rFonts w:ascii="Book Antiqua" w:eastAsia="Book Antiqua" w:hAnsi="Book Antiqua" w:cs="Book Antiqua"/>
          <w:color w:val="000000"/>
        </w:rPr>
        <w:t>BACKGROUND</w:t>
      </w:r>
    </w:p>
    <w:p w:rsidR="005F527F" w:rsidRDefault="00542EC0" w:rsidP="001736C0">
      <w:pPr>
        <w:snapToGrid w:val="0"/>
        <w:spacing w:after="0" w:line="360" w:lineRule="auto"/>
        <w:jc w:val="both"/>
      </w:pPr>
      <w:r>
        <w:rPr>
          <w:rFonts w:ascii="Book Antiqua" w:eastAsia="Book Antiqua" w:hAnsi="Book Antiqua" w:cs="Book Antiqua"/>
          <w:color w:val="000000"/>
        </w:rPr>
        <w:t>The coronavirus disease 2019 (COVID-19), a pandemic contributing to more than 105 million cases and more than 2.3 million deaths worldwide, was described to be frequently accompanied by extrapulmonary manifestations, includi</w:t>
      </w:r>
      <w:r>
        <w:rPr>
          <w:rFonts w:ascii="Book Antiqua" w:eastAsia="Book Antiqua" w:hAnsi="Book Antiqua" w:cs="Book Antiqua"/>
          <w:color w:val="000000"/>
        </w:rPr>
        <w:t xml:space="preserve">ng liver dysfunction. Liver dysfunction and elevated liver enzymes were observed in about 53% of COVID-19 patients.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AIM</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To gain insight into transcriptional abnormalities in liver tissue of severe COVID-19 patients that may result in liver dysfunction.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METHODS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transcriptome of liver autopsy samples from severe COVID-19 patients against those of non-COVID donors was analyzed. Differentially expressed genes were identified from normalized RNA-seq data and analyzed for the enrichment of functional </w:t>
      </w:r>
      <w:r>
        <w:rPr>
          <w:rFonts w:ascii="Book Antiqua" w:eastAsia="Book Antiqua" w:hAnsi="Book Antiqua" w:cs="Book Antiqua"/>
          <w:color w:val="000000"/>
        </w:rPr>
        <w:t>clusters and pathways. The differentially expressed genes were then compared against the genetic signatures of liver diseases including cirrhosis, fibrosis, non-alcoholic fatty liver disease (NAFLD), and hepatitis A/B/C. Gene expression of some differentia</w:t>
      </w:r>
      <w:r>
        <w:rPr>
          <w:rFonts w:ascii="Book Antiqua" w:eastAsia="Book Antiqua" w:hAnsi="Book Antiqua" w:cs="Book Antiqua"/>
          <w:color w:val="000000"/>
        </w:rPr>
        <w:t>lly expressed genes was assessed in the blood samples of severe COVID-19 patients with liver dysfunction using qRT-PCR.</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RESULTS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Analysis of the differential transcriptome of the liver tissue of severe COVID-19 patients revealed a significant upregulation of transcripts implicated in tissue remodeling including G-coupled protein receptors family genes,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Concordantly, the differential transcriptome of severe COVID-19 liver tissues substantially overlapped with the disease signature of liver diseases characterized with pathological tissue remodeling (liver cirrhosis, Fibrosis, NAFLD, and hepatitis A/B/C). </w:t>
      </w:r>
      <w:r>
        <w:rPr>
          <w:rFonts w:ascii="Book Antiqua" w:eastAsia="Book Antiqua" w:hAnsi="Book Antiqua" w:cs="Book Antiqua"/>
          <w:color w:val="000000"/>
        </w:rPr>
        <w:lastRenderedPageBreak/>
        <w:t>M</w:t>
      </w:r>
      <w:r>
        <w:rPr>
          <w:rFonts w:ascii="Book Antiqua" w:eastAsia="Book Antiqua" w:hAnsi="Book Antiqua" w:cs="Book Antiqua"/>
          <w:color w:val="000000"/>
        </w:rPr>
        <w:t xml:space="preserve">oreover, we observed a significant suppression of transcripts implicated in metabolic pathways as well as mitochondrial function, including cytochrome P450 family members,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Consequently, drug and xenobiotics metabolism pathway</w:t>
      </w:r>
      <w:r>
        <w:rPr>
          <w:rFonts w:ascii="Book Antiqua" w:eastAsia="Book Antiqua" w:hAnsi="Book Antiqua" w:cs="Book Antiqua"/>
          <w:color w:val="000000"/>
        </w:rPr>
        <w:t xml:space="preserve">s are significantly suppressed suggesting a decrease in liver detoxification capacity. In correspondence with the RNA-seq data analysis, we observed a significant upregulation of </w:t>
      </w:r>
      <w:r>
        <w:rPr>
          <w:rFonts w:ascii="Book Antiqua" w:eastAsia="Book Antiqua" w:hAnsi="Book Antiqua" w:cs="Book Antiqua"/>
          <w:i/>
          <w:iCs/>
          <w:color w:val="000000"/>
        </w:rPr>
        <w:t>DNAJB1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HSP90AB1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well as significant downregulation of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b</w:t>
      </w:r>
      <w:r>
        <w:rPr>
          <w:rFonts w:ascii="Book Antiqua" w:eastAsia="Book Antiqua" w:hAnsi="Book Antiqua" w:cs="Book Antiqua"/>
          <w:color w:val="000000"/>
        </w:rPr>
        <w:t>lood plasma of severe COVID-19 patients with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CONCLUSION</w:t>
      </w:r>
    </w:p>
    <w:p w:rsidR="005F527F" w:rsidRDefault="00542EC0" w:rsidP="001736C0">
      <w:pPr>
        <w:snapToGrid w:val="0"/>
        <w:spacing w:after="0" w:line="360" w:lineRule="auto"/>
        <w:jc w:val="both"/>
      </w:pPr>
      <w:r>
        <w:rPr>
          <w:rFonts w:ascii="Book Antiqua" w:eastAsia="Book Antiqua" w:hAnsi="Book Antiqua" w:cs="Book Antiqua"/>
          <w:color w:val="000000"/>
        </w:rPr>
        <w:t>Severe COVID-19 patients appear to experience significant transcriptional shift that may ensue tissue remodeling, mitochondrial dysfunction and lower hepatic detoxification resulti</w:t>
      </w:r>
      <w:r>
        <w:rPr>
          <w:rFonts w:ascii="Book Antiqua" w:eastAsia="Book Antiqua" w:hAnsi="Book Antiqua" w:cs="Book Antiqua"/>
          <w:color w:val="000000"/>
        </w:rPr>
        <w:t xml:space="preserve">ng in the clinically observed liver dysfunction.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Hepatic dysfunction; Tissue remodeling; Metabolic pathways; Drug metabolism; Hepatic detoxification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color w:val="000000"/>
        </w:rPr>
        <w:t>Hammoudeh SM, Hammoudeh AM, Bhamidimarri PM, Mahboub B, Halwani R, Hamid Q, Rahmani</w:t>
      </w:r>
      <w:r>
        <w:rPr>
          <w:rFonts w:ascii="Book Antiqua" w:eastAsia="Book Antiqua" w:hAnsi="Book Antiqua" w:cs="Book Antiqua"/>
          <w:color w:val="000000"/>
        </w:rPr>
        <w:t xml:space="preserve"> M, Hamoudi R. Insight into molecular mechanisms underlying hepatic dysfunction in severe COVID-19 patients using systems biology.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Liver dysfunction was frequently observed in severe coronavirus disease 2019 </w:t>
      </w:r>
      <w:r>
        <w:rPr>
          <w:rFonts w:ascii="Book Antiqua" w:eastAsia="Book Antiqua" w:hAnsi="Book Antiqua" w:cs="Book Antiqua"/>
          <w:color w:val="000000"/>
        </w:rPr>
        <w:t>(COVID-19) patients. However, the mechanism through which severe acute respiratory syndrome coronavirus 2 potentially elicits liver function abnormality is not fully understood. We report a thorough analysis of changes occurring at the gene expression leve</w:t>
      </w:r>
      <w:r>
        <w:rPr>
          <w:rFonts w:ascii="Book Antiqua" w:eastAsia="Book Antiqua" w:hAnsi="Book Antiqua" w:cs="Book Antiqua"/>
          <w:color w:val="000000"/>
        </w:rPr>
        <w:t>l in liver tissue of severe COVID-19 patients. Our findings suggest that severe COVID-19 patients may have a lower hepatic detoxification capacity and may experience liver tissue remodeling resulting in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lastRenderedPageBreak/>
        <w:t>INTRODUCTION</w:t>
      </w:r>
    </w:p>
    <w:p w:rsidR="005F527F" w:rsidRPr="005243D5" w:rsidRDefault="00542EC0" w:rsidP="001736C0">
      <w:pPr>
        <w:snapToGrid w:val="0"/>
        <w:spacing w:after="0" w:line="360" w:lineRule="auto"/>
        <w:jc w:val="both"/>
      </w:pPr>
      <w:r w:rsidRPr="005243D5">
        <w:rPr>
          <w:rFonts w:ascii="Book Antiqua" w:eastAsia="Book Antiqua" w:hAnsi="Book Antiqua" w:cs="Book Antiqua"/>
          <w:color w:val="000000"/>
        </w:rPr>
        <w:t>The coronavirus dise</w:t>
      </w:r>
      <w:r w:rsidRPr="005243D5">
        <w:rPr>
          <w:rFonts w:ascii="Book Antiqua" w:eastAsia="Book Antiqua" w:hAnsi="Book Antiqua" w:cs="Book Antiqua"/>
          <w:color w:val="000000"/>
        </w:rPr>
        <w:t>ase 2019 (COVID-19) pandemic resulted in 105 million coronavirus cases and more than 43 million coronavirus cases and more than 2.3 million deaths worldwide to date</w:t>
      </w:r>
      <w:r w:rsidRPr="005243D5">
        <w:rPr>
          <w:rFonts w:ascii="Book Antiqua" w:eastAsia="Book Antiqua" w:hAnsi="Book Antiqua" w:cs="Book Antiqua"/>
          <w:color w:val="000000"/>
          <w:szCs w:val="36"/>
          <w:vertAlign w:val="superscript"/>
        </w:rPr>
        <w:t>[</w:t>
      </w:r>
      <w:hyperlink w:anchor="_ENREF_1" w:tooltip="Organization, 2020 #427" w:history="1">
        <w:r w:rsidRPr="005243D5">
          <w:rPr>
            <w:rFonts w:ascii="Book Antiqua" w:eastAsia="Book Antiqua" w:hAnsi="Book Antiqua" w:cs="Book Antiqua"/>
            <w:color w:val="000000"/>
            <w:szCs w:val="36"/>
            <w:vertAlign w:val="superscript"/>
          </w:rPr>
          <w:t>1</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xml:space="preserve">. The presentation of COVID-19 </w:t>
      </w:r>
      <w:r w:rsidRPr="005243D5">
        <w:rPr>
          <w:rFonts w:ascii="Book Antiqua" w:eastAsia="Book Antiqua" w:hAnsi="Book Antiqua" w:cs="Book Antiqua"/>
          <w:color w:val="000000"/>
        </w:rPr>
        <w:t>varies in severity degree ranging from asymptomatic or mildly symptomatic to severe disease with pulmonary and extrapulmonary findings (</w:t>
      </w:r>
      <w:r w:rsidRPr="005243D5">
        <w:rPr>
          <w:rFonts w:ascii="Book Antiqua" w:eastAsia="Book Antiqua" w:hAnsi="Book Antiqua" w:cs="Book Antiqua"/>
          <w:i/>
          <w:iCs/>
          <w:color w:val="000000"/>
        </w:rPr>
        <w:t>e.g.</w:t>
      </w:r>
      <w:r w:rsidR="005243D5" w:rsidRPr="005243D5">
        <w:rPr>
          <w:rFonts w:ascii="Book Antiqua" w:eastAsia="Book Antiqua" w:hAnsi="Book Antiqua" w:cs="Book Antiqua"/>
          <w:iCs/>
          <w:color w:val="000000"/>
        </w:rPr>
        <w:t>,</w:t>
      </w:r>
      <w:r w:rsidRPr="005243D5">
        <w:rPr>
          <w:rFonts w:ascii="Book Antiqua" w:eastAsia="宋体" w:hAnsi="Book Antiqua" w:cs="Book Antiqua" w:hint="eastAsia"/>
          <w:color w:val="000000"/>
          <w:lang w:eastAsia="zh-CN"/>
        </w:rPr>
        <w:t xml:space="preserve"> </w:t>
      </w:r>
      <w:r w:rsidRPr="005243D5">
        <w:rPr>
          <w:rFonts w:ascii="Book Antiqua" w:eastAsia="Book Antiqua" w:hAnsi="Book Antiqua" w:cs="Book Antiqua"/>
          <w:color w:val="000000"/>
        </w:rPr>
        <w:t>hepatic function impairment, kidney failure and heart failure)</w:t>
      </w:r>
      <w:r w:rsidRPr="005243D5">
        <w:rPr>
          <w:rFonts w:ascii="Book Antiqua" w:eastAsia="Book Antiqua" w:hAnsi="Book Antiqua" w:cs="Book Antiqua"/>
          <w:color w:val="000000"/>
          <w:szCs w:val="36"/>
          <w:vertAlign w:val="superscript"/>
        </w:rPr>
        <w:t>[</w:t>
      </w:r>
      <w:hyperlink w:anchor="_ENREF_2" w:tooltip="Lin, 2020 #672" w:history="1">
        <w:r w:rsidRPr="005243D5">
          <w:rPr>
            <w:rFonts w:ascii="Book Antiqua" w:eastAsia="Book Antiqua" w:hAnsi="Book Antiqua" w:cs="Book Antiqua"/>
            <w:color w:val="000000"/>
            <w:szCs w:val="36"/>
            <w:vertAlign w:val="superscript"/>
          </w:rPr>
          <w:t>2</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xml:space="preserve">. </w:t>
      </w:r>
      <w:r w:rsidRPr="005243D5">
        <w:rPr>
          <w:rFonts w:ascii="Book Antiqua" w:eastAsia="Book Antiqua" w:hAnsi="Book Antiqua" w:cs="Book Antiqua"/>
          <w:color w:val="000000"/>
        </w:rPr>
        <w:t>Multiple studies reported elevated levels of liver enzymes (</w:t>
      </w:r>
      <w:r w:rsidRPr="005243D5">
        <w:rPr>
          <w:rFonts w:ascii="Book Antiqua" w:eastAsia="Book Antiqua" w:hAnsi="Book Antiqua" w:cs="Book Antiqua"/>
          <w:i/>
          <w:iCs/>
          <w:color w:val="000000"/>
        </w:rPr>
        <w:t>e.g</w:t>
      </w:r>
      <w:r w:rsidRPr="005243D5">
        <w:rPr>
          <w:rFonts w:ascii="Book Antiqua" w:eastAsia="Book Antiqua" w:hAnsi="Book Antiqua" w:cs="Book Antiqua"/>
          <w:color w:val="000000"/>
        </w:rPr>
        <w:t>. aminotransferases and bilirubin) in up to 53% of COVID-19 patients</w:t>
      </w:r>
      <w:r w:rsidRPr="005243D5">
        <w:rPr>
          <w:rFonts w:ascii="Book Antiqua" w:eastAsia="Book Antiqua" w:hAnsi="Book Antiqua" w:cs="Book Antiqua"/>
          <w:color w:val="000000"/>
          <w:szCs w:val="36"/>
          <w:vertAlign w:val="superscript"/>
        </w:rPr>
        <w:t>[</w:t>
      </w:r>
      <w:hyperlink w:anchor="_ENREF_3" w:tooltip="Shi, 2020 #602" w:history="1">
        <w:r w:rsidRPr="005243D5">
          <w:rPr>
            <w:rFonts w:ascii="Book Antiqua" w:eastAsia="Book Antiqua" w:hAnsi="Book Antiqua" w:cs="Book Antiqua"/>
            <w:color w:val="000000"/>
            <w:szCs w:val="36"/>
            <w:vertAlign w:val="superscript"/>
          </w:rPr>
          <w:t>3</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and others reported cases of acute liver injury and liver failure in res</w:t>
      </w:r>
      <w:r w:rsidRPr="005243D5">
        <w:rPr>
          <w:rFonts w:ascii="Book Antiqua" w:eastAsia="Book Antiqua" w:hAnsi="Book Antiqua" w:cs="Book Antiqua"/>
          <w:color w:val="000000"/>
        </w:rPr>
        <w:t>ponse to SARS-CoV-2 infection</w:t>
      </w:r>
      <w:r w:rsidRPr="005243D5">
        <w:rPr>
          <w:rFonts w:ascii="Book Antiqua" w:eastAsia="Book Antiqua" w:hAnsi="Book Antiqua" w:cs="Book Antiqua"/>
          <w:color w:val="000000"/>
          <w:szCs w:val="36"/>
          <w:vertAlign w:val="superscript"/>
        </w:rPr>
        <w:t>[</w:t>
      </w:r>
      <w:hyperlink w:anchor="_ENREF_2" w:tooltip="Lin, 2020 #672" w:history="1">
        <w:r w:rsidRPr="005243D5">
          <w:rPr>
            <w:rFonts w:ascii="Book Antiqua" w:eastAsia="Book Antiqua" w:hAnsi="Book Antiqua" w:cs="Book Antiqua"/>
            <w:color w:val="000000"/>
            <w:szCs w:val="36"/>
            <w:vertAlign w:val="superscript"/>
          </w:rPr>
          <w:t>2</w:t>
        </w:r>
      </w:hyperlink>
      <w:r w:rsidRPr="005243D5">
        <w:rPr>
          <w:rFonts w:ascii="Book Antiqua" w:eastAsia="Book Antiqua" w:hAnsi="Book Antiqua" w:cs="Book Antiqua"/>
          <w:color w:val="000000"/>
          <w:szCs w:val="36"/>
          <w:vertAlign w:val="superscript"/>
        </w:rPr>
        <w:t>,</w:t>
      </w:r>
      <w:hyperlink w:anchor="_ENREF_4" w:tooltip="Weber, 2020 #423" w:history="1">
        <w:r w:rsidRPr="005243D5">
          <w:rPr>
            <w:rFonts w:ascii="Book Antiqua" w:eastAsia="Book Antiqua" w:hAnsi="Book Antiqua" w:cs="Book Antiqua"/>
            <w:color w:val="000000"/>
            <w:szCs w:val="36"/>
            <w:vertAlign w:val="superscript"/>
          </w:rPr>
          <w:t>4</w:t>
        </w:r>
      </w:hyperlink>
      <w:r w:rsidRPr="005243D5">
        <w:rPr>
          <w:rFonts w:ascii="Book Antiqua" w:eastAsia="Book Antiqua" w:hAnsi="Book Antiqua" w:cs="Book Antiqua"/>
          <w:color w:val="000000"/>
          <w:szCs w:val="36"/>
          <w:vertAlign w:val="superscript"/>
        </w:rPr>
        <w:t>,</w:t>
      </w:r>
      <w:hyperlink w:anchor="_ENREF_5" w:tooltip="Chen, 2020 #604" w:history="1">
        <w:r w:rsidRPr="005243D5">
          <w:rPr>
            <w:rFonts w:ascii="Book Antiqua" w:eastAsia="Book Antiqua" w:hAnsi="Book Antiqua" w:cs="Book Antiqua"/>
            <w:color w:val="000000"/>
            <w:szCs w:val="36"/>
            <w:vertAlign w:val="superscript"/>
          </w:rPr>
          <w:t>5</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Therefore, in consideration of the continuously rising number of COVID-</w:t>
      </w:r>
      <w:r w:rsidRPr="005243D5">
        <w:rPr>
          <w:rFonts w:ascii="Book Antiqua" w:eastAsia="Book Antiqua" w:hAnsi="Book Antiqua" w:cs="Book Antiqua"/>
          <w:color w:val="000000"/>
        </w:rPr>
        <w:t>19 cases worldwide, COVID-19 has contributed to a significant increase in the incidence of liver dysfunction globally.</w:t>
      </w:r>
    </w:p>
    <w:p w:rsidR="005F527F" w:rsidRPr="005243D5" w:rsidRDefault="00542EC0" w:rsidP="001736C0">
      <w:pPr>
        <w:snapToGrid w:val="0"/>
        <w:spacing w:after="0" w:line="360" w:lineRule="auto"/>
        <w:ind w:firstLine="720"/>
        <w:jc w:val="both"/>
      </w:pPr>
      <w:r w:rsidRPr="005243D5">
        <w:rPr>
          <w:rFonts w:ascii="Book Antiqua" w:eastAsia="Book Antiqua" w:hAnsi="Book Antiqua" w:cs="Book Antiqua"/>
          <w:color w:val="000000"/>
        </w:rPr>
        <w:t>The incidence of liver dysfunction in COVID-19 patients was found to correlate with the severity of the disease, with a higher prevalence</w:t>
      </w:r>
      <w:r w:rsidRPr="005243D5">
        <w:rPr>
          <w:rFonts w:ascii="Book Antiqua" w:eastAsia="Book Antiqua" w:hAnsi="Book Antiqua" w:cs="Book Antiqua"/>
          <w:color w:val="000000"/>
        </w:rPr>
        <w:t xml:space="preserve"> in severe COVID-19 cases than non-severe COVID-19 cases and requiring the administration of liver protective drugs</w:t>
      </w:r>
      <w:r w:rsidRPr="005243D5">
        <w:rPr>
          <w:rFonts w:ascii="Book Antiqua" w:eastAsia="Book Antiqua" w:hAnsi="Book Antiqua" w:cs="Book Antiqua"/>
          <w:color w:val="000000"/>
          <w:szCs w:val="36"/>
          <w:vertAlign w:val="superscript"/>
        </w:rPr>
        <w:t>[</w:t>
      </w:r>
      <w:hyperlink w:anchor="_ENREF_6" w:tooltip="Zhang, 2020 #615" w:history="1">
        <w:r w:rsidRPr="005243D5">
          <w:rPr>
            <w:rFonts w:ascii="Book Antiqua" w:eastAsia="Book Antiqua" w:hAnsi="Book Antiqua" w:cs="Book Antiqua"/>
            <w:color w:val="000000"/>
            <w:szCs w:val="36"/>
            <w:vertAlign w:val="superscript"/>
          </w:rPr>
          <w:t>6</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Moreover, therapeutic agents administered to COVID-19 patients were shown to independe</w:t>
      </w:r>
      <w:r w:rsidRPr="005243D5">
        <w:rPr>
          <w:rFonts w:ascii="Book Antiqua" w:eastAsia="Book Antiqua" w:hAnsi="Book Antiqua" w:cs="Book Antiqua"/>
          <w:color w:val="000000"/>
        </w:rPr>
        <w:t>ntly correlate with increased elevation of aminotransferases levels indicating dysregulated hepatic drug metabolism and consequent hepatotoxicity</w:t>
      </w:r>
      <w:r w:rsidRPr="005243D5">
        <w:rPr>
          <w:rFonts w:ascii="Book Antiqua" w:eastAsia="Book Antiqua" w:hAnsi="Book Antiqua" w:cs="Book Antiqua"/>
          <w:color w:val="000000"/>
          <w:szCs w:val="36"/>
          <w:vertAlign w:val="superscript"/>
        </w:rPr>
        <w:t>[</w:t>
      </w:r>
      <w:hyperlink w:anchor="_ENREF_7" w:tooltip="Yip, 2020 #600" w:history="1">
        <w:r w:rsidRPr="005243D5">
          <w:rPr>
            <w:rFonts w:ascii="Book Antiqua" w:eastAsia="Book Antiqua" w:hAnsi="Book Antiqua" w:cs="Book Antiqua"/>
            <w:color w:val="000000"/>
            <w:szCs w:val="36"/>
            <w:vertAlign w:val="superscript"/>
          </w:rPr>
          <w:t>7</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 Therefore, understanding the mechanism through which sever</w:t>
      </w:r>
      <w:r w:rsidRPr="005243D5">
        <w:rPr>
          <w:rFonts w:ascii="Book Antiqua" w:eastAsia="Book Antiqua" w:hAnsi="Book Antiqua" w:cs="Book Antiqua"/>
          <w:color w:val="000000"/>
        </w:rPr>
        <w:t>e acute respiratory syndrome coronavirus 2 (SARS-CoV2) infection results in hepatic dysfunction can contribute to patient management and prognosis.</w:t>
      </w:r>
    </w:p>
    <w:p w:rsidR="005F527F" w:rsidRPr="005243D5" w:rsidRDefault="00542EC0" w:rsidP="001736C0">
      <w:pPr>
        <w:snapToGrid w:val="0"/>
        <w:spacing w:after="0" w:line="360" w:lineRule="auto"/>
        <w:ind w:firstLine="720"/>
        <w:jc w:val="both"/>
      </w:pPr>
      <w:r w:rsidRPr="005243D5">
        <w:rPr>
          <w:rFonts w:ascii="Book Antiqua" w:eastAsia="Book Antiqua" w:hAnsi="Book Antiqua" w:cs="Book Antiqua"/>
          <w:color w:val="000000"/>
        </w:rPr>
        <w:t>The observed hepatic dysfunction was speculated to be either a result of liver injury caused by direct effec</w:t>
      </w:r>
      <w:r w:rsidRPr="005243D5">
        <w:rPr>
          <w:rFonts w:ascii="Book Antiqua" w:eastAsia="Book Antiqua" w:hAnsi="Book Antiqua" w:cs="Book Antiqua"/>
          <w:color w:val="000000"/>
        </w:rPr>
        <w:t>t of the virus, organ injury induced by drugs used to treat COVID-19 patients, cytokine storm consequence, or sequelae of multi organ damage caused by severe disease</w:t>
      </w:r>
      <w:r w:rsidRPr="005243D5">
        <w:rPr>
          <w:rFonts w:ascii="Book Antiqua" w:eastAsia="Book Antiqua" w:hAnsi="Book Antiqua" w:cs="Book Antiqua"/>
          <w:color w:val="000000"/>
          <w:szCs w:val="36"/>
          <w:vertAlign w:val="superscript"/>
        </w:rPr>
        <w:t>[</w:t>
      </w:r>
      <w:hyperlink w:anchor="_ENREF_8" w:tooltip="Jothimani,  #605" w:history="1">
        <w:r w:rsidRPr="005243D5">
          <w:rPr>
            <w:rFonts w:ascii="Book Antiqua" w:eastAsia="Book Antiqua" w:hAnsi="Book Antiqua" w:cs="Book Antiqua"/>
            <w:color w:val="000000"/>
            <w:szCs w:val="36"/>
            <w:vertAlign w:val="superscript"/>
          </w:rPr>
          <w:t>8</w:t>
        </w:r>
      </w:hyperlink>
      <w:r w:rsidRPr="005243D5">
        <w:rPr>
          <w:rFonts w:ascii="Book Antiqua" w:eastAsia="Book Antiqua" w:hAnsi="Book Antiqua" w:cs="Book Antiqua"/>
          <w:color w:val="000000"/>
          <w:szCs w:val="36"/>
          <w:vertAlign w:val="superscript"/>
        </w:rPr>
        <w:t>]</w:t>
      </w:r>
      <w:r w:rsidRPr="005243D5">
        <w:rPr>
          <w:rFonts w:ascii="Book Antiqua" w:eastAsia="Book Antiqua" w:hAnsi="Book Antiqua" w:cs="Book Antiqua"/>
          <w:color w:val="000000"/>
        </w:rPr>
        <w:t>.</w:t>
      </w:r>
      <w:r w:rsidRPr="005243D5">
        <w:rPr>
          <w:rFonts w:ascii="Book Antiqua" w:eastAsia="宋体" w:hAnsi="Book Antiqua" w:cs="Book Antiqua" w:hint="eastAsia"/>
          <w:color w:val="000000"/>
          <w:lang w:eastAsia="zh-CN"/>
        </w:rPr>
        <w:t xml:space="preserve"> </w:t>
      </w:r>
      <w:r w:rsidRPr="005243D5">
        <w:rPr>
          <w:rFonts w:ascii="Book Antiqua" w:eastAsia="Book Antiqua" w:hAnsi="Book Antiqua" w:cs="Book Antiqua"/>
          <w:color w:val="000000"/>
        </w:rPr>
        <w:t>However, the mechanism through which</w:t>
      </w:r>
      <w:r w:rsidRPr="005243D5">
        <w:rPr>
          <w:rFonts w:ascii="Book Antiqua" w:eastAsia="Book Antiqua" w:hAnsi="Book Antiqua" w:cs="Book Antiqua"/>
          <w:color w:val="000000"/>
        </w:rPr>
        <w:t xml:space="preserve"> SARS-CoV-2 potentially elicits liver function abnormality is yet to be clearly understood. Therefore, the main aim of this study is to gain some insight into the molecular mechanisms employed by SARS-CoV-2 infection to induce liver dysfunction. In this st</w:t>
      </w:r>
      <w:r w:rsidRPr="005243D5">
        <w:rPr>
          <w:rFonts w:ascii="Book Antiqua" w:eastAsia="Book Antiqua" w:hAnsi="Book Antiqua" w:cs="Book Antiqua"/>
          <w:color w:val="000000"/>
        </w:rPr>
        <w:t xml:space="preserve">udy, we </w:t>
      </w:r>
      <w:r w:rsidRPr="005243D5">
        <w:rPr>
          <w:rFonts w:ascii="Book Antiqua" w:eastAsia="Book Antiqua" w:hAnsi="Book Antiqua" w:cs="Book Antiqua"/>
          <w:color w:val="000000"/>
        </w:rPr>
        <w:lastRenderedPageBreak/>
        <w:t>analyzed the transcriptome of liver autopsy samples from severe COVID-19 patients to identify significantly affected cellular pathways and processes.</w:t>
      </w:r>
    </w:p>
    <w:p w:rsidR="005F527F"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MATERIALS AND METHODS</w:t>
      </w:r>
    </w:p>
    <w:p w:rsidR="005F527F" w:rsidRDefault="00542EC0" w:rsidP="001736C0">
      <w:pPr>
        <w:snapToGrid w:val="0"/>
        <w:spacing w:after="0" w:line="360" w:lineRule="auto"/>
        <w:jc w:val="both"/>
      </w:pPr>
      <w:r>
        <w:rPr>
          <w:rFonts w:ascii="Book Antiqua" w:eastAsia="Book Antiqua" w:hAnsi="Book Antiqua" w:cs="Book Antiqua"/>
          <w:b/>
          <w:bCs/>
          <w:i/>
          <w:iCs/>
          <w:color w:val="000000"/>
        </w:rPr>
        <w:t>RNA-seq Datasets retrieval</w:t>
      </w:r>
    </w:p>
    <w:p w:rsidR="005F527F" w:rsidRDefault="00542EC0" w:rsidP="001736C0">
      <w:pPr>
        <w:snapToGrid w:val="0"/>
        <w:spacing w:after="0" w:line="360" w:lineRule="auto"/>
        <w:jc w:val="both"/>
      </w:pPr>
      <w:r>
        <w:rPr>
          <w:rFonts w:ascii="Book Antiqua" w:eastAsia="Book Antiqua" w:hAnsi="Book Antiqua" w:cs="Book Antiqua"/>
          <w:color w:val="000000"/>
        </w:rPr>
        <w:t>Datasets were retrieved from Gene Expression Omn</w:t>
      </w:r>
      <w:r>
        <w:rPr>
          <w:rFonts w:ascii="Book Antiqua" w:eastAsia="Book Antiqua" w:hAnsi="Book Antiqua" w:cs="Book Antiqua"/>
          <w:color w:val="000000"/>
        </w:rPr>
        <w:t xml:space="preserve">ibus for lung and liver autopsy samples from 12 patients severely infected with SARS-CoV-2 (GSE150316) (42 lung samples and 6 liver samples; Table 1), and lung and liver autopsy samples from 4 non-infected Caucasian male donors (GSE112356) (4 lung samples </w:t>
      </w:r>
      <w:r>
        <w:rPr>
          <w:rFonts w:ascii="Book Antiqua" w:eastAsia="Book Antiqua" w:hAnsi="Book Antiqua" w:cs="Book Antiqua"/>
          <w:color w:val="000000"/>
        </w:rPr>
        <w:t>and 4 liver samples; Table 1). The COVID-19 autopsy samples were reported by the authors depositing the dataset</w:t>
      </w:r>
      <w:r>
        <w:rPr>
          <w:rFonts w:ascii="Book Antiqua" w:eastAsia="Book Antiqua" w:hAnsi="Book Antiqua" w:cs="Book Antiqua"/>
          <w:color w:val="000000"/>
          <w:szCs w:val="36"/>
          <w:vertAlign w:val="superscript"/>
        </w:rPr>
        <w:t>[</w:t>
      </w:r>
      <w:hyperlink w:anchor="_ENREF_9" w:tooltip="Desai, 2020 #623" w:history="1">
        <w:r>
          <w:rPr>
            <w:rFonts w:ascii="Book Antiqua" w:eastAsia="Book Antiqua" w:hAnsi="Book Antiqua" w:cs="Book Antiqua"/>
            <w:color w:val="000000"/>
            <w:szCs w:val="36"/>
            <w:u w:val="single" w:color="000000"/>
            <w:vertAlign w:val="superscript"/>
          </w:rPr>
          <w:t>9</w:t>
        </w:r>
      </w:hyperlink>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be from donors with severe COVID-19 symptoms. The patients were hospitalized, required m</w:t>
      </w:r>
      <w:r>
        <w:rPr>
          <w:rFonts w:ascii="Book Antiqua" w:eastAsia="Book Antiqua" w:hAnsi="Book Antiqua" w:cs="Book Antiqua"/>
          <w:color w:val="000000"/>
        </w:rPr>
        <w:t>echanical ventilation (9 out of 12 cases), and presented with elevated levels of D-Dimer (Cases 1-10 and 12), CRP (Cases 1-10 and 12), and AST (Cases 2-10 and 12).</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Bioinformatics analysis and identification of differentially expressed genes</w:t>
      </w:r>
    </w:p>
    <w:p w:rsidR="005F527F" w:rsidRDefault="00542EC0" w:rsidP="001736C0">
      <w:pPr>
        <w:snapToGrid w:val="0"/>
        <w:spacing w:after="0" w:line="360" w:lineRule="auto"/>
        <w:jc w:val="both"/>
      </w:pPr>
      <w:r>
        <w:rPr>
          <w:rFonts w:ascii="Book Antiqua" w:eastAsia="Book Antiqua" w:hAnsi="Book Antiqua" w:cs="Book Antiqua"/>
          <w:color w:val="000000"/>
        </w:rPr>
        <w:t>The general wo</w:t>
      </w:r>
      <w:r>
        <w:rPr>
          <w:rFonts w:ascii="Book Antiqua" w:eastAsia="Book Antiqua" w:hAnsi="Book Antiqua" w:cs="Book Antiqua"/>
          <w:color w:val="000000"/>
        </w:rPr>
        <w:t xml:space="preserve">rkflow is summarized in Figure 1. Initially, raw gene counts data were retrieved from the deposited datasets and the successfully mapped genes overlapping between the samples from both datasets (28131 genes) were filtered and normalized using the quantile </w:t>
      </w:r>
      <w:r>
        <w:rPr>
          <w:rFonts w:ascii="Book Antiqua" w:eastAsia="Book Antiqua" w:hAnsi="Book Antiqua" w:cs="Book Antiqua"/>
          <w:color w:val="000000"/>
        </w:rPr>
        <w:t>normalization function in AltAnalyze software</w:t>
      </w:r>
      <w:r>
        <w:rPr>
          <w:rFonts w:ascii="Book Antiqua" w:eastAsia="Book Antiqua" w:hAnsi="Book Antiqua" w:cs="Book Antiqua"/>
          <w:color w:val="000000"/>
          <w:szCs w:val="36"/>
          <w:vertAlign w:val="superscript"/>
        </w:rPr>
        <w:t>[</w:t>
      </w:r>
      <w:hyperlink w:anchor="_ENREF_10" w:tooltip="Emig, 2010 #430" w:history="1">
        <w:r>
          <w:rPr>
            <w:rFonts w:ascii="Book Antiqua" w:eastAsia="Book Antiqua" w:hAnsi="Book Antiqua" w:cs="Book Antiqua"/>
            <w:color w:val="000000"/>
            <w:szCs w:val="36"/>
            <w:u w:val="single" w:color="000000"/>
            <w:vertAlign w:val="superscript"/>
          </w:rPr>
          <w:t>10</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Differentially expressed genes (DEGs) were identified by comparing each SARS-CoV-2 infected tissue against a healthy control tissue according to cutoff val</w:t>
      </w:r>
      <w:r>
        <w:rPr>
          <w:rFonts w:ascii="Book Antiqua" w:eastAsia="Book Antiqua" w:hAnsi="Book Antiqua" w:cs="Book Antiqua"/>
          <w:color w:val="000000"/>
        </w:rPr>
        <w:t>ues of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 or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for the fold change and 0.25 for the adjusted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(q-value), based on the </w:t>
      </w:r>
      <w:r>
        <w:rPr>
          <w:rFonts w:ascii="Book Antiqua" w:eastAsia="Book Antiqua" w:hAnsi="Book Antiqua" w:cs="Book Antiqua"/>
          <w:i/>
          <w:iCs/>
          <w:color w:val="000000"/>
        </w:rPr>
        <w:t>P</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value cut-off described by 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1" w:tooltip="Li, 2012 #628" w:history="1">
        <w:r>
          <w:rPr>
            <w:rFonts w:ascii="Book Antiqua" w:eastAsia="Book Antiqua" w:hAnsi="Book Antiqua" w:cs="Book Antiqua"/>
            <w:color w:val="000000"/>
            <w:szCs w:val="36"/>
            <w:u w:val="single" w:color="000000"/>
            <w:vertAlign w:val="superscript"/>
          </w:rPr>
          <w:t>11</w:t>
        </w:r>
      </w:hyperlink>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Subramanian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w:t>
      </w:r>
      <w:hyperlink w:anchor="_ENREF_12" w:tooltip="Subramanian, 2005 #629" w:history="1">
        <w:r>
          <w:rPr>
            <w:rFonts w:ascii="Book Antiqua" w:eastAsia="Book Antiqua" w:hAnsi="Book Antiqua" w:cs="Book Antiqua"/>
            <w:color w:val="000000"/>
            <w:szCs w:val="36"/>
            <w:u w:val="single" w:color="000000"/>
            <w:vertAlign w:val="superscript"/>
          </w:rPr>
          <w:t>12</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Commonly upregulated and downregulated DEGs between infected lung and liver tissues were intersected and identified using InteractiVenn</w:t>
      </w:r>
      <w:r>
        <w:rPr>
          <w:rFonts w:ascii="Book Antiqua" w:eastAsia="Book Antiqua" w:hAnsi="Book Antiqua" w:cs="Book Antiqua"/>
          <w:color w:val="000000"/>
          <w:szCs w:val="36"/>
          <w:vertAlign w:val="superscript"/>
        </w:rPr>
        <w:t>[</w:t>
      </w:r>
      <w:hyperlink w:anchor="_ENREF_13" w:tooltip="Heberle, 2015 #431" w:history="1">
        <w:r>
          <w:rPr>
            <w:rFonts w:ascii="Book Antiqua" w:eastAsia="Book Antiqua" w:hAnsi="Book Antiqua" w:cs="Book Antiqua"/>
            <w:color w:val="000000"/>
            <w:szCs w:val="36"/>
            <w:u w:val="single" w:color="000000"/>
            <w:vertAlign w:val="superscript"/>
          </w:rPr>
          <w:t>13</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In silico functional analysis</w:t>
      </w:r>
    </w:p>
    <w:p w:rsidR="005F527F" w:rsidRDefault="00542EC0" w:rsidP="001736C0">
      <w:pPr>
        <w:snapToGrid w:val="0"/>
        <w:spacing w:after="0" w:line="360" w:lineRule="auto"/>
        <w:jc w:val="both"/>
      </w:pPr>
      <w:r>
        <w:rPr>
          <w:rFonts w:ascii="Book Antiqua" w:eastAsia="Book Antiqua" w:hAnsi="Book Antiqua" w:cs="Book Antiqua"/>
          <w:color w:val="000000"/>
        </w:rPr>
        <w:lastRenderedPageBreak/>
        <w:t>Functional clustering and pathways enrichment analysis of DEGs was performed using Metascape</w:t>
      </w:r>
      <w:r>
        <w:rPr>
          <w:rFonts w:ascii="Book Antiqua" w:eastAsia="Book Antiqua" w:hAnsi="Book Antiqua" w:cs="Book Antiqua"/>
          <w:color w:val="000000"/>
          <w:szCs w:val="36"/>
          <w:vertAlign w:val="superscript"/>
        </w:rPr>
        <w:t>[</w:t>
      </w:r>
      <w:hyperlink w:anchor="_ENREF_14" w:tooltip="Zhou, 2019 #432" w:history="1">
        <w:r>
          <w:rPr>
            <w:rFonts w:ascii="Book Antiqua" w:eastAsia="Book Antiqua" w:hAnsi="Book Antiqua" w:cs="Book Antiqua"/>
            <w:color w:val="000000"/>
            <w:szCs w:val="36"/>
            <w:u w:val="single" w:color="000000"/>
            <w:vertAlign w:val="superscript"/>
          </w:rPr>
          <w:t>14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We further validated the significance of the differential expression of some DEGs by conducting two-tailed </w:t>
      </w:r>
      <w:r>
        <w:rPr>
          <w:rFonts w:ascii="Book Antiqua" w:eastAsia="Book Antiqua" w:hAnsi="Book Antiqua" w:cs="Book Antiqua"/>
          <w:color w:val="000000"/>
        </w:rPr>
        <w:t xml:space="preserve">Student’s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test statistical analysis using GraphPad Prism. </w:t>
      </w:r>
    </w:p>
    <w:p w:rsidR="005F527F" w:rsidRDefault="00542EC0" w:rsidP="001736C0">
      <w:pPr>
        <w:snapToGrid w:val="0"/>
        <w:spacing w:after="0" w:line="360" w:lineRule="auto"/>
        <w:ind w:firstLine="720"/>
        <w:jc w:val="both"/>
      </w:pPr>
      <w:r>
        <w:rPr>
          <w:rFonts w:ascii="Book Antiqua" w:eastAsia="Book Antiqua" w:hAnsi="Book Antiqua" w:cs="Book Antiqua"/>
          <w:color w:val="000000"/>
        </w:rPr>
        <w:t xml:space="preserve">The transcriptomic signature that map to liver cirrhosis (C0023890, C0023893, C0156189, C0400943), liver fibrosis (C0239946), non-alcoholic fatty liver disease (NAFLD) (C0400966), hepatitis A </w:t>
      </w:r>
      <w:r>
        <w:rPr>
          <w:rFonts w:ascii="Book Antiqua" w:eastAsia="Book Antiqua" w:hAnsi="Book Antiqua" w:cs="Book Antiqua"/>
          <w:color w:val="000000"/>
        </w:rPr>
        <w:t>(C0019159 and C0276434), hepatitis B (C0019163, C0524909, C4728019, and C0276609), and hepatitis C (C0019196, C0524910, C3872662, and C0400914) were retrieved from DisGeNET</w:t>
      </w:r>
      <w:r>
        <w:rPr>
          <w:rFonts w:ascii="Book Antiqua" w:eastAsia="Book Antiqua" w:hAnsi="Book Antiqua" w:cs="Book Antiqua"/>
          <w:color w:val="000000"/>
          <w:szCs w:val="36"/>
          <w:vertAlign w:val="superscript"/>
        </w:rPr>
        <w:t>[</w:t>
      </w:r>
      <w:hyperlink w:anchor="_ENREF_15" w:tooltip="Piñero, 2019 #587" w:history="1">
        <w:r>
          <w:rPr>
            <w:rFonts w:ascii="Book Antiqua" w:eastAsia="Book Antiqua" w:hAnsi="Book Antiqua" w:cs="Book Antiqua"/>
            <w:color w:val="000000"/>
            <w:szCs w:val="36"/>
            <w:u w:val="single" w:color="000000"/>
            <w:vertAlign w:val="superscript"/>
          </w:rPr>
          <w:t>15</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signatures were then c</w:t>
      </w:r>
      <w:r>
        <w:rPr>
          <w:rFonts w:ascii="Book Antiqua" w:eastAsia="Book Antiqua" w:hAnsi="Book Antiqua" w:cs="Book Antiqua"/>
          <w:color w:val="000000"/>
        </w:rPr>
        <w:t xml:space="preserve">ompared against the upregulated transcriptome of SARS-CoV-2 infected liver tissue samples to identify overlapping transcripts. </w:t>
      </w:r>
    </w:p>
    <w:p w:rsidR="005F527F"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Quantitative real-time PCR (qRT-PCR) analysis of gene expression</w:t>
      </w:r>
    </w:p>
    <w:p w:rsidR="005F527F" w:rsidRDefault="00542EC0" w:rsidP="001736C0">
      <w:pPr>
        <w:snapToGrid w:val="0"/>
        <w:spacing w:after="0" w:line="360" w:lineRule="auto"/>
        <w:jc w:val="both"/>
      </w:pPr>
      <w:r>
        <w:rPr>
          <w:rFonts w:ascii="Book Antiqua" w:eastAsia="Book Antiqua" w:hAnsi="Book Antiqua" w:cs="Book Antiqua"/>
          <w:color w:val="000000"/>
        </w:rPr>
        <w:t>Blood Serum was isolated from fresh blood samples collected fr</w:t>
      </w:r>
      <w:r>
        <w:rPr>
          <w:rFonts w:ascii="Book Antiqua" w:eastAsia="Book Antiqua" w:hAnsi="Book Antiqua" w:cs="Book Antiqua"/>
          <w:color w:val="000000"/>
        </w:rPr>
        <w:t>om 4 healthy donors, 4 severe COVID-19 patients without liver dysfunction, and 9 severe COVID-19 patients with liver dysfunction (elevated alanine aminotransferase levels: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41 U/L). The samples were collected following the approval of the ethical committe</w:t>
      </w:r>
      <w:r>
        <w:rPr>
          <w:rFonts w:ascii="Book Antiqua" w:eastAsia="Book Antiqua" w:hAnsi="Book Antiqua" w:cs="Book Antiqua"/>
          <w:color w:val="000000"/>
        </w:rPr>
        <w:t>e at by Dubai Scientific Research Ethics Committee (DSREC-04/2020_09). Histopaque gradient separation (Sigma) was used to extract blood plasma and the RNA content was extracted from 300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µl of plasma using QIAamp Viral RNA Mini Kit (Qiagen). cDNA synthesis </w:t>
      </w:r>
      <w:r>
        <w:rPr>
          <w:rFonts w:ascii="Book Antiqua" w:eastAsia="Book Antiqua" w:hAnsi="Book Antiqua" w:cs="Book Antiqua"/>
          <w:color w:val="000000"/>
        </w:rPr>
        <w:t>was carried out using the High-Capacity cDNA Reverse Transcription Kit for RT-PCR (applied Biosystems) and qRT-PCR was performed using about 50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ng of cDNA in triplicates with the Maxima SYBR Green/ROX qPCR Master Mix (Thermoscientiﬁc) using QuantStudio3 re</w:t>
      </w:r>
      <w:r>
        <w:rPr>
          <w:rFonts w:ascii="Book Antiqua" w:eastAsia="Book Antiqua" w:hAnsi="Book Antiqua" w:cs="Book Antiqua"/>
          <w:color w:val="000000"/>
        </w:rPr>
        <w:t xml:space="preserve">al-time PCR instrument (applied biosystems). qRT-PCR was performed using primers for </w:t>
      </w:r>
      <w:r>
        <w:rPr>
          <w:rFonts w:ascii="Book Antiqua" w:eastAsia="Book Antiqua" w:hAnsi="Book Antiqua" w:cs="Book Antiqua"/>
          <w:i/>
          <w:iCs/>
          <w:color w:val="000000"/>
        </w:rPr>
        <w:t>18SrRNA, DNAJB1, HSP90A1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per the sequences in Table 2.</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bCs/>
          <w:i/>
          <w:iCs/>
          <w:color w:val="000000"/>
        </w:rPr>
        <w:t>Statistical analysis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Unpaired, two-tailed </w:t>
      </w:r>
      <w:r>
        <w:rPr>
          <w:rFonts w:ascii="Book Antiqua" w:eastAsia="Book Antiqua" w:hAnsi="Book Antiqua" w:cs="Book Antiqua"/>
          <w:i/>
          <w:iCs/>
          <w:color w:val="000000"/>
        </w:rPr>
        <w:t>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test statistical analysis was performed using GraphPad Prism (version 5.01) to analyze the statistical significance of the gene expression. The significance was taken to be </w:t>
      </w:r>
      <w:r>
        <w:rPr>
          <w:rFonts w:ascii="Book Antiqua" w:eastAsia="Book Antiqua" w:hAnsi="Book Antiqua" w:cs="Book Antiqua"/>
          <w:i/>
          <w:iCs/>
          <w:color w:val="000000"/>
        </w:rPr>
        <w:t>P</w:t>
      </w:r>
      <w:r>
        <w:rPr>
          <w:rFonts w:ascii="Book Antiqua" w:eastAsia="Book Antiqua" w:hAnsi="Book Antiqua" w:cs="Book Antiqua"/>
          <w:color w:val="000000"/>
        </w:rPr>
        <w:t> </w:t>
      </w:r>
      <w:r>
        <w:rPr>
          <w:rFonts w:ascii="Book Antiqua" w:eastAsia="Book Antiqua" w:hAnsi="Book Antiqua" w:cs="Book Antiqua"/>
          <w:color w:val="000000"/>
        </w:rPr>
        <w:t xml:space="preserve">&lt; 0.05. Heatmap representations were generated using </w:t>
      </w:r>
      <w:r>
        <w:rPr>
          <w:rFonts w:ascii="Book Antiqua" w:eastAsia="Book Antiqua" w:hAnsi="Book Antiqua" w:cs="Book Antiqua"/>
          <w:color w:val="000000"/>
        </w:rPr>
        <w:lastRenderedPageBreak/>
        <w:t>R (version 3.6.0); boxplot r</w:t>
      </w:r>
      <w:r>
        <w:rPr>
          <w:rFonts w:ascii="Book Antiqua" w:eastAsia="Book Antiqua" w:hAnsi="Book Antiqua" w:cs="Book Antiqua"/>
          <w:color w:val="000000"/>
        </w:rPr>
        <w:t>epresentations were generated using GraphPad Prism (version 5.01).</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RESULTS</w:t>
      </w: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General effect of SARS-CoV-2 infection on the transcriptome liver and lung tissues</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Initially, we aimed at investigating the general transcriptomic changes in the liver tissues of s</w:t>
      </w:r>
      <w:r w:rsidRPr="006E1603">
        <w:rPr>
          <w:rFonts w:ascii="Book Antiqua" w:eastAsia="Book Antiqua" w:hAnsi="Book Antiqua" w:cs="Book Antiqua"/>
          <w:color w:val="000000"/>
        </w:rPr>
        <w:t>evere COVID-19 patients in comparison to those of lung tissues. Our analysis of the differential transcriptome of the two tissue types revealed the dysregulation of a larger number of genes in liver tissue (8686 genes) in comparison to lung tissue (7349 ge</w:t>
      </w:r>
      <w:r w:rsidRPr="006E1603">
        <w:rPr>
          <w:rFonts w:ascii="Book Antiqua" w:eastAsia="Book Antiqua" w:hAnsi="Book Antiqua" w:cs="Book Antiqua"/>
          <w:color w:val="000000"/>
        </w:rPr>
        <w:t>nes) (Figure 2). 2085 genes were commonly differentially expressed in the two types of tissues (Figure 2A). Functional clustering and pathway analysis of the commonly upregulated transcripts revealed their contribution to transmembrane transport and vesicl</w:t>
      </w:r>
      <w:r w:rsidRPr="006E1603">
        <w:rPr>
          <w:rFonts w:ascii="Book Antiqua" w:eastAsia="Book Antiqua" w:hAnsi="Book Antiqua" w:cs="Book Antiqua"/>
          <w:color w:val="000000"/>
        </w:rPr>
        <w:t>e formation, cell adhesions, tissue morphogenesis, development, and intracellular signaling pathways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G-coupled protein receptor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(GPCR)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and Hippo signaling]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(Figure 2B). On the other hand, the commonly downregulated genes (2264 genes) were significant</w:t>
      </w:r>
      <w:r w:rsidRPr="006E1603">
        <w:rPr>
          <w:rFonts w:ascii="Book Antiqua" w:eastAsia="Book Antiqua" w:hAnsi="Book Antiqua" w:cs="Book Antiqua"/>
          <w:color w:val="000000"/>
        </w:rPr>
        <w:t>ly implicated in cellular metabolic pathways and mitochondrial function (Figure 2C and D). The enrichment of these pathways suggests that SARS-CoV-2 elicits similar molecular effects in lung and liver tissue that may translate into similar phenotypic prese</w:t>
      </w:r>
      <w:r w:rsidRPr="006E1603">
        <w:rPr>
          <w:rFonts w:ascii="Book Antiqua" w:eastAsia="Book Antiqua" w:hAnsi="Book Antiqua" w:cs="Book Antiqua"/>
          <w:color w:val="000000"/>
        </w:rPr>
        <w:t>ntations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tissue remodeling and dysfunction). As the number of the lung tissue samples used in the analysis was relatively higher than that of the liver tissue samples, we repeated the analysis and comparison using subset with a smaller number of lung</w:t>
      </w:r>
      <w:r w:rsidRPr="006E1603">
        <w:rPr>
          <w:rFonts w:ascii="Book Antiqua" w:eastAsia="Book Antiqua" w:hAnsi="Book Antiqua" w:cs="Book Antiqua"/>
          <w:color w:val="000000"/>
        </w:rPr>
        <w:t xml:space="preserve"> tissue samples and observed similar results.</w:t>
      </w:r>
    </w:p>
    <w:p w:rsidR="005F527F" w:rsidRPr="006E1603" w:rsidRDefault="005F527F" w:rsidP="001736C0">
      <w:pPr>
        <w:snapToGrid w:val="0"/>
        <w:spacing w:after="0" w:line="360" w:lineRule="auto"/>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 xml:space="preserve">Aberrant class A (rhodopsin-like) and class F (frizzled and smoothened) GPCRs signaling in the liver tissue of severe COVID-19 patients </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We next aimed at analyzing the effect of SARS-CoV-2 infection on the dys</w:t>
      </w:r>
      <w:r w:rsidRPr="006E1603">
        <w:rPr>
          <w:rFonts w:ascii="Book Antiqua" w:eastAsia="Book Antiqua" w:hAnsi="Book Antiqua" w:cs="Book Antiqua"/>
          <w:color w:val="000000"/>
        </w:rPr>
        <w:t xml:space="preserve">regulation of liver function at advanced stages in more detail. Functional clustering and pathway analysis of the upregulated genes in the liver tissues of severe COVID-19 patients </w:t>
      </w:r>
      <w:r w:rsidRPr="006E1603">
        <w:rPr>
          <w:rFonts w:ascii="Book Antiqua" w:eastAsia="Book Antiqua" w:hAnsi="Book Antiqua" w:cs="Book Antiqua"/>
          <w:color w:val="000000"/>
        </w:rPr>
        <w:lastRenderedPageBreak/>
        <w:t>revealed the enrichment of transcripts implicated in DNA and RNA transcript</w:t>
      </w:r>
      <w:r w:rsidRPr="006E1603">
        <w:rPr>
          <w:rFonts w:ascii="Book Antiqua" w:eastAsia="Book Antiqua" w:hAnsi="Book Antiqua" w:cs="Book Antiqua"/>
          <w:color w:val="000000"/>
        </w:rPr>
        <w:t xml:space="preserve">ion mechanisms, GPCRs signaling, and transmembrane transport (Figure 3A).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Multiple GPCR classes are dysregulated in liver tissue collected from severe COVID-19 patient autopsies including class A-rhodopsin-like receptors (R-HSA-373076: class A/1 rhodopsin</w:t>
      </w:r>
      <w:r w:rsidRPr="006E1603">
        <w:rPr>
          <w:rFonts w:ascii="Book Antiqua" w:eastAsia="Book Antiqua" w:hAnsi="Book Antiqua" w:cs="Book Antiqua"/>
          <w:color w:val="000000"/>
        </w:rPr>
        <w:t>-like receptors) and class F-frizzled and smoothened receptors (R-HSA-3238698: WNT ligand biogenesis and trafficking; hsa04310: Wnt signaling pathway) (Figure 3B and C). Consequently to the dysregulation of these GPCRs, numerous downstream signaling pathwa</w:t>
      </w:r>
      <w:r w:rsidRPr="006E1603">
        <w:rPr>
          <w:rFonts w:ascii="Book Antiqua" w:eastAsia="Book Antiqua" w:hAnsi="Book Antiqua" w:cs="Book Antiqua"/>
          <w:color w:val="000000"/>
        </w:rPr>
        <w:t>ys, including WNT signaling pathway, sonic hedgehog signaling and hippo signaling pathways, are dysregulated affecting thereby cell proliferation, cell survival, host response to infection, immune response, chemotactic pathways, and tissue and local microe</w:t>
      </w:r>
      <w:r w:rsidRPr="006E1603">
        <w:rPr>
          <w:rFonts w:ascii="Book Antiqua" w:eastAsia="Book Antiqua" w:hAnsi="Book Antiqua" w:cs="Book Antiqua"/>
          <w:color w:val="000000"/>
        </w:rPr>
        <w:t>nvironment remodeling</w:t>
      </w:r>
      <w:r w:rsidRPr="006E1603">
        <w:rPr>
          <w:rFonts w:ascii="Book Antiqua" w:eastAsia="Book Antiqua" w:hAnsi="Book Antiqua" w:cs="Book Antiqua"/>
          <w:color w:val="000000"/>
          <w:szCs w:val="36"/>
          <w:vertAlign w:val="superscript"/>
        </w:rPr>
        <w:t>[</w:t>
      </w:r>
      <w:hyperlink w:anchor="_ENREF_16" w:tooltip="Sodhi, 2004 #411" w:history="1">
        <w:r w:rsidRPr="006E1603">
          <w:rPr>
            <w:rFonts w:ascii="Book Antiqua" w:eastAsia="Book Antiqua" w:hAnsi="Book Antiqua" w:cs="Book Antiqua"/>
            <w:color w:val="000000"/>
            <w:szCs w:val="36"/>
            <w:vertAlign w:val="superscript"/>
          </w:rPr>
          <w:t>16-19</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Moreover, Wnt signaling pathway through frizzled binding has been shown to be hijacked by viral infections (</w:t>
      </w:r>
      <w:r w:rsidR="006362AD" w:rsidRPr="006E1603">
        <w:rPr>
          <w:rFonts w:ascii="Book Antiqua" w:eastAsia="Book Antiqua" w:hAnsi="Book Antiqua" w:cs="Book Antiqua"/>
          <w:i/>
          <w:iCs/>
          <w:color w:val="000000"/>
        </w:rPr>
        <w:t>e.g.</w:t>
      </w:r>
      <w:r w:rsidR="006362AD" w:rsidRPr="006E1603">
        <w:rPr>
          <w:rFonts w:ascii="Book Antiqua" w:eastAsia="Book Antiqua" w:hAnsi="Book Antiqua" w:cs="Book Antiqua"/>
          <w:iCs/>
          <w:color w:val="000000"/>
        </w:rPr>
        <w:t>,</w:t>
      </w:r>
      <w:r w:rsidR="006362AD"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influenza virus) to increase viral production</w:t>
      </w:r>
      <w:r w:rsidRPr="006E1603">
        <w:rPr>
          <w:rFonts w:ascii="Book Antiqua" w:eastAsia="Book Antiqua" w:hAnsi="Book Antiqua" w:cs="Book Antiqua"/>
          <w:color w:val="000000"/>
          <w:szCs w:val="36"/>
          <w:vertAlign w:val="superscript"/>
        </w:rPr>
        <w:t>[</w:t>
      </w:r>
      <w:hyperlink w:anchor="_ENREF_20" w:tooltip="More, 2018 #410" w:history="1">
        <w:r w:rsidRPr="006E1603">
          <w:rPr>
            <w:rFonts w:ascii="Book Antiqua" w:eastAsia="Book Antiqua" w:hAnsi="Book Antiqua" w:cs="Book Antiqua"/>
            <w:color w:val="000000"/>
            <w:szCs w:val="36"/>
            <w:vertAlign w:val="superscript"/>
          </w:rPr>
          <w:t>20</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GPCRs were found as well to be exploited by viruses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Filoviruses) to facilitate viral cellular entry, they can be explored as potential facilitators of SARS-CoV-2 entry into hepatocytes in the absence of ACE2 an</w:t>
      </w:r>
      <w:r w:rsidRPr="006E1603">
        <w:rPr>
          <w:rFonts w:ascii="Book Antiqua" w:eastAsia="Book Antiqua" w:hAnsi="Book Antiqua" w:cs="Book Antiqua"/>
          <w:color w:val="000000"/>
        </w:rPr>
        <w:t>d TMPRSS2</w:t>
      </w:r>
      <w:r w:rsidRPr="006E1603">
        <w:rPr>
          <w:rFonts w:ascii="Book Antiqua" w:eastAsia="Book Antiqua" w:hAnsi="Book Antiqua" w:cs="Book Antiqua"/>
          <w:color w:val="000000"/>
          <w:szCs w:val="36"/>
          <w:vertAlign w:val="superscript"/>
        </w:rPr>
        <w:t>[</w:t>
      </w:r>
      <w:hyperlink w:anchor="_ENREF_21" w:tooltip="Cheng, 2015 #606" w:history="1">
        <w:r w:rsidRPr="006E1603">
          <w:rPr>
            <w:rFonts w:ascii="Book Antiqua" w:eastAsia="Book Antiqua" w:hAnsi="Book Antiqua" w:cs="Book Antiqua"/>
            <w:color w:val="000000"/>
            <w:szCs w:val="36"/>
            <w:vertAlign w:val="superscript"/>
          </w:rPr>
          <w:t>21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Therefore, the significant dysregulation of GPCRs and Wnt signaling, coupled with the significant upregulation of transmembrane and intracellular transport, in liver tissue of severe COVID-1</w:t>
      </w:r>
      <w:r w:rsidRPr="006E1603">
        <w:rPr>
          <w:rFonts w:ascii="Book Antiqua" w:eastAsia="Book Antiqua" w:hAnsi="Book Antiqua" w:cs="Book Antiqua"/>
          <w:color w:val="000000"/>
        </w:rPr>
        <w:t>9 patients may indicate that SARS-CoV-2 may hijack these mechanisms to facilitate and enhance viral infectivity and production.</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One of the top 10 upregulated genes in the liver tissue of severe COVID-19 patients was the DnaJ heat shock protein family (Hsp4</w:t>
      </w:r>
      <w:r w:rsidRPr="006E1603">
        <w:rPr>
          <w:rFonts w:ascii="Book Antiqua" w:eastAsia="Book Antiqua" w:hAnsi="Book Antiqua" w:cs="Book Antiqua"/>
          <w:color w:val="000000"/>
        </w:rPr>
        <w:t xml:space="preserve">0) member B1, </w:t>
      </w:r>
      <w:r w:rsidRPr="006E1603">
        <w:rPr>
          <w:rFonts w:ascii="Book Antiqua" w:eastAsia="Book Antiqua" w:hAnsi="Book Antiqua" w:cs="Book Antiqua"/>
          <w:i/>
          <w:iCs/>
          <w:color w:val="000000"/>
        </w:rPr>
        <w:t>DNAJB1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(Figure 3D), which was found to contribute to liver inflammation, activation of uncontrolled fibrosis, and development of fibrolamellar carcinoma as a part of the DNAJB1-PRKACA fusion</w:t>
      </w:r>
      <w:r w:rsidRPr="006E1603">
        <w:rPr>
          <w:rFonts w:ascii="Book Antiqua" w:eastAsia="Book Antiqua" w:hAnsi="Book Antiqua" w:cs="Book Antiqua"/>
          <w:color w:val="000000"/>
          <w:szCs w:val="36"/>
          <w:vertAlign w:val="superscript"/>
        </w:rPr>
        <w:t>[</w:t>
      </w:r>
      <w:hyperlink w:anchor="_ENREF_22" w:tooltip="Graham, 2015 #535" w:history="1">
        <w:r w:rsidRPr="006E1603">
          <w:rPr>
            <w:rFonts w:ascii="Book Antiqua" w:eastAsia="Book Antiqua" w:hAnsi="Book Antiqua" w:cs="Book Antiqua"/>
            <w:color w:val="000000"/>
            <w:szCs w:val="36"/>
            <w:vertAlign w:val="superscript"/>
          </w:rPr>
          <w:t>22</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Another top upregulated gene was insulin like growth factor 2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a pro-steatosis and tissue remodeling factor</w:t>
      </w:r>
      <w:r w:rsidRPr="006E1603">
        <w:rPr>
          <w:rFonts w:ascii="Book Antiqua" w:eastAsia="Book Antiqua" w:hAnsi="Book Antiqua" w:cs="Book Antiqua"/>
          <w:color w:val="000000"/>
          <w:szCs w:val="36"/>
          <w:vertAlign w:val="superscript"/>
        </w:rPr>
        <w:t>[</w:t>
      </w:r>
      <w:hyperlink w:anchor="_ENREF_23" w:tooltip="Kessler, 2016 #578" w:history="1">
        <w:r w:rsidRPr="006E1603">
          <w:rPr>
            <w:rFonts w:ascii="Book Antiqua" w:eastAsia="Book Antiqua" w:hAnsi="Book Antiqua" w:cs="Book Antiqua"/>
            <w:color w:val="000000"/>
            <w:szCs w:val="36"/>
            <w:vertAlign w:val="superscript"/>
          </w:rPr>
          <w:t>23</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Hepatoma-derived growth factor, </w:t>
      </w:r>
      <w:r w:rsidRPr="006E1603">
        <w:rPr>
          <w:rFonts w:ascii="Book Antiqua" w:eastAsia="Book Antiqua" w:hAnsi="Book Antiqua" w:cs="Book Antiqua"/>
          <w:i/>
          <w:iCs/>
          <w:color w:val="000000"/>
        </w:rPr>
        <w:t>HDGF</w:t>
      </w:r>
      <w:r w:rsidRPr="006E1603">
        <w:rPr>
          <w:rFonts w:ascii="Book Antiqua" w:eastAsia="Book Antiqua" w:hAnsi="Book Antiqua" w:cs="Book Antiqua"/>
          <w:color w:val="000000"/>
        </w:rPr>
        <w:t xml:space="preserve">, a pro-fibrogenic protein implicated in </w:t>
      </w:r>
      <w:r w:rsidRPr="006E1603">
        <w:rPr>
          <w:rFonts w:ascii="Book Antiqua" w:eastAsia="Book Antiqua" w:hAnsi="Book Antiqua" w:cs="Book Antiqua"/>
          <w:color w:val="000000"/>
        </w:rPr>
        <w:t>liver fibrosis through TGF-beta pathway, was as well amongst the top 10 upregulated genes</w:t>
      </w:r>
      <w:r w:rsidRPr="006E1603">
        <w:rPr>
          <w:rFonts w:ascii="Book Antiqua" w:eastAsia="Book Antiqua" w:hAnsi="Book Antiqua" w:cs="Book Antiqua"/>
          <w:color w:val="000000"/>
          <w:szCs w:val="36"/>
          <w:vertAlign w:val="superscript"/>
        </w:rPr>
        <w:t>[</w:t>
      </w:r>
      <w:hyperlink w:anchor="_ENREF_24" w:tooltip="Kao, 2010 #536" w:history="1">
        <w:r w:rsidRPr="006E1603">
          <w:rPr>
            <w:rFonts w:ascii="Book Antiqua" w:eastAsia="Book Antiqua" w:hAnsi="Book Antiqua" w:cs="Book Antiqua"/>
            <w:color w:val="000000"/>
            <w:szCs w:val="36"/>
            <w:vertAlign w:val="superscript"/>
          </w:rPr>
          <w:t>24</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Another significantly upregulated gene was the epidermal growth factor receptor (</w:t>
      </w:r>
      <w:r w:rsidRPr="006E1603">
        <w:rPr>
          <w:rFonts w:ascii="Book Antiqua" w:eastAsia="Book Antiqua" w:hAnsi="Book Antiqua" w:cs="Book Antiqua"/>
          <w:i/>
          <w:iCs/>
          <w:color w:val="000000"/>
        </w:rPr>
        <w:t>EGFR)</w:t>
      </w:r>
      <w:r w:rsidRPr="006E1603">
        <w:rPr>
          <w:rFonts w:ascii="Book Antiqua" w:eastAsia="Book Antiqua" w:hAnsi="Book Antiqua" w:cs="Book Antiqua"/>
          <w:color w:val="000000"/>
        </w:rPr>
        <w:t>, a transmembrane receptor</w:t>
      </w:r>
      <w:r w:rsidRPr="006E1603">
        <w:rPr>
          <w:rFonts w:ascii="Book Antiqua" w:eastAsia="Book Antiqua" w:hAnsi="Book Antiqua" w:cs="Book Antiqua"/>
          <w:color w:val="000000"/>
        </w:rPr>
        <w:t xml:space="preserve"> implicated in the regulation of various downstream intracellular signaling pathways including tissue remodeling </w:t>
      </w:r>
      <w:r w:rsidRPr="006E1603">
        <w:rPr>
          <w:rFonts w:ascii="Book Antiqua" w:eastAsia="Book Antiqua" w:hAnsi="Book Antiqua" w:cs="Book Antiqua"/>
          <w:color w:val="000000"/>
        </w:rPr>
        <w:lastRenderedPageBreak/>
        <w:t>pathways</w:t>
      </w:r>
      <w:r w:rsidRPr="006E1603">
        <w:rPr>
          <w:rFonts w:ascii="Book Antiqua" w:eastAsia="Book Antiqua" w:hAnsi="Book Antiqua" w:cs="Book Antiqua"/>
          <w:color w:val="000000"/>
          <w:szCs w:val="36"/>
          <w:vertAlign w:val="superscript"/>
        </w:rPr>
        <w:t>[</w:t>
      </w:r>
      <w:hyperlink w:anchor="_ENREF_25" w:tooltip="Venkataraman, 2017 #596" w:history="1">
        <w:r w:rsidRPr="006E1603">
          <w:rPr>
            <w:rFonts w:ascii="Book Antiqua" w:eastAsia="Book Antiqua" w:hAnsi="Book Antiqua" w:cs="Book Antiqua"/>
            <w:color w:val="000000"/>
            <w:szCs w:val="36"/>
            <w:vertAlign w:val="superscript"/>
          </w:rPr>
          <w:t>25</w:t>
        </w:r>
      </w:hyperlink>
      <w:r w:rsidRPr="006E1603">
        <w:rPr>
          <w:rFonts w:ascii="Book Antiqua" w:eastAsia="Book Antiqua" w:hAnsi="Book Antiqua" w:cs="Book Antiqua"/>
          <w:color w:val="000000"/>
          <w:szCs w:val="36"/>
          <w:vertAlign w:val="superscript"/>
        </w:rPr>
        <w:t>,</w:t>
      </w:r>
      <w:hyperlink w:anchor="_ENREF_26" w:tooltip="Enomoto, 2009 #614" w:history="1">
        <w:r w:rsidRPr="006E1603">
          <w:rPr>
            <w:rFonts w:ascii="Book Antiqua" w:eastAsia="Book Antiqua" w:hAnsi="Book Antiqua" w:cs="Book Antiqua"/>
            <w:color w:val="000000"/>
            <w:szCs w:val="36"/>
            <w:vertAlign w:val="superscript"/>
          </w:rPr>
          <w:t>26</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 upregulation of these genes suggests that SARS-CoV-2 infection may elicit tissue remodeling and fibrosis-like changes in liver tissue at advanced stages. </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SARS-CoV-2 infection activates tissue remodeling mechanisms observed in liver steatosis, cirrh</w:t>
      </w:r>
      <w:r w:rsidRPr="006E1603">
        <w:rPr>
          <w:rFonts w:ascii="Book Antiqua" w:eastAsia="Book Antiqua" w:hAnsi="Book Antiqua" w:cs="Book Antiqua"/>
          <w:b/>
          <w:bCs/>
          <w:i/>
          <w:iCs/>
          <w:color w:val="000000"/>
        </w:rPr>
        <w:t>osis, fibrosis, and hepatitis infections</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Based on the enrichment of transcripts implicated in pathways central to the activation and regulation of tissue remodeling, we next compared the differential transcriptome of the liver tissues from COVID-19 patient</w:t>
      </w:r>
      <w:r w:rsidRPr="006E1603">
        <w:rPr>
          <w:rFonts w:ascii="Book Antiqua" w:eastAsia="Book Antiqua" w:hAnsi="Book Antiqua" w:cs="Book Antiqua"/>
          <w:color w:val="000000"/>
        </w:rPr>
        <w:t xml:space="preserve">s with the disease signature of liver cirrhosis, liver fibrosis, and NAFLD, which are commonly associated with pathological tissue remodeling.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The comparison revealed that 1027 genes (318 upregulated and 709 downregulated) from the upregulated transcripto</w:t>
      </w:r>
      <w:r w:rsidRPr="006E1603">
        <w:rPr>
          <w:rFonts w:ascii="Book Antiqua" w:eastAsia="Book Antiqua" w:hAnsi="Book Antiqua" w:cs="Book Antiqua"/>
          <w:color w:val="000000"/>
        </w:rPr>
        <w:t>me of COVID-19 patients’ liver samples overlap with liver cirrhosis disease signature; 630 genes (206 upregulated and 424 downregulated) overlap with the signature of liver fibrosis; and 583 genes (190 upregulated and 393 downregulated) overlap with the si</w:t>
      </w:r>
      <w:r w:rsidRPr="006E1603">
        <w:rPr>
          <w:rFonts w:ascii="Book Antiqua" w:eastAsia="Book Antiqua" w:hAnsi="Book Antiqua" w:cs="Book Antiqua"/>
          <w:color w:val="000000"/>
        </w:rPr>
        <w:t xml:space="preserve">gnature of NAFLD (top 20 genes overlapping with every disease signature are presented in Figure 4A).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The transcriptome shared with the liver cirrhosis, liver fibrosis and NAFLD signature was significantly enriched in transcripts implicated in response to </w:t>
      </w:r>
      <w:r w:rsidRPr="006E1603">
        <w:rPr>
          <w:rFonts w:ascii="Book Antiqua" w:eastAsia="Book Antiqua" w:hAnsi="Book Antiqua" w:cs="Book Antiqua"/>
          <w:color w:val="000000"/>
        </w:rPr>
        <w:t>wounding and wound healing, cellular response to external stimulus (</w:t>
      </w:r>
      <w:r w:rsidR="00374EFA" w:rsidRPr="006E1603">
        <w:rPr>
          <w:rFonts w:ascii="Book Antiqua" w:eastAsia="Book Antiqua" w:hAnsi="Book Antiqua" w:cs="Book Antiqua"/>
          <w:i/>
          <w:iCs/>
          <w:color w:val="000000"/>
        </w:rPr>
        <w:t>e.g.</w:t>
      </w:r>
      <w:r w:rsidR="00374EFA" w:rsidRPr="006E1603">
        <w:rPr>
          <w:rFonts w:ascii="Book Antiqua" w:eastAsia="Book Antiqua" w:hAnsi="Book Antiqua" w:cs="Book Antiqua"/>
          <w:iCs/>
          <w:color w:val="000000"/>
        </w:rPr>
        <w:t>,</w:t>
      </w:r>
      <w:r w:rsidR="00374EFA"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peptides, inorganic substance, growth factors, and hormone stimulus), response to pathogens from bacterial and viral origins (</w:t>
      </w:r>
      <w:r w:rsidR="00D9009C" w:rsidRPr="006E1603">
        <w:rPr>
          <w:rFonts w:ascii="Book Antiqua" w:eastAsia="Book Antiqua" w:hAnsi="Book Antiqua" w:cs="Book Antiqua"/>
          <w:i/>
          <w:iCs/>
          <w:color w:val="000000"/>
        </w:rPr>
        <w:t>e.g.</w:t>
      </w:r>
      <w:r w:rsidR="00D9009C" w:rsidRPr="006E1603">
        <w:rPr>
          <w:rFonts w:ascii="Book Antiqua" w:eastAsia="Book Antiqua" w:hAnsi="Book Antiqua" w:cs="Book Antiqua"/>
          <w:iCs/>
          <w:color w:val="000000"/>
        </w:rPr>
        <w:t>,</w:t>
      </w:r>
      <w:r w:rsidR="00D9009C"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human papillomavirus infection, response to lipopoly</w:t>
      </w:r>
      <w:r w:rsidRPr="006E1603">
        <w:rPr>
          <w:rFonts w:ascii="Book Antiqua" w:eastAsia="Book Antiqua" w:hAnsi="Book Antiqua" w:cs="Book Antiqua"/>
          <w:color w:val="000000"/>
        </w:rPr>
        <w:t>saccharides), metabolic pathways, hormone and insulin mediated signaling pathways, cytokine-mediated signaling, MAPK signaling cascade, regulation of cell adhesions, regulation of cell differentiation, tissue/organ development and morphogenesis, blood vess</w:t>
      </w:r>
      <w:r w:rsidRPr="006E1603">
        <w:rPr>
          <w:rFonts w:ascii="Book Antiqua" w:eastAsia="Book Antiqua" w:hAnsi="Book Antiqua" w:cs="Book Antiqua"/>
          <w:color w:val="000000"/>
        </w:rPr>
        <w:t>els morphogenesis and development, regulation of programmed cell death, cell chemotaxis (</w:t>
      </w:r>
      <w:r w:rsidR="00D9009C" w:rsidRPr="006E1603">
        <w:rPr>
          <w:rFonts w:ascii="Book Antiqua" w:eastAsia="Book Antiqua" w:hAnsi="Book Antiqua" w:cs="Book Antiqua"/>
          <w:i/>
          <w:iCs/>
          <w:color w:val="000000"/>
        </w:rPr>
        <w:t>e.g.</w:t>
      </w:r>
      <w:r w:rsidR="00D9009C" w:rsidRPr="006E1603">
        <w:rPr>
          <w:rFonts w:ascii="Book Antiqua" w:eastAsia="Book Antiqua" w:hAnsi="Book Antiqua" w:cs="Book Antiqua"/>
          <w:iCs/>
          <w:color w:val="000000"/>
        </w:rPr>
        <w:t>,</w:t>
      </w:r>
      <w:r w:rsidR="00D9009C"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leukocytes, endothelial cells, and epithelial cells), and immune response activation (Figure 4B).</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One of the identified overlapping genes with the signature of li</w:t>
      </w:r>
      <w:r w:rsidRPr="006E1603">
        <w:rPr>
          <w:rFonts w:ascii="Book Antiqua" w:eastAsia="Book Antiqua" w:hAnsi="Book Antiqua" w:cs="Book Antiqua"/>
          <w:color w:val="000000"/>
        </w:rPr>
        <w:t>ver cirrhosis and liver fibrosis was the vascular endothelial growth factor receptor 1 (</w:t>
      </w:r>
      <w:r w:rsidRPr="006E1603">
        <w:rPr>
          <w:rFonts w:ascii="Book Antiqua" w:eastAsia="Book Antiqua" w:hAnsi="Book Antiqua" w:cs="Book Antiqua"/>
          <w:i/>
          <w:iCs/>
          <w:color w:val="000000"/>
        </w:rPr>
        <w:t>FLT1</w:t>
      </w:r>
      <w:r w:rsidRPr="006E1603">
        <w:rPr>
          <w:rFonts w:ascii="Book Antiqua" w:eastAsia="Book Antiqua" w:hAnsi="Book Antiqua" w:cs="Book Antiqua"/>
          <w:color w:val="000000"/>
        </w:rPr>
        <w:t xml:space="preserve">), shown to be </w:t>
      </w:r>
      <w:r w:rsidRPr="006E1603">
        <w:rPr>
          <w:rFonts w:ascii="Book Antiqua" w:eastAsia="Book Antiqua" w:hAnsi="Book Antiqua" w:cs="Book Antiqua"/>
          <w:color w:val="000000"/>
        </w:rPr>
        <w:lastRenderedPageBreak/>
        <w:t>significantly upregulated during the pathogenesis of liver cirrhosis in which it centrally contributes to the tissue remodeling and increased vascula</w:t>
      </w:r>
      <w:r w:rsidRPr="006E1603">
        <w:rPr>
          <w:rFonts w:ascii="Book Antiqua" w:eastAsia="Book Antiqua" w:hAnsi="Book Antiqua" w:cs="Book Antiqua"/>
          <w:color w:val="000000"/>
        </w:rPr>
        <w:t>rization of liver tissue</w:t>
      </w:r>
      <w:r w:rsidRPr="006E1603">
        <w:rPr>
          <w:rFonts w:ascii="Book Antiqua" w:eastAsia="Book Antiqua" w:hAnsi="Book Antiqua" w:cs="Book Antiqua"/>
          <w:color w:val="000000"/>
          <w:szCs w:val="36"/>
          <w:vertAlign w:val="superscript"/>
        </w:rPr>
        <w:t>[</w:t>
      </w:r>
      <w:hyperlink w:anchor="_ENREF_27" w:tooltip="Corpechot, 2002 #584" w:history="1">
        <w:r w:rsidRPr="006E1603">
          <w:rPr>
            <w:rFonts w:ascii="Book Antiqua" w:eastAsia="Book Antiqua" w:hAnsi="Book Antiqua" w:cs="Book Antiqua"/>
            <w:color w:val="000000"/>
            <w:szCs w:val="36"/>
            <w:vertAlign w:val="superscript"/>
          </w:rPr>
          <w:t>27</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Another overlapping gene with the signatures of the three diseases was leptin (</w:t>
      </w:r>
      <w:r w:rsidRPr="006E1603">
        <w:rPr>
          <w:rFonts w:ascii="Book Antiqua" w:eastAsia="Book Antiqua" w:hAnsi="Book Antiqua" w:cs="Book Antiqua"/>
          <w:i/>
          <w:iCs/>
          <w:color w:val="000000"/>
        </w:rPr>
        <w:t>LEP</w:t>
      </w:r>
      <w:r w:rsidRPr="006E1603">
        <w:rPr>
          <w:rFonts w:ascii="Book Antiqua" w:eastAsia="Book Antiqua" w:hAnsi="Book Antiqua" w:cs="Book Antiqua"/>
          <w:color w:val="000000"/>
        </w:rPr>
        <w:t>), a central mediator of hepatic fibrosis and tissue remodeling in response to chronic li</w:t>
      </w:r>
      <w:r w:rsidRPr="006E1603">
        <w:rPr>
          <w:rFonts w:ascii="Book Antiqua" w:eastAsia="Book Antiqua" w:hAnsi="Book Antiqua" w:cs="Book Antiqua"/>
          <w:color w:val="000000"/>
        </w:rPr>
        <w:t>ver injury</w:t>
      </w:r>
      <w:r w:rsidRPr="006E1603">
        <w:rPr>
          <w:rFonts w:ascii="Book Antiqua" w:eastAsia="Book Antiqua" w:hAnsi="Book Antiqua" w:cs="Book Antiqua"/>
          <w:color w:val="000000"/>
          <w:szCs w:val="36"/>
          <w:vertAlign w:val="superscript"/>
        </w:rPr>
        <w:t>[</w:t>
      </w:r>
      <w:hyperlink w:anchor="_ENREF_28" w:tooltip="Leclercq, 2002 #582" w:history="1">
        <w:r w:rsidRPr="006E1603">
          <w:rPr>
            <w:rFonts w:ascii="Book Antiqua" w:eastAsia="Book Antiqua" w:hAnsi="Book Antiqua" w:cs="Book Antiqua"/>
            <w:color w:val="000000"/>
            <w:szCs w:val="36"/>
            <w:vertAlign w:val="superscript"/>
          </w:rPr>
          <w:t>28</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PNPLA3, overexpressed in the liver tissue of COVID-19 patients, has been previously shown to be implicated in the pathogenesis of non-alcoholic fatty liver disease, hepatic steatosis, li</w:t>
      </w:r>
      <w:r w:rsidRPr="006E1603">
        <w:rPr>
          <w:rFonts w:ascii="Book Antiqua" w:eastAsia="Book Antiqua" w:hAnsi="Book Antiqua" w:cs="Book Antiqua"/>
          <w:color w:val="000000"/>
        </w:rPr>
        <w:t>ver cirrhosis and fibrosis</w:t>
      </w:r>
      <w:r w:rsidRPr="006E1603">
        <w:rPr>
          <w:rFonts w:ascii="Book Antiqua" w:eastAsia="Book Antiqua" w:hAnsi="Book Antiqua" w:cs="Book Antiqua"/>
          <w:color w:val="000000"/>
          <w:szCs w:val="36"/>
          <w:vertAlign w:val="superscript"/>
        </w:rPr>
        <w:t>[</w:t>
      </w:r>
      <w:hyperlink w:anchor="_ENREF_29" w:tooltip="Dong, 2019 #583" w:history="1">
        <w:r w:rsidRPr="006E1603">
          <w:rPr>
            <w:rFonts w:ascii="Book Antiqua" w:eastAsia="Book Antiqua" w:hAnsi="Book Antiqua" w:cs="Book Antiqua"/>
            <w:color w:val="000000"/>
            <w:szCs w:val="36"/>
            <w:vertAlign w:val="superscript"/>
          </w:rPr>
          <w:t>29</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Moreover, we observed the upregulation of a number of metalloproteinases (</w:t>
      </w:r>
      <w:r w:rsidRPr="006E1603">
        <w:rPr>
          <w:rFonts w:ascii="Book Antiqua" w:eastAsia="Book Antiqua" w:hAnsi="Book Antiqua" w:cs="Book Antiqua"/>
          <w:i/>
          <w:iCs/>
          <w:color w:val="000000"/>
        </w:rPr>
        <w:t>e.g.</w:t>
      </w:r>
      <w:r w:rsidR="005243D5" w:rsidRPr="006E1603">
        <w:rPr>
          <w:rFonts w:ascii="Book Antiqua" w:eastAsia="Book Antiqua" w:hAnsi="Book Antiqua" w:cs="Book Antiqua"/>
          <w:iCs/>
          <w:color w:val="000000"/>
        </w:rPr>
        <w:t>,</w:t>
      </w:r>
      <w:r w:rsidR="005243D5"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i/>
          <w:iCs/>
          <w:color w:val="000000"/>
        </w:rPr>
        <w:t>MMP3, MMP16, MMP17, TIMP1, TIMP2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TIMP4</w:t>
      </w:r>
      <w:r w:rsidRPr="006E1603">
        <w:rPr>
          <w:rFonts w:ascii="Book Antiqua" w:eastAsia="Book Antiqua" w:hAnsi="Book Antiqua" w:cs="Book Antiqua"/>
          <w:color w:val="000000"/>
        </w:rPr>
        <w:t>), collagens (</w:t>
      </w:r>
      <w:r w:rsidRPr="006E1603">
        <w:rPr>
          <w:rFonts w:ascii="Book Antiqua" w:eastAsia="Book Antiqua" w:hAnsi="Book Antiqua" w:cs="Book Antiqua"/>
          <w:i/>
          <w:iCs/>
          <w:color w:val="000000"/>
        </w:rPr>
        <w:t>COL6A3, COL18A1-AS1, COL20A1, COL24A1,</w:t>
      </w:r>
      <w:r w:rsidRPr="006E1603">
        <w:rPr>
          <w:rFonts w:ascii="Book Antiqua" w:eastAsia="Book Antiqua" w:hAnsi="Book Antiqua" w:cs="Book Antiqua"/>
          <w:i/>
          <w:iCs/>
          <w:color w:val="000000"/>
        </w:rPr>
        <w:t xml:space="preserve"> COLEC12, COL13A1, COL22A1, COLGALT2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VCAM1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which were proposed to contribute to pathological tissue remodeling in liver diseases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non-alcoholic fatty liver disease and liver fibrosis)</w:t>
      </w:r>
      <w:r w:rsidRPr="006E1603">
        <w:rPr>
          <w:rFonts w:ascii="Book Antiqua" w:eastAsia="Book Antiqua" w:hAnsi="Book Antiqua" w:cs="Book Antiqua"/>
          <w:color w:val="000000"/>
          <w:szCs w:val="36"/>
          <w:vertAlign w:val="superscript"/>
        </w:rPr>
        <w:t>[</w:t>
      </w:r>
      <w:hyperlink w:anchor="_ENREF_30" w:tooltip="Cazanave, 2017 #580" w:history="1">
        <w:r w:rsidRPr="006E1603">
          <w:rPr>
            <w:rFonts w:ascii="Book Antiqua" w:eastAsia="Book Antiqua" w:hAnsi="Book Antiqua" w:cs="Book Antiqua"/>
            <w:color w:val="000000"/>
            <w:szCs w:val="36"/>
            <w:vertAlign w:val="superscript"/>
          </w:rPr>
          <w:t>30</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Fu</w:t>
      </w:r>
      <w:r w:rsidRPr="006E1603">
        <w:rPr>
          <w:rFonts w:ascii="Book Antiqua" w:eastAsia="Book Antiqua" w:hAnsi="Book Antiqua" w:cs="Book Antiqua"/>
          <w:color w:val="000000"/>
        </w:rPr>
        <w:t xml:space="preserve">rthermore, we observed a significant upregulation in the expression of </w:t>
      </w:r>
      <w:r w:rsidRPr="006E1603">
        <w:rPr>
          <w:rFonts w:ascii="Book Antiqua" w:eastAsia="Book Antiqua" w:hAnsi="Book Antiqua" w:cs="Book Antiqua"/>
          <w:i/>
          <w:iCs/>
          <w:color w:val="000000"/>
        </w:rPr>
        <w:t>TREM2</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which was shown to be a protective mechanism activated in response to liver damage (</w:t>
      </w:r>
      <w:r w:rsidR="00F93FA4" w:rsidRPr="006E1603">
        <w:rPr>
          <w:rFonts w:ascii="Book Antiqua" w:eastAsia="Book Antiqua" w:hAnsi="Book Antiqua" w:cs="Book Antiqua"/>
          <w:i/>
          <w:iCs/>
          <w:color w:val="000000"/>
        </w:rPr>
        <w:t>e.g.</w:t>
      </w:r>
      <w:r w:rsidR="00F93FA4" w:rsidRPr="006E1603">
        <w:rPr>
          <w:rFonts w:ascii="Book Antiqua" w:eastAsia="Book Antiqua" w:hAnsi="Book Antiqua" w:cs="Book Antiqua"/>
          <w:iCs/>
          <w:color w:val="000000"/>
        </w:rPr>
        <w:t>,</w:t>
      </w:r>
      <w:r w:rsidR="00F93FA4"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immune-mediated hepatocellular damage and hepatotoxic injuries) (acts as a natural brake o</w:t>
      </w:r>
      <w:r w:rsidRPr="006E1603">
        <w:rPr>
          <w:rFonts w:ascii="Book Antiqua" w:eastAsia="Book Antiqua" w:hAnsi="Book Antiqua" w:cs="Book Antiqua"/>
          <w:color w:val="000000"/>
        </w:rPr>
        <w:t>n inflammation during hepatocellular injury)</w:t>
      </w:r>
      <w:r w:rsidRPr="006E1603">
        <w:rPr>
          <w:rFonts w:ascii="Book Antiqua" w:eastAsia="Book Antiqua" w:hAnsi="Book Antiqua" w:cs="Book Antiqua"/>
          <w:color w:val="000000"/>
          <w:szCs w:val="36"/>
          <w:vertAlign w:val="superscript"/>
        </w:rPr>
        <w:t>[</w:t>
      </w:r>
      <w:hyperlink w:anchor="_ENREF_31" w:tooltip="Perugorria, 2019 #581" w:history="1">
        <w:r w:rsidRPr="006E1603">
          <w:rPr>
            <w:rFonts w:ascii="Book Antiqua" w:eastAsia="Book Antiqua" w:hAnsi="Book Antiqua" w:cs="Book Antiqua"/>
            <w:color w:val="000000"/>
            <w:szCs w:val="36"/>
            <w:vertAlign w:val="superscript"/>
          </w:rPr>
          <w:t>31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which supports the potential occurrence of liver inflammation and injury in response to SARS-CoV-2 infection. Altogether, these results suggest the po</w:t>
      </w:r>
      <w:r w:rsidRPr="006E1603">
        <w:rPr>
          <w:rFonts w:ascii="Book Antiqua" w:eastAsia="Book Antiqua" w:hAnsi="Book Antiqua" w:cs="Book Antiqua"/>
          <w:color w:val="000000"/>
        </w:rPr>
        <w:t>tential activation of tissue remodeling pathways (</w:t>
      </w:r>
      <w:r w:rsidRPr="006E1603">
        <w:rPr>
          <w:rFonts w:ascii="Book Antiqua" w:eastAsia="Book Antiqua" w:hAnsi="Book Antiqua" w:cs="Book Antiqua"/>
          <w:i/>
          <w:iCs/>
          <w:color w:val="000000"/>
        </w:rPr>
        <w:t>e.g.</w:t>
      </w:r>
      <w:r w:rsidR="00F93FA4" w:rsidRPr="006E1603">
        <w:rPr>
          <w:rFonts w:ascii="Book Antiqua" w:eastAsia="Book Antiqua" w:hAnsi="Book Antiqua" w:cs="Book Antiqua"/>
          <w:iCs/>
          <w:color w:val="000000"/>
        </w:rPr>
        <w:t>,</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fibrosis, increased vascularization, and steatosis) in the liver tissue of severe COVID-19 patients at advanced stages in response to liver injury and inflammation that may result in cirrhosis/fibrosis</w:t>
      </w:r>
      <w:r w:rsidRPr="006E1603">
        <w:rPr>
          <w:rFonts w:ascii="Book Antiqua" w:eastAsia="Book Antiqua" w:hAnsi="Book Antiqua" w:cs="Book Antiqua"/>
          <w:color w:val="000000"/>
        </w:rPr>
        <w:t>-like phenotype.</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We then compared the differential transcriptome of liver samples from severe COVID-19 patients with the disease signature of hepatitis A, hepatitis B and hepatitis C infection. We observed the overlap of 84 genes from the upregulated trans</w:t>
      </w:r>
      <w:r w:rsidRPr="006E1603">
        <w:rPr>
          <w:rFonts w:ascii="Book Antiqua" w:eastAsia="Book Antiqua" w:hAnsi="Book Antiqua" w:cs="Book Antiqua"/>
          <w:color w:val="000000"/>
        </w:rPr>
        <w:t>criptome of COVID-19 liver samples overlap with hepatitis A infection signature; 278 genes overlap with the signature of hepatitis B infection; and 336 genes overlap with the signature of hepatitis C infection (top overlapping genes are presented in Figure</w:t>
      </w:r>
      <w:r w:rsidRPr="006E1603">
        <w:rPr>
          <w:rFonts w:ascii="Book Antiqua" w:eastAsia="Book Antiqua" w:hAnsi="Book Antiqua" w:cs="Book Antiqua"/>
          <w:color w:val="000000"/>
        </w:rPr>
        <w:t xml:space="preserve"> 5A). The overlapping signatures between the COVID-19 samples and the three types of hepatitis infections were enriched in transcripts contributing to response to infection, activation of immune </w:t>
      </w:r>
      <w:r w:rsidRPr="006E1603">
        <w:rPr>
          <w:rFonts w:ascii="Book Antiqua" w:eastAsia="Book Antiqua" w:hAnsi="Book Antiqua" w:cs="Book Antiqua"/>
          <w:color w:val="000000"/>
        </w:rPr>
        <w:lastRenderedPageBreak/>
        <w:t>response mechanisms, cytokines-mediated signaling, tissue rem</w:t>
      </w:r>
      <w:r w:rsidRPr="006E1603">
        <w:rPr>
          <w:rFonts w:ascii="Book Antiqua" w:eastAsia="Book Antiqua" w:hAnsi="Book Antiqua" w:cs="Book Antiqua"/>
          <w:color w:val="000000"/>
        </w:rPr>
        <w:t>odeling and homeostasis (Figure 5B).</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Dysregulation of mitochondrial function, metabolic and biosynthetic pathways in the liver tissue of patients with severe COVID-19</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Analysis of the downregulated genes in the liver tissues of severe COVID-19 patients rev</w:t>
      </w:r>
      <w:r w:rsidRPr="006E1603">
        <w:rPr>
          <w:rFonts w:ascii="Book Antiqua" w:eastAsia="Book Antiqua" w:hAnsi="Book Antiqua" w:cs="Book Antiqua"/>
          <w:color w:val="000000"/>
        </w:rPr>
        <w:t>ealed a significant suppression of various metabolic and biosynthetic pathways including the metabolism of amines, aromatic compounds, amino acids, steroids, glycoproteins, lipids, and flavones (Figure 6A). The suppression of these metabolic pathways is co</w:t>
      </w:r>
      <w:r w:rsidRPr="006E1603">
        <w:rPr>
          <w:rFonts w:ascii="Book Antiqua" w:eastAsia="Book Antiqua" w:hAnsi="Book Antiqua" w:cs="Book Antiqua"/>
          <w:color w:val="000000"/>
        </w:rPr>
        <w:t>ncordant with the dysregulation of mitochondrial function reflected by the suppression of oxidation-reduction process, electron transport and respiratory chain, and the assembly of mitochondrial structures. These findings are consistent with previously pub</w:t>
      </w:r>
      <w:r w:rsidRPr="006E1603">
        <w:rPr>
          <w:rFonts w:ascii="Book Antiqua" w:eastAsia="Book Antiqua" w:hAnsi="Book Antiqua" w:cs="Book Antiqua"/>
          <w:color w:val="000000"/>
        </w:rPr>
        <w:t>lished data on the accumulation of amino acids and steroids in the sera of COVID-19 patients in consequence to the suppression of lipid and amino acid metabolism</w:t>
      </w:r>
      <w:r w:rsidRPr="006E1603">
        <w:rPr>
          <w:rFonts w:ascii="Book Antiqua" w:eastAsia="Book Antiqua" w:hAnsi="Book Antiqua" w:cs="Book Antiqua"/>
          <w:color w:val="000000"/>
          <w:szCs w:val="36"/>
          <w:vertAlign w:val="superscript"/>
        </w:rPr>
        <w:t>[</w:t>
      </w:r>
      <w:hyperlink w:anchor="_ENREF_32" w:tooltip="Shen, 2020 #398" w:history="1">
        <w:r w:rsidRPr="006E1603">
          <w:rPr>
            <w:rFonts w:ascii="Book Antiqua" w:eastAsia="Book Antiqua" w:hAnsi="Book Antiqua" w:cs="Book Antiqua"/>
            <w:color w:val="000000"/>
            <w:szCs w:val="36"/>
            <w:vertAlign w:val="superscript"/>
          </w:rPr>
          <w:t>32</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These data show that metabolic pathways</w:t>
      </w:r>
      <w:r w:rsidRPr="006E1603">
        <w:rPr>
          <w:rFonts w:ascii="Book Antiqua" w:eastAsia="Book Antiqua" w:hAnsi="Book Antiqua" w:cs="Book Antiqua"/>
          <w:color w:val="000000"/>
        </w:rPr>
        <w:t xml:space="preserve"> are potentially hijacked in severe COVID-19 patients’ liver tissue through the dysregulating of mitochondrial function. Analysis of key transcriptional regulators of the dysregulated gene implicated in mitochondrial function using TRRUST database suggeste</w:t>
      </w:r>
      <w:r w:rsidRPr="006E1603">
        <w:rPr>
          <w:rFonts w:ascii="Book Antiqua" w:eastAsia="Book Antiqua" w:hAnsi="Book Antiqua" w:cs="Book Antiqua"/>
          <w:color w:val="000000"/>
        </w:rPr>
        <w:t>d</w:t>
      </w:r>
      <w:r w:rsidRPr="006E1603">
        <w:rPr>
          <w:rFonts w:ascii="Book Antiqua" w:eastAsia="宋体" w:hAnsi="Book Antiqua" w:cs="Book Antiqua" w:hint="eastAsia"/>
          <w:i/>
          <w:iCs/>
          <w:color w:val="000000"/>
          <w:lang w:eastAsia="zh-CN"/>
        </w:rPr>
        <w:t xml:space="preserve"> </w:t>
      </w:r>
      <w:r w:rsidRPr="006E1603">
        <w:rPr>
          <w:rFonts w:ascii="Book Antiqua" w:eastAsia="Book Antiqua" w:hAnsi="Book Antiqua" w:cs="Book Antiqua"/>
          <w:i/>
          <w:iCs/>
          <w:color w:val="000000"/>
        </w:rPr>
        <w:t>SP1</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GATA6</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SP3</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HNF4A</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SMAD3</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as candidates. </w:t>
      </w:r>
      <w:r w:rsidRPr="006E1603">
        <w:rPr>
          <w:rFonts w:ascii="Book Antiqua" w:eastAsia="Book Antiqua" w:hAnsi="Book Antiqua" w:cs="Book Antiqua"/>
          <w:i/>
          <w:iCs/>
          <w:color w:val="000000"/>
        </w:rPr>
        <w:t>SP1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has been previously implicated in pathogenesis of diseases characterized by mitochondrial dysfunction such as schizophrenia</w:t>
      </w:r>
      <w:r w:rsidRPr="006E1603">
        <w:rPr>
          <w:rFonts w:ascii="Book Antiqua" w:eastAsia="Book Antiqua" w:hAnsi="Book Antiqua" w:cs="Book Antiqua"/>
          <w:color w:val="000000"/>
          <w:szCs w:val="36"/>
          <w:vertAlign w:val="superscript"/>
        </w:rPr>
        <w:t>[</w:t>
      </w:r>
      <w:hyperlink w:anchor="_ENREF_33" w:tooltip="Ben-Shachar, 2007 #416" w:history="1">
        <w:r w:rsidRPr="006E1603">
          <w:rPr>
            <w:rFonts w:ascii="Book Antiqua" w:eastAsia="Book Antiqua" w:hAnsi="Book Antiqua" w:cs="Book Antiqua"/>
            <w:color w:val="000000"/>
            <w:szCs w:val="36"/>
            <w:vertAlign w:val="superscript"/>
          </w:rPr>
          <w:t>33</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One of the top </w:t>
      </w:r>
      <w:r w:rsidRPr="006E1603">
        <w:rPr>
          <w:rFonts w:ascii="Book Antiqua" w:eastAsia="Book Antiqua" w:hAnsi="Book Antiqua" w:cs="Book Antiqua"/>
          <w:color w:val="000000"/>
        </w:rPr>
        <w:t>downregulated genes was acyl-CoA dehydrogenases 11 (</w:t>
      </w:r>
      <w:r w:rsidRPr="006E1603">
        <w:rPr>
          <w:rFonts w:ascii="Book Antiqua" w:eastAsia="Book Antiqua" w:hAnsi="Book Antiqua" w:cs="Book Antiqua"/>
          <w:i/>
          <w:iCs/>
          <w:color w:val="000000"/>
        </w:rPr>
        <w:t>ACAD11</w:t>
      </w:r>
      <w:r w:rsidRPr="006E1603">
        <w:rPr>
          <w:rFonts w:ascii="Book Antiqua" w:eastAsia="Book Antiqua" w:hAnsi="Book Antiqua" w:cs="Book Antiqua"/>
          <w:color w:val="000000"/>
        </w:rPr>
        <w:t>)</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(Figure 6B), a mitochondrial flavoenzyme involved in mitochondrial β-oxidation and metabolism of long chain fatty acyl-CoAs</w:t>
      </w:r>
      <w:r w:rsidRPr="006E1603">
        <w:rPr>
          <w:rFonts w:ascii="Book Antiqua" w:eastAsia="Book Antiqua" w:hAnsi="Book Antiqua" w:cs="Book Antiqua"/>
          <w:color w:val="000000"/>
          <w:szCs w:val="36"/>
          <w:vertAlign w:val="superscript"/>
        </w:rPr>
        <w:t>[</w:t>
      </w:r>
      <w:hyperlink w:anchor="_ENREF_34" w:tooltip="He, 2011 #538" w:history="1">
        <w:r w:rsidRPr="006E1603">
          <w:rPr>
            <w:rFonts w:ascii="Book Antiqua" w:eastAsia="Book Antiqua" w:hAnsi="Book Antiqua" w:cs="Book Antiqua"/>
            <w:color w:val="000000"/>
            <w:szCs w:val="36"/>
            <w:vertAlign w:val="superscript"/>
          </w:rPr>
          <w:t>34</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Another top downreg</w:t>
      </w:r>
      <w:r w:rsidRPr="006E1603">
        <w:rPr>
          <w:rFonts w:ascii="Book Antiqua" w:eastAsia="Book Antiqua" w:hAnsi="Book Antiqua" w:cs="Book Antiqua"/>
          <w:color w:val="000000"/>
        </w:rPr>
        <w:t>ulated gene was the cell death-inducing DNA fragmentation factor alpha-like effector B (</w:t>
      </w:r>
      <w:r w:rsidRPr="006E1603">
        <w:rPr>
          <w:rFonts w:ascii="Book Antiqua" w:eastAsia="Book Antiqua" w:hAnsi="Book Antiqua" w:cs="Book Antiqua"/>
          <w:i/>
          <w:iCs/>
          <w:color w:val="000000"/>
        </w:rPr>
        <w:t>CIDEB</w:t>
      </w:r>
      <w:r w:rsidRPr="006E1603">
        <w:rPr>
          <w:rFonts w:ascii="Book Antiqua" w:eastAsia="Book Antiqua" w:hAnsi="Book Antiqua" w:cs="Book Antiqua"/>
          <w:color w:val="000000"/>
        </w:rPr>
        <w:t>), a liver-specific regulator of lipid droplet dynamics and lipids metabolism</w:t>
      </w:r>
      <w:r w:rsidRPr="006E1603">
        <w:rPr>
          <w:rFonts w:ascii="Book Antiqua" w:eastAsia="Book Antiqua" w:hAnsi="Book Antiqua" w:cs="Book Antiqua"/>
          <w:color w:val="000000"/>
          <w:szCs w:val="36"/>
          <w:vertAlign w:val="superscript"/>
        </w:rPr>
        <w:t>[</w:t>
      </w:r>
      <w:hyperlink w:anchor="_ENREF_35" w:tooltip="Slayton, 2019 #589" w:history="1">
        <w:r w:rsidRPr="006E1603">
          <w:rPr>
            <w:rFonts w:ascii="Book Antiqua" w:eastAsia="Book Antiqua" w:hAnsi="Book Antiqua" w:cs="Book Antiqua"/>
            <w:color w:val="000000"/>
            <w:szCs w:val="36"/>
            <w:vertAlign w:val="superscript"/>
          </w:rPr>
          <w:t>35</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Glycine N-methyltransferase</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GNMT</w:t>
      </w:r>
      <w:r w:rsidRPr="006E1603">
        <w:rPr>
          <w:rFonts w:ascii="Book Antiqua" w:eastAsia="Book Antiqua" w:hAnsi="Book Antiqua" w:cs="Book Antiqua"/>
          <w:color w:val="000000"/>
        </w:rPr>
        <w:t>), another top downregulated gene in SARS-CoV-2 infected liver samples, was found to contribute to the development of liver steatosis and fibrosis when suppressed due to the metabolic dysregulation and accumulation of S-adenosylmethionine</w:t>
      </w:r>
      <w:r w:rsidRPr="006E1603">
        <w:rPr>
          <w:rFonts w:ascii="Book Antiqua" w:eastAsia="Book Antiqua" w:hAnsi="Book Antiqua" w:cs="Book Antiqua"/>
          <w:color w:val="000000"/>
          <w:szCs w:val="36"/>
          <w:vertAlign w:val="superscript"/>
        </w:rPr>
        <w:t>[</w:t>
      </w:r>
      <w:hyperlink w:anchor="_ENREF_36" w:tooltip="Varela-Rey, 2010 #588" w:history="1">
        <w:r w:rsidRPr="006E1603">
          <w:rPr>
            <w:rFonts w:ascii="Book Antiqua" w:eastAsia="Book Antiqua" w:hAnsi="Book Antiqua" w:cs="Book Antiqua"/>
            <w:color w:val="000000"/>
            <w:szCs w:val="36"/>
            <w:vertAlign w:val="superscript"/>
          </w:rPr>
          <w:t>36</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Glycerol-3-phosphate acyltransferase and metabolism (</w:t>
      </w:r>
      <w:r w:rsidRPr="006E1603">
        <w:rPr>
          <w:rFonts w:ascii="Book Antiqua" w:eastAsia="Book Antiqua" w:hAnsi="Book Antiqua" w:cs="Book Antiqua"/>
          <w:i/>
          <w:iCs/>
          <w:color w:val="000000"/>
        </w:rPr>
        <w:t>GPAM</w:t>
      </w:r>
      <w:r w:rsidRPr="006E1603">
        <w:rPr>
          <w:rFonts w:ascii="Book Antiqua" w:eastAsia="Book Antiqua" w:hAnsi="Book Antiqua" w:cs="Book Antiqua"/>
          <w:color w:val="000000"/>
        </w:rPr>
        <w:t xml:space="preserve">), </w:t>
      </w:r>
      <w:r w:rsidRPr="006E1603">
        <w:rPr>
          <w:rFonts w:ascii="Book Antiqua" w:eastAsia="Book Antiqua" w:hAnsi="Book Antiqua" w:cs="Book Antiqua"/>
          <w:color w:val="000000"/>
        </w:rPr>
        <w:lastRenderedPageBreak/>
        <w:t>another of the top 10 downregulated genes, is implicated triglyceride biosynthesis</w:t>
      </w:r>
      <w:r w:rsidRPr="006E1603">
        <w:rPr>
          <w:rFonts w:ascii="Book Antiqua" w:eastAsia="Book Antiqua" w:hAnsi="Book Antiqua" w:cs="Book Antiqua"/>
          <w:color w:val="000000"/>
          <w:szCs w:val="36"/>
          <w:vertAlign w:val="superscript"/>
        </w:rPr>
        <w:t>[</w:t>
      </w:r>
      <w:hyperlink w:anchor="_ENREF_37" w:tooltip="Chen, 2008 #539" w:history="1">
        <w:r w:rsidRPr="006E1603">
          <w:rPr>
            <w:rFonts w:ascii="Book Antiqua" w:eastAsia="Book Antiqua" w:hAnsi="Book Antiqua" w:cs="Book Antiqua"/>
            <w:color w:val="000000"/>
            <w:szCs w:val="36"/>
            <w:vertAlign w:val="superscript"/>
          </w:rPr>
          <w:t>37</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r w:rsidRPr="006E1603">
        <w:rPr>
          <w:rFonts w:ascii="Book Antiqua" w:eastAsia="Book Antiqua" w:hAnsi="Book Antiqua" w:cs="Book Antiqua"/>
          <w:color w:val="000000"/>
        </w:rPr>
        <w:t>Moreover, 17β-hydroxysteroid dehydrogenase type 4 (</w:t>
      </w:r>
      <w:r w:rsidRPr="006E1603">
        <w:rPr>
          <w:rFonts w:ascii="Book Antiqua" w:eastAsia="Book Antiqua" w:hAnsi="Book Antiqua" w:cs="Book Antiqua"/>
          <w:i/>
          <w:iCs/>
          <w:color w:val="000000"/>
        </w:rPr>
        <w:t>HSD17B4</w:t>
      </w:r>
      <w:r w:rsidRPr="006E1603">
        <w:rPr>
          <w:rFonts w:ascii="Book Antiqua" w:eastAsia="Book Antiqua" w:hAnsi="Book Antiqua" w:cs="Book Antiqua"/>
          <w:color w:val="000000"/>
        </w:rPr>
        <w:t>), a regulator of fatty acid β-oxidation and steroid metabolism</w:t>
      </w:r>
      <w:r w:rsidRPr="006E1603">
        <w:rPr>
          <w:rFonts w:ascii="Book Antiqua" w:eastAsia="Book Antiqua" w:hAnsi="Book Antiqua" w:cs="Book Antiqua"/>
          <w:color w:val="000000"/>
          <w:szCs w:val="36"/>
          <w:vertAlign w:val="superscript"/>
        </w:rPr>
        <w:t>[</w:t>
      </w:r>
      <w:hyperlink w:anchor="_ENREF_38" w:tooltip="Pierce, 2010 #537" w:history="1">
        <w:r w:rsidRPr="006E1603">
          <w:rPr>
            <w:rFonts w:ascii="Book Antiqua" w:eastAsia="Book Antiqua" w:hAnsi="Book Antiqua" w:cs="Book Antiqua"/>
            <w:color w:val="000000"/>
            <w:szCs w:val="36"/>
            <w:vertAlign w:val="superscript"/>
          </w:rPr>
          <w:t>38</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was downregulated. Altogether, the downregulation of these genes suggests met</w:t>
      </w:r>
      <w:r w:rsidRPr="006E1603">
        <w:rPr>
          <w:rFonts w:ascii="Book Antiqua" w:eastAsia="Book Antiqua" w:hAnsi="Book Antiqua" w:cs="Book Antiqua"/>
          <w:color w:val="000000"/>
        </w:rPr>
        <w:t xml:space="preserve">abolic and biosynthetic pathways are suppressed in the liver tissue of severe COVID-19 patients.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Moreover, our analysis showed a significant enrichment of downregulated transcripts implicated in iron, copper, sodium, potassium, zinc, and calcium binding, </w:t>
      </w:r>
      <w:r w:rsidRPr="006E1603">
        <w:rPr>
          <w:rFonts w:ascii="Book Antiqua" w:eastAsia="Book Antiqua" w:hAnsi="Book Antiqua" w:cs="Book Antiqua"/>
          <w:color w:val="000000"/>
        </w:rPr>
        <w:t>transport, homeostasis and signaling. Imbalance of some of these ions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calcium and potassium ions) has been shown to induce mitochondrial swelling through shifting osmotic pressure</w:t>
      </w:r>
      <w:r w:rsidRPr="006E1603">
        <w:rPr>
          <w:rFonts w:ascii="Book Antiqua" w:eastAsia="Book Antiqua" w:hAnsi="Book Antiqua" w:cs="Book Antiqua"/>
          <w:color w:val="000000"/>
          <w:szCs w:val="36"/>
          <w:vertAlign w:val="superscript"/>
        </w:rPr>
        <w:t>[</w:t>
      </w:r>
      <w:hyperlink w:anchor="_ENREF_39" w:tooltip="Javadov, 2017 #417" w:history="1">
        <w:r w:rsidRPr="006E1603">
          <w:rPr>
            <w:rFonts w:ascii="Book Antiqua" w:eastAsia="Book Antiqua" w:hAnsi="Book Antiqua" w:cs="Book Antiqua"/>
            <w:color w:val="000000"/>
            <w:szCs w:val="36"/>
            <w:vertAlign w:val="superscript"/>
          </w:rPr>
          <w:t>39</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w:t>
      </w:r>
    </w:p>
    <w:p w:rsidR="005F527F" w:rsidRPr="006E1603" w:rsidRDefault="005F527F" w:rsidP="001736C0">
      <w:pPr>
        <w:snapToGrid w:val="0"/>
        <w:spacing w:after="0" w:line="360" w:lineRule="auto"/>
        <w:ind w:firstLine="720"/>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COVID-19 in</w:t>
      </w:r>
      <w:r w:rsidRPr="006E1603">
        <w:rPr>
          <w:rFonts w:ascii="Book Antiqua" w:eastAsia="Book Antiqua" w:hAnsi="Book Antiqua" w:cs="Book Antiqua"/>
          <w:b/>
          <w:bCs/>
          <w:i/>
          <w:iCs/>
          <w:color w:val="000000"/>
        </w:rPr>
        <w:t>hibits drug metabolism potentially resulting in potential hepatotoxicity</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t xml:space="preserve">The downregulated transcriptome of COVID-19 patients’ liver tissue samples was enriched in members of the cytochromes P450 family enzymes (CYPs), including </w:t>
      </w:r>
      <w:r w:rsidRPr="006E1603">
        <w:rPr>
          <w:rFonts w:ascii="Book Antiqua" w:eastAsia="Book Antiqua" w:hAnsi="Book Antiqua" w:cs="Book Antiqua"/>
          <w:i/>
          <w:iCs/>
          <w:color w:val="000000"/>
        </w:rPr>
        <w:t>CYP39A1, CYP11A1, CYP4X1, C</w:t>
      </w:r>
      <w:r w:rsidRPr="006E1603">
        <w:rPr>
          <w:rFonts w:ascii="Book Antiqua" w:eastAsia="Book Antiqua" w:hAnsi="Book Antiqua" w:cs="Book Antiqua"/>
          <w:i/>
          <w:iCs/>
          <w:color w:val="000000"/>
        </w:rPr>
        <w:t>YP2U1</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CYP1A2</w:t>
      </w:r>
      <w:r w:rsidRPr="006E1603">
        <w:rPr>
          <w:rFonts w:ascii="Book Antiqua" w:eastAsia="Book Antiqua" w:hAnsi="Book Antiqua" w:cs="Book Antiqua"/>
          <w:color w:val="000000"/>
        </w:rPr>
        <w:t xml:space="preserve">, which play central roles in various metabolic pathways including the metabolism of drugs and xenobiotics (Figure 7A). Moreover, we observed the downregulation of the CYPs, </w:t>
      </w:r>
      <w:r w:rsidRPr="006E1603">
        <w:rPr>
          <w:rFonts w:ascii="Book Antiqua" w:eastAsia="Book Antiqua" w:hAnsi="Book Antiqua" w:cs="Book Antiqua"/>
          <w:i/>
          <w:iCs/>
          <w:color w:val="000000"/>
        </w:rPr>
        <w:t>CYP2C8</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(fold change -4.18) and </w:t>
      </w:r>
      <w:r w:rsidRPr="006E1603">
        <w:rPr>
          <w:rFonts w:ascii="Book Antiqua" w:eastAsia="Book Antiqua" w:hAnsi="Book Antiqua" w:cs="Book Antiqua"/>
          <w:i/>
          <w:iCs/>
          <w:color w:val="000000"/>
        </w:rPr>
        <w:t>CYP3A4/5</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(fold change -2.44), whic</w:t>
      </w:r>
      <w:r w:rsidRPr="006E1603">
        <w:rPr>
          <w:rFonts w:ascii="Book Antiqua" w:eastAsia="Book Antiqua" w:hAnsi="Book Antiqua" w:cs="Book Antiqua"/>
          <w:color w:val="000000"/>
        </w:rPr>
        <w:t>h have been shown to be centrally implicated in the metabolism of chloroquine and hydroxychloroquine; therapeutic agents administered to COVID-19 patients</w:t>
      </w:r>
      <w:r w:rsidRPr="006E1603">
        <w:rPr>
          <w:rFonts w:ascii="Book Antiqua" w:eastAsia="Book Antiqua" w:hAnsi="Book Antiqua" w:cs="Book Antiqua"/>
          <w:color w:val="000000"/>
          <w:szCs w:val="36"/>
          <w:vertAlign w:val="superscript"/>
        </w:rPr>
        <w:t>[</w:t>
      </w:r>
      <w:hyperlink w:anchor="_ENREF_40" w:tooltip="Kim, 2003 #598" w:history="1">
        <w:r w:rsidRPr="006E1603">
          <w:rPr>
            <w:rFonts w:ascii="Book Antiqua" w:eastAsia="Book Antiqua" w:hAnsi="Book Antiqua" w:cs="Book Antiqua"/>
            <w:color w:val="000000"/>
            <w:szCs w:val="36"/>
            <w:vertAlign w:val="superscript"/>
          </w:rPr>
          <w:t>40</w:t>
        </w:r>
      </w:hyperlink>
      <w:r w:rsidRPr="006E1603">
        <w:rPr>
          <w:rFonts w:ascii="Book Antiqua" w:eastAsia="Book Antiqua" w:hAnsi="Book Antiqua" w:cs="Book Antiqua"/>
          <w:color w:val="000000"/>
          <w:szCs w:val="36"/>
          <w:vertAlign w:val="superscript"/>
        </w:rPr>
        <w:t>,</w:t>
      </w:r>
      <w:hyperlink w:anchor="_ENREF_41" w:tooltip="Wahie, 2011 #599" w:history="1">
        <w:r w:rsidRPr="006E1603">
          <w:rPr>
            <w:rFonts w:ascii="Book Antiqua" w:eastAsia="Book Antiqua" w:hAnsi="Book Antiqua" w:cs="Book Antiqua"/>
            <w:color w:val="000000"/>
            <w:szCs w:val="36"/>
            <w:vertAlign w:val="superscript"/>
          </w:rPr>
          <w:t>4</w:t>
        </w:r>
        <w:r w:rsidRPr="006E1603">
          <w:rPr>
            <w:rFonts w:ascii="Book Antiqua" w:eastAsia="Book Antiqua" w:hAnsi="Book Antiqua" w:cs="Book Antiqua"/>
            <w:color w:val="000000"/>
            <w:szCs w:val="36"/>
            <w:vertAlign w:val="superscript"/>
          </w:rPr>
          <w:t>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Functional clustering analysis revealed the enrichment of transcripts implicated in xenobiotic and drug metabolism processes (GO:0006805 and GO:0017144) in the downregulated transcriptome of SARS-CoV-2 infected liver samples (adjusted </w:t>
      </w:r>
      <w:r w:rsidRPr="006E1603">
        <w:rPr>
          <w:rFonts w:ascii="Book Antiqua" w:eastAsia="Book Antiqua" w:hAnsi="Book Antiqua" w:cs="Book Antiqua"/>
          <w:i/>
          <w:iCs/>
          <w:color w:val="000000"/>
        </w:rPr>
        <w:t>P</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values 0.01215 and 0.06111, respectively for xenobiotic and drug metabolism processes). KEGG pathway enrichment analysis confirmed the suppression of the metabolism of various types of drugs through CYPs as well as other enzymes (Figure 7B). </w:t>
      </w:r>
    </w:p>
    <w:p w:rsidR="005F527F" w:rsidRPr="006E1603" w:rsidRDefault="005F527F" w:rsidP="001736C0">
      <w:pPr>
        <w:snapToGrid w:val="0"/>
        <w:spacing w:after="0" w:line="360" w:lineRule="auto"/>
        <w:jc w:val="both"/>
      </w:pPr>
    </w:p>
    <w:p w:rsidR="005F527F" w:rsidRPr="006E1603" w:rsidRDefault="00542EC0" w:rsidP="001736C0">
      <w:pPr>
        <w:snapToGrid w:val="0"/>
        <w:spacing w:after="0" w:line="360" w:lineRule="auto"/>
        <w:jc w:val="both"/>
      </w:pPr>
      <w:r w:rsidRPr="006E1603">
        <w:rPr>
          <w:rFonts w:ascii="Book Antiqua" w:eastAsia="Book Antiqua" w:hAnsi="Book Antiqua" w:cs="Book Antiqua"/>
          <w:b/>
          <w:bCs/>
          <w:i/>
          <w:iCs/>
          <w:color w:val="000000"/>
        </w:rPr>
        <w:t>Cross-valida</w:t>
      </w:r>
      <w:r w:rsidRPr="006E1603">
        <w:rPr>
          <w:rFonts w:ascii="Book Antiqua" w:eastAsia="Book Antiqua" w:hAnsi="Book Antiqua" w:cs="Book Antiqua"/>
          <w:b/>
          <w:bCs/>
          <w:i/>
          <w:iCs/>
          <w:color w:val="000000"/>
        </w:rPr>
        <w:t>tion of some differentially expressed genes in severe COVID-19 patients’ blood plasma</w:t>
      </w:r>
    </w:p>
    <w:p w:rsidR="005F527F" w:rsidRPr="006E1603" w:rsidRDefault="00542EC0" w:rsidP="001736C0">
      <w:pPr>
        <w:snapToGrid w:val="0"/>
        <w:spacing w:after="0" w:line="360" w:lineRule="auto"/>
        <w:jc w:val="both"/>
      </w:pPr>
      <w:r w:rsidRPr="006E1603">
        <w:rPr>
          <w:rFonts w:ascii="Book Antiqua" w:eastAsia="Book Antiqua" w:hAnsi="Book Antiqua" w:cs="Book Antiqua"/>
          <w:color w:val="000000"/>
        </w:rPr>
        <w:lastRenderedPageBreak/>
        <w:t>We next aimed at investigating the potential of utilizing some of the identified DEGs as putative biomarkers for liver dysfunction in COVID-19 patients. Therefore, we ass</w:t>
      </w:r>
      <w:r w:rsidRPr="006E1603">
        <w:rPr>
          <w:rFonts w:ascii="Book Antiqua" w:eastAsia="Book Antiqua" w:hAnsi="Book Antiqua" w:cs="Book Antiqua"/>
          <w:color w:val="000000"/>
        </w:rPr>
        <w:t>essed the gene expression of some of the differentially expressed genes in the liver tissue of severe COVID-19 patients using blood plasma samples of severe COVID-19 patients with liver dysfunction. In correlation with the RNA-seq data analysis, qRT-PCR an</w:t>
      </w:r>
      <w:r w:rsidRPr="006E1603">
        <w:rPr>
          <w:rFonts w:ascii="Book Antiqua" w:eastAsia="Book Antiqua" w:hAnsi="Book Antiqua" w:cs="Book Antiqua"/>
          <w:color w:val="000000"/>
        </w:rPr>
        <w:t xml:space="preserve">alysis confirmed the significant elevation in the gene expression of </w:t>
      </w:r>
      <w:r w:rsidRPr="006E1603">
        <w:rPr>
          <w:rFonts w:ascii="Book Antiqua" w:eastAsia="Book Antiqua" w:hAnsi="Book Antiqua" w:cs="Book Antiqua"/>
          <w:i/>
          <w:iCs/>
          <w:color w:val="000000"/>
        </w:rPr>
        <w:t>DNAJB1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w:t>
      </w:r>
      <w:r w:rsidRPr="006E1603">
        <w:rPr>
          <w:rFonts w:ascii="Book Antiqua" w:eastAsia="Book Antiqua" w:hAnsi="Book Antiqua" w:cs="Book Antiqua"/>
          <w:i/>
          <w:iCs/>
          <w:color w:val="000000"/>
        </w:rPr>
        <w:t>HSP90AB1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the significant downregulation of </w:t>
      </w:r>
      <w:r w:rsidRPr="006E1603">
        <w:rPr>
          <w:rFonts w:ascii="Book Antiqua" w:eastAsia="Book Antiqua" w:hAnsi="Book Antiqua" w:cs="Book Antiqua"/>
          <w:i/>
          <w:iCs/>
          <w:color w:val="000000"/>
        </w:rPr>
        <w:t>CYP39A1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in response to liver dysfunction in severe COVID-19 patients (Figure 8).</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DISCUSSION</w:t>
      </w:r>
    </w:p>
    <w:p w:rsidR="005F527F" w:rsidRDefault="00542EC0" w:rsidP="001736C0">
      <w:pPr>
        <w:snapToGrid w:val="0"/>
        <w:spacing w:after="0" w:line="360" w:lineRule="auto"/>
        <w:jc w:val="both"/>
      </w:pPr>
      <w:r>
        <w:rPr>
          <w:rFonts w:ascii="Book Antiqua" w:eastAsia="Book Antiqua" w:hAnsi="Book Antiqua" w:cs="Book Antiqua"/>
          <w:color w:val="000000"/>
        </w:rPr>
        <w:t>Manifestations of SARS-CoV-2 infecti</w:t>
      </w:r>
      <w:r>
        <w:rPr>
          <w:rFonts w:ascii="Book Antiqua" w:eastAsia="Book Antiqua" w:hAnsi="Book Antiqua" w:cs="Book Antiqua"/>
          <w:color w:val="000000"/>
        </w:rPr>
        <w:t>on were observed systemically and included indications of liver dysfunction. However, the molecular changes underlying the phenotypic systemic observations linking to liver dysfunction at advanced stages of COVID-19 are yet to be thoroughly explored. There</w:t>
      </w:r>
      <w:r>
        <w:rPr>
          <w:rFonts w:ascii="Book Antiqua" w:eastAsia="Book Antiqua" w:hAnsi="Book Antiqua" w:cs="Book Antiqua"/>
          <w:color w:val="000000"/>
        </w:rPr>
        <w:t>fore, in this study, we explored an RNA-seq dataset of severe COVID-19 patients’ liver tissues to get some insight on the dysregulated molecular mechanisms resulting in the observed phenotypic manifestations (summary of findings in Figure 9).</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Our analysis </w:t>
      </w:r>
      <w:r w:rsidRPr="006E1603">
        <w:rPr>
          <w:rFonts w:ascii="Book Antiqua" w:eastAsia="Book Antiqua" w:hAnsi="Book Antiqua" w:cs="Book Antiqua"/>
          <w:color w:val="000000"/>
        </w:rPr>
        <w:t>of the RNA-seq data revealed that severe COVID-19 patients experience transcriptional shifts in their liver tissue that supersede those observed in lung tissue at advanced stages. These transcriptional shifts include the significant dysregulation of signal</w:t>
      </w:r>
      <w:r w:rsidRPr="006E1603">
        <w:rPr>
          <w:rFonts w:ascii="Book Antiqua" w:eastAsia="Book Antiqua" w:hAnsi="Book Antiqua" w:cs="Book Antiqua"/>
          <w:color w:val="000000"/>
        </w:rPr>
        <w:t>ing through GPCRs [class A-rhodopsin-like receptors (R-HSA-373076: class A/1 Rhodopsin-like receptors]</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and class F-frizzled and smoothened receptors). Subsequently, various intracellular signaling pathways (</w:t>
      </w:r>
      <w:r w:rsidR="006E1603" w:rsidRPr="006E1603">
        <w:rPr>
          <w:rFonts w:ascii="Book Antiqua" w:eastAsia="Book Antiqua" w:hAnsi="Book Antiqua" w:cs="Book Antiqua"/>
          <w:i/>
          <w:iCs/>
          <w:color w:val="000000"/>
        </w:rPr>
        <w:t>e.g.</w:t>
      </w:r>
      <w:r w:rsidR="006E1603" w:rsidRPr="006E1603">
        <w:rPr>
          <w:rFonts w:ascii="Book Antiqua" w:eastAsia="Book Antiqua" w:hAnsi="Book Antiqua" w:cs="Book Antiqua"/>
          <w:iCs/>
          <w:color w:val="000000"/>
        </w:rPr>
        <w:t>,</w:t>
      </w:r>
      <w:r w:rsidR="006E1603" w:rsidRP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WNT, hippo and SHH signaling pathways) are d</w:t>
      </w:r>
      <w:r w:rsidRPr="006E1603">
        <w:rPr>
          <w:rFonts w:ascii="Book Antiqua" w:eastAsia="Book Antiqua" w:hAnsi="Book Antiqua" w:cs="Book Antiqua"/>
          <w:color w:val="000000"/>
        </w:rPr>
        <w:t xml:space="preserve">ysregulated resulting in the transcriptional dysregulation of viral reproduction, cell proliferation, cells survival, cellular chemotaxis </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as well as local environment, inflammation, and tissue remodeling</w:t>
      </w:r>
      <w:r w:rsidRPr="006E1603">
        <w:rPr>
          <w:rFonts w:ascii="Book Antiqua" w:eastAsia="Book Antiqua" w:hAnsi="Book Antiqua" w:cs="Book Antiqua"/>
          <w:color w:val="000000"/>
          <w:szCs w:val="36"/>
          <w:vertAlign w:val="superscript"/>
        </w:rPr>
        <w:t>[</w:t>
      </w:r>
      <w:hyperlink w:anchor="_ENREF_16" w:tooltip="Sodhi, 2004 #411" w:history="1">
        <w:r w:rsidRPr="006E1603">
          <w:rPr>
            <w:rFonts w:ascii="Book Antiqua" w:eastAsia="Book Antiqua" w:hAnsi="Book Antiqua" w:cs="Book Antiqua"/>
            <w:color w:val="000000"/>
            <w:szCs w:val="36"/>
            <w:vertAlign w:val="superscript"/>
          </w:rPr>
          <w:t>16</w:t>
        </w:r>
      </w:hyperlink>
      <w:r w:rsidRPr="006E1603">
        <w:rPr>
          <w:rFonts w:ascii="Book Antiqua" w:eastAsia="Book Antiqua" w:hAnsi="Book Antiqua" w:cs="Book Antiqua"/>
          <w:color w:val="000000"/>
          <w:szCs w:val="36"/>
          <w:vertAlign w:val="superscript"/>
        </w:rPr>
        <w:t>,</w:t>
      </w:r>
      <w:hyperlink w:anchor="_ENREF_19" w:tooltip="Smelkinson, 2017 #412" w:history="1">
        <w:r w:rsidRPr="006E1603">
          <w:rPr>
            <w:rFonts w:ascii="Book Antiqua" w:eastAsia="Book Antiqua" w:hAnsi="Book Antiqua" w:cs="Book Antiqua"/>
            <w:color w:val="000000"/>
            <w:szCs w:val="36"/>
            <w:vertAlign w:val="superscript"/>
          </w:rPr>
          <w:t>19</w:t>
        </w:r>
      </w:hyperlink>
      <w:r w:rsidRPr="006E1603">
        <w:rPr>
          <w:rFonts w:ascii="Book Antiqua" w:eastAsia="Book Antiqua" w:hAnsi="Book Antiqua" w:cs="Book Antiqua"/>
          <w:color w:val="000000"/>
          <w:szCs w:val="36"/>
          <w:vertAlign w:val="superscript"/>
        </w:rPr>
        <w:t>,</w:t>
      </w:r>
      <w:hyperlink w:anchor="_ENREF_20" w:tooltip="More, 2018 #410" w:history="1">
        <w:r w:rsidRPr="006E1603">
          <w:rPr>
            <w:rFonts w:ascii="Book Antiqua" w:eastAsia="Book Antiqua" w:hAnsi="Book Antiqua" w:cs="Book Antiqua"/>
            <w:color w:val="000000"/>
            <w:szCs w:val="36"/>
            <w:vertAlign w:val="superscript"/>
          </w:rPr>
          <w:t>20</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A number of the top upregulated transcripts, including </w:t>
      </w:r>
      <w:r w:rsidRPr="006E1603">
        <w:rPr>
          <w:rFonts w:ascii="Book Antiqua" w:eastAsia="Book Antiqua" w:hAnsi="Book Antiqua" w:cs="Book Antiqua"/>
          <w:i/>
          <w:iCs/>
          <w:color w:val="000000"/>
        </w:rPr>
        <w:t>DNAJB1</w:t>
      </w:r>
      <w:r w:rsidRPr="006E1603">
        <w:rPr>
          <w:rFonts w:ascii="Book Antiqua" w:eastAsia="Book Antiqua" w:hAnsi="Book Antiqua" w:cs="Book Antiqua"/>
          <w:color w:val="000000"/>
        </w:rPr>
        <w:t xml:space="preserve">,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xml:space="preserve">, and </w:t>
      </w:r>
      <w:r w:rsidRPr="006E1603">
        <w:rPr>
          <w:rFonts w:ascii="Book Antiqua" w:eastAsia="Book Antiqua" w:hAnsi="Book Antiqua" w:cs="Book Antiqua"/>
          <w:i/>
          <w:iCs/>
          <w:color w:val="000000"/>
        </w:rPr>
        <w:t>HDGF</w:t>
      </w:r>
      <w:r w:rsidRPr="006E1603">
        <w:rPr>
          <w:rFonts w:ascii="Book Antiqua" w:eastAsia="Book Antiqua" w:hAnsi="Book Antiqua" w:cs="Book Antiqua"/>
          <w:color w:val="000000"/>
        </w:rPr>
        <w:t xml:space="preserve">, were implicated in the activation of tissue remodeling </w:t>
      </w:r>
      <w:r w:rsidRPr="006E1603">
        <w:rPr>
          <w:rFonts w:ascii="Book Antiqua" w:eastAsia="Book Antiqua" w:hAnsi="Book Antiqua" w:cs="Book Antiqua"/>
          <w:color w:val="000000"/>
        </w:rPr>
        <w:t>pathways</w:t>
      </w:r>
      <w:r w:rsidRPr="006E1603">
        <w:rPr>
          <w:rFonts w:ascii="Book Antiqua" w:eastAsia="Book Antiqua" w:hAnsi="Book Antiqua" w:cs="Book Antiqua"/>
          <w:color w:val="000000"/>
          <w:szCs w:val="36"/>
          <w:vertAlign w:val="superscript"/>
        </w:rPr>
        <w:t>[</w:t>
      </w:r>
      <w:hyperlink w:anchor="_ENREF_22" w:tooltip="Graham, 2015 #535" w:history="1">
        <w:r w:rsidRPr="006E1603">
          <w:rPr>
            <w:rFonts w:ascii="Book Antiqua" w:eastAsia="Book Antiqua" w:hAnsi="Book Antiqua" w:cs="Book Antiqua"/>
            <w:color w:val="000000"/>
            <w:szCs w:val="36"/>
            <w:vertAlign w:val="superscript"/>
          </w:rPr>
          <w:t>22-24</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The upregulation of these genes suggests that severe COVID-19 patients may experience tissue remodeling </w:t>
      </w:r>
      <w:r w:rsidRPr="006E1603">
        <w:rPr>
          <w:rFonts w:ascii="Book Antiqua" w:eastAsia="Book Antiqua" w:hAnsi="Book Antiqua" w:cs="Book Antiqua"/>
          <w:color w:val="000000"/>
        </w:rPr>
        <w:lastRenderedPageBreak/>
        <w:t xml:space="preserve">of the liver tissue. </w:t>
      </w:r>
      <w:r w:rsidRPr="006E1603">
        <w:rPr>
          <w:rFonts w:ascii="Book Antiqua" w:eastAsia="Book Antiqua" w:hAnsi="Book Antiqua" w:cs="Book Antiqua"/>
          <w:i/>
          <w:iCs/>
          <w:color w:val="000000"/>
        </w:rPr>
        <w:t>IGF2</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overexpression was proposed to induce fatty liver and hep</w:t>
      </w:r>
      <w:r w:rsidRPr="006E1603">
        <w:rPr>
          <w:rFonts w:ascii="Book Antiqua" w:eastAsia="Book Antiqua" w:hAnsi="Book Antiqua" w:cs="Book Antiqua"/>
          <w:color w:val="000000"/>
        </w:rPr>
        <w:t>atic steatosis by increasing lipid accumulation in liver tissue</w:t>
      </w:r>
      <w:r w:rsidRPr="006E1603">
        <w:rPr>
          <w:rFonts w:ascii="Book Antiqua" w:eastAsia="Book Antiqua" w:hAnsi="Book Antiqua" w:cs="Book Antiqua"/>
          <w:color w:val="000000"/>
          <w:szCs w:val="36"/>
          <w:vertAlign w:val="superscript"/>
        </w:rPr>
        <w:t>[</w:t>
      </w:r>
      <w:hyperlink w:anchor="_ENREF_23" w:tooltip="Kessler, 2016 #578" w:history="1">
        <w:r w:rsidRPr="006E1603">
          <w:rPr>
            <w:rFonts w:ascii="Book Antiqua" w:eastAsia="Book Antiqua" w:hAnsi="Book Antiqua" w:cs="Book Antiqua"/>
            <w:color w:val="000000"/>
            <w:szCs w:val="36"/>
            <w:vertAlign w:val="superscript"/>
          </w:rPr>
          <w:t>23</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In our analysis of the SARS-CoV-2 infected liver samples, we observed an increase in the pro-steatosis factor,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xml:space="preserve">, and a concordant </w:t>
      </w:r>
      <w:r w:rsidRPr="006E1603">
        <w:rPr>
          <w:rFonts w:ascii="Book Antiqua" w:eastAsia="Book Antiqua" w:hAnsi="Book Antiqua" w:cs="Book Antiqua"/>
          <w:color w:val="000000"/>
        </w:rPr>
        <w:t xml:space="preserve">decrease of the steatosis and tissue remodeling preventive factors, </w:t>
      </w:r>
      <w:r w:rsidRPr="006E1603">
        <w:rPr>
          <w:rFonts w:ascii="Book Antiqua" w:eastAsia="Book Antiqua" w:hAnsi="Book Antiqua" w:cs="Book Antiqua"/>
          <w:i/>
          <w:iCs/>
          <w:color w:val="000000"/>
        </w:rPr>
        <w:t>IGF1</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and </w:t>
      </w:r>
      <w:r w:rsidRPr="006E1603">
        <w:rPr>
          <w:rFonts w:ascii="Book Antiqua" w:eastAsia="Book Antiqua" w:hAnsi="Book Antiqua" w:cs="Book Antiqua"/>
          <w:i/>
          <w:iCs/>
          <w:color w:val="000000"/>
        </w:rPr>
        <w:t>GHR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(growth hormone receptor)</w:t>
      </w:r>
      <w:r w:rsidRPr="006E1603">
        <w:rPr>
          <w:rFonts w:ascii="Book Antiqua" w:eastAsia="Book Antiqua" w:hAnsi="Book Antiqua" w:cs="Book Antiqua"/>
          <w:color w:val="000000"/>
          <w:szCs w:val="36"/>
          <w:vertAlign w:val="superscript"/>
        </w:rPr>
        <w:t>[</w:t>
      </w:r>
      <w:hyperlink w:anchor="_ENREF_42" w:tooltip="Adamek, 2018 #579" w:history="1">
        <w:r w:rsidRPr="006E1603">
          <w:rPr>
            <w:rFonts w:ascii="Book Antiqua" w:eastAsia="Book Antiqua" w:hAnsi="Book Antiqua" w:cs="Book Antiqua"/>
            <w:color w:val="000000"/>
            <w:szCs w:val="36"/>
            <w:vertAlign w:val="superscript"/>
          </w:rPr>
          <w:t>42</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In addition to </w:t>
      </w:r>
      <w:r w:rsidRPr="006E1603">
        <w:rPr>
          <w:rFonts w:ascii="Book Antiqua" w:eastAsia="Book Antiqua" w:hAnsi="Book Antiqua" w:cs="Book Antiqua"/>
          <w:i/>
          <w:iCs/>
          <w:color w:val="000000"/>
        </w:rPr>
        <w:t>IGF2</w:t>
      </w:r>
      <w:r w:rsidRPr="006E1603">
        <w:rPr>
          <w:rFonts w:ascii="Book Antiqua" w:eastAsia="Book Antiqua" w:hAnsi="Book Antiqua" w:cs="Book Antiqua"/>
          <w:color w:val="000000"/>
        </w:rPr>
        <w:t>, numerous genes proposed to contribute to the pathogenesis of liver dise</w:t>
      </w:r>
      <w:r w:rsidRPr="006E1603">
        <w:rPr>
          <w:rFonts w:ascii="Book Antiqua" w:eastAsia="Book Antiqua" w:hAnsi="Book Antiqua" w:cs="Book Antiqua"/>
          <w:color w:val="000000"/>
        </w:rPr>
        <w:t>ases characterized by tissue remodeling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liver steatosis, liver fibrosis, and liver cirrhosis) were upregulated in the liver tissue of severe COVID-19 patients (</w:t>
      </w:r>
      <w:r w:rsidRPr="006E1603">
        <w:rPr>
          <w:rFonts w:ascii="Book Antiqua" w:eastAsia="Book Antiqua" w:hAnsi="Book Antiqua" w:cs="Book Antiqua"/>
          <w:i/>
          <w:iCs/>
          <w:color w:val="000000"/>
        </w:rPr>
        <w:t>e.g.</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i/>
          <w:iCs/>
          <w:color w:val="000000"/>
        </w:rPr>
        <w:t>FLT1, LEP, PNPLA3, VCAM1, TREM2</w:t>
      </w:r>
      <w:r w:rsidRPr="006E1603">
        <w:rPr>
          <w:rFonts w:ascii="Book Antiqua" w:eastAsia="Book Antiqua" w:hAnsi="Book Antiqua" w:cs="Book Antiqua"/>
          <w:color w:val="000000"/>
        </w:rPr>
        <w:t>, metalloproteinases-expressing genes, and collagen-ex</w:t>
      </w:r>
      <w:r w:rsidRPr="006E1603">
        <w:rPr>
          <w:rFonts w:ascii="Book Antiqua" w:eastAsia="Book Antiqua" w:hAnsi="Book Antiqua" w:cs="Book Antiqua"/>
          <w:color w:val="000000"/>
        </w:rPr>
        <w:t>pressing genes)</w:t>
      </w:r>
      <w:r w:rsidRPr="006E1603">
        <w:rPr>
          <w:rFonts w:ascii="Book Antiqua" w:eastAsia="Book Antiqua" w:hAnsi="Book Antiqua" w:cs="Book Antiqua"/>
          <w:color w:val="000000"/>
          <w:szCs w:val="36"/>
          <w:vertAlign w:val="superscript"/>
        </w:rPr>
        <w:t>[</w:t>
      </w:r>
      <w:hyperlink w:anchor="_ENREF_27" w:tooltip="Corpechot, 2002 #584" w:history="1">
        <w:r w:rsidRPr="006E1603">
          <w:rPr>
            <w:rFonts w:ascii="Book Antiqua" w:eastAsia="Book Antiqua" w:hAnsi="Book Antiqua" w:cs="Book Antiqua"/>
            <w:color w:val="000000"/>
            <w:szCs w:val="36"/>
            <w:vertAlign w:val="superscript"/>
          </w:rPr>
          <w:t>27-31</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xml:space="preserve">. </w:t>
      </w:r>
    </w:p>
    <w:p w:rsidR="005F527F" w:rsidRPr="006E1603" w:rsidRDefault="00542EC0" w:rsidP="001736C0">
      <w:pPr>
        <w:snapToGrid w:val="0"/>
        <w:spacing w:after="0" w:line="360" w:lineRule="auto"/>
        <w:ind w:firstLine="720"/>
        <w:jc w:val="both"/>
      </w:pPr>
      <w:r w:rsidRPr="006E1603">
        <w:rPr>
          <w:rFonts w:ascii="Book Antiqua" w:eastAsia="Book Antiqua" w:hAnsi="Book Antiqua" w:cs="Book Antiqua"/>
          <w:color w:val="000000"/>
        </w:rPr>
        <w:t xml:space="preserve">Furthermore, consistently with the upregulation of these genes implicated in liver tissue remodeling, we observed the significant upregulation of </w:t>
      </w:r>
      <w:r w:rsidRPr="006E1603">
        <w:rPr>
          <w:rFonts w:ascii="Book Antiqua" w:eastAsia="Book Antiqua" w:hAnsi="Book Antiqua" w:cs="Book Antiqua"/>
          <w:i/>
          <w:iCs/>
          <w:color w:val="000000"/>
        </w:rPr>
        <w:t>EGFR</w:t>
      </w:r>
      <w:r w:rsidRPr="006E1603">
        <w:rPr>
          <w:rFonts w:ascii="Book Antiqua" w:eastAsia="宋体" w:hAnsi="Book Antiqua" w:cs="Book Antiqua" w:hint="eastAsia"/>
          <w:color w:val="000000"/>
          <w:lang w:eastAsia="zh-CN"/>
        </w:rPr>
        <w:t xml:space="preserve"> </w:t>
      </w:r>
      <w:r w:rsidRPr="006E1603">
        <w:rPr>
          <w:rFonts w:ascii="Book Antiqua" w:eastAsia="Book Antiqua" w:hAnsi="Book Antiqua" w:cs="Book Antiqua"/>
          <w:color w:val="000000"/>
        </w:rPr>
        <w:t xml:space="preserve">which was proposed to </w:t>
      </w:r>
      <w:r w:rsidRPr="006E1603">
        <w:rPr>
          <w:rFonts w:ascii="Book Antiqua" w:eastAsia="Book Antiqua" w:hAnsi="Book Antiqua" w:cs="Book Antiqua"/>
          <w:color w:val="000000"/>
        </w:rPr>
        <w:t>contribute to the development of pulmonary fibrosis</w:t>
      </w:r>
      <w:r w:rsidRPr="006E1603">
        <w:rPr>
          <w:rFonts w:ascii="Book Antiqua" w:eastAsia="Book Antiqua" w:hAnsi="Book Antiqua" w:cs="Book Antiqua"/>
          <w:color w:val="000000"/>
          <w:szCs w:val="36"/>
          <w:vertAlign w:val="superscript"/>
        </w:rPr>
        <w:t>[</w:t>
      </w:r>
      <w:hyperlink w:anchor="_ENREF_25" w:tooltip="Venkataraman, 2017 #596" w:history="1">
        <w:r w:rsidRPr="006E1603">
          <w:rPr>
            <w:rFonts w:ascii="Book Antiqua" w:eastAsia="Book Antiqua" w:hAnsi="Book Antiqua" w:cs="Book Antiqua"/>
            <w:color w:val="000000"/>
            <w:szCs w:val="36"/>
            <w:vertAlign w:val="superscript"/>
          </w:rPr>
          <w:t>25</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The enrichment of these transcripts in the transcriptome of SARS-CoV-2 infected liver samples suggests the potential activation of tissue rem</w:t>
      </w:r>
      <w:r w:rsidRPr="006E1603">
        <w:rPr>
          <w:rFonts w:ascii="Book Antiqua" w:eastAsia="Book Antiqua" w:hAnsi="Book Antiqua" w:cs="Book Antiqua"/>
          <w:color w:val="000000"/>
        </w:rPr>
        <w:t>odeling and fat accumulation in liver tissue. Consistently with these findings, immunohistochemical analysis of liver tissue from COVID-19 patients revealed signs of hepatic steatosis and hepatic siderosis</w:t>
      </w:r>
      <w:r w:rsidRPr="006E1603">
        <w:rPr>
          <w:rFonts w:ascii="Book Antiqua" w:eastAsia="Book Antiqua" w:hAnsi="Book Antiqua" w:cs="Book Antiqua"/>
          <w:color w:val="000000"/>
          <w:szCs w:val="36"/>
          <w:vertAlign w:val="superscript"/>
        </w:rPr>
        <w:t>[</w:t>
      </w:r>
      <w:hyperlink w:anchor="_ENREF_43" w:tooltip="Deinhardt-Emmer, 2020 #507" w:history="1">
        <w:r w:rsidRPr="006E1603">
          <w:rPr>
            <w:rFonts w:ascii="Book Antiqua" w:eastAsia="Book Antiqua" w:hAnsi="Book Antiqua" w:cs="Book Antiqua"/>
            <w:color w:val="000000"/>
            <w:szCs w:val="36"/>
            <w:vertAlign w:val="superscript"/>
          </w:rPr>
          <w:t>43</w:t>
        </w:r>
      </w:hyperlink>
      <w:r w:rsidRPr="006E1603">
        <w:rPr>
          <w:rFonts w:ascii="Book Antiqua" w:eastAsia="Book Antiqua" w:hAnsi="Book Antiqua" w:cs="Book Antiqua"/>
          <w:color w:val="000000"/>
          <w:szCs w:val="36"/>
          <w:vertAlign w:val="superscript"/>
        </w:rPr>
        <w:t>,</w:t>
      </w:r>
      <w:hyperlink w:anchor="_ENREF_44" w:tooltip="Abenavoli, 2020 #541" w:history="1">
        <w:r w:rsidRPr="006E1603">
          <w:rPr>
            <w:rFonts w:ascii="Book Antiqua" w:eastAsia="Book Antiqua" w:hAnsi="Book Antiqua" w:cs="Book Antiqua"/>
            <w:color w:val="000000"/>
            <w:szCs w:val="36"/>
            <w:vertAlign w:val="superscript"/>
          </w:rPr>
          <w:t>44</w:t>
        </w:r>
      </w:hyperlink>
      <w:r w:rsidRPr="006E1603">
        <w:rPr>
          <w:rFonts w:ascii="Book Antiqua" w:eastAsia="Book Antiqua" w:hAnsi="Book Antiqua" w:cs="Book Antiqua"/>
          <w:color w:val="000000"/>
          <w:szCs w:val="36"/>
          <w:vertAlign w:val="superscript"/>
        </w:rPr>
        <w:t>]</w:t>
      </w:r>
      <w:r w:rsidRPr="006E1603">
        <w:rPr>
          <w:rFonts w:ascii="Book Antiqua" w:eastAsia="Book Antiqua" w:hAnsi="Book Antiqua" w:cs="Book Antiqua"/>
          <w:color w:val="000000"/>
        </w:rPr>
        <w:t>. These morphologic changes might be attributed to the activation of the tissue remodeling mechanisms in response to inflammation; to the dysregulation of intracellular signaling path</w:t>
      </w:r>
      <w:r w:rsidRPr="006E1603">
        <w:rPr>
          <w:rFonts w:ascii="Book Antiqua" w:eastAsia="Book Antiqua" w:hAnsi="Book Antiqua" w:cs="Book Antiqua"/>
          <w:color w:val="000000"/>
        </w:rPr>
        <w:t>ways (</w:t>
      </w:r>
      <w:r w:rsidR="006E1603">
        <w:rPr>
          <w:rFonts w:ascii="Book Antiqua" w:eastAsia="Book Antiqua" w:hAnsi="Book Antiqua" w:cs="Book Antiqua"/>
          <w:i/>
          <w:iCs/>
          <w:color w:val="000000"/>
        </w:rPr>
        <w:t>e.g.</w:t>
      </w:r>
      <w:r w:rsidR="006E1603" w:rsidRPr="005243D5">
        <w:rPr>
          <w:rFonts w:ascii="Book Antiqua" w:eastAsia="Book Antiqua" w:hAnsi="Book Antiqua" w:cs="Book Antiqua"/>
          <w:iCs/>
          <w:color w:val="000000"/>
        </w:rPr>
        <w:t>,</w:t>
      </w:r>
      <w:r w:rsidR="006E1603">
        <w:rPr>
          <w:rFonts w:ascii="Book Antiqua" w:eastAsia="Book Antiqua" w:hAnsi="Book Antiqua" w:cs="Book Antiqua"/>
          <w:iCs/>
          <w:color w:val="000000"/>
        </w:rPr>
        <w:t xml:space="preserve"> </w:t>
      </w:r>
      <w:r w:rsidRPr="006E1603">
        <w:rPr>
          <w:rFonts w:ascii="Book Antiqua" w:eastAsia="Book Antiqua" w:hAnsi="Book Antiqua" w:cs="Book Antiqua"/>
          <w:color w:val="000000"/>
        </w:rPr>
        <w:t>EFGR, WNT, and SHH signaling pathways) in response to direct viral infection; or to the dysregulation of metabolic and biosynthetic pathways resulting the accumulation of lipids and other metabolic substrates in liver tissue and subsequently the</w:t>
      </w:r>
      <w:r w:rsidRPr="006E1603">
        <w:rPr>
          <w:rFonts w:ascii="Book Antiqua" w:eastAsia="Book Antiqua" w:hAnsi="Book Antiqua" w:cs="Book Antiqua"/>
          <w:color w:val="000000"/>
        </w:rPr>
        <w:t xml:space="preserve"> development of liver steatosis. </w:t>
      </w:r>
    </w:p>
    <w:p w:rsidR="005F527F" w:rsidRDefault="00542EC0" w:rsidP="001736C0">
      <w:pPr>
        <w:snapToGrid w:val="0"/>
        <w:spacing w:after="0" w:line="360" w:lineRule="auto"/>
        <w:ind w:firstLine="720"/>
        <w:jc w:val="both"/>
      </w:pPr>
      <w:r w:rsidRPr="006E1603">
        <w:rPr>
          <w:rFonts w:ascii="Book Antiqua" w:eastAsia="Book Antiqua" w:hAnsi="Book Antiqua" w:cs="Book Antiqua"/>
          <w:color w:val="000000"/>
        </w:rPr>
        <w:t>Altogether, the dysregulation of these transcripts and pathways in the liver tissue of severe COVID-19 patients may indicate that the patients may experience pathological tissue remodeling similar to that observed in liver</w:t>
      </w:r>
      <w:r w:rsidRPr="006E1603">
        <w:rPr>
          <w:rFonts w:ascii="Book Antiqua" w:eastAsia="Book Antiqua" w:hAnsi="Book Antiqua" w:cs="Book Antiqua"/>
          <w:color w:val="000000"/>
        </w:rPr>
        <w:t xml:space="preserve"> steatosis/cirrhosis/fibrosis that potentially contributes to the phenotypically observed liver dysfunction. Moreover, despite the observed recovery of liver function in some patients in response to treatment, the activation of tissue remodeling mechanisms</w:t>
      </w:r>
      <w:r w:rsidRPr="006E1603">
        <w:rPr>
          <w:rFonts w:ascii="Book Antiqua" w:eastAsia="Book Antiqua" w:hAnsi="Book Antiqua" w:cs="Book Antiqua"/>
          <w:color w:val="000000"/>
        </w:rPr>
        <w:t xml:space="preserve"> may have long-term consequences in</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patients experiencing advanced stages of COVID-19 and would require long term follow-up.</w:t>
      </w:r>
    </w:p>
    <w:p w:rsidR="005F527F" w:rsidRPr="00021C1A" w:rsidRDefault="00542EC0" w:rsidP="001736C0">
      <w:pPr>
        <w:snapToGrid w:val="0"/>
        <w:spacing w:after="0" w:line="360" w:lineRule="auto"/>
        <w:ind w:firstLine="480"/>
        <w:jc w:val="both"/>
      </w:pPr>
      <w:r w:rsidRPr="00021C1A">
        <w:rPr>
          <w:rFonts w:ascii="Book Antiqua" w:eastAsia="Book Antiqua" w:hAnsi="Book Antiqua" w:cs="Book Antiqua"/>
          <w:color w:val="000000"/>
        </w:rPr>
        <w:t>On the other hand, the downregulated transcriptome of the SARS-CoV-2 infected liver tissue samples was enriched in transcripts impl</w:t>
      </w:r>
      <w:r w:rsidRPr="00021C1A">
        <w:rPr>
          <w:rFonts w:ascii="Book Antiqua" w:eastAsia="Book Antiqua" w:hAnsi="Book Antiqua" w:cs="Book Antiqua"/>
          <w:color w:val="000000"/>
        </w:rPr>
        <w:t xml:space="preserve">icated in metabolic and biosynthetic pathways regulation, including </w:t>
      </w:r>
      <w:r w:rsidRPr="00021C1A">
        <w:rPr>
          <w:rFonts w:ascii="Book Antiqua" w:eastAsia="Book Antiqua" w:hAnsi="Book Antiqua" w:cs="Book Antiqua"/>
          <w:i/>
          <w:iCs/>
          <w:color w:val="000000"/>
        </w:rPr>
        <w:t>ACAD11, CIDEB, GNMT, GPAM,</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and </w:t>
      </w:r>
      <w:r w:rsidRPr="00021C1A">
        <w:rPr>
          <w:rFonts w:ascii="Book Antiqua" w:eastAsia="Book Antiqua" w:hAnsi="Book Antiqua" w:cs="Book Antiqua"/>
          <w:i/>
          <w:iCs/>
          <w:color w:val="000000"/>
        </w:rPr>
        <w:t>HSD17B4</w:t>
      </w:r>
      <w:r w:rsidRPr="00021C1A">
        <w:rPr>
          <w:rFonts w:ascii="Book Antiqua" w:eastAsia="Book Antiqua" w:hAnsi="Book Antiqua" w:cs="Book Antiqua"/>
          <w:color w:val="000000"/>
        </w:rPr>
        <w:t>. Previous investigations in the metabolomic profile of the SARS-CoV-2 infected patients’ sera similarly revealed the suppressive effect of SARS-CoV-2</w:t>
      </w:r>
      <w:r w:rsidRPr="00021C1A">
        <w:rPr>
          <w:rFonts w:ascii="Book Antiqua" w:eastAsia="Book Antiqua" w:hAnsi="Book Antiqua" w:cs="Book Antiqua"/>
          <w:color w:val="000000"/>
        </w:rPr>
        <w:t xml:space="preserve"> infection on lipid and amino acid metabolism</w:t>
      </w:r>
      <w:r w:rsidRPr="00021C1A">
        <w:rPr>
          <w:rFonts w:ascii="Book Antiqua" w:eastAsia="Book Antiqua" w:hAnsi="Book Antiqua" w:cs="Book Antiqua"/>
          <w:color w:val="000000"/>
          <w:szCs w:val="36"/>
          <w:vertAlign w:val="superscript"/>
        </w:rPr>
        <w:t>[</w:t>
      </w:r>
      <w:hyperlink w:anchor="_ENREF_32" w:tooltip="Shen, 2020 #398" w:history="1">
        <w:r w:rsidRPr="00021C1A">
          <w:rPr>
            <w:rFonts w:ascii="Book Antiqua" w:eastAsia="Book Antiqua" w:hAnsi="Book Antiqua" w:cs="Book Antiqua"/>
            <w:color w:val="000000"/>
            <w:szCs w:val="36"/>
            <w:vertAlign w:val="superscript"/>
          </w:rPr>
          <w:t>32</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Moreover, accumulating evidence suggested the localization of SARS-CoV-2 viral RNA in the mitochondrial matrix and the direct viral interaction with mitoch</w:t>
      </w:r>
      <w:r w:rsidRPr="00021C1A">
        <w:rPr>
          <w:rFonts w:ascii="Book Antiqua" w:eastAsia="Book Antiqua" w:hAnsi="Book Antiqua" w:cs="Book Antiqua"/>
          <w:color w:val="000000"/>
        </w:rPr>
        <w:t>ondrial proteins and metabolic regulators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MRPS2, MRPS5, MRPS25, MRPS27, NDUFAF1, NDUFB9, NDUFAF2, ATP1B1, ATP6V1A, ACADM, AASS, PMPCB, PITRM1, COQ8B, and PMPCA)</w:t>
      </w:r>
      <w:r w:rsidRPr="00021C1A">
        <w:rPr>
          <w:rFonts w:ascii="Book Antiqua" w:eastAsia="Book Antiqua" w:hAnsi="Book Antiqua" w:cs="Book Antiqua"/>
          <w:color w:val="000000"/>
          <w:szCs w:val="36"/>
          <w:vertAlign w:val="superscript"/>
        </w:rPr>
        <w:t>[</w:t>
      </w:r>
      <w:hyperlink w:anchor="_ENREF_45" w:tooltip="Singh, 2020 #591" w:history="1">
        <w:r w:rsidRPr="00021C1A">
          <w:rPr>
            <w:rFonts w:ascii="Book Antiqua" w:eastAsia="Book Antiqua" w:hAnsi="Book Antiqua" w:cs="Book Antiqua"/>
            <w:color w:val="000000"/>
            <w:szCs w:val="36"/>
            <w:vertAlign w:val="superscript"/>
          </w:rPr>
          <w:t>45-47</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By localizing to the mitochond</w:t>
      </w:r>
      <w:r w:rsidRPr="00021C1A">
        <w:rPr>
          <w:rFonts w:ascii="Book Antiqua" w:eastAsia="Book Antiqua" w:hAnsi="Book Antiqua" w:cs="Book Antiqua"/>
          <w:color w:val="000000"/>
        </w:rPr>
        <w:t>ria, SARS-CoV-2 was speculated to usurp mitochondrial machineries to generate hide-out like double membrane vesicles, regulate intra-organelle crosstalk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ER-mitochondrial cross-talk), modulate immune response, and modulate cellular metabolic and biosy</w:t>
      </w:r>
      <w:r w:rsidRPr="00021C1A">
        <w:rPr>
          <w:rFonts w:ascii="Book Antiqua" w:eastAsia="Book Antiqua" w:hAnsi="Book Antiqua" w:cs="Book Antiqua"/>
          <w:color w:val="000000"/>
        </w:rPr>
        <w:t>nthetic processes. These speculations are consistent with the dysregulation of mitochondrial, metabolic and biosynthetic pathways revealed in our analysis. Altogether, these findings suggest that SARS-CoV-2 infection hijacks cellular metabolism resulting i</w:t>
      </w:r>
      <w:r w:rsidRPr="00021C1A">
        <w:rPr>
          <w:rFonts w:ascii="Book Antiqua" w:eastAsia="Book Antiqua" w:hAnsi="Book Antiqua" w:cs="Book Antiqua"/>
          <w:color w:val="000000"/>
        </w:rPr>
        <w:t>n the suppression of metabolic and biosynthetic pathways potentially through dysregulating mitochondrial function. Intriguingly, one of the mechanisms of action through which hydroxychloroquine might counteract SARS-CoV-2 infection is through the regulatio</w:t>
      </w:r>
      <w:r w:rsidRPr="00021C1A">
        <w:rPr>
          <w:rFonts w:ascii="Book Antiqua" w:eastAsia="Book Antiqua" w:hAnsi="Book Antiqua" w:cs="Book Antiqua"/>
          <w:color w:val="000000"/>
        </w:rPr>
        <w:t>n of dysregulated metabolic pathways and protecting against the development of liver steatosis and subsequent tissue remodeling</w:t>
      </w:r>
      <w:r w:rsidRPr="00021C1A">
        <w:rPr>
          <w:rFonts w:ascii="Book Antiqua" w:eastAsia="Book Antiqua" w:hAnsi="Book Antiqua" w:cs="Book Antiqua"/>
          <w:color w:val="000000"/>
          <w:szCs w:val="36"/>
          <w:vertAlign w:val="superscript"/>
        </w:rPr>
        <w:t>[</w:t>
      </w:r>
      <w:hyperlink w:anchor="_ENREF_48" w:tooltip="Qiao, 2019 #590" w:history="1">
        <w:r w:rsidRPr="00021C1A">
          <w:rPr>
            <w:rFonts w:ascii="Book Antiqua" w:eastAsia="Book Antiqua" w:hAnsi="Book Antiqua" w:cs="Book Antiqua"/>
            <w:color w:val="000000"/>
            <w:szCs w:val="36"/>
            <w:vertAlign w:val="superscript"/>
          </w:rPr>
          <w:t>48</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Further investigations on the potential secondary mechanisms resulting in</w:t>
      </w:r>
      <w:r w:rsidRPr="00021C1A">
        <w:rPr>
          <w:rFonts w:ascii="Book Antiqua" w:eastAsia="Book Antiqua" w:hAnsi="Book Antiqua" w:cs="Book Antiqua"/>
          <w:color w:val="000000"/>
        </w:rPr>
        <w:t xml:space="preserve"> mitochondrial dysfunction divulged the imbalance in ions (</w:t>
      </w:r>
      <w:r w:rsidRPr="00021C1A">
        <w:rPr>
          <w:rFonts w:ascii="Book Antiqua" w:eastAsia="Book Antiqua" w:hAnsi="Book Antiqua" w:cs="Book Antiqua"/>
          <w:i/>
          <w:iCs/>
          <w:color w:val="000000"/>
        </w:rPr>
        <w:t>e.g.</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calcium, potassium, sodium) due to dysregulated ionic transport and homeostasis as a potential underlying mechanism. Ionic imbalance can shift the osmotic pressure resulting in mitochondrial s</w:t>
      </w:r>
      <w:r w:rsidRPr="00021C1A">
        <w:rPr>
          <w:rFonts w:ascii="Book Antiqua" w:eastAsia="Book Antiqua" w:hAnsi="Book Antiqua" w:cs="Book Antiqua"/>
          <w:color w:val="000000"/>
        </w:rPr>
        <w:t>welling and consequent dysfunction</w:t>
      </w:r>
      <w:r w:rsidRPr="00021C1A">
        <w:rPr>
          <w:rFonts w:ascii="Book Antiqua" w:eastAsia="Book Antiqua" w:hAnsi="Book Antiqua" w:cs="Book Antiqua"/>
          <w:color w:val="000000"/>
          <w:szCs w:val="36"/>
          <w:vertAlign w:val="superscript"/>
        </w:rPr>
        <w:t>[</w:t>
      </w:r>
      <w:hyperlink w:anchor="_ENREF_39" w:tooltip="Javadov, 2017 #417" w:history="1">
        <w:r w:rsidRPr="00021C1A">
          <w:rPr>
            <w:rFonts w:ascii="Book Antiqua" w:eastAsia="Book Antiqua" w:hAnsi="Book Antiqua" w:cs="Book Antiqua"/>
            <w:color w:val="000000"/>
            <w:szCs w:val="36"/>
            <w:vertAlign w:val="superscript"/>
          </w:rPr>
          <w:t>39</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Moreover, ionic imbalance can have critical </w:t>
      </w:r>
      <w:r w:rsidRPr="00021C1A">
        <w:rPr>
          <w:rFonts w:ascii="Book Antiqua" w:eastAsia="Book Antiqua" w:hAnsi="Book Antiqua" w:cs="Book Antiqua"/>
          <w:color w:val="000000"/>
        </w:rPr>
        <w:lastRenderedPageBreak/>
        <w:t>consequences on intracellular signaling and cellular morphology which can be another mechanism through which SARS-CoV-2</w:t>
      </w:r>
      <w:r w:rsidRPr="00021C1A">
        <w:rPr>
          <w:rFonts w:ascii="Book Antiqua" w:eastAsia="Book Antiqua" w:hAnsi="Book Antiqua" w:cs="Book Antiqua"/>
          <w:color w:val="000000"/>
        </w:rPr>
        <w:t xml:space="preserve"> induces the observed transcriptomic shifts</w:t>
      </w:r>
      <w:r w:rsidRPr="00021C1A">
        <w:rPr>
          <w:rFonts w:ascii="Book Antiqua" w:eastAsia="Book Antiqua" w:hAnsi="Book Antiqua" w:cs="Book Antiqua"/>
          <w:color w:val="000000"/>
          <w:szCs w:val="36"/>
          <w:vertAlign w:val="superscript"/>
        </w:rPr>
        <w:t>[</w:t>
      </w:r>
      <w:hyperlink w:anchor="_ENREF_49" w:tooltip="Nieto-Torres, 2014 #414" w:history="1">
        <w:r w:rsidRPr="00021C1A">
          <w:rPr>
            <w:rFonts w:ascii="Book Antiqua" w:eastAsia="Book Antiqua" w:hAnsi="Book Antiqua" w:cs="Book Antiqua"/>
            <w:color w:val="000000"/>
            <w:szCs w:val="36"/>
            <w:vertAlign w:val="superscript"/>
          </w:rPr>
          <w:t>49</w:t>
        </w:r>
      </w:hyperlink>
      <w:r w:rsidRPr="00021C1A">
        <w:rPr>
          <w:rFonts w:ascii="Book Antiqua" w:eastAsia="Book Antiqua" w:hAnsi="Book Antiqua" w:cs="Book Antiqua"/>
          <w:color w:val="000000"/>
          <w:szCs w:val="36"/>
          <w:vertAlign w:val="superscript"/>
        </w:rPr>
        <w:t>,</w:t>
      </w:r>
      <w:hyperlink w:anchor="_ENREF_50" w:tooltip="Ichinohe, 2010 #415" w:history="1">
        <w:r w:rsidRPr="00021C1A">
          <w:rPr>
            <w:rFonts w:ascii="Book Antiqua" w:eastAsia="Book Antiqua" w:hAnsi="Book Antiqua" w:cs="Book Antiqua"/>
            <w:color w:val="000000"/>
            <w:szCs w:val="36"/>
            <w:vertAlign w:val="superscript"/>
          </w:rPr>
          <w:t>50</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Clinical assessment of SARS-CoV-2 infected liver tissues revealed mitochondrial swelling w</w:t>
      </w:r>
      <w:r w:rsidRPr="00021C1A">
        <w:rPr>
          <w:rFonts w:ascii="Book Antiqua" w:eastAsia="Book Antiqua" w:hAnsi="Book Antiqua" w:cs="Book Antiqua"/>
          <w:color w:val="000000"/>
        </w:rPr>
        <w:t>hich can be an underlying cause for the mitochondrial dysfunction observed in the infected cells. One of the potential mechanisms resulting in the mitochondrial swelling is the dysregulation of ions binding, transport and balance within the cell and its co</w:t>
      </w:r>
      <w:r w:rsidRPr="00021C1A">
        <w:rPr>
          <w:rFonts w:ascii="Book Antiqua" w:eastAsia="Book Antiqua" w:hAnsi="Book Antiqua" w:cs="Book Antiqua"/>
          <w:color w:val="000000"/>
        </w:rPr>
        <w:t>mpartments. Our analysis showed a significant enrichment of downregulated transcripts implicated in iron, copper, sodium, potassium, zinc, and calcium binding, transport, homeostasis and signaling. Imbalance of some of these ions (</w:t>
      </w:r>
      <w:r w:rsidR="00021C1A">
        <w:rPr>
          <w:rFonts w:ascii="Book Antiqua" w:eastAsia="Book Antiqua" w:hAnsi="Book Antiqua" w:cs="Book Antiqua"/>
          <w:i/>
          <w:iCs/>
          <w:color w:val="000000"/>
        </w:rPr>
        <w:t>e.g.</w:t>
      </w:r>
      <w:r w:rsidR="00021C1A" w:rsidRPr="005243D5">
        <w:rPr>
          <w:rFonts w:ascii="Book Antiqua" w:eastAsia="Book Antiqua" w:hAnsi="Book Antiqua" w:cs="Book Antiqua"/>
          <w:iCs/>
          <w:color w:val="000000"/>
        </w:rPr>
        <w:t>,</w:t>
      </w:r>
      <w:r w:rsidR="00021C1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calcium and potassiu</w:t>
      </w:r>
      <w:r w:rsidRPr="00021C1A">
        <w:rPr>
          <w:rFonts w:ascii="Book Antiqua" w:eastAsia="Book Antiqua" w:hAnsi="Book Antiqua" w:cs="Book Antiqua"/>
          <w:color w:val="000000"/>
        </w:rPr>
        <w:t>m ions) have been shown to induce mitochondrial swelling through shifting osmotic pressure</w:t>
      </w:r>
      <w:r w:rsidRPr="00021C1A">
        <w:rPr>
          <w:rFonts w:ascii="Book Antiqua" w:eastAsia="Book Antiqua" w:hAnsi="Book Antiqua" w:cs="Book Antiqua"/>
          <w:color w:val="000000"/>
          <w:szCs w:val="36"/>
          <w:vertAlign w:val="superscript"/>
        </w:rPr>
        <w:t>[</w:t>
      </w:r>
      <w:hyperlink w:anchor="_ENREF_39" w:tooltip="Javadov, 2017 #417" w:history="1">
        <w:r w:rsidRPr="00021C1A">
          <w:rPr>
            <w:rFonts w:ascii="Book Antiqua" w:eastAsia="Book Antiqua" w:hAnsi="Book Antiqua" w:cs="Book Antiqua"/>
            <w:color w:val="000000"/>
            <w:szCs w:val="36"/>
            <w:vertAlign w:val="superscript"/>
          </w:rPr>
          <w:t>39</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Ionic imbalances were similarly found to be induced by SARS-CoV and Influenza virus resulting in cellular m</w:t>
      </w:r>
      <w:r w:rsidRPr="00021C1A">
        <w:rPr>
          <w:rFonts w:ascii="Book Antiqua" w:eastAsia="Book Antiqua" w:hAnsi="Book Antiqua" w:cs="Book Antiqua"/>
          <w:color w:val="000000"/>
        </w:rPr>
        <w:t>orphology changes as well as stimulation of the inflammasome and subsequent inflammatory mechanisms such as IL-1β production and signaling</w:t>
      </w:r>
      <w:r w:rsidRPr="00021C1A">
        <w:rPr>
          <w:rFonts w:ascii="Book Antiqua" w:eastAsia="Book Antiqua" w:hAnsi="Book Antiqua" w:cs="Book Antiqua"/>
          <w:color w:val="000000"/>
          <w:szCs w:val="36"/>
          <w:vertAlign w:val="superscript"/>
        </w:rPr>
        <w:t>[</w:t>
      </w:r>
      <w:hyperlink w:anchor="_ENREF_49" w:tooltip="Nieto-Torres, 2014 #414" w:history="1">
        <w:r w:rsidRPr="00021C1A">
          <w:rPr>
            <w:rFonts w:ascii="Book Antiqua" w:eastAsia="Book Antiqua" w:hAnsi="Book Antiqua" w:cs="Book Antiqua"/>
            <w:color w:val="000000"/>
            <w:szCs w:val="36"/>
            <w:vertAlign w:val="superscript"/>
          </w:rPr>
          <w:t>49</w:t>
        </w:r>
      </w:hyperlink>
      <w:r w:rsidRPr="00021C1A">
        <w:rPr>
          <w:rFonts w:ascii="Book Antiqua" w:eastAsia="Book Antiqua" w:hAnsi="Book Antiqua" w:cs="Book Antiqua"/>
          <w:color w:val="000000"/>
          <w:szCs w:val="36"/>
          <w:vertAlign w:val="superscript"/>
        </w:rPr>
        <w:t>,</w:t>
      </w:r>
      <w:hyperlink w:anchor="_ENREF_50" w:tooltip="Ichinohe, 2010 #415" w:history="1">
        <w:r w:rsidRPr="00021C1A">
          <w:rPr>
            <w:rFonts w:ascii="Book Antiqua" w:eastAsia="Book Antiqua" w:hAnsi="Book Antiqua" w:cs="Book Antiqua"/>
            <w:color w:val="000000"/>
            <w:szCs w:val="36"/>
            <w:vertAlign w:val="superscript"/>
          </w:rPr>
          <w:t>50</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Potassium levels imbalance and absorption dysregulation has been reported in Covid-19 patients in the form of hypokalemia and the patients were found to respond well to potassium supplements during recovery</w:t>
      </w:r>
      <w:r w:rsidRPr="00021C1A">
        <w:rPr>
          <w:rFonts w:ascii="Book Antiqua" w:eastAsia="Book Antiqua" w:hAnsi="Book Antiqua" w:cs="Book Antiqua"/>
          <w:color w:val="000000"/>
          <w:szCs w:val="36"/>
          <w:vertAlign w:val="superscript"/>
        </w:rPr>
        <w:t>[</w:t>
      </w:r>
      <w:hyperlink w:anchor="_ENREF_51" w:tooltip="Chen, 2020 #665" w:history="1">
        <w:r w:rsidRPr="00021C1A">
          <w:rPr>
            <w:rFonts w:ascii="Book Antiqua" w:eastAsia="Book Antiqua" w:hAnsi="Book Antiqua" w:cs="Book Antiqua"/>
            <w:color w:val="000000"/>
            <w:szCs w:val="36"/>
            <w:vertAlign w:val="superscript"/>
          </w:rPr>
          <w:t>51</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Taken together, we speculate that SARS-CoV-2 hijacks cellular metabolic and biosynthetic pathways by disrupting ion imbalance and mitochondrial function. </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 xml:space="preserve">One of the main targets that appear to be suppressed in response to SARS-CoV-2 infection is </w:t>
      </w:r>
      <w:r w:rsidRPr="00021C1A">
        <w:rPr>
          <w:rFonts w:ascii="Book Antiqua" w:eastAsia="Book Antiqua" w:hAnsi="Book Antiqua" w:cs="Book Antiqua"/>
          <w:color w:val="000000"/>
        </w:rPr>
        <w:t>the CYPs family which plays a central role in xenobiotic and drug metabolism in liver tissues. The suppression of the members of this family of metabolic enzymes may potentially result in hepatoxicity and acute liver injury upon the administration of treat</w:t>
      </w:r>
      <w:r w:rsidRPr="00021C1A">
        <w:rPr>
          <w:rFonts w:ascii="Book Antiqua" w:eastAsia="Book Antiqua" w:hAnsi="Book Antiqua" w:cs="Book Antiqua"/>
          <w:color w:val="000000"/>
        </w:rPr>
        <w:t>ments. Currently used therapeutic agents for the treatment of COVID-19 patients including chloroquine and hydroxychloroquine are metabolized by members of the CYPs family enzymes (</w:t>
      </w:r>
      <w:r w:rsidR="00021C1A">
        <w:rPr>
          <w:rFonts w:ascii="Book Antiqua" w:eastAsia="Book Antiqua" w:hAnsi="Book Antiqua" w:cs="Book Antiqua"/>
          <w:i/>
          <w:iCs/>
          <w:color w:val="000000"/>
        </w:rPr>
        <w:t>e.g.</w:t>
      </w:r>
      <w:r w:rsidR="00021C1A" w:rsidRPr="005243D5">
        <w:rPr>
          <w:rFonts w:ascii="Book Antiqua" w:eastAsia="Book Antiqua" w:hAnsi="Book Antiqua" w:cs="Book Antiqua"/>
          <w:iCs/>
          <w:color w:val="000000"/>
        </w:rPr>
        <w:t>,</w:t>
      </w:r>
      <w:r w:rsidR="00021C1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CYP2C8 and CYP3A4/5)</w:t>
      </w:r>
      <w:r w:rsidRPr="00021C1A">
        <w:rPr>
          <w:rFonts w:ascii="Book Antiqua" w:eastAsia="Book Antiqua" w:hAnsi="Book Antiqua" w:cs="Book Antiqua"/>
          <w:color w:val="000000"/>
          <w:szCs w:val="36"/>
          <w:vertAlign w:val="superscript"/>
        </w:rPr>
        <w:t>[</w:t>
      </w:r>
      <w:hyperlink w:anchor="_ENREF_40" w:tooltip="Kim, 2003 #598" w:history="1">
        <w:r w:rsidRPr="00021C1A">
          <w:rPr>
            <w:rFonts w:ascii="Book Antiqua" w:eastAsia="Book Antiqua" w:hAnsi="Book Antiqua" w:cs="Book Antiqua"/>
            <w:color w:val="000000"/>
            <w:szCs w:val="36"/>
            <w:vertAlign w:val="superscript"/>
          </w:rPr>
          <w:t>40</w:t>
        </w:r>
      </w:hyperlink>
      <w:r w:rsidRPr="00021C1A">
        <w:rPr>
          <w:rFonts w:ascii="Book Antiqua" w:eastAsia="Book Antiqua" w:hAnsi="Book Antiqua" w:cs="Book Antiqua"/>
          <w:color w:val="000000"/>
          <w:szCs w:val="36"/>
          <w:vertAlign w:val="superscript"/>
        </w:rPr>
        <w:t>,</w:t>
      </w:r>
      <w:hyperlink w:anchor="_ENREF_41" w:tooltip="Wahie, 2011 #599" w:history="1">
        <w:r w:rsidRPr="00021C1A">
          <w:rPr>
            <w:rFonts w:ascii="Book Antiqua" w:eastAsia="Book Antiqua" w:hAnsi="Book Antiqua" w:cs="Book Antiqua"/>
            <w:color w:val="000000"/>
            <w:szCs w:val="36"/>
            <w:vertAlign w:val="superscript"/>
          </w:rPr>
          <w:t>41</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which we observed to be downregulated in SARS-CoV-2 infected liver samples. Therefore, the downregulation of these enzymes might dysregulate the metabolism of these therapeutic agents resulting in h</w:t>
      </w:r>
      <w:r w:rsidRPr="00021C1A">
        <w:rPr>
          <w:rFonts w:ascii="Book Antiqua" w:eastAsia="Book Antiqua" w:hAnsi="Book Antiqua" w:cs="Book Antiqua"/>
          <w:color w:val="000000"/>
        </w:rPr>
        <w:t>epatotoxicity, autoimmune hepatitis, and liver injury as observed histologically</w:t>
      </w:r>
      <w:r w:rsidRPr="00021C1A">
        <w:rPr>
          <w:rFonts w:ascii="Book Antiqua" w:eastAsia="Book Antiqua" w:hAnsi="Book Antiqua" w:cs="Book Antiqua"/>
          <w:color w:val="000000"/>
          <w:szCs w:val="36"/>
          <w:vertAlign w:val="superscript"/>
        </w:rPr>
        <w:t>[</w:t>
      </w:r>
      <w:hyperlink w:anchor="_ENREF_44" w:tooltip="Abenavoli, 2020 #541" w:history="1">
        <w:r w:rsidRPr="00021C1A">
          <w:rPr>
            <w:rFonts w:ascii="Book Antiqua" w:eastAsia="Book Antiqua" w:hAnsi="Book Antiqua" w:cs="Book Antiqua"/>
            <w:color w:val="000000"/>
            <w:szCs w:val="36"/>
            <w:vertAlign w:val="superscript"/>
          </w:rPr>
          <w:t>44</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xml:space="preserve">. In concordance with these findings, metabolomic profiling of covid-19 patients’ sera </w:t>
      </w:r>
      <w:r w:rsidRPr="00021C1A">
        <w:rPr>
          <w:rFonts w:ascii="Book Antiqua" w:eastAsia="Book Antiqua" w:hAnsi="Book Antiqua" w:cs="Book Antiqua"/>
          <w:color w:val="000000"/>
        </w:rPr>
        <w:lastRenderedPageBreak/>
        <w:t>suggested a decline in liver d</w:t>
      </w:r>
      <w:r w:rsidRPr="00021C1A">
        <w:rPr>
          <w:rFonts w:ascii="Book Antiqua" w:eastAsia="Book Antiqua" w:hAnsi="Book Antiqua" w:cs="Book Antiqua"/>
          <w:color w:val="000000"/>
        </w:rPr>
        <w:t>etoxification function</w:t>
      </w:r>
      <w:r w:rsidRPr="00021C1A">
        <w:rPr>
          <w:rFonts w:ascii="Book Antiqua" w:eastAsia="Book Antiqua" w:hAnsi="Book Antiqua" w:cs="Book Antiqua"/>
          <w:color w:val="000000"/>
          <w:szCs w:val="36"/>
          <w:vertAlign w:val="superscript"/>
        </w:rPr>
        <w:t>[</w:t>
      </w:r>
      <w:hyperlink w:anchor="_ENREF_32" w:tooltip="Shen, 2020 #398" w:history="1">
        <w:r w:rsidRPr="00021C1A">
          <w:rPr>
            <w:rFonts w:ascii="Book Antiqua" w:eastAsia="Book Antiqua" w:hAnsi="Book Antiqua" w:cs="Book Antiqua"/>
            <w:color w:val="000000"/>
            <w:szCs w:val="36"/>
            <w:vertAlign w:val="superscript"/>
          </w:rPr>
          <w:t>32</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w:t>
      </w:r>
      <w:r w:rsidRPr="00021C1A">
        <w:rPr>
          <w:rFonts w:ascii="Book Antiqua" w:eastAsia="宋体" w:hAnsi="Book Antiqua" w:cs="Book Antiqua" w:hint="eastAsia"/>
          <w:color w:val="000000"/>
          <w:lang w:eastAsia="zh-CN"/>
        </w:rPr>
        <w:t xml:space="preserve"> </w:t>
      </w:r>
      <w:r w:rsidRPr="00021C1A">
        <w:rPr>
          <w:rFonts w:ascii="Book Antiqua" w:eastAsia="Book Antiqua" w:hAnsi="Book Antiqua" w:cs="Book Antiqua"/>
          <w:color w:val="000000"/>
        </w:rPr>
        <w:t xml:space="preserve"> Moreover, the downregulation of CYPs has been implicated in the dysregulation of metabolic pathways in cirrhotic patients</w:t>
      </w:r>
      <w:r w:rsidRPr="00021C1A">
        <w:rPr>
          <w:rFonts w:ascii="Book Antiqua" w:eastAsia="Book Antiqua" w:hAnsi="Book Antiqua" w:cs="Book Antiqua"/>
          <w:color w:val="000000"/>
          <w:szCs w:val="36"/>
          <w:vertAlign w:val="superscript"/>
        </w:rPr>
        <w:t>[</w:t>
      </w:r>
      <w:hyperlink w:anchor="_ENREF_52" w:tooltip="Dietrich, 2016 #436" w:history="1">
        <w:r w:rsidRPr="00021C1A">
          <w:rPr>
            <w:rFonts w:ascii="Book Antiqua" w:eastAsia="Book Antiqua" w:hAnsi="Book Antiqua" w:cs="Book Antiqua"/>
            <w:color w:val="000000"/>
            <w:szCs w:val="36"/>
            <w:vertAlign w:val="superscript"/>
          </w:rPr>
          <w:t>52</w:t>
        </w:r>
      </w:hyperlink>
      <w:r w:rsidRPr="00021C1A">
        <w:rPr>
          <w:rFonts w:ascii="Book Antiqua" w:eastAsia="Book Antiqua" w:hAnsi="Book Antiqua" w:cs="Book Antiqua"/>
          <w:color w:val="000000"/>
          <w:szCs w:val="36"/>
          <w:vertAlign w:val="superscript"/>
        </w:rPr>
        <w:t>]</w:t>
      </w:r>
      <w:r w:rsidRPr="00021C1A">
        <w:rPr>
          <w:rFonts w:ascii="Book Antiqua" w:eastAsia="Book Antiqua" w:hAnsi="Book Antiqua" w:cs="Book Antiqua"/>
          <w:color w:val="000000"/>
        </w:rPr>
        <w:t>. Therefore, the downregulation of the CYPs may contribute to the liver injury through the dysregulation of drug metabolism as well as the activation of tissue remodeling mechanisms that ensure the pathogenesis of other liver diseases (</w:t>
      </w:r>
      <w:r w:rsidR="0078262A">
        <w:rPr>
          <w:rFonts w:ascii="Book Antiqua" w:eastAsia="Book Antiqua" w:hAnsi="Book Antiqua" w:cs="Book Antiqua"/>
          <w:i/>
          <w:iCs/>
          <w:color w:val="000000"/>
        </w:rPr>
        <w:t>e.g.</w:t>
      </w:r>
      <w:r w:rsidR="0078262A" w:rsidRPr="005243D5">
        <w:rPr>
          <w:rFonts w:ascii="Book Antiqua" w:eastAsia="Book Antiqua" w:hAnsi="Book Antiqua" w:cs="Book Antiqua"/>
          <w:iCs/>
          <w:color w:val="000000"/>
        </w:rPr>
        <w:t>,</w:t>
      </w:r>
      <w:r w:rsidR="0078262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cirrhosis).</w:t>
      </w:r>
    </w:p>
    <w:p w:rsidR="005F527F" w:rsidRPr="00021C1A" w:rsidRDefault="00542EC0" w:rsidP="001736C0">
      <w:pPr>
        <w:snapToGrid w:val="0"/>
        <w:spacing w:after="0" w:line="360" w:lineRule="auto"/>
        <w:ind w:firstLine="720"/>
        <w:jc w:val="both"/>
      </w:pPr>
      <w:r w:rsidRPr="00021C1A">
        <w:rPr>
          <w:rFonts w:ascii="Book Antiqua" w:eastAsia="Book Antiqua" w:hAnsi="Book Antiqua" w:cs="Book Antiqua"/>
          <w:color w:val="000000"/>
        </w:rPr>
        <w:t>W</w:t>
      </w:r>
      <w:r w:rsidRPr="00021C1A">
        <w:rPr>
          <w:rFonts w:ascii="Book Antiqua" w:eastAsia="Book Antiqua" w:hAnsi="Book Antiqua" w:cs="Book Antiqua"/>
          <w:color w:val="000000"/>
        </w:rPr>
        <w:t>hilst the main limitation of this study is the lack of validation on patients’ liver tissue samples, we cross-validated and confirmed the dysregulation of some DEGs (</w:t>
      </w:r>
      <w:r w:rsidRPr="00021C1A">
        <w:rPr>
          <w:rFonts w:ascii="Book Antiqua" w:eastAsia="Book Antiqua" w:hAnsi="Book Antiqua" w:cs="Book Antiqua"/>
          <w:i/>
          <w:iCs/>
          <w:color w:val="000000"/>
        </w:rPr>
        <w:t>DNAJB1</w:t>
      </w:r>
      <w:r w:rsidRPr="00021C1A">
        <w:rPr>
          <w:rFonts w:ascii="Book Antiqua" w:eastAsia="Book Antiqua" w:hAnsi="Book Antiqua" w:cs="Book Antiqua"/>
          <w:color w:val="000000"/>
        </w:rPr>
        <w:t xml:space="preserve">, </w:t>
      </w:r>
      <w:r w:rsidRPr="00021C1A">
        <w:rPr>
          <w:rFonts w:ascii="Book Antiqua" w:eastAsia="Book Antiqua" w:hAnsi="Book Antiqua" w:cs="Book Antiqua"/>
          <w:i/>
          <w:iCs/>
          <w:color w:val="000000"/>
        </w:rPr>
        <w:t>HSP90AB1</w:t>
      </w:r>
      <w:r w:rsidRPr="00021C1A">
        <w:rPr>
          <w:rFonts w:ascii="Book Antiqua" w:eastAsia="Book Antiqua" w:hAnsi="Book Antiqua" w:cs="Book Antiqua"/>
          <w:color w:val="000000"/>
        </w:rPr>
        <w:t xml:space="preserve">, and </w:t>
      </w:r>
      <w:r w:rsidRPr="00021C1A">
        <w:rPr>
          <w:rFonts w:ascii="Book Antiqua" w:eastAsia="Book Antiqua" w:hAnsi="Book Antiqua" w:cs="Book Antiqua"/>
          <w:i/>
          <w:iCs/>
          <w:color w:val="000000"/>
        </w:rPr>
        <w:t>CYP39A1</w:t>
      </w:r>
      <w:r w:rsidRPr="00021C1A">
        <w:rPr>
          <w:rFonts w:ascii="Book Antiqua" w:eastAsia="Book Antiqua" w:hAnsi="Book Antiqua" w:cs="Book Antiqua"/>
          <w:color w:val="000000"/>
        </w:rPr>
        <w:t>) using blood plasma samples of severe COVID-19 patients with</w:t>
      </w:r>
      <w:r w:rsidRPr="00021C1A">
        <w:rPr>
          <w:rFonts w:ascii="Book Antiqua" w:eastAsia="Book Antiqua" w:hAnsi="Book Antiqua" w:cs="Book Antiqua"/>
          <w:color w:val="000000"/>
        </w:rPr>
        <w:t xml:space="preserve"> liver dysfunction. The systems biology analysis carried out in this study highlighted some molecular mechanisms which may potentially elucidate the clinically observed haptic dysfunction in severe COVID-19 patients. Moreover, the findings of this study sh</w:t>
      </w:r>
      <w:r w:rsidRPr="00021C1A">
        <w:rPr>
          <w:rFonts w:ascii="Book Antiqua" w:eastAsia="Book Antiqua" w:hAnsi="Book Antiqua" w:cs="Book Antiqua"/>
          <w:color w:val="000000"/>
        </w:rPr>
        <w:t xml:space="preserve">ed the light on the potentially activation of fibrosis/cirrhosis/steatosis patterns in response to the activation of wound healing and tissue remodeling mechanisms in severe COVID-19 patients which may require long-term follow up. These findings may prove </w:t>
      </w:r>
      <w:r w:rsidRPr="00021C1A">
        <w:rPr>
          <w:rFonts w:ascii="Book Antiqua" w:eastAsia="Book Antiqua" w:hAnsi="Book Antiqua" w:cs="Book Antiqua"/>
          <w:color w:val="000000"/>
        </w:rPr>
        <w:t>to be critical in cases presenting with long COVID, as the chronic exposure to the infection and disease symptoms may induce irreversible tissue remodeling of the liver. Furthermore, based on the observed significant reduction in the metabolic pathways and</w:t>
      </w:r>
      <w:r w:rsidRPr="00021C1A">
        <w:rPr>
          <w:rFonts w:ascii="Book Antiqua" w:eastAsia="Book Antiqua" w:hAnsi="Book Antiqua" w:cs="Book Antiqua"/>
          <w:color w:val="000000"/>
        </w:rPr>
        <w:t xml:space="preserve"> hepatic detoxification in our study, serious consideration is required for the administered hepatotoxic treatments to severe COVID-19 patients (</w:t>
      </w:r>
      <w:r w:rsidR="0078262A">
        <w:rPr>
          <w:rFonts w:ascii="Book Antiqua" w:eastAsia="Book Antiqua" w:hAnsi="Book Antiqua" w:cs="Book Antiqua"/>
          <w:i/>
          <w:iCs/>
          <w:color w:val="000000"/>
        </w:rPr>
        <w:t>e.g.</w:t>
      </w:r>
      <w:r w:rsidR="0078262A" w:rsidRPr="005243D5">
        <w:rPr>
          <w:rFonts w:ascii="Book Antiqua" w:eastAsia="Book Antiqua" w:hAnsi="Book Antiqua" w:cs="Book Antiqua"/>
          <w:iCs/>
          <w:color w:val="000000"/>
        </w:rPr>
        <w:t>,</w:t>
      </w:r>
      <w:r w:rsidR="0078262A">
        <w:rPr>
          <w:rFonts w:ascii="Book Antiqua" w:eastAsia="Book Antiqua" w:hAnsi="Book Antiqua" w:cs="Book Antiqua"/>
          <w:iCs/>
          <w:color w:val="000000"/>
        </w:rPr>
        <w:t xml:space="preserve"> </w:t>
      </w:r>
      <w:r w:rsidRPr="00021C1A">
        <w:rPr>
          <w:rFonts w:ascii="Book Antiqua" w:eastAsia="Book Antiqua" w:hAnsi="Book Antiqua" w:cs="Book Antiqua"/>
          <w:color w:val="000000"/>
        </w:rPr>
        <w:t>chloroquine, hydroxychloroquine, and remdesivir). However, it remains to be ascertained whether the observ</w:t>
      </w:r>
      <w:r w:rsidRPr="00021C1A">
        <w:rPr>
          <w:rFonts w:ascii="Book Antiqua" w:eastAsia="Book Antiqua" w:hAnsi="Book Antiqua" w:cs="Book Antiqua"/>
          <w:color w:val="000000"/>
        </w:rPr>
        <w:t>ed transcriptional shifts observed in the liver tissue of severe COVID-19 patients are the result of viral infection, systemic inflammation, or drug induced liver injury and toxicity.</w:t>
      </w:r>
    </w:p>
    <w:p w:rsidR="005F527F" w:rsidRPr="00021C1A" w:rsidRDefault="005F527F" w:rsidP="001736C0">
      <w:pPr>
        <w:snapToGrid w:val="0"/>
        <w:spacing w:after="0" w:line="360" w:lineRule="auto"/>
        <w:ind w:firstLine="720"/>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CONCLUSION</w:t>
      </w:r>
    </w:p>
    <w:p w:rsidR="005F527F" w:rsidRDefault="00542EC0" w:rsidP="001736C0">
      <w:pPr>
        <w:snapToGrid w:val="0"/>
        <w:spacing w:after="0" w:line="360" w:lineRule="auto"/>
        <w:jc w:val="both"/>
      </w:pPr>
      <w:r>
        <w:rPr>
          <w:rFonts w:ascii="Book Antiqua" w:eastAsia="Book Antiqua" w:hAnsi="Book Antiqua" w:cs="Book Antiqua"/>
          <w:color w:val="000000"/>
        </w:rPr>
        <w:t xml:space="preserve">In conclusion, we aimed at getting some insight into the </w:t>
      </w:r>
      <w:r>
        <w:rPr>
          <w:rFonts w:ascii="Book Antiqua" w:eastAsia="Book Antiqua" w:hAnsi="Book Antiqua" w:cs="Book Antiqua"/>
          <w:color w:val="000000"/>
        </w:rPr>
        <w:t xml:space="preserve">molecular mechanisms underlying liver dysfunction in severe COVID-19 patients using RNA-seq data of severe COVID-19 liver autopsy samples. Through systems biology analysis, we observed a </w:t>
      </w:r>
      <w:r>
        <w:rPr>
          <w:rFonts w:ascii="Book Antiqua" w:eastAsia="Book Antiqua" w:hAnsi="Book Antiqua" w:cs="Book Antiqua"/>
          <w:color w:val="000000"/>
        </w:rPr>
        <w:lastRenderedPageBreak/>
        <w:t>significant upregulation in transcripts implicated in GPCRs signaling</w:t>
      </w:r>
      <w:r>
        <w:rPr>
          <w:rFonts w:ascii="Book Antiqua" w:eastAsia="Book Antiqua" w:hAnsi="Book Antiqua" w:cs="Book Antiqua"/>
          <w:color w:val="000000"/>
        </w:rPr>
        <w:t>, tissue remodeling, and intracellular/transmembrane transport (</w:t>
      </w:r>
      <w:r w:rsidR="00D7769D">
        <w:rPr>
          <w:rFonts w:ascii="Book Antiqua" w:eastAsia="Book Antiqua" w:hAnsi="Book Antiqua" w:cs="Book Antiqua"/>
          <w:i/>
          <w:iCs/>
          <w:color w:val="000000"/>
        </w:rPr>
        <w:t>e.g.</w:t>
      </w:r>
      <w:r w:rsidR="00D7769D" w:rsidRPr="005243D5">
        <w:rPr>
          <w:rFonts w:ascii="Book Antiqua" w:eastAsia="Book Antiqua" w:hAnsi="Book Antiqua" w:cs="Book Antiqua"/>
          <w:iCs/>
          <w:color w:val="000000"/>
        </w:rPr>
        <w:t>,</w:t>
      </w:r>
      <w:r w:rsidR="00D7769D">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On the other hand, we observed a significant downregulation in transcripts implicated in metabolic pathways and mitochondrial function (</w:t>
      </w:r>
      <w:r w:rsidR="00E30D7C">
        <w:rPr>
          <w:rFonts w:ascii="Book Antiqua" w:eastAsia="Book Antiqua" w:hAnsi="Book Antiqua" w:cs="Book Antiqua"/>
          <w:i/>
          <w:iCs/>
          <w:color w:val="000000"/>
        </w:rPr>
        <w:t>e.g.</w:t>
      </w:r>
      <w:r w:rsidR="00E30D7C" w:rsidRPr="005243D5">
        <w:rPr>
          <w:rFonts w:ascii="Book Antiqua" w:eastAsia="Book Antiqua" w:hAnsi="Book Antiqua" w:cs="Book Antiqua"/>
          <w:iCs/>
          <w:color w:val="000000"/>
        </w:rPr>
        <w:t>,</w:t>
      </w:r>
      <w:r w:rsidR="00E30D7C">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ACAD11, CIDEB, </w:t>
      </w:r>
      <w:r>
        <w:rPr>
          <w:rFonts w:ascii="Book Antiqua" w:eastAsia="Book Antiqua" w:hAnsi="Book Antiqua" w:cs="Book Antiqua"/>
          <w:i/>
          <w:iCs/>
          <w:color w:val="000000"/>
        </w:rPr>
        <w:t xml:space="preserve">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Moreover, we observed a significant suppression of CYPs, which play central roles in the metabolism of drugs and xenobiotics metabolism suggesting a compromised hepatic detoxification capacity. Moreover, the dysregulation of some genes (</w:t>
      </w:r>
      <w:r w:rsidR="00E30D7C">
        <w:rPr>
          <w:rFonts w:ascii="Book Antiqua" w:eastAsia="Book Antiqua" w:hAnsi="Book Antiqua" w:cs="Book Antiqua"/>
          <w:i/>
          <w:iCs/>
          <w:color w:val="000000"/>
        </w:rPr>
        <w:t>e.g.</w:t>
      </w:r>
      <w:r w:rsidR="00E30D7C" w:rsidRPr="005243D5">
        <w:rPr>
          <w:rFonts w:ascii="Book Antiqua" w:eastAsia="Book Antiqua" w:hAnsi="Book Antiqua" w:cs="Book Antiqua"/>
          <w:iCs/>
          <w:color w:val="000000"/>
        </w:rPr>
        <w:t>,</w:t>
      </w:r>
      <w:r w:rsidR="00E30D7C">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HSP90AB1,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tissue autopsies correlated with their dysregulation in the blood plasma of severe COVID-19 patients with hepatic dysfunction suggesting their potential as putative biomarkers of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caps/>
          <w:color w:val="000000"/>
          <w:u w:val="single"/>
        </w:rPr>
        <w:t>ARTICLE HIGHLIGH</w:t>
      </w:r>
      <w:r>
        <w:rPr>
          <w:rFonts w:ascii="Book Antiqua" w:eastAsia="Book Antiqua" w:hAnsi="Book Antiqua" w:cs="Book Antiqua"/>
          <w:b/>
          <w:caps/>
          <w:color w:val="000000"/>
          <w:u w:val="single"/>
        </w:rPr>
        <w:t>TS</w:t>
      </w:r>
    </w:p>
    <w:p w:rsidR="005F527F" w:rsidRDefault="00542EC0" w:rsidP="001736C0">
      <w:pPr>
        <w:snapToGrid w:val="0"/>
        <w:spacing w:after="0" w:line="360" w:lineRule="auto"/>
        <w:jc w:val="both"/>
      </w:pPr>
      <w:r>
        <w:rPr>
          <w:rFonts w:ascii="Book Antiqua" w:eastAsia="Book Antiqua" w:hAnsi="Book Antiqua" w:cs="Book Antiqua"/>
          <w:b/>
          <w:i/>
          <w:color w:val="000000"/>
        </w:rPr>
        <w:t>Research background</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The coronavirus disease 2019 (COVID-19), a pandemic contributing to more than 105 million cases and more than 2.3 million deaths worldwide is associated with extrapulmonary manifestations, including liver dysfunction. Liver </w:t>
      </w:r>
      <w:r>
        <w:rPr>
          <w:rFonts w:ascii="Book Antiqua" w:eastAsia="Book Antiqua" w:hAnsi="Book Antiqua" w:cs="Book Antiqua"/>
          <w:color w:val="000000"/>
        </w:rPr>
        <w:t>dysfunction and elevated liver enzymes were observed in about 53% of COVID-19 patients. However, the molecular mechanistic aspect of this is not clear but can be of importance in understanding how the virus infects the hepatocytes and the infection leads t</w:t>
      </w:r>
      <w:r>
        <w:rPr>
          <w:rFonts w:ascii="Book Antiqua" w:eastAsia="Book Antiqua" w:hAnsi="Book Antiqua" w:cs="Book Antiqua"/>
          <w:color w:val="000000"/>
        </w:rPr>
        <w:t>o liver dysfunction. Understanding this can help in the diagnosis and treatment of liver dysfunction caused by COVID-19.</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motivation</w:t>
      </w:r>
    </w:p>
    <w:p w:rsidR="005F527F" w:rsidRDefault="00542EC0" w:rsidP="001736C0">
      <w:pPr>
        <w:snapToGrid w:val="0"/>
        <w:spacing w:after="0" w:line="360" w:lineRule="auto"/>
        <w:jc w:val="both"/>
      </w:pPr>
      <w:r>
        <w:rPr>
          <w:rFonts w:ascii="Book Antiqua" w:eastAsia="Book Antiqua" w:hAnsi="Book Antiqua" w:cs="Book Antiqua"/>
          <w:color w:val="000000"/>
        </w:rPr>
        <w:t xml:space="preserve">Liver is an important organ in human health as it is involved in the detoxification of many compounds accumulated </w:t>
      </w:r>
      <w:r>
        <w:rPr>
          <w:rFonts w:ascii="Book Antiqua" w:eastAsia="Book Antiqua" w:hAnsi="Book Antiqua" w:cs="Book Antiqua"/>
          <w:color w:val="000000"/>
        </w:rPr>
        <w:t>through pollution or using the wrong diet. Liver dysfunction can lead to many systemic diseases in the body. One of the organs affected by SARS-CoV-2 infection is the liver and therefore understanding the mechanism of infection and the cause of liver dysfu</w:t>
      </w:r>
      <w:r>
        <w:rPr>
          <w:rFonts w:ascii="Book Antiqua" w:eastAsia="Book Antiqua" w:hAnsi="Book Antiqua" w:cs="Book Antiqua"/>
          <w:color w:val="000000"/>
        </w:rPr>
        <w:t xml:space="preserve">nction can help COVID-19 patients whose liver is affected but also the results can shed light on the molecular mechanism of liver dysfunction that may results </w:t>
      </w:r>
      <w:r>
        <w:rPr>
          <w:rFonts w:ascii="Book Antiqua" w:eastAsia="Book Antiqua" w:hAnsi="Book Antiqua" w:cs="Book Antiqua"/>
          <w:color w:val="000000"/>
        </w:rPr>
        <w:lastRenderedPageBreak/>
        <w:t>from other liver diseases including cirrhosis, fibrosis, non-alcoholic fatty liver disease (NAFLD</w:t>
      </w:r>
      <w:r>
        <w:rPr>
          <w:rFonts w:ascii="Book Antiqua" w:eastAsia="Book Antiqua" w:hAnsi="Book Antiqua" w:cs="Book Antiqua"/>
          <w:color w:val="000000"/>
        </w:rPr>
        <w:t>), and hepatitis A/B/C.</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objectives</w:t>
      </w:r>
    </w:p>
    <w:p w:rsidR="005F527F" w:rsidRDefault="00542EC0" w:rsidP="001736C0">
      <w:pPr>
        <w:snapToGrid w:val="0"/>
        <w:spacing w:after="0" w:line="360" w:lineRule="auto"/>
        <w:jc w:val="both"/>
        <w:rPr>
          <w:rFonts w:eastAsia="宋体"/>
          <w:lang w:eastAsia="zh-CN"/>
        </w:rPr>
      </w:pPr>
      <w:r>
        <w:rPr>
          <w:rFonts w:ascii="Book Antiqua" w:eastAsia="Book Antiqua" w:hAnsi="Book Antiqua" w:cs="Book Antiqua"/>
          <w:color w:val="000000"/>
        </w:rPr>
        <w:t>The main objectives of this research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Obtain genetic data from COVID-19 patients who had hepatic dysfunction; (2) Compare the genetic signature of COVID-19 patients with hepatic failure with that of othe</w:t>
      </w:r>
      <w:r>
        <w:rPr>
          <w:rFonts w:ascii="Book Antiqua" w:eastAsia="Book Antiqua" w:hAnsi="Book Antiqua" w:cs="Book Antiqua"/>
          <w:color w:val="000000"/>
        </w:rPr>
        <w:t xml:space="preserve">r liver diseases including cirrhosis, fibrosis, NAFLD, and hepatitis A/B/C; (3) Carry out </w:t>
      </w:r>
      <w:r>
        <w:rPr>
          <w:rFonts w:ascii="Book Antiqua" w:eastAsia="Book Antiqua" w:hAnsi="Book Antiqua" w:cs="Book Antiqua"/>
          <w:i/>
          <w:iCs/>
          <w:color w:val="000000"/>
        </w:rPr>
        <w:t>in vitro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validation of the biomarkers identified using blood samples from severe COVID-19 patients with liver dysfunction.</w:t>
      </w:r>
      <w:r>
        <w:rPr>
          <w:rFonts w:ascii="Book Antiqua" w:eastAsia="宋体" w:hAnsi="Book Antiqua" w:cs="Book Antiqua" w:hint="eastAsia"/>
          <w:color w:val="000000"/>
          <w:lang w:eastAsia="zh-CN"/>
        </w:rPr>
        <w:t xml:space="preserve"> </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methods</w:t>
      </w:r>
    </w:p>
    <w:p w:rsidR="005F527F" w:rsidRDefault="00542EC0" w:rsidP="001736C0">
      <w:pPr>
        <w:snapToGrid w:val="0"/>
        <w:spacing w:after="0" w:line="360" w:lineRule="auto"/>
        <w:jc w:val="both"/>
      </w:pPr>
      <w:r>
        <w:rPr>
          <w:rFonts w:ascii="Book Antiqua" w:eastAsia="Book Antiqua" w:hAnsi="Book Antiqua" w:cs="Book Antiqua"/>
          <w:color w:val="000000"/>
        </w:rPr>
        <w:t>The transcriptome of liv</w:t>
      </w:r>
      <w:r>
        <w:rPr>
          <w:rFonts w:ascii="Book Antiqua" w:eastAsia="Book Antiqua" w:hAnsi="Book Antiqua" w:cs="Book Antiqua"/>
          <w:color w:val="000000"/>
        </w:rPr>
        <w:t>er autopsy samples from severe COVID-19 patients against those of non-COVID donors was analyzed. Differentially expressed genes were identified from normalized RNA-seq data and analyzed for the enrichment of functional clusters and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differenti</w:t>
      </w:r>
      <w:r>
        <w:rPr>
          <w:rFonts w:ascii="Book Antiqua" w:eastAsia="Book Antiqua" w:hAnsi="Book Antiqua" w:cs="Book Antiqua"/>
          <w:color w:val="000000"/>
        </w:rPr>
        <w:t xml:space="preserve">ally expressed genes were then compared against the genetic signatures of liver diseases including cirrhosis, fibrosis, NAFLD, and hepatitis A/B/C. Gene expression of some differentially expressed genes was assessed in the blood samples of severe COVID-19 </w:t>
      </w:r>
      <w:r>
        <w:rPr>
          <w:rFonts w:ascii="Book Antiqua" w:eastAsia="Book Antiqua" w:hAnsi="Book Antiqua" w:cs="Book Antiqua"/>
          <w:color w:val="000000"/>
        </w:rPr>
        <w:t>patients with liver dysfunction using qRT-PCR.</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results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Analysis of the differential transcriptome of the liver tissue of severe COVID-19 patients revealed a significant upregulation of transcripts implicated in tissue remodeling including </w:t>
      </w:r>
      <w:r>
        <w:rPr>
          <w:rFonts w:ascii="Book Antiqua" w:eastAsia="Book Antiqua" w:hAnsi="Book Antiqua" w:cs="Book Antiqua"/>
          <w:i/>
          <w:iCs/>
          <w:color w:val="000000"/>
        </w:rPr>
        <w:t>GPCRs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Concordantly, the differential transcriptome of severe COVID-19 liver tissues substantially overlapped with the disease signature of liver diseases characterized with pathological tissue remodeling (liver cirrhosis, Fibrosis, NAFLD, and hepatitis A/B/C).</w:t>
      </w:r>
      <w:r>
        <w:rPr>
          <w:rFonts w:ascii="Book Antiqua" w:eastAsia="Book Antiqua" w:hAnsi="Book Antiqua" w:cs="Book Antiqua"/>
          <w:color w:val="000000"/>
        </w:rPr>
        <w:t xml:space="preserve"> Moreover, we observed a significant suppression of transcripts implicated in metabolic pathways as well as mitochondrial function, including cytochrome P450 family members,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Consequently, drug and xenobiotics metabolism pathw</w:t>
      </w:r>
      <w:r>
        <w:rPr>
          <w:rFonts w:ascii="Book Antiqua" w:eastAsia="Book Antiqua" w:hAnsi="Book Antiqua" w:cs="Book Antiqua"/>
          <w:color w:val="000000"/>
        </w:rPr>
        <w:t xml:space="preserve">ays are significantly </w:t>
      </w:r>
      <w:r>
        <w:rPr>
          <w:rFonts w:ascii="Book Antiqua" w:eastAsia="Book Antiqua" w:hAnsi="Book Antiqua" w:cs="Book Antiqua"/>
          <w:color w:val="000000"/>
        </w:rPr>
        <w:lastRenderedPageBreak/>
        <w:t xml:space="preserve">suppressed suggesting a decrease in liver detoxification capacity. In correspondence with the RNA-seq data analysis, we observed a significant upregulation of </w:t>
      </w:r>
      <w:r>
        <w:rPr>
          <w:rFonts w:ascii="Book Antiqua" w:eastAsia="Book Antiqua" w:hAnsi="Book Antiqua" w:cs="Book Antiqua"/>
          <w:i/>
          <w:iCs/>
          <w:color w:val="000000"/>
        </w:rPr>
        <w:t>DNAJB1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HSP90AB1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well as significant downregulation of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w:t>
      </w:r>
      <w:r>
        <w:rPr>
          <w:rFonts w:ascii="Book Antiqua" w:eastAsia="Book Antiqua" w:hAnsi="Book Antiqua" w:cs="Book Antiqua"/>
          <w:color w:val="000000"/>
        </w:rPr>
        <w:t xml:space="preserve"> blood plasma of severe COVID-19 patients with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conclusions</w:t>
      </w:r>
    </w:p>
    <w:p w:rsidR="005F527F" w:rsidRDefault="00542EC0" w:rsidP="001736C0">
      <w:pPr>
        <w:snapToGrid w:val="0"/>
        <w:spacing w:after="0" w:line="360" w:lineRule="auto"/>
        <w:jc w:val="both"/>
      </w:pPr>
      <w:r>
        <w:rPr>
          <w:rFonts w:ascii="Book Antiqua" w:eastAsia="Book Antiqua" w:hAnsi="Book Antiqua" w:cs="Book Antiqua"/>
          <w:color w:val="000000"/>
        </w:rPr>
        <w:t>Some insights into the molecular mechanisms underlying liver dysfunction in severe COVID-19 patients was obtained using RNA-seq data of severe COVID-19 liver autopsy sa</w:t>
      </w:r>
      <w:r>
        <w:rPr>
          <w:rFonts w:ascii="Book Antiqua" w:eastAsia="Book Antiqua" w:hAnsi="Book Antiqua" w:cs="Book Antiqua"/>
          <w:color w:val="000000"/>
        </w:rPr>
        <w:t>mples. Through systems biology analysis, we observed a significant upregulation in transcripts implicated in GPCRs signaling, tissue remodeling, and intracellular/transmembrane transport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IGF2, EGFR,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HDGF)</w:t>
      </w:r>
      <w:r>
        <w:rPr>
          <w:rFonts w:ascii="Book Antiqua" w:eastAsia="Book Antiqua" w:hAnsi="Book Antiqua" w:cs="Book Antiqua"/>
          <w:color w:val="000000"/>
        </w:rPr>
        <w:t>. On the other hand, we observed a</w:t>
      </w:r>
      <w:r>
        <w:rPr>
          <w:rFonts w:ascii="Book Antiqua" w:eastAsia="Book Antiqua" w:hAnsi="Book Antiqua" w:cs="Book Antiqua"/>
          <w:color w:val="000000"/>
        </w:rPr>
        <w:t xml:space="preserve"> significant downregulation in transcripts implicated in metabolic pathways and mitochondrial function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ACAD11, CIDEB, GNMT,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GPAM)</w:t>
      </w:r>
      <w:r>
        <w:rPr>
          <w:rFonts w:ascii="Book Antiqua" w:eastAsia="Book Antiqua" w:hAnsi="Book Antiqua" w:cs="Book Antiqua"/>
          <w:color w:val="000000"/>
        </w:rPr>
        <w:t xml:space="preserve">. Moreover, we observed a significant suppression of cytochrome P450 family members, which play central roles in the </w:t>
      </w:r>
      <w:r>
        <w:rPr>
          <w:rFonts w:ascii="Book Antiqua" w:eastAsia="Book Antiqua" w:hAnsi="Book Antiqua" w:cs="Book Antiqua"/>
          <w:color w:val="000000"/>
        </w:rPr>
        <w:t>metabolism of drugs and xenobiotics metabolism suggesting a compromised hepatic detoxification capacity. Moreover, the dysregulation of some genes (</w:t>
      </w:r>
      <w:r w:rsidR="00AB6418">
        <w:rPr>
          <w:rFonts w:ascii="Book Antiqua" w:eastAsia="Book Antiqua" w:hAnsi="Book Antiqua" w:cs="Book Antiqua"/>
          <w:i/>
          <w:iCs/>
          <w:color w:val="000000"/>
        </w:rPr>
        <w:t>e.g.</w:t>
      </w:r>
      <w:r w:rsidR="00AB6418" w:rsidRPr="005243D5">
        <w:rPr>
          <w:rFonts w:ascii="Book Antiqua" w:eastAsia="Book Antiqua" w:hAnsi="Book Antiqua" w:cs="Book Antiqua"/>
          <w:iCs/>
          <w:color w:val="000000"/>
        </w:rPr>
        <w:t>,</w:t>
      </w:r>
      <w:r w:rsidR="00AB6418">
        <w:rPr>
          <w:rFonts w:ascii="Book Antiqua" w:eastAsia="Book Antiqua" w:hAnsi="Book Antiqua" w:cs="Book Antiqua"/>
          <w:iCs/>
          <w:color w:val="000000"/>
        </w:rPr>
        <w:t xml:space="preserve"> </w:t>
      </w:r>
      <w:r>
        <w:rPr>
          <w:rFonts w:ascii="Book Antiqua" w:eastAsia="Book Antiqua" w:hAnsi="Book Antiqua" w:cs="Book Antiqua"/>
          <w:i/>
          <w:iCs/>
          <w:color w:val="000000"/>
        </w:rPr>
        <w:t xml:space="preserve">DNAJB1, HSP90AB1, </w:t>
      </w:r>
      <w:r>
        <w:rPr>
          <w:rFonts w:ascii="Book Antiqua" w:eastAsia="Book Antiqua" w:hAnsi="Book Antiqua" w:cs="Book Antiqua"/>
          <w:color w:val="000000"/>
        </w:rPr>
        <w:t>and</w:t>
      </w:r>
      <w:r>
        <w:rPr>
          <w:rFonts w:ascii="Book Antiqua" w:eastAsia="宋体" w:hAnsi="Book Antiqua" w:cs="Book Antiqua" w:hint="eastAsia"/>
          <w:i/>
          <w:iCs/>
          <w:color w:val="000000"/>
          <w:lang w:eastAsia="zh-CN"/>
        </w:rPr>
        <w:t xml:space="preserve"> </w:t>
      </w:r>
      <w:r>
        <w:rPr>
          <w:rFonts w:ascii="Book Antiqua" w:eastAsia="Book Antiqua" w:hAnsi="Book Antiqua" w:cs="Book Antiqua"/>
          <w:i/>
          <w:iCs/>
          <w:color w:val="000000"/>
        </w:rPr>
        <w:t>CYP39A1)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tissue autopsies correlated with their dysregulation in the blood</w:t>
      </w:r>
      <w:r>
        <w:rPr>
          <w:rFonts w:ascii="Book Antiqua" w:eastAsia="Book Antiqua" w:hAnsi="Book Antiqua" w:cs="Book Antiqua"/>
          <w:color w:val="000000"/>
        </w:rPr>
        <w:t xml:space="preserve"> plasma of severe COVID-19 patients with hepatic dysfunction suggesting their potential as putative biomarkers of liver dysfunction.</w:t>
      </w:r>
    </w:p>
    <w:p w:rsidR="005F527F" w:rsidRDefault="005F527F" w:rsidP="001736C0">
      <w:pPr>
        <w:snapToGrid w:val="0"/>
        <w:spacing w:after="0" w:line="360" w:lineRule="auto"/>
        <w:jc w:val="both"/>
      </w:pPr>
    </w:p>
    <w:p w:rsidR="005F527F" w:rsidRDefault="00542EC0" w:rsidP="001736C0">
      <w:pPr>
        <w:snapToGrid w:val="0"/>
        <w:spacing w:after="0" w:line="360" w:lineRule="auto"/>
        <w:jc w:val="both"/>
      </w:pPr>
      <w:r>
        <w:rPr>
          <w:rFonts w:ascii="Book Antiqua" w:eastAsia="Book Antiqua" w:hAnsi="Book Antiqua" w:cs="Book Antiqua"/>
          <w:b/>
          <w:i/>
          <w:color w:val="000000"/>
        </w:rPr>
        <w:t>Research perspectives</w:t>
      </w:r>
    </w:p>
    <w:p w:rsidR="005F527F" w:rsidRDefault="00542EC0" w:rsidP="001736C0">
      <w:pPr>
        <w:snapToGrid w:val="0"/>
        <w:spacing w:after="0" w:line="360" w:lineRule="auto"/>
        <w:jc w:val="both"/>
      </w:pPr>
      <w:r>
        <w:rPr>
          <w:rFonts w:ascii="Book Antiqua" w:eastAsia="Book Antiqua" w:hAnsi="Book Antiqua" w:cs="Book Antiqua"/>
          <w:color w:val="000000"/>
        </w:rPr>
        <w:t xml:space="preserve">This study identified key cellular pathways involved in liver dysfunction in general but also liver </w:t>
      </w:r>
      <w:r>
        <w:rPr>
          <w:rFonts w:ascii="Book Antiqua" w:eastAsia="Book Antiqua" w:hAnsi="Book Antiqua" w:cs="Book Antiqua"/>
          <w:color w:val="000000"/>
        </w:rPr>
        <w:t>dysfunction linked to COVID-19 patients. The analysis identified key molecular biomarkers which can be used in future to general a biomarker panel that can assess the degree of hepatic dysfunction in patients from a blood test since the biomarkers identifi</w:t>
      </w:r>
      <w:r>
        <w:rPr>
          <w:rFonts w:ascii="Book Antiqua" w:eastAsia="Book Antiqua" w:hAnsi="Book Antiqua" w:cs="Book Antiqua"/>
          <w:color w:val="000000"/>
        </w:rPr>
        <w:t>ed in this study was shown to follow the same trend when compared with blood samples from COVID-19 patients with hepatic dysfunction. Mechanistically, the study showed that severe COVID-19 patients appear to experience significant transcriptional shift tha</w:t>
      </w:r>
      <w:r>
        <w:rPr>
          <w:rFonts w:ascii="Book Antiqua" w:eastAsia="Book Antiqua" w:hAnsi="Book Antiqua" w:cs="Book Antiqua"/>
          <w:color w:val="000000"/>
        </w:rPr>
        <w:t xml:space="preserve">t </w:t>
      </w:r>
      <w:r>
        <w:rPr>
          <w:rFonts w:ascii="Book Antiqua" w:eastAsia="Book Antiqua" w:hAnsi="Book Antiqua" w:cs="Book Antiqua"/>
          <w:color w:val="000000"/>
        </w:rPr>
        <w:lastRenderedPageBreak/>
        <w:t>may ensue tissue remodeling, mitochondrial dysfunction and apparent hepatic toxification resulting in the clinically observed liver dysfunction. The finding from this study can be used in future to assess the degree of hepatic dysfunction but also to dif</w:t>
      </w:r>
      <w:r>
        <w:rPr>
          <w:rFonts w:ascii="Book Antiqua" w:eastAsia="Book Antiqua" w:hAnsi="Book Antiqua" w:cs="Book Antiqua"/>
          <w:color w:val="000000"/>
        </w:rPr>
        <w:t>ferentiate patients with COVID-19 related hepatic dysfunction from hepatic dysfunction caused by other liver diseases. This can be of importance in the management of COVID-19 patients including those with long COVID who have experienced hepatic dysfunction</w:t>
      </w:r>
      <w:r>
        <w:rPr>
          <w:rFonts w:ascii="Book Antiqua" w:eastAsia="Book Antiqua" w:hAnsi="Book Antiqua" w:cs="Book Antiqua"/>
          <w:color w:val="000000"/>
        </w:rPr>
        <w:t>.</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REFERENCES</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Utunen H</w:t>
      </w:r>
      <w:r>
        <w:rPr>
          <w:rFonts w:ascii="Book Antiqua" w:hAnsi="Book Antiqua" w:cs="Book Antiqua"/>
        </w:rPr>
        <w:t xml:space="preserve">, Ndiaye N, Piroux C, George R, Attias M, Gamhewage G. Global Reach of an Online COVID-19 Course in Multiple Languages on OpenWHO in the First Quarter of 2020: Analysis of Platform Use Data. </w:t>
      </w:r>
      <w:r>
        <w:rPr>
          <w:rFonts w:ascii="Book Antiqua" w:hAnsi="Book Antiqua" w:cs="Book Antiqua"/>
          <w:i/>
          <w:iCs/>
        </w:rPr>
        <w:t>J Med Internet Res</w:t>
      </w:r>
      <w:r>
        <w:rPr>
          <w:rFonts w:ascii="Book Antiqua" w:hAnsi="Book Antiqua" w:cs="Book Antiqua"/>
        </w:rPr>
        <w:t xml:space="preserve"> 2020; </w:t>
      </w:r>
      <w:r>
        <w:rPr>
          <w:rFonts w:ascii="Book Antiqua" w:hAnsi="Book Antiqua" w:cs="Book Antiqua"/>
          <w:b/>
          <w:bCs/>
        </w:rPr>
        <w:t>22</w:t>
      </w:r>
      <w:r>
        <w:rPr>
          <w:rFonts w:ascii="Book Antiqua" w:hAnsi="Book Antiqua" w:cs="Book Antiqua"/>
        </w:rPr>
        <w:t xml:space="preserve">: e19076 </w:t>
      </w:r>
      <w:r>
        <w:rPr>
          <w:rFonts w:ascii="Book Antiqua" w:hAnsi="Book Antiqua" w:cs="Book Antiqua"/>
        </w:rPr>
        <w:t>[PMID: 32293580 DOI: 10.2196/19076]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Lin L</w:t>
      </w:r>
      <w:r>
        <w:rPr>
          <w:rFonts w:ascii="Book Antiqua" w:hAnsi="Book Antiqua" w:cs="Book Antiqua"/>
        </w:rPr>
        <w:t xml:space="preserve">, Jiang X, Zhang Z, Huang S, Zhang Z, Fang Z, Gu Z, Gao L, Shi H, Mai L, Liu Y, Lin X, Lai R, Yan Z, Li X, Shan H. Gastrointestinal symptoms of 95 cases with SARS-CoV-2 infection.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997-1001 [PMID: 322</w:t>
      </w:r>
      <w:r>
        <w:rPr>
          <w:rFonts w:ascii="Book Antiqua" w:hAnsi="Book Antiqua" w:cs="Book Antiqua"/>
        </w:rPr>
        <w:t>41899 DOI: 10.1136/gutjnl-2020-321013]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Shi H</w:t>
      </w:r>
      <w:r>
        <w:rPr>
          <w:rFonts w:ascii="Book Antiqua" w:hAnsi="Book Antiqua" w:cs="Book Antiqua"/>
        </w:rPr>
        <w:t xml:space="preserve">, Han X, Jiang N, Cao Y, Alwalid O, Gu J, Fan Y, Zheng C. Radiological findings from 81 patients with COVID-19 pneumonia in Wuhan, China: a descriptive study. </w:t>
      </w:r>
      <w:r>
        <w:rPr>
          <w:rFonts w:ascii="Book Antiqua" w:hAnsi="Book Antiqua" w:cs="Book Antiqua"/>
          <w:i/>
          <w:iCs/>
        </w:rPr>
        <w:t>Lancet Infect Dis</w:t>
      </w:r>
      <w:r>
        <w:rPr>
          <w:rFonts w:ascii="Book Antiqua" w:hAnsi="Book Antiqua" w:cs="Book Antiqua"/>
        </w:rPr>
        <w:t xml:space="preserve"> 2020; </w:t>
      </w:r>
      <w:r>
        <w:rPr>
          <w:rFonts w:ascii="Book Antiqua" w:hAnsi="Book Antiqua" w:cs="Book Antiqua"/>
          <w:b/>
          <w:bCs/>
        </w:rPr>
        <w:t>20</w:t>
      </w:r>
      <w:r>
        <w:rPr>
          <w:rFonts w:ascii="Book Antiqua" w:hAnsi="Book Antiqua" w:cs="Book Antiqua"/>
        </w:rPr>
        <w:t>: 425-434 [PMID: 32105637</w:t>
      </w:r>
      <w:r>
        <w:rPr>
          <w:rFonts w:ascii="Book Antiqua" w:hAnsi="Book Antiqua" w:cs="Book Antiqua"/>
        </w:rPr>
        <w:t xml:space="preserve"> DOI: 10.1016/S1473-3099(20)30086-4]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Weber S</w:t>
      </w:r>
      <w:r>
        <w:rPr>
          <w:rFonts w:ascii="Book Antiqua" w:hAnsi="Book Antiqua" w:cs="Book Antiqua"/>
        </w:rPr>
        <w:t xml:space="preserve">, Mayerle J, Irlbeck M, Gerbes AL. Severe liver failure during SARS-CoV-2 infection. </w:t>
      </w:r>
      <w:r>
        <w:rPr>
          <w:rFonts w:ascii="Book Antiqua" w:hAnsi="Book Antiqua" w:cs="Book Antiqua"/>
          <w:i/>
          <w:iCs/>
        </w:rPr>
        <w:t>Gut</w:t>
      </w:r>
      <w:r>
        <w:rPr>
          <w:rFonts w:ascii="Book Antiqua" w:hAnsi="Book Antiqua" w:cs="Book Antiqua"/>
        </w:rPr>
        <w:t xml:space="preserve"> 2020; </w:t>
      </w:r>
      <w:r>
        <w:rPr>
          <w:rFonts w:ascii="Book Antiqua" w:hAnsi="Book Antiqua" w:cs="Book Antiqua"/>
          <w:b/>
          <w:bCs/>
        </w:rPr>
        <w:t>69</w:t>
      </w:r>
      <w:r>
        <w:rPr>
          <w:rFonts w:ascii="Book Antiqua" w:hAnsi="Book Antiqua" w:cs="Book Antiqua"/>
        </w:rPr>
        <w:t>: 1365-1367 [PMID: 32327526 DOI: 10.1136/gutjnl-2020-321350]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Chen T</w:t>
      </w:r>
      <w:r>
        <w:rPr>
          <w:rFonts w:ascii="Book Antiqua" w:hAnsi="Book Antiqua" w:cs="Book Antiqua"/>
        </w:rPr>
        <w:t>, Wu D, Chen H, Yan W, Yang D, Chen G, Ma K,</w:t>
      </w:r>
      <w:r>
        <w:rPr>
          <w:rFonts w:ascii="Book Antiqua" w:hAnsi="Book Antiqua" w:cs="Book Antiqua"/>
        </w:rPr>
        <w:t xml:space="preserve"> Xu D, Yu H, Wang H, Wang T, Guo W, Chen J, Ding C, Zhang X, Huang J, Han M, Li S, Luo X, Zhao J, Ning Q. Clinical characteristics of 113 deceased patients with coronavirus disease 2019: retrospective study. </w:t>
      </w:r>
      <w:r>
        <w:rPr>
          <w:rFonts w:ascii="Book Antiqua" w:hAnsi="Book Antiqua" w:cs="Book Antiqua"/>
          <w:i/>
          <w:iCs/>
        </w:rPr>
        <w:t>BMJ</w:t>
      </w:r>
      <w:r>
        <w:rPr>
          <w:rFonts w:ascii="Book Antiqua" w:hAnsi="Book Antiqua" w:cs="Book Antiqua"/>
        </w:rPr>
        <w:t xml:space="preserve"> 2020; </w:t>
      </w:r>
      <w:r>
        <w:rPr>
          <w:rFonts w:ascii="Book Antiqua" w:hAnsi="Book Antiqua" w:cs="Book Antiqua"/>
          <w:b/>
          <w:bCs/>
        </w:rPr>
        <w:t>368</w:t>
      </w:r>
      <w:r>
        <w:rPr>
          <w:rFonts w:ascii="Book Antiqua" w:hAnsi="Book Antiqua" w:cs="Book Antiqua"/>
        </w:rPr>
        <w:t>: m1091 [PMID: 32217556 DOI: 10.113</w:t>
      </w:r>
      <w:r>
        <w:rPr>
          <w:rFonts w:ascii="Book Antiqua" w:hAnsi="Book Antiqua" w:cs="Book Antiqua"/>
        </w:rPr>
        <w:t>6/bmj.m1091]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Zhang C</w:t>
      </w:r>
      <w:r>
        <w:rPr>
          <w:rFonts w:ascii="Book Antiqua" w:hAnsi="Book Antiqua" w:cs="Book Antiqua"/>
        </w:rPr>
        <w:t xml:space="preserve">, Shi L, Wang FS. Liver injury in COVID-19: management and challenges. </w:t>
      </w:r>
      <w:r>
        <w:rPr>
          <w:rFonts w:ascii="Book Antiqua" w:hAnsi="Book Antiqua" w:cs="Book Antiqua"/>
          <w:i/>
          <w:iCs/>
        </w:rPr>
        <w:t>Lancet Gastroenterol Hepatol</w:t>
      </w:r>
      <w:r>
        <w:rPr>
          <w:rFonts w:ascii="Book Antiqua" w:hAnsi="Book Antiqua" w:cs="Book Antiqua"/>
        </w:rPr>
        <w:t xml:space="preserve"> 2020; </w:t>
      </w:r>
      <w:r>
        <w:rPr>
          <w:rFonts w:ascii="Book Antiqua" w:hAnsi="Book Antiqua" w:cs="Book Antiqua"/>
          <w:b/>
          <w:bCs/>
        </w:rPr>
        <w:t>5</w:t>
      </w:r>
      <w:r>
        <w:rPr>
          <w:rFonts w:ascii="Book Antiqua" w:hAnsi="Book Antiqua" w:cs="Book Antiqua"/>
        </w:rPr>
        <w:t>: 428-430 [PMID: 32145190 DOI: 10.1016/S2468-1253(20)30057-1]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7 </w:t>
      </w:r>
      <w:r>
        <w:rPr>
          <w:rFonts w:ascii="Book Antiqua" w:hAnsi="Book Antiqua" w:cs="Book Antiqua"/>
          <w:b/>
          <w:bCs/>
        </w:rPr>
        <w:t>Yip TC</w:t>
      </w:r>
      <w:r>
        <w:rPr>
          <w:rFonts w:ascii="Book Antiqua" w:hAnsi="Book Antiqua" w:cs="Book Antiqua"/>
        </w:rPr>
        <w:t xml:space="preserve">, Lui GC, Wong VW, Chow VC, Ho TH, Li TC, Tse YK, Hui DS, Chan HL, Wong GL. Liver injury is independently associated with adverse clinical outcomes in patients with COVID-19. </w:t>
      </w:r>
      <w:r>
        <w:rPr>
          <w:rFonts w:ascii="Book Antiqua" w:hAnsi="Book Antiqua" w:cs="Book Antiqua"/>
          <w:i/>
          <w:iCs/>
        </w:rPr>
        <w:t>Gut</w:t>
      </w:r>
      <w:r>
        <w:rPr>
          <w:rFonts w:ascii="Book Antiqua" w:hAnsi="Book Antiqua" w:cs="Book Antiqua"/>
        </w:rPr>
        <w:t xml:space="preserve"> 2021; </w:t>
      </w:r>
      <w:r>
        <w:rPr>
          <w:rFonts w:ascii="Book Antiqua" w:hAnsi="Book Antiqua" w:cs="Book Antiqua"/>
          <w:b/>
          <w:bCs/>
        </w:rPr>
        <w:t>70</w:t>
      </w:r>
      <w:r>
        <w:rPr>
          <w:rFonts w:ascii="Book Antiqua" w:hAnsi="Book Antiqua" w:cs="Book Antiqua"/>
        </w:rPr>
        <w:t>: 733-742 [PMID: 32641471 DOI: 10.1136/gutjnl-2020-321726]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Jothiman</w:t>
      </w:r>
      <w:r>
        <w:rPr>
          <w:rFonts w:ascii="Book Antiqua" w:hAnsi="Book Antiqua" w:cs="Book Antiqua"/>
          <w:b/>
          <w:bCs/>
        </w:rPr>
        <w:t>i D</w:t>
      </w:r>
      <w:r>
        <w:rPr>
          <w:rFonts w:ascii="Book Antiqua" w:hAnsi="Book Antiqua" w:cs="Book Antiqua"/>
        </w:rPr>
        <w:t xml:space="preserve">, Venugopal R, Abedin MF, Kaliamoorthy I, Rela M. COVID-19 and the liver. </w:t>
      </w:r>
      <w:r>
        <w:rPr>
          <w:rFonts w:ascii="Book Antiqua" w:hAnsi="Book Antiqua" w:cs="Book Antiqua"/>
          <w:i/>
          <w:iCs/>
        </w:rPr>
        <w:t>J Hepatol</w:t>
      </w:r>
      <w:r>
        <w:rPr>
          <w:rFonts w:ascii="Book Antiqua" w:hAnsi="Book Antiqua" w:cs="Book Antiqua"/>
        </w:rPr>
        <w:t xml:space="preserve"> 2020; </w:t>
      </w:r>
      <w:r>
        <w:rPr>
          <w:rFonts w:ascii="Book Antiqua" w:hAnsi="Book Antiqua" w:cs="Book Antiqua"/>
          <w:b/>
          <w:bCs/>
        </w:rPr>
        <w:t>73</w:t>
      </w:r>
      <w:r>
        <w:rPr>
          <w:rFonts w:ascii="Book Antiqua" w:hAnsi="Book Antiqua" w:cs="Book Antiqua"/>
        </w:rPr>
        <w:t>: 1231-1240 [PMID: 32553666 DOI: 10.1016/j.jhep.2020.06.006]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Desai N</w:t>
      </w:r>
      <w:r>
        <w:rPr>
          <w:rFonts w:ascii="Book Antiqua" w:hAnsi="Book Antiqua" w:cs="Book Antiqua"/>
        </w:rPr>
        <w:t>, Neyaz A, Szabolcs A, Shih AR, Chen JH, Thapar V, Nieman LT, Solovyov A, Mehta A, Lieb DJ,</w:t>
      </w:r>
      <w:r>
        <w:rPr>
          <w:rFonts w:ascii="Book Antiqua" w:hAnsi="Book Antiqua" w:cs="Book Antiqua"/>
        </w:rPr>
        <w:t xml:space="preserve"> Kulkarni AS, Jaicks C, Xu KH, Raabe MJ, Pinto CJ, Juric D, Chebib I, Colvin RB, Kim AY, Monroe R, Warren SE, Danaher P, Reeves JW, Gong J, Rueckert EH, Greenbaum BD, Hacohen N, Lagana SM, Rivera MN, Sholl LM, Stone JR, Ting DT, Deshpande V. Temporal and s</w:t>
      </w:r>
      <w:r>
        <w:rPr>
          <w:rFonts w:ascii="Book Antiqua" w:hAnsi="Book Antiqua" w:cs="Book Antiqua"/>
        </w:rPr>
        <w:t xml:space="preserve">patial heterogeneity of host response to SARS-CoV-2 pulmonary infection. </w:t>
      </w:r>
      <w:r>
        <w:rPr>
          <w:rFonts w:ascii="Book Antiqua" w:hAnsi="Book Antiqua" w:cs="Book Antiqua"/>
          <w:i/>
          <w:iCs/>
        </w:rPr>
        <w:t>Nat Commun</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6319 [PMID: 33298930 DOI: 10.1038/s41467-020-20139-7]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Emig D</w:t>
      </w:r>
      <w:r>
        <w:rPr>
          <w:rFonts w:ascii="Book Antiqua" w:hAnsi="Book Antiqua" w:cs="Book Antiqua"/>
        </w:rPr>
        <w:t>, Salomonis N, Baumbach J, Lengauer T, Conklin BR, Albrecht M. AltAnalyze and DomainGraph: analyzin</w:t>
      </w:r>
      <w:r>
        <w:rPr>
          <w:rFonts w:ascii="Book Antiqua" w:hAnsi="Book Antiqua" w:cs="Book Antiqua"/>
        </w:rPr>
        <w:t xml:space="preserve">g and visualizing exon expression data. </w:t>
      </w:r>
      <w:r>
        <w:rPr>
          <w:rFonts w:ascii="Book Antiqua" w:hAnsi="Book Antiqua" w:cs="Book Antiqua"/>
          <w:i/>
          <w:iCs/>
        </w:rPr>
        <w:t>Nucleic Acids Res</w:t>
      </w:r>
      <w:r>
        <w:rPr>
          <w:rFonts w:ascii="Book Antiqua" w:hAnsi="Book Antiqua" w:cs="Book Antiqua"/>
        </w:rPr>
        <w:t xml:space="preserve"> 2010; </w:t>
      </w:r>
      <w:r>
        <w:rPr>
          <w:rFonts w:ascii="Book Antiqua" w:hAnsi="Book Antiqua" w:cs="Book Antiqua"/>
          <w:b/>
          <w:bCs/>
        </w:rPr>
        <w:t>38</w:t>
      </w:r>
      <w:r>
        <w:rPr>
          <w:rFonts w:ascii="Book Antiqua" w:hAnsi="Book Antiqua" w:cs="Book Antiqua"/>
        </w:rPr>
        <w:t>: W755-W762 [PMID: 20513647 DOI: 10.1093/nar/gkq405]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 J</w:t>
      </w:r>
      <w:r>
        <w:rPr>
          <w:rFonts w:ascii="Book Antiqua" w:hAnsi="Book Antiqua" w:cs="Book Antiqua"/>
        </w:rPr>
        <w:t xml:space="preserve">, Witten DM, Johnstone IM, Tibshirani R. Normalization, testing, and false discovery rate estimation for RNA-sequencing data. </w:t>
      </w:r>
      <w:r>
        <w:rPr>
          <w:rFonts w:ascii="Book Antiqua" w:hAnsi="Book Antiqua" w:cs="Book Antiqua"/>
          <w:i/>
          <w:iCs/>
        </w:rPr>
        <w:t>Bios</w:t>
      </w:r>
      <w:r>
        <w:rPr>
          <w:rFonts w:ascii="Book Antiqua" w:hAnsi="Book Antiqua" w:cs="Book Antiqua"/>
          <w:i/>
          <w:iCs/>
        </w:rPr>
        <w:t>tatistics</w:t>
      </w:r>
      <w:r>
        <w:rPr>
          <w:rFonts w:ascii="Book Antiqua" w:hAnsi="Book Antiqua" w:cs="Book Antiqua"/>
        </w:rPr>
        <w:t xml:space="preserve"> 2012; </w:t>
      </w:r>
      <w:r>
        <w:rPr>
          <w:rFonts w:ascii="Book Antiqua" w:hAnsi="Book Antiqua" w:cs="Book Antiqua"/>
          <w:b/>
          <w:bCs/>
        </w:rPr>
        <w:t>13</w:t>
      </w:r>
      <w:r>
        <w:rPr>
          <w:rFonts w:ascii="Book Antiqua" w:hAnsi="Book Antiqua" w:cs="Book Antiqua"/>
        </w:rPr>
        <w:t>: 523-538 [PMID: 22003245 DOI: 10.1093/biostatistics/kxr031]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Subramanian A</w:t>
      </w:r>
      <w:r>
        <w:rPr>
          <w:rFonts w:ascii="Book Antiqua" w:hAnsi="Book Antiqua" w:cs="Book Antiqua"/>
        </w:rPr>
        <w:t xml:space="preserve">, Tamayo P, Mootha VK, Mukherjee S, Ebert BL, Gillette MA, Paulovich A, Pomeroy SL, Golub TR, Lander ES, Mesirov JP. Gene set enrichment analysis: a knowledge-based approach for interpreting genome-wide expression profiles. </w:t>
      </w:r>
      <w:r>
        <w:rPr>
          <w:rFonts w:ascii="Book Antiqua" w:hAnsi="Book Antiqua" w:cs="Book Antiqua"/>
          <w:i/>
          <w:iCs/>
        </w:rPr>
        <w:t>Proc Natl Acad Sci U S A</w:t>
      </w:r>
      <w:r>
        <w:rPr>
          <w:rFonts w:ascii="Book Antiqua" w:hAnsi="Book Antiqua" w:cs="Book Antiqua"/>
        </w:rPr>
        <w:t xml:space="preserve"> 2005; </w:t>
      </w:r>
      <w:r>
        <w:rPr>
          <w:rFonts w:ascii="Book Antiqua" w:hAnsi="Book Antiqua" w:cs="Book Antiqua"/>
          <w:b/>
          <w:bCs/>
        </w:rPr>
        <w:t>1</w:t>
      </w:r>
      <w:r>
        <w:rPr>
          <w:rFonts w:ascii="Book Antiqua" w:hAnsi="Book Antiqua" w:cs="Book Antiqua"/>
          <w:b/>
          <w:bCs/>
        </w:rPr>
        <w:t>02</w:t>
      </w:r>
      <w:r>
        <w:rPr>
          <w:rFonts w:ascii="Book Antiqua" w:hAnsi="Book Antiqua" w:cs="Book Antiqua"/>
        </w:rPr>
        <w:t>: 15545-15550 [PMID: 16199517 DOI: 10.1073/pnas.0506580102]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Heberle H</w:t>
      </w:r>
      <w:r>
        <w:rPr>
          <w:rFonts w:ascii="Book Antiqua" w:hAnsi="Book Antiqua" w:cs="Book Antiqua"/>
        </w:rPr>
        <w:t xml:space="preserve">, Meirelles GV, da Silva FR, Telles GP, Minghim R. InteractiVenn: a web-based tool for the analysis of sets through Venn diagrams. </w:t>
      </w:r>
      <w:r>
        <w:rPr>
          <w:rFonts w:ascii="Book Antiqua" w:hAnsi="Book Antiqua" w:cs="Book Antiqua"/>
          <w:i/>
          <w:iCs/>
        </w:rPr>
        <w:t>BMC Bioinformatics</w:t>
      </w:r>
      <w:r>
        <w:rPr>
          <w:rFonts w:ascii="Book Antiqua" w:hAnsi="Book Antiqua" w:cs="Book Antiqua"/>
        </w:rPr>
        <w:t xml:space="preserve"> 2015; </w:t>
      </w:r>
      <w:r>
        <w:rPr>
          <w:rFonts w:ascii="Book Antiqua" w:hAnsi="Book Antiqua" w:cs="Book Antiqua"/>
          <w:b/>
          <w:bCs/>
        </w:rPr>
        <w:t>16</w:t>
      </w:r>
      <w:r>
        <w:rPr>
          <w:rFonts w:ascii="Book Antiqua" w:hAnsi="Book Antiqua" w:cs="Book Antiqua"/>
        </w:rPr>
        <w:t>: 169 [PMID: 25994840 DO</w:t>
      </w:r>
      <w:r>
        <w:rPr>
          <w:rFonts w:ascii="Book Antiqua" w:hAnsi="Book Antiqua" w:cs="Book Antiqua"/>
        </w:rPr>
        <w:t>I: 10.1186/s12859-015-0611-3]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Zhou Y</w:t>
      </w:r>
      <w:r>
        <w:rPr>
          <w:rFonts w:ascii="Book Antiqua" w:hAnsi="Book Antiqua" w:cs="Book Antiqua"/>
        </w:rPr>
        <w:t>, Zhou B, Pache L, Chang M, Khodabakhshi AH, Tanaseichuk O, Benner C, Chanda SK. Metascape provides a biologist-oriented resource for the analysis of systems-</w:t>
      </w:r>
      <w:r>
        <w:rPr>
          <w:rFonts w:ascii="Book Antiqua" w:hAnsi="Book Antiqua" w:cs="Book Antiqua"/>
        </w:rPr>
        <w:lastRenderedPageBreak/>
        <w:t xml:space="preserve">level datasets. </w:t>
      </w:r>
      <w:r>
        <w:rPr>
          <w:rFonts w:ascii="Book Antiqua" w:hAnsi="Book Antiqua" w:cs="Book Antiqua"/>
          <w:i/>
          <w:iCs/>
        </w:rPr>
        <w:t>Nat Commun</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1523 [PMID: 30944313 D</w:t>
      </w:r>
      <w:r>
        <w:rPr>
          <w:rFonts w:ascii="Book Antiqua" w:hAnsi="Book Antiqua" w:cs="Book Antiqua"/>
        </w:rPr>
        <w:t>OI: 10.1038/s41467-019-09234-6]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Piñero J</w:t>
      </w:r>
      <w:r>
        <w:rPr>
          <w:rFonts w:ascii="Book Antiqua" w:hAnsi="Book Antiqua" w:cs="Book Antiqua"/>
        </w:rPr>
        <w:t xml:space="preserve">, Ramírez-Anguita JM, Saüch-Pitarch J, Ronzano F, Centeno E, Sanz F, Furlong LI. The DisGeNET knowledge platform for disease genomics: 2019 update. </w:t>
      </w:r>
      <w:r>
        <w:rPr>
          <w:rFonts w:ascii="Book Antiqua" w:hAnsi="Book Antiqua" w:cs="Book Antiqua"/>
          <w:i/>
          <w:iCs/>
        </w:rPr>
        <w:t>Nucleic Acids Res</w:t>
      </w:r>
      <w:r>
        <w:rPr>
          <w:rFonts w:ascii="Book Antiqua" w:hAnsi="Book Antiqua" w:cs="Book Antiqua"/>
        </w:rPr>
        <w:t xml:space="preserve"> 2020; </w:t>
      </w:r>
      <w:r>
        <w:rPr>
          <w:rFonts w:ascii="Book Antiqua" w:hAnsi="Book Antiqua" w:cs="Book Antiqua"/>
          <w:b/>
          <w:bCs/>
        </w:rPr>
        <w:t>48</w:t>
      </w:r>
      <w:r>
        <w:rPr>
          <w:rFonts w:ascii="Book Antiqua" w:hAnsi="Book Antiqua" w:cs="Book Antiqua"/>
        </w:rPr>
        <w:t>: D845-D855 [PMID: 31680165 DOI: 10.109</w:t>
      </w:r>
      <w:r>
        <w:rPr>
          <w:rFonts w:ascii="Book Antiqua" w:hAnsi="Book Antiqua" w:cs="Book Antiqua"/>
        </w:rPr>
        <w:t>3/nar/gkz1021]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Sodhi A</w:t>
      </w:r>
      <w:r>
        <w:rPr>
          <w:rFonts w:ascii="Book Antiqua" w:hAnsi="Book Antiqua" w:cs="Book Antiqua"/>
        </w:rPr>
        <w:t xml:space="preserve">, Montaner S, Gutkind JS. Viral hijacking of G-protein-coupled-receptor signalling networks. </w:t>
      </w:r>
      <w:r>
        <w:rPr>
          <w:rFonts w:ascii="Book Antiqua" w:hAnsi="Book Antiqua" w:cs="Book Antiqua"/>
          <w:i/>
          <w:iCs/>
        </w:rPr>
        <w:t>Nat Rev Mol Cell Biol</w:t>
      </w:r>
      <w:r>
        <w:rPr>
          <w:rFonts w:ascii="Book Antiqua" w:hAnsi="Book Antiqua" w:cs="Book Antiqua"/>
        </w:rPr>
        <w:t xml:space="preserve"> 2004; </w:t>
      </w:r>
      <w:r>
        <w:rPr>
          <w:rFonts w:ascii="Book Antiqua" w:hAnsi="Book Antiqua" w:cs="Book Antiqua"/>
          <w:b/>
          <w:bCs/>
        </w:rPr>
        <w:t>5</w:t>
      </w:r>
      <w:r>
        <w:rPr>
          <w:rFonts w:ascii="Book Antiqua" w:hAnsi="Book Antiqua" w:cs="Book Antiqua"/>
        </w:rPr>
        <w:t>: 998-1012 [PMID: 15573137 DOI: 10.1038/nrm1529]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Wang Z</w:t>
      </w:r>
      <w:r>
        <w:rPr>
          <w:rFonts w:ascii="Book Antiqua" w:hAnsi="Book Antiqua" w:cs="Book Antiqua"/>
        </w:rPr>
        <w:t>, Lu W, Zhang Y, Zou F, Jin Z, Zhao T. The Hippo Pa</w:t>
      </w:r>
      <w:r>
        <w:rPr>
          <w:rFonts w:ascii="Book Antiqua" w:hAnsi="Book Antiqua" w:cs="Book Antiqua"/>
        </w:rPr>
        <w:t xml:space="preserve">thway and Viral Infections. </w:t>
      </w:r>
      <w:r>
        <w:rPr>
          <w:rFonts w:ascii="Book Antiqua" w:hAnsi="Book Antiqua" w:cs="Book Antiqua"/>
          <w:i/>
          <w:iCs/>
        </w:rPr>
        <w:t>Front Microbiol</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3033 [PMID: 32038526 DOI: 10.3389/fmicb.2019.03033]</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Ljungberg JK</w:t>
      </w:r>
      <w:r>
        <w:rPr>
          <w:rFonts w:ascii="Book Antiqua" w:hAnsi="Book Antiqua" w:cs="Book Antiqua"/>
        </w:rPr>
        <w:t xml:space="preserve">, Kling JC, Tran TT, Blumenthal A. Functions of the WNT Signaling Network in Shaping Host Responses to Infection. </w:t>
      </w:r>
      <w:r>
        <w:rPr>
          <w:rFonts w:ascii="Book Antiqua" w:hAnsi="Book Antiqua" w:cs="Book Antiqua"/>
          <w:i/>
          <w:iCs/>
        </w:rPr>
        <w:t>Front Immunol</w:t>
      </w:r>
      <w:r>
        <w:rPr>
          <w:rFonts w:ascii="Book Antiqua" w:hAnsi="Book Antiqua" w:cs="Book Antiqua"/>
        </w:rPr>
        <w:t xml:space="preserve"> 2019; </w:t>
      </w:r>
      <w:r>
        <w:rPr>
          <w:rFonts w:ascii="Book Antiqua" w:hAnsi="Book Antiqua" w:cs="Book Antiqua"/>
          <w:b/>
          <w:bCs/>
        </w:rPr>
        <w:t>1</w:t>
      </w:r>
      <w:r>
        <w:rPr>
          <w:rFonts w:ascii="Book Antiqua" w:hAnsi="Book Antiqua" w:cs="Book Antiqua"/>
          <w:b/>
          <w:bCs/>
        </w:rPr>
        <w:t>0</w:t>
      </w:r>
      <w:r>
        <w:rPr>
          <w:rFonts w:ascii="Book Antiqua" w:hAnsi="Book Antiqua" w:cs="Book Antiqua"/>
        </w:rPr>
        <w:t>: 2521 [PMID: 31781093 DOI: 10.3389/fimmu.2019.02521]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Smelkinson MG</w:t>
      </w:r>
      <w:r>
        <w:rPr>
          <w:rFonts w:ascii="Book Antiqua" w:hAnsi="Book Antiqua" w:cs="Book Antiqua"/>
        </w:rPr>
        <w:t xml:space="preserve">. The Hedgehog Signaling Pathway Emerges as a Pathogenic Target. </w:t>
      </w:r>
      <w:r>
        <w:rPr>
          <w:rFonts w:ascii="Book Antiqua" w:hAnsi="Book Antiqua" w:cs="Book Antiqua"/>
          <w:i/>
          <w:iCs/>
        </w:rPr>
        <w:t>J Dev Biol</w:t>
      </w:r>
      <w:r>
        <w:rPr>
          <w:rFonts w:ascii="Book Antiqua" w:hAnsi="Book Antiqua" w:cs="Book Antiqua"/>
        </w:rPr>
        <w:t xml:space="preserve"> 2017; </w:t>
      </w:r>
      <w:r>
        <w:rPr>
          <w:rFonts w:ascii="Book Antiqua" w:hAnsi="Book Antiqua" w:cs="Book Antiqua"/>
          <w:b/>
          <w:bCs/>
        </w:rPr>
        <w:t>5</w:t>
      </w:r>
      <w:r>
        <w:rPr>
          <w:rFonts w:ascii="Book Antiqua" w:hAnsi="Book Antiqua" w:cs="Book Antiqua"/>
          <w:lang w:eastAsia="zh-CN"/>
        </w:rPr>
        <w:t>: 14</w:t>
      </w:r>
      <w:r>
        <w:rPr>
          <w:rFonts w:ascii="Book Antiqua" w:hAnsi="Book Antiqua" w:cs="Book Antiqua"/>
        </w:rPr>
        <w:t xml:space="preserve"> [PMID: 29214147 DOI: 10.3390/jdb5040014]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More S</w:t>
      </w:r>
      <w:r>
        <w:rPr>
          <w:rFonts w:ascii="Book Antiqua" w:hAnsi="Book Antiqua" w:cs="Book Antiqua"/>
        </w:rPr>
        <w:t>, Yang X, Zhu Z, Bamunuarachchi G, Guo Y, Huang</w:t>
      </w:r>
      <w:r>
        <w:rPr>
          <w:rFonts w:ascii="Book Antiqua" w:hAnsi="Book Antiqua" w:cs="Book Antiqua"/>
        </w:rPr>
        <w:t xml:space="preserve"> C, Bailey K, Metcalf JP, Liu L. Regulation of influenza virus replication by Wnt/β-catenin signaling. </w:t>
      </w:r>
      <w:r>
        <w:rPr>
          <w:rFonts w:ascii="Book Antiqua" w:hAnsi="Book Antiqua" w:cs="Book Antiqua"/>
          <w:i/>
          <w:iCs/>
        </w:rPr>
        <w:t>PLoS One</w:t>
      </w:r>
      <w:r>
        <w:rPr>
          <w:rFonts w:ascii="Book Antiqua" w:hAnsi="Book Antiqua" w:cs="Book Antiqua"/>
        </w:rPr>
        <w:t xml:space="preserve"> 2018; </w:t>
      </w:r>
      <w:r>
        <w:rPr>
          <w:rFonts w:ascii="Book Antiqua" w:hAnsi="Book Antiqua" w:cs="Book Antiqua"/>
          <w:b/>
          <w:bCs/>
        </w:rPr>
        <w:t>13</w:t>
      </w:r>
      <w:r>
        <w:rPr>
          <w:rFonts w:ascii="Book Antiqua" w:hAnsi="Book Antiqua" w:cs="Book Antiqua"/>
        </w:rPr>
        <w:t>: e0191010 [PMID: 29324866 DOI: 10.1371/journal.pone.0191010]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Cheng H</w:t>
      </w:r>
      <w:r>
        <w:rPr>
          <w:rFonts w:ascii="Book Antiqua" w:hAnsi="Book Antiqua" w:cs="Book Antiqua"/>
        </w:rPr>
        <w:t>, Lear-Rooney CM, Johansen L, Varhegyi E, Chen ZW, Olinger GG, R</w:t>
      </w:r>
      <w:r>
        <w:rPr>
          <w:rFonts w:ascii="Book Antiqua" w:hAnsi="Book Antiqua" w:cs="Book Antiqua"/>
        </w:rPr>
        <w:t xml:space="preserve">ong L. Inhibition of Ebola and Marburg Virus Entry by G Protein-Coupled Receptor Antagonists. </w:t>
      </w:r>
      <w:r>
        <w:rPr>
          <w:rFonts w:ascii="Book Antiqua" w:hAnsi="Book Antiqua" w:cs="Book Antiqua"/>
          <w:i/>
          <w:iCs/>
        </w:rPr>
        <w:t>J Virol</w:t>
      </w:r>
      <w:r>
        <w:rPr>
          <w:rFonts w:ascii="Book Antiqua" w:hAnsi="Book Antiqua" w:cs="Book Antiqua"/>
        </w:rPr>
        <w:t xml:space="preserve"> 2015; </w:t>
      </w:r>
      <w:r>
        <w:rPr>
          <w:rFonts w:ascii="Book Antiqua" w:hAnsi="Book Antiqua" w:cs="Book Antiqua"/>
          <w:b/>
          <w:bCs/>
        </w:rPr>
        <w:t>89</w:t>
      </w:r>
      <w:r>
        <w:rPr>
          <w:rFonts w:ascii="Book Antiqua" w:hAnsi="Book Antiqua" w:cs="Book Antiqua"/>
        </w:rPr>
        <w:t>: 9932-9938 [PMID: 26202243 DOI: 10.1128/JVI.01337-15]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Graham RP</w:t>
      </w:r>
      <w:r>
        <w:rPr>
          <w:rFonts w:ascii="Book Antiqua" w:hAnsi="Book Antiqua" w:cs="Book Antiqua"/>
        </w:rPr>
        <w:t xml:space="preserve">, Jin L, Knutson DL, Kloft-Nelson SM, Greipp PT, Waldburger N, Roessler S, Longerich T, Roberts LR, Oliveira AM, Halling KC, Schirmacher P, Torbenson MS. DNAJB1-PRKACA is specific for fibrolamellar carcinoma. </w:t>
      </w:r>
      <w:r>
        <w:rPr>
          <w:rFonts w:ascii="Book Antiqua" w:hAnsi="Book Antiqua" w:cs="Book Antiqua"/>
          <w:i/>
          <w:iCs/>
        </w:rPr>
        <w:t>Mod Pathol</w:t>
      </w:r>
      <w:r>
        <w:rPr>
          <w:rFonts w:ascii="Book Antiqua" w:hAnsi="Book Antiqua" w:cs="Book Antiqua"/>
        </w:rPr>
        <w:t xml:space="preserve"> 2015; </w:t>
      </w:r>
      <w:r>
        <w:rPr>
          <w:rFonts w:ascii="Book Antiqua" w:hAnsi="Book Antiqua" w:cs="Book Antiqua"/>
          <w:b/>
          <w:bCs/>
        </w:rPr>
        <w:t>28</w:t>
      </w:r>
      <w:r>
        <w:rPr>
          <w:rFonts w:ascii="Book Antiqua" w:hAnsi="Book Antiqua" w:cs="Book Antiqua"/>
        </w:rPr>
        <w:t>: 822-829 [PMID: 25698061 DO</w:t>
      </w:r>
      <w:r>
        <w:rPr>
          <w:rFonts w:ascii="Book Antiqua" w:hAnsi="Book Antiqua" w:cs="Book Antiqua"/>
        </w:rPr>
        <w:t>I: 10.1038/modpathol.2015.4]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Kessler SM</w:t>
      </w:r>
      <w:r>
        <w:rPr>
          <w:rFonts w:ascii="Book Antiqua" w:hAnsi="Book Antiqua" w:cs="Book Antiqua"/>
        </w:rPr>
        <w:t>, Laggai S, Van Wonterg E, Gemperlein K, Müller R, Haybaeck J, Vandenbroucke RE, Ogris M, Libert C, Kiemer AK. Transient Hepatic Overexpression of Insulin-Like Growth Factor 2 Induces Free Cholesterol and Lipid Dro</w:t>
      </w:r>
      <w:r>
        <w:rPr>
          <w:rFonts w:ascii="Book Antiqua" w:hAnsi="Book Antiqua" w:cs="Book Antiqua"/>
        </w:rPr>
        <w:t xml:space="preserve">plet Formation. </w:t>
      </w:r>
      <w:r>
        <w:rPr>
          <w:rFonts w:ascii="Book Antiqua" w:hAnsi="Book Antiqua" w:cs="Book Antiqua"/>
          <w:i/>
          <w:iCs/>
        </w:rPr>
        <w:t>Front Physiol</w:t>
      </w:r>
      <w:r>
        <w:rPr>
          <w:rFonts w:ascii="Book Antiqua" w:hAnsi="Book Antiqua" w:cs="Book Antiqua"/>
        </w:rPr>
        <w:t xml:space="preserve"> 2016; </w:t>
      </w:r>
      <w:r>
        <w:rPr>
          <w:rFonts w:ascii="Book Antiqua" w:hAnsi="Book Antiqua" w:cs="Book Antiqua"/>
          <w:b/>
          <w:bCs/>
        </w:rPr>
        <w:t>7</w:t>
      </w:r>
      <w:r>
        <w:rPr>
          <w:rFonts w:ascii="Book Antiqua" w:hAnsi="Book Antiqua" w:cs="Book Antiqua"/>
        </w:rPr>
        <w:t>: 147 [PMID: 27199763 DOI: 10.3389/fphys.2016.00147]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24 </w:t>
      </w:r>
      <w:r>
        <w:rPr>
          <w:rFonts w:ascii="Book Antiqua" w:hAnsi="Book Antiqua" w:cs="Book Antiqua"/>
          <w:b/>
          <w:bCs/>
        </w:rPr>
        <w:t>Kao YH</w:t>
      </w:r>
      <w:r>
        <w:rPr>
          <w:rFonts w:ascii="Book Antiqua" w:hAnsi="Book Antiqua" w:cs="Book Antiqua"/>
        </w:rPr>
        <w:t>, Chen CL, Jawan B, Chung YH, Sun CK, Kuo SM, Hu TH, Lin YC, Chan HH, Cheng KH, Wu DC, Goto S, Cheng YF, Chao D, Tai MH. Upregulation of hepatoma-derived gro</w:t>
      </w:r>
      <w:r>
        <w:rPr>
          <w:rFonts w:ascii="Book Antiqua" w:hAnsi="Book Antiqua" w:cs="Book Antiqua"/>
        </w:rPr>
        <w:t xml:space="preserve">wth factor is involved in murine hepatic fibrogenesis. </w:t>
      </w:r>
      <w:r>
        <w:rPr>
          <w:rFonts w:ascii="Book Antiqua" w:hAnsi="Book Antiqua" w:cs="Book Antiqua"/>
          <w:i/>
          <w:iCs/>
        </w:rPr>
        <w:t>J Hepatol</w:t>
      </w:r>
      <w:r>
        <w:rPr>
          <w:rFonts w:ascii="Book Antiqua" w:hAnsi="Book Antiqua" w:cs="Book Antiqua"/>
        </w:rPr>
        <w:t xml:space="preserve"> 2010; </w:t>
      </w:r>
      <w:r>
        <w:rPr>
          <w:rFonts w:ascii="Book Antiqua" w:hAnsi="Book Antiqua" w:cs="Book Antiqua"/>
          <w:b/>
          <w:bCs/>
        </w:rPr>
        <w:t>52</w:t>
      </w:r>
      <w:r>
        <w:rPr>
          <w:rFonts w:ascii="Book Antiqua" w:hAnsi="Book Antiqua" w:cs="Book Antiqua"/>
        </w:rPr>
        <w:t>: 96-105 [PMID: 19913322 DOI: 10.1016/j.jhep.2009.10.002]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Venkataraman T</w:t>
      </w:r>
      <w:r>
        <w:rPr>
          <w:rFonts w:ascii="Book Antiqua" w:hAnsi="Book Antiqua" w:cs="Book Antiqua"/>
        </w:rPr>
        <w:t>, Frieman MB. The role of epidermal growth factor receptor (EGFR) signaling in SARS coronavirus-induced pulm</w:t>
      </w:r>
      <w:r>
        <w:rPr>
          <w:rFonts w:ascii="Book Antiqua" w:hAnsi="Book Antiqua" w:cs="Book Antiqua"/>
        </w:rPr>
        <w:t xml:space="preserve">onary fibrosis. </w:t>
      </w:r>
      <w:r>
        <w:rPr>
          <w:rFonts w:ascii="Book Antiqua" w:hAnsi="Book Antiqua" w:cs="Book Antiqua"/>
          <w:i/>
          <w:iCs/>
        </w:rPr>
        <w:t>Antiviral Res</w:t>
      </w:r>
      <w:r>
        <w:rPr>
          <w:rFonts w:ascii="Book Antiqua" w:hAnsi="Book Antiqua" w:cs="Book Antiqua"/>
        </w:rPr>
        <w:t xml:space="preserve"> 2017; </w:t>
      </w:r>
      <w:r>
        <w:rPr>
          <w:rFonts w:ascii="Book Antiqua" w:hAnsi="Book Antiqua" w:cs="Book Antiqua"/>
          <w:b/>
          <w:bCs/>
        </w:rPr>
        <w:t>143</w:t>
      </w:r>
      <w:r>
        <w:rPr>
          <w:rFonts w:ascii="Book Antiqua" w:hAnsi="Book Antiqua" w:cs="Book Antiqua"/>
        </w:rPr>
        <w:t>: 142-150 [PMID: 28390872 DOI: 10.1016/j.antiviral.2017.03.022]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Enomoto Y</w:t>
      </w:r>
      <w:r>
        <w:rPr>
          <w:rFonts w:ascii="Book Antiqua" w:hAnsi="Book Antiqua" w:cs="Book Antiqua"/>
        </w:rPr>
        <w:t>, Orihara K, Takamasu T, Matsuda A, Gon Y, Saito H, Ra C, Okayama Y. Tissue remodeling induced by hypersecreted epidermal growth factor and a</w:t>
      </w:r>
      <w:r>
        <w:rPr>
          <w:rFonts w:ascii="Book Antiqua" w:hAnsi="Book Antiqua" w:cs="Book Antiqua"/>
        </w:rPr>
        <w:t xml:space="preserve">mphiregulin in the airway after an acute asthma attack. </w:t>
      </w:r>
      <w:r>
        <w:rPr>
          <w:rFonts w:ascii="Book Antiqua" w:hAnsi="Book Antiqua" w:cs="Book Antiqua"/>
          <w:i/>
          <w:iCs/>
        </w:rPr>
        <w:t>J Allergy Clin Immunol</w:t>
      </w:r>
      <w:r>
        <w:rPr>
          <w:rFonts w:ascii="Book Antiqua" w:hAnsi="Book Antiqua" w:cs="Book Antiqua"/>
        </w:rPr>
        <w:t xml:space="preserve"> 2009; </w:t>
      </w:r>
      <w:r>
        <w:rPr>
          <w:rFonts w:ascii="Book Antiqua" w:hAnsi="Book Antiqua" w:cs="Book Antiqua"/>
          <w:b/>
          <w:bCs/>
        </w:rPr>
        <w:t>124</w:t>
      </w:r>
      <w:r>
        <w:rPr>
          <w:rFonts w:ascii="Book Antiqua" w:hAnsi="Book Antiqua" w:cs="Book Antiqua"/>
        </w:rPr>
        <w:t>: 913-20.e1-7 [PMID: 19895983 DOI: 10.1016/j.jaci.2009.08.044]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Corpechot C</w:t>
      </w:r>
      <w:r>
        <w:rPr>
          <w:rFonts w:ascii="Book Antiqua" w:hAnsi="Book Antiqua" w:cs="Book Antiqua"/>
        </w:rPr>
        <w:t>, Barbu V, Wendum D, Kinnman N, Rey C, Poupon R, Housset C, Rosmorduc O. Hypoxia-induced VE</w:t>
      </w:r>
      <w:r>
        <w:rPr>
          <w:rFonts w:ascii="Book Antiqua" w:hAnsi="Book Antiqua" w:cs="Book Antiqua"/>
        </w:rPr>
        <w:t xml:space="preserve">GF and collagen I expressions are associated with angiogenesis and fibrogenesis in experimental cirrhosis. </w:t>
      </w:r>
      <w:r>
        <w:rPr>
          <w:rFonts w:ascii="Book Antiqua" w:hAnsi="Book Antiqua" w:cs="Book Antiqua"/>
          <w:i/>
          <w:iCs/>
        </w:rPr>
        <w:t>Hepatology</w:t>
      </w:r>
      <w:r>
        <w:rPr>
          <w:rFonts w:ascii="Book Antiqua" w:hAnsi="Book Antiqua" w:cs="Book Antiqua"/>
        </w:rPr>
        <w:t xml:space="preserve"> 2002; </w:t>
      </w:r>
      <w:r>
        <w:rPr>
          <w:rFonts w:ascii="Book Antiqua" w:hAnsi="Book Antiqua" w:cs="Book Antiqua"/>
          <w:b/>
          <w:bCs/>
        </w:rPr>
        <w:t>35</w:t>
      </w:r>
      <w:r>
        <w:rPr>
          <w:rFonts w:ascii="Book Antiqua" w:hAnsi="Book Antiqua" w:cs="Book Antiqua"/>
        </w:rPr>
        <w:t>: 1010-1021 [PMID: 11981751 DOI: 10.1053/jhep.2002.32524]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Leclercq IA</w:t>
      </w:r>
      <w:r>
        <w:rPr>
          <w:rFonts w:ascii="Book Antiqua" w:hAnsi="Book Antiqua" w:cs="Book Antiqua"/>
        </w:rPr>
        <w:t>, Farrell GC, Schriemer R, Robertson GR. Leptin is essenti</w:t>
      </w:r>
      <w:r>
        <w:rPr>
          <w:rFonts w:ascii="Book Antiqua" w:hAnsi="Book Antiqua" w:cs="Book Antiqua"/>
        </w:rPr>
        <w:t xml:space="preserve">al for the hepatic fibrogenic response to chronic liver injury. </w:t>
      </w:r>
      <w:r>
        <w:rPr>
          <w:rFonts w:ascii="Book Antiqua" w:hAnsi="Book Antiqua" w:cs="Book Antiqua"/>
          <w:i/>
          <w:iCs/>
        </w:rPr>
        <w:t>J Hepatol</w:t>
      </w:r>
      <w:r>
        <w:rPr>
          <w:rFonts w:ascii="Book Antiqua" w:hAnsi="Book Antiqua" w:cs="Book Antiqua"/>
        </w:rPr>
        <w:t xml:space="preserve"> 2002; </w:t>
      </w:r>
      <w:r>
        <w:rPr>
          <w:rFonts w:ascii="Book Antiqua" w:hAnsi="Book Antiqua" w:cs="Book Antiqua"/>
          <w:b/>
          <w:bCs/>
        </w:rPr>
        <w:t>37</w:t>
      </w:r>
      <w:r>
        <w:rPr>
          <w:rFonts w:ascii="Book Antiqua" w:hAnsi="Book Antiqua" w:cs="Book Antiqua"/>
        </w:rPr>
        <w:t>: 206-213 [PMID: 12127425 DOI: 10.1016/s0168-8278(02)00102-2]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Dong XC</w:t>
      </w:r>
      <w:r>
        <w:rPr>
          <w:rFonts w:ascii="Book Antiqua" w:hAnsi="Book Antiqua" w:cs="Book Antiqua"/>
        </w:rPr>
        <w:t xml:space="preserve">. PNPLA3-A Potential Therapeutic Target for Personalized Treatment of Chronic Liver Disease. </w:t>
      </w:r>
      <w:r>
        <w:rPr>
          <w:rFonts w:ascii="Book Antiqua" w:hAnsi="Book Antiqua" w:cs="Book Antiqua"/>
          <w:i/>
          <w:iCs/>
        </w:rPr>
        <w:t>Front Med</w:t>
      </w:r>
      <w:r>
        <w:rPr>
          <w:rFonts w:ascii="Book Antiqua" w:hAnsi="Book Antiqua" w:cs="Book Antiqua"/>
          <w:i/>
          <w:iCs/>
        </w:rPr>
        <w:t xml:space="preserve"> (Lausanne)</w:t>
      </w:r>
      <w:r>
        <w:rPr>
          <w:rFonts w:ascii="Book Antiqua" w:hAnsi="Book Antiqua" w:cs="Book Antiqua"/>
        </w:rPr>
        <w:t xml:space="preserve"> 2019; </w:t>
      </w:r>
      <w:r>
        <w:rPr>
          <w:rFonts w:ascii="Book Antiqua" w:hAnsi="Book Antiqua" w:cs="Book Antiqua"/>
          <w:b/>
          <w:bCs/>
        </w:rPr>
        <w:t>6</w:t>
      </w:r>
      <w:r>
        <w:rPr>
          <w:rFonts w:ascii="Book Antiqua" w:hAnsi="Book Antiqua" w:cs="Book Antiqua"/>
        </w:rPr>
        <w:t>: 304 [PMID: 31921875 DOI: 10.3389/fmed.2019.00304]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Cazanave S</w:t>
      </w:r>
      <w:r>
        <w:rPr>
          <w:rFonts w:ascii="Book Antiqua" w:hAnsi="Book Antiqua" w:cs="Book Antiqua"/>
        </w:rPr>
        <w:t>, Podtelezhnikov A, Jensen K, Seneshaw M, Kumar DP, Min HK, Santhekadur PK, Banini B, Mauro AG, M Oseini A, Vincent R, Tanis KQ, Webber AL, Wang L, Bedossa P, Mirshahi F, S</w:t>
      </w:r>
      <w:r>
        <w:rPr>
          <w:rFonts w:ascii="Book Antiqua" w:hAnsi="Book Antiqua" w:cs="Book Antiqua"/>
        </w:rPr>
        <w:t xml:space="preserve">anyal AJ. The Transcriptomic Signature Of Disease Development And Progression Of Nonalcoholic Fatty Liver Disease. </w:t>
      </w:r>
      <w:r>
        <w:rPr>
          <w:rFonts w:ascii="Book Antiqua" w:hAnsi="Book Antiqua" w:cs="Book Antiqua"/>
          <w:i/>
          <w:iCs/>
        </w:rPr>
        <w:t>Sci Rep</w:t>
      </w:r>
      <w:r>
        <w:rPr>
          <w:rFonts w:ascii="Book Antiqua" w:hAnsi="Book Antiqua" w:cs="Book Antiqua"/>
        </w:rPr>
        <w:t xml:space="preserve"> 2017; </w:t>
      </w:r>
      <w:r>
        <w:rPr>
          <w:rFonts w:ascii="Book Antiqua" w:hAnsi="Book Antiqua" w:cs="Book Antiqua"/>
          <w:b/>
          <w:bCs/>
        </w:rPr>
        <w:t>7</w:t>
      </w:r>
      <w:r>
        <w:rPr>
          <w:rFonts w:ascii="Book Antiqua" w:hAnsi="Book Antiqua" w:cs="Book Antiqua"/>
        </w:rPr>
        <w:t>: 17193 [PMID: 29222421 DOI: 10.1038/s41598-017-17370-6]</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Perugorria MJ</w:t>
      </w:r>
      <w:r>
        <w:rPr>
          <w:rFonts w:ascii="Book Antiqua" w:hAnsi="Book Antiqua" w:cs="Book Antiqua"/>
        </w:rPr>
        <w:t>, Esparza-Baquer A, Oakley F, Labiano I, Korosec A, J</w:t>
      </w:r>
      <w:r>
        <w:rPr>
          <w:rFonts w:ascii="Book Antiqua" w:hAnsi="Book Antiqua" w:cs="Book Antiqua"/>
        </w:rPr>
        <w:t xml:space="preserve">ais A, Mann J, Tiniakos D, Santos-Laso A, Arbelaiz A, Gawish R, Sampedro A, Fontanellas A, Hijona E, Jimenez-Agüero R, Esterbauer H, Stoiber D, Bujanda L, Banales JM, Knapp S, Sharif O, </w:t>
      </w:r>
      <w:r>
        <w:rPr>
          <w:rFonts w:ascii="Book Antiqua" w:hAnsi="Book Antiqua" w:cs="Book Antiqua"/>
        </w:rPr>
        <w:lastRenderedPageBreak/>
        <w:t>Mann DA. Non-parenchymal TREM-2 protects the liver from immune-mediate</w:t>
      </w:r>
      <w:r>
        <w:rPr>
          <w:rFonts w:ascii="Book Antiqua" w:hAnsi="Book Antiqua" w:cs="Book Antiqua"/>
        </w:rPr>
        <w:t xml:space="preserve">d hepatocellular damage. </w:t>
      </w:r>
      <w:r>
        <w:rPr>
          <w:rFonts w:ascii="Book Antiqua" w:hAnsi="Book Antiqua" w:cs="Book Antiqua"/>
          <w:i/>
          <w:iCs/>
        </w:rPr>
        <w:t>Gut</w:t>
      </w:r>
      <w:r>
        <w:rPr>
          <w:rFonts w:ascii="Book Antiqua" w:hAnsi="Book Antiqua" w:cs="Book Antiqua"/>
        </w:rPr>
        <w:t xml:space="preserve"> 2019; </w:t>
      </w:r>
      <w:r>
        <w:rPr>
          <w:rFonts w:ascii="Book Antiqua" w:hAnsi="Book Antiqua" w:cs="Book Antiqua"/>
          <w:b/>
          <w:bCs/>
        </w:rPr>
        <w:t>68</w:t>
      </w:r>
      <w:r>
        <w:rPr>
          <w:rFonts w:ascii="Book Antiqua" w:hAnsi="Book Antiqua" w:cs="Book Antiqua"/>
        </w:rPr>
        <w:t>: 533-546 [PMID: 29374630 DOI: 10.1136/gutjnl-2017-314107]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32 </w:t>
      </w:r>
      <w:r>
        <w:rPr>
          <w:rFonts w:ascii="Book Antiqua" w:hAnsi="Book Antiqua" w:cs="Book Antiqua"/>
          <w:b/>
          <w:bCs/>
        </w:rPr>
        <w:t>Shen B</w:t>
      </w:r>
      <w:r>
        <w:rPr>
          <w:rFonts w:ascii="Book Antiqua" w:hAnsi="Book Antiqua" w:cs="Book Antiqua"/>
        </w:rPr>
        <w:t>, Yi X, Sun Y, Bi X, Du J, Zhang C, Quan S, Zhang F, Sun R, Qian L, Ge W, Liu W, Liang S, Chen H, Zhang Y, Li J, Xu J, He Z, Chen B, Wang J, Yan H, Zhe</w:t>
      </w:r>
      <w:r>
        <w:rPr>
          <w:rFonts w:ascii="Book Antiqua" w:hAnsi="Book Antiqua" w:cs="Book Antiqua"/>
        </w:rPr>
        <w:t xml:space="preserve">ng Y, Wang D, Zhu J, Kong Z, Kang Z, Liang X, Ding X, Ruan G, Xiang N, Cai X, Gao H, Li L, Li S, Xiao Q, Lu T, Zhu Y, Liu H, Chen H, Guo T. Proteomic and Metabolomic Characterization of COVID-19 Patient Sera. </w:t>
      </w:r>
      <w:r>
        <w:rPr>
          <w:rFonts w:ascii="Book Antiqua" w:hAnsi="Book Antiqua" w:cs="Book Antiqua"/>
          <w:i/>
          <w:iCs/>
        </w:rPr>
        <w:t>Cell</w:t>
      </w:r>
      <w:r>
        <w:rPr>
          <w:rFonts w:ascii="Book Antiqua" w:hAnsi="Book Antiqua" w:cs="Book Antiqua"/>
        </w:rPr>
        <w:t xml:space="preserve"> 2020; </w:t>
      </w:r>
      <w:r>
        <w:rPr>
          <w:rFonts w:ascii="Book Antiqua" w:hAnsi="Book Antiqua" w:cs="Book Antiqua"/>
          <w:b/>
          <w:bCs/>
        </w:rPr>
        <w:t>182</w:t>
      </w:r>
      <w:r>
        <w:rPr>
          <w:rFonts w:ascii="Book Antiqua" w:hAnsi="Book Antiqua" w:cs="Book Antiqua"/>
        </w:rPr>
        <w:t xml:space="preserve">: 59-72.e15 [PMID: 32492406 DOI: </w:t>
      </w:r>
      <w:r>
        <w:rPr>
          <w:rFonts w:ascii="Book Antiqua" w:hAnsi="Book Antiqua" w:cs="Book Antiqua"/>
        </w:rPr>
        <w:t>10.1016/j.cell.2020.05.032]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Ben-Shachar D</w:t>
      </w:r>
      <w:r>
        <w:rPr>
          <w:rFonts w:ascii="Book Antiqua" w:hAnsi="Book Antiqua" w:cs="Book Antiqua"/>
        </w:rPr>
        <w:t xml:space="preserve">, Karry R. Sp1 expression is disrupted in schizophrenia; a possible mechanism for the abnormal expression of mitochondrial complex I genes, NDUFV1 and NDUFV2. </w:t>
      </w:r>
      <w:r>
        <w:rPr>
          <w:rFonts w:ascii="Book Antiqua" w:hAnsi="Book Antiqua" w:cs="Book Antiqua"/>
          <w:i/>
          <w:iCs/>
        </w:rPr>
        <w:t>PLoS One</w:t>
      </w:r>
      <w:r>
        <w:rPr>
          <w:rFonts w:ascii="Book Antiqua" w:hAnsi="Book Antiqua" w:cs="Book Antiqua"/>
        </w:rPr>
        <w:t xml:space="preserve"> 2007; </w:t>
      </w:r>
      <w:r>
        <w:rPr>
          <w:rFonts w:ascii="Book Antiqua" w:hAnsi="Book Antiqua" w:cs="Book Antiqua"/>
          <w:b/>
          <w:bCs/>
        </w:rPr>
        <w:t>2</w:t>
      </w:r>
      <w:r>
        <w:rPr>
          <w:rFonts w:ascii="Book Antiqua" w:hAnsi="Book Antiqua" w:cs="Book Antiqua"/>
        </w:rPr>
        <w:t xml:space="preserve">: e817 [PMID: 17786189 DOI: </w:t>
      </w:r>
      <w:r>
        <w:rPr>
          <w:rFonts w:ascii="Book Antiqua" w:hAnsi="Book Antiqua" w:cs="Book Antiqua"/>
        </w:rPr>
        <w:t>10.1371/journal.pone.0000817]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34 </w:t>
      </w:r>
      <w:r>
        <w:rPr>
          <w:rFonts w:ascii="Book Antiqua" w:hAnsi="Book Antiqua" w:cs="Book Antiqua"/>
          <w:b/>
          <w:bCs/>
        </w:rPr>
        <w:t>He M</w:t>
      </w:r>
      <w:r>
        <w:rPr>
          <w:rFonts w:ascii="Book Antiqua" w:hAnsi="Book Antiqua" w:cs="Book Antiqua"/>
        </w:rPr>
        <w:t xml:space="preserve">, Pei Z, Mohsen AW, Watkins P, Murdoch G, Van Veldhoven PP, Ensenauer R, Vockley J. Identification and characterization of new long chain acyl-CoA dehydrogenases. </w:t>
      </w:r>
      <w:r>
        <w:rPr>
          <w:rFonts w:ascii="Book Antiqua" w:hAnsi="Book Antiqua" w:cs="Book Antiqua"/>
          <w:i/>
          <w:iCs/>
        </w:rPr>
        <w:t>Mol Genet Metab</w:t>
      </w:r>
      <w:r>
        <w:rPr>
          <w:rFonts w:ascii="Book Antiqua" w:hAnsi="Book Antiqua" w:cs="Book Antiqua"/>
        </w:rPr>
        <w:t xml:space="preserve"> 2011; </w:t>
      </w:r>
      <w:r>
        <w:rPr>
          <w:rFonts w:ascii="Book Antiqua" w:hAnsi="Book Antiqua" w:cs="Book Antiqua"/>
          <w:b/>
          <w:bCs/>
        </w:rPr>
        <w:t>102</w:t>
      </w:r>
      <w:r>
        <w:rPr>
          <w:rFonts w:ascii="Book Antiqua" w:hAnsi="Book Antiqua" w:cs="Book Antiqua"/>
        </w:rPr>
        <w:t xml:space="preserve">: 418-429 [PMID: 21237683 DOI: </w:t>
      </w:r>
      <w:r>
        <w:rPr>
          <w:rFonts w:ascii="Book Antiqua" w:hAnsi="Book Antiqua" w:cs="Book Antiqua"/>
        </w:rPr>
        <w:t>10.1016/j.ymgme.2010.12.005]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Slayton M</w:t>
      </w:r>
      <w:r>
        <w:rPr>
          <w:rFonts w:ascii="Book Antiqua" w:hAnsi="Book Antiqua" w:cs="Book Antiqua"/>
        </w:rPr>
        <w:t xml:space="preserve">, Gupta A, Balakrishnan B, Puri V. CIDE Proteins in Human Health and Disease. </w:t>
      </w:r>
      <w:r>
        <w:rPr>
          <w:rFonts w:ascii="Book Antiqua" w:hAnsi="Book Antiqua" w:cs="Book Antiqua"/>
          <w:i/>
          <w:iCs/>
        </w:rPr>
        <w:t>Cells</w:t>
      </w:r>
      <w:r>
        <w:rPr>
          <w:rFonts w:ascii="Book Antiqua" w:hAnsi="Book Antiqua" w:cs="Book Antiqua"/>
        </w:rPr>
        <w:t xml:space="preserve"> 2019; </w:t>
      </w:r>
      <w:r>
        <w:rPr>
          <w:rFonts w:ascii="Book Antiqua" w:hAnsi="Book Antiqua" w:cs="Book Antiqua"/>
          <w:b/>
          <w:bCs/>
        </w:rPr>
        <w:t>8</w:t>
      </w:r>
      <w:r>
        <w:rPr>
          <w:rFonts w:ascii="Book Antiqua" w:hAnsi="Book Antiqua" w:cs="Book Antiqua"/>
          <w:lang w:eastAsia="zh-CN"/>
        </w:rPr>
        <w:t>: 238</w:t>
      </w:r>
      <w:r>
        <w:rPr>
          <w:rFonts w:ascii="Book Antiqua" w:hAnsi="Book Antiqua" w:cs="Book Antiqua"/>
        </w:rPr>
        <w:t xml:space="preserve"> [PMID: 30871156 DOI: 10.3390/cells8030238]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Varela-Rey M</w:t>
      </w:r>
      <w:r>
        <w:rPr>
          <w:rFonts w:ascii="Book Antiqua" w:hAnsi="Book Antiqua" w:cs="Book Antiqua"/>
        </w:rPr>
        <w:t>, Martínez-López N, Fernández-Ramos D, Embade N, Calvisi DF, Woodhoo A, Rodríguez J, Fraga MF, Julve J, Rodríguez-Millán E, Frades I, Torres L, Luka Z, Wagner C, Esteller M, Lu SC, Martínez-Chantar ML, Mato JM. Fatty liver and fibrosis in glycine N-methylt</w:t>
      </w:r>
      <w:r>
        <w:rPr>
          <w:rFonts w:ascii="Book Antiqua" w:hAnsi="Book Antiqua" w:cs="Book Antiqua"/>
        </w:rPr>
        <w:t xml:space="preserve">ransferase knockout mice is prevented by nicotinamide. </w:t>
      </w:r>
      <w:r>
        <w:rPr>
          <w:rFonts w:ascii="Book Antiqua" w:hAnsi="Book Antiqua" w:cs="Book Antiqua"/>
          <w:i/>
          <w:iCs/>
        </w:rPr>
        <w:t>Hepatology</w:t>
      </w:r>
      <w:r>
        <w:rPr>
          <w:rFonts w:ascii="Book Antiqua" w:hAnsi="Book Antiqua" w:cs="Book Antiqua"/>
        </w:rPr>
        <w:t xml:space="preserve"> 2010; </w:t>
      </w:r>
      <w:r>
        <w:rPr>
          <w:rFonts w:ascii="Book Antiqua" w:hAnsi="Book Antiqua" w:cs="Book Antiqua"/>
          <w:b/>
          <w:bCs/>
        </w:rPr>
        <w:t>52</w:t>
      </w:r>
      <w:r>
        <w:rPr>
          <w:rFonts w:ascii="Book Antiqua" w:hAnsi="Book Antiqua" w:cs="Book Antiqua"/>
        </w:rPr>
        <w:t>: 105-114 [PMID: 20578266 DOI: 10.1002/hep.23639]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Chen YQ</w:t>
      </w:r>
      <w:r>
        <w:rPr>
          <w:rFonts w:ascii="Book Antiqua" w:hAnsi="Book Antiqua" w:cs="Book Antiqua"/>
        </w:rPr>
        <w:t>, Kuo MS, Li S, Bui HH, Peake DA, Sanders PE, Thibodeaux SJ, Chu S, Qian YW, Zhao Y, Bredt DS, Moller DE, Konrad RJ, Beign</w:t>
      </w:r>
      <w:r>
        <w:rPr>
          <w:rFonts w:ascii="Book Antiqua" w:hAnsi="Book Antiqua" w:cs="Book Antiqua"/>
        </w:rPr>
        <w:t xml:space="preserve">eux AP, Young SG, Cao G. AGPAT6 is a novel microsomal glycerol-3-phosphate acyltransferase. </w:t>
      </w:r>
      <w:r>
        <w:rPr>
          <w:rFonts w:ascii="Book Antiqua" w:hAnsi="Book Antiqua" w:cs="Book Antiqua"/>
          <w:i/>
          <w:iCs/>
        </w:rPr>
        <w:t>J Biol Chem</w:t>
      </w:r>
      <w:r>
        <w:rPr>
          <w:rFonts w:ascii="Book Antiqua" w:hAnsi="Book Antiqua" w:cs="Book Antiqua"/>
        </w:rPr>
        <w:t xml:space="preserve"> 2008; </w:t>
      </w:r>
      <w:r>
        <w:rPr>
          <w:rFonts w:ascii="Book Antiqua" w:hAnsi="Book Antiqua" w:cs="Book Antiqua"/>
          <w:b/>
          <w:bCs/>
        </w:rPr>
        <w:t>283</w:t>
      </w:r>
      <w:r>
        <w:rPr>
          <w:rFonts w:ascii="Book Antiqua" w:hAnsi="Book Antiqua" w:cs="Book Antiqua"/>
        </w:rPr>
        <w:t>: 10048-10057 [PMID: 18238778 DOI: 10.1074/jbc.M708151200]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38 </w:t>
      </w:r>
      <w:r>
        <w:rPr>
          <w:rFonts w:ascii="Book Antiqua" w:hAnsi="Book Antiqua" w:cs="Book Antiqua"/>
          <w:b/>
          <w:bCs/>
        </w:rPr>
        <w:t>Pierce SB</w:t>
      </w:r>
      <w:r>
        <w:rPr>
          <w:rFonts w:ascii="Book Antiqua" w:hAnsi="Book Antiqua" w:cs="Book Antiqua"/>
        </w:rPr>
        <w:t>, Walsh T, Chisholm KM, Lee MK, Thornton AM, Fiumara A, Opitz JM, Levy-L</w:t>
      </w:r>
      <w:r>
        <w:rPr>
          <w:rFonts w:ascii="Book Antiqua" w:hAnsi="Book Antiqua" w:cs="Book Antiqua"/>
        </w:rPr>
        <w:t xml:space="preserve">ahad E, Klevit RE, King MC. Mutations in the DBP-deficiency protein HSD17B4 cause </w:t>
      </w:r>
      <w:r>
        <w:rPr>
          <w:rFonts w:ascii="Book Antiqua" w:hAnsi="Book Antiqua" w:cs="Book Antiqua"/>
        </w:rPr>
        <w:lastRenderedPageBreak/>
        <w:t xml:space="preserve">ovarian dysgenesis, hearing loss, and ataxia of Perrault Syndrome. </w:t>
      </w:r>
      <w:r>
        <w:rPr>
          <w:rFonts w:ascii="Book Antiqua" w:hAnsi="Book Antiqua" w:cs="Book Antiqua"/>
          <w:i/>
          <w:iCs/>
        </w:rPr>
        <w:t>Am J Hum Genet</w:t>
      </w:r>
      <w:r>
        <w:rPr>
          <w:rFonts w:ascii="Book Antiqua" w:hAnsi="Book Antiqua" w:cs="Book Antiqua"/>
        </w:rPr>
        <w:t xml:space="preserve"> 2010; </w:t>
      </w:r>
      <w:r>
        <w:rPr>
          <w:rFonts w:ascii="Book Antiqua" w:hAnsi="Book Antiqua" w:cs="Book Antiqua"/>
          <w:b/>
          <w:bCs/>
        </w:rPr>
        <w:t>87</w:t>
      </w:r>
      <w:r>
        <w:rPr>
          <w:rFonts w:ascii="Book Antiqua" w:hAnsi="Book Antiqua" w:cs="Book Antiqua"/>
        </w:rPr>
        <w:t>: 282-288 [PMID: 20673864 DOI: 10.1016/j.ajhg.2010.07.007]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Javadov S</w:t>
      </w:r>
      <w:r>
        <w:rPr>
          <w:rFonts w:ascii="Book Antiqua" w:hAnsi="Book Antiqua" w:cs="Book Antiqua"/>
        </w:rPr>
        <w:t>, Chapa-Duboc</w:t>
      </w:r>
      <w:r>
        <w:rPr>
          <w:rFonts w:ascii="Book Antiqua" w:hAnsi="Book Antiqua" w:cs="Book Antiqua"/>
        </w:rPr>
        <w:t xml:space="preserve">q X, Makarov V. Different approaches to modeling analysis of mitochondrial swelling. </w:t>
      </w:r>
      <w:r>
        <w:rPr>
          <w:rFonts w:ascii="Book Antiqua" w:hAnsi="Book Antiqua" w:cs="Book Antiqua"/>
          <w:i/>
          <w:iCs/>
        </w:rPr>
        <w:t>Mitochondrion</w:t>
      </w:r>
      <w:r>
        <w:rPr>
          <w:rFonts w:ascii="Book Antiqua" w:hAnsi="Book Antiqua" w:cs="Book Antiqua"/>
        </w:rPr>
        <w:t xml:space="preserve"> 2018; </w:t>
      </w:r>
      <w:r>
        <w:rPr>
          <w:rFonts w:ascii="Book Antiqua" w:hAnsi="Book Antiqua" w:cs="Book Antiqua"/>
          <w:b/>
          <w:bCs/>
        </w:rPr>
        <w:t>38</w:t>
      </w:r>
      <w:r>
        <w:rPr>
          <w:rFonts w:ascii="Book Antiqua" w:hAnsi="Book Antiqua" w:cs="Book Antiqua"/>
        </w:rPr>
        <w:t>: 58-70 [PMID: 28802667 DOI: 10.1016/j.mito.2017.08.004]</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40 </w:t>
      </w:r>
      <w:r>
        <w:rPr>
          <w:rFonts w:ascii="Book Antiqua" w:hAnsi="Book Antiqua" w:cs="Book Antiqua"/>
          <w:b/>
          <w:bCs/>
        </w:rPr>
        <w:t>Kim KA</w:t>
      </w:r>
      <w:r>
        <w:rPr>
          <w:rFonts w:ascii="Book Antiqua" w:hAnsi="Book Antiqua" w:cs="Book Antiqua"/>
        </w:rPr>
        <w:t>, Park JY, Lee JS, Lim S. Cytochrome P450 2C8 and CYP3A4/5 are involved in chloroqu</w:t>
      </w:r>
      <w:r>
        <w:rPr>
          <w:rFonts w:ascii="Book Antiqua" w:hAnsi="Book Antiqua" w:cs="Book Antiqua"/>
        </w:rPr>
        <w:t xml:space="preserve">ine metabolism in human liver microsomes. </w:t>
      </w:r>
      <w:r>
        <w:rPr>
          <w:rFonts w:ascii="Book Antiqua" w:hAnsi="Book Antiqua" w:cs="Book Antiqua"/>
          <w:i/>
          <w:iCs/>
        </w:rPr>
        <w:t>Arch Pharm Res</w:t>
      </w:r>
      <w:r>
        <w:rPr>
          <w:rFonts w:ascii="Book Antiqua" w:hAnsi="Book Antiqua" w:cs="Book Antiqua"/>
        </w:rPr>
        <w:t xml:space="preserve"> 2003; </w:t>
      </w:r>
      <w:r>
        <w:rPr>
          <w:rFonts w:ascii="Book Antiqua" w:hAnsi="Book Antiqua" w:cs="Book Antiqua"/>
          <w:b/>
          <w:bCs/>
        </w:rPr>
        <w:t>26</w:t>
      </w:r>
      <w:r>
        <w:rPr>
          <w:rFonts w:ascii="Book Antiqua" w:hAnsi="Book Antiqua" w:cs="Book Antiqua"/>
        </w:rPr>
        <w:t>: 631-637 [PMID: 12967198 DOI: 10.1007/BF02976712]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Wahie S</w:t>
      </w:r>
      <w:r>
        <w:rPr>
          <w:rFonts w:ascii="Book Antiqua" w:hAnsi="Book Antiqua" w:cs="Book Antiqua"/>
        </w:rPr>
        <w:t xml:space="preserve">, Daly AK, Cordell HJ, Goodfield MJ, Jones SK, Lovell CR, Carmichael AJ, Carr MM, Drummond A, Natarajan S, Smith CH, Reynolds NJ, </w:t>
      </w:r>
      <w:r>
        <w:rPr>
          <w:rFonts w:ascii="Book Antiqua" w:hAnsi="Book Antiqua" w:cs="Book Antiqua"/>
        </w:rPr>
        <w:t xml:space="preserve">Meggitt SJ. Clinical and pharmacogenetic influences on response to hydroxychloroquine in discoid lupus erythematosus: a retrospective cohort study. </w:t>
      </w:r>
      <w:r>
        <w:rPr>
          <w:rFonts w:ascii="Book Antiqua" w:hAnsi="Book Antiqua" w:cs="Book Antiqua"/>
          <w:i/>
          <w:iCs/>
        </w:rPr>
        <w:t>J Invest Dermatol</w:t>
      </w:r>
      <w:r>
        <w:rPr>
          <w:rFonts w:ascii="Book Antiqua" w:hAnsi="Book Antiqua" w:cs="Book Antiqua"/>
        </w:rPr>
        <w:t xml:space="preserve"> 2011; </w:t>
      </w:r>
      <w:r>
        <w:rPr>
          <w:rFonts w:ascii="Book Antiqua" w:hAnsi="Book Antiqua" w:cs="Book Antiqua"/>
          <w:b/>
          <w:bCs/>
        </w:rPr>
        <w:t>131</w:t>
      </w:r>
      <w:r>
        <w:rPr>
          <w:rFonts w:ascii="Book Antiqua" w:hAnsi="Book Antiqua" w:cs="Book Antiqua"/>
        </w:rPr>
        <w:t>: 1981-1986 [PMID: 21734714 DOI: 10.1038/jid.2011.167]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42 </w:t>
      </w:r>
      <w:r>
        <w:rPr>
          <w:rFonts w:ascii="Book Antiqua" w:hAnsi="Book Antiqua" w:cs="Book Antiqua"/>
          <w:b/>
          <w:bCs/>
        </w:rPr>
        <w:t>Adamek A</w:t>
      </w:r>
      <w:r>
        <w:rPr>
          <w:rFonts w:ascii="Book Antiqua" w:hAnsi="Book Antiqua" w:cs="Book Antiqua"/>
        </w:rPr>
        <w:t>, Kasprzak A. I</w:t>
      </w:r>
      <w:r>
        <w:rPr>
          <w:rFonts w:ascii="Book Antiqua" w:hAnsi="Book Antiqua" w:cs="Book Antiqua"/>
        </w:rPr>
        <w:t xml:space="preserve">nsulin-Like Growth Factor (IGF) System in Liver Diseases. </w:t>
      </w:r>
      <w:r>
        <w:rPr>
          <w:rFonts w:ascii="Book Antiqua" w:hAnsi="Book Antiqua" w:cs="Book Antiqua"/>
          <w:i/>
          <w:iCs/>
        </w:rPr>
        <w:t>Int J Mol Sci</w:t>
      </w:r>
      <w:r>
        <w:rPr>
          <w:rFonts w:ascii="Book Antiqua" w:hAnsi="Book Antiqua" w:cs="Book Antiqua"/>
        </w:rPr>
        <w:t xml:space="preserve"> 2018; </w:t>
      </w:r>
      <w:r>
        <w:rPr>
          <w:rFonts w:ascii="Book Antiqua" w:hAnsi="Book Antiqua" w:cs="Book Antiqua"/>
          <w:b/>
          <w:bCs/>
        </w:rPr>
        <w:t>19</w:t>
      </w:r>
      <w:r>
        <w:rPr>
          <w:rFonts w:ascii="Book Antiqua" w:hAnsi="Book Antiqua" w:cs="Book Antiqua"/>
          <w:lang w:eastAsia="zh-CN"/>
        </w:rPr>
        <w:t>: 1308</w:t>
      </w:r>
      <w:r>
        <w:rPr>
          <w:rFonts w:ascii="Book Antiqua" w:hAnsi="Book Antiqua" w:cs="Book Antiqua"/>
        </w:rPr>
        <w:t xml:space="preserve"> [PMID: </w:t>
      </w:r>
      <w:bookmarkStart w:id="0" w:name="OLE_LINK8"/>
      <w:r>
        <w:rPr>
          <w:rFonts w:ascii="Book Antiqua" w:hAnsi="Book Antiqua" w:cs="Book Antiqua"/>
        </w:rPr>
        <w:t>29702590</w:t>
      </w:r>
      <w:bookmarkEnd w:id="0"/>
      <w:r>
        <w:rPr>
          <w:rFonts w:ascii="Book Antiqua" w:hAnsi="Book Antiqua" w:cs="Book Antiqua"/>
        </w:rPr>
        <w:t xml:space="preserve"> DOI: 10.3390/ijms19051308]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43 </w:t>
      </w:r>
      <w:r>
        <w:rPr>
          <w:rFonts w:ascii="Book Antiqua" w:hAnsi="Book Antiqua" w:cs="Book Antiqua"/>
          <w:b/>
          <w:bCs/>
        </w:rPr>
        <w:t>Deinhardt-Emmer S</w:t>
      </w:r>
      <w:r>
        <w:rPr>
          <w:rFonts w:ascii="Book Antiqua" w:hAnsi="Book Antiqua" w:cs="Book Antiqua"/>
        </w:rPr>
        <w:t>, Wittschieber D, Sanft J, Kleemann S, Elschner S, Haupt KF, Vau V, Häring C, Rödel J, Henke A, Ehrhardt C, Bauer M, Philipp M, Gaßler N, Nietzsche S, Löffler B, Mall G. Early postmortem mapping of SARS-CoV-2 RNA in patients with COVID-19 and the correlati</w:t>
      </w:r>
      <w:r>
        <w:rPr>
          <w:rFonts w:ascii="Book Antiqua" w:hAnsi="Book Antiqua" w:cs="Book Antiqua"/>
        </w:rPr>
        <w:t xml:space="preserve">on with tissue damage. </w:t>
      </w:r>
      <w:r>
        <w:rPr>
          <w:rFonts w:ascii="Book Antiqua" w:hAnsi="Book Antiqua" w:cs="Book Antiqua"/>
          <w:i/>
          <w:iCs/>
        </w:rPr>
        <w:t>Elife</w:t>
      </w:r>
      <w:r>
        <w:rPr>
          <w:rFonts w:ascii="Book Antiqua" w:hAnsi="Book Antiqua" w:cs="Book Antiqua"/>
        </w:rPr>
        <w:t xml:space="preserve"> 2021; </w:t>
      </w:r>
      <w:r>
        <w:rPr>
          <w:rFonts w:ascii="Book Antiqua" w:hAnsi="Book Antiqua" w:cs="Book Antiqua"/>
          <w:b/>
          <w:bCs/>
        </w:rPr>
        <w:t>10</w:t>
      </w:r>
      <w:r>
        <w:rPr>
          <w:rFonts w:ascii="Book Antiqua" w:hAnsi="Book Antiqua" w:cs="Book Antiqua"/>
          <w:lang w:eastAsia="zh-CN"/>
        </w:rPr>
        <w:t>: e60361</w:t>
      </w:r>
      <w:r>
        <w:rPr>
          <w:rFonts w:ascii="Book Antiqua" w:hAnsi="Book Antiqua" w:cs="Book Antiqua"/>
        </w:rPr>
        <w:t xml:space="preserve"> [PMID: 33781385 DOI: 10.7554/eLife.60361]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Abenavoli L</w:t>
      </w:r>
      <w:r>
        <w:rPr>
          <w:rFonts w:ascii="Book Antiqua" w:hAnsi="Book Antiqua" w:cs="Book Antiqua"/>
        </w:rPr>
        <w:t xml:space="preserve">, Gentile I, Maraolo AE, Negro F. SARS-CoV-2 and liver damage: a possible pathogenetic link. </w:t>
      </w:r>
      <w:r>
        <w:rPr>
          <w:rFonts w:ascii="Book Antiqua" w:hAnsi="Book Antiqua" w:cs="Book Antiqua"/>
          <w:i/>
          <w:iCs/>
        </w:rPr>
        <w:t>Hepatobiliary Surg Nutr</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322-324 [PMID: 32509818 DOI:</w:t>
      </w:r>
      <w:r>
        <w:rPr>
          <w:rFonts w:ascii="Book Antiqua" w:hAnsi="Book Antiqua" w:cs="Book Antiqua"/>
        </w:rPr>
        <w:t xml:space="preserve"> 10.21037/hbsn-20-437]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45 </w:t>
      </w:r>
      <w:r>
        <w:rPr>
          <w:rFonts w:ascii="Book Antiqua" w:hAnsi="Book Antiqua" w:cs="Book Antiqua"/>
          <w:b/>
          <w:bCs/>
        </w:rPr>
        <w:t>Singh KK</w:t>
      </w:r>
      <w:r>
        <w:rPr>
          <w:rFonts w:ascii="Book Antiqua" w:hAnsi="Book Antiqua" w:cs="Book Antiqua"/>
        </w:rPr>
        <w:t xml:space="preserve">, Chaubey G, Chen JY, Suravajhala P. Decoding SARS-CoV-2 hijacking of host mitochondria in COVID-19 pathogenesis. </w:t>
      </w:r>
      <w:r>
        <w:rPr>
          <w:rFonts w:ascii="Book Antiqua" w:hAnsi="Book Antiqua" w:cs="Book Antiqua"/>
          <w:i/>
          <w:iCs/>
        </w:rPr>
        <w:t>Am J Physiol Cell Physiol</w:t>
      </w:r>
      <w:r>
        <w:rPr>
          <w:rFonts w:ascii="Book Antiqua" w:hAnsi="Book Antiqua" w:cs="Book Antiqua"/>
        </w:rPr>
        <w:t xml:space="preserve"> 2020; </w:t>
      </w:r>
      <w:r>
        <w:rPr>
          <w:rFonts w:ascii="Book Antiqua" w:hAnsi="Book Antiqua" w:cs="Book Antiqua"/>
          <w:b/>
          <w:bCs/>
        </w:rPr>
        <w:t>319</w:t>
      </w:r>
      <w:r>
        <w:rPr>
          <w:rFonts w:ascii="Book Antiqua" w:hAnsi="Book Antiqua" w:cs="Book Antiqua"/>
        </w:rPr>
        <w:t>: C258-C267 [PMID: 32510973 DOI: 10.1152/ajpcell.00224.2020]</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Wu KE</w:t>
      </w:r>
      <w:r>
        <w:rPr>
          <w:rFonts w:ascii="Book Antiqua" w:hAnsi="Book Antiqua" w:cs="Book Antiqua"/>
        </w:rPr>
        <w:t>, Fa</w:t>
      </w:r>
      <w:r>
        <w:rPr>
          <w:rFonts w:ascii="Book Antiqua" w:hAnsi="Book Antiqua" w:cs="Book Antiqua"/>
        </w:rPr>
        <w:t xml:space="preserve">zal FM, Parker KR, Zou J, Chang HY. RNA-GPS Predicts SARS-CoV-2 RNA Residency to Host Mitochondria and Nucleolus. </w:t>
      </w:r>
      <w:r>
        <w:rPr>
          <w:rFonts w:ascii="Book Antiqua" w:hAnsi="Book Antiqua" w:cs="Book Antiqua"/>
          <w:i/>
          <w:iCs/>
        </w:rPr>
        <w:t>Cell Syst</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102-108.e3 [PMID: 32673562 DOI: 10.1016/j.cels.2020.06.008]</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47 </w:t>
      </w:r>
      <w:r>
        <w:rPr>
          <w:rFonts w:ascii="Book Antiqua" w:hAnsi="Book Antiqua" w:cs="Book Antiqua"/>
          <w:b/>
          <w:bCs/>
        </w:rPr>
        <w:t>Gordon DE</w:t>
      </w:r>
      <w:r>
        <w:rPr>
          <w:rFonts w:ascii="Book Antiqua" w:hAnsi="Book Antiqua" w:cs="Book Antiqua"/>
        </w:rPr>
        <w:t>, Jang GM, Bouhaddou M, Xu J, Obernier K, White KM</w:t>
      </w:r>
      <w:r>
        <w:rPr>
          <w:rFonts w:ascii="Book Antiqua" w:hAnsi="Book Antiqua" w:cs="Book Antiqua"/>
        </w:rPr>
        <w:t>, O'Meara MJ, Rezelj VV, Guo JZ, Swaney DL, Tummino TA, Hüttenhain R, Kaake RM, Richards AL, Tutuncuoglu B, Foussard H, Batra J, Haas K, Modak M, Kim M, Haas P, Polacco BJ, Braberg H, Fabius JM, Eckhardt M, Soucheray M, Bennett MJ, Cakir M, McGregor MJ, Li</w:t>
      </w:r>
      <w:r>
        <w:rPr>
          <w:rFonts w:ascii="Book Antiqua" w:hAnsi="Book Antiqua" w:cs="Book Antiqua"/>
        </w:rPr>
        <w:t xml:space="preserve"> Q, Meyer B, Roesch F, Vallet T, Mac Kain A, Miorin L, Moreno E, Naing ZZC, Zhou Y, Peng S, Shi Y, Zhang Z, Shen W, Kirby IT, Melnyk JE, Chorba JS, Lou K, Dai SA, Barrio-Hernandez I, Memon D, Hernandez-Armenta C, Lyu J, Mathy CJP, Perica T, Pilla KB, Ganes</w:t>
      </w:r>
      <w:r>
        <w:rPr>
          <w:rFonts w:ascii="Book Antiqua" w:hAnsi="Book Antiqua" w:cs="Book Antiqua"/>
        </w:rPr>
        <w:t>an SJ, Saltzberg DJ, Rakesh R, Liu X, Rosenthal SB, Calviello L, Venkataramanan S, Liboy-Lugo J, Lin Y, Huang XP, Liu Y, Wankowicz SA, Bohn M, Safari M, Ugur FS, Koh C, Savar NS, Tran QD, Shengjuler D, Fletcher SJ, O'Neal MC, Cai Y, Chang JCJ, Broadhurst D</w:t>
      </w:r>
      <w:r>
        <w:rPr>
          <w:rFonts w:ascii="Book Antiqua" w:hAnsi="Book Antiqua" w:cs="Book Antiqua"/>
        </w:rPr>
        <w:t xml:space="preserve">J, Klippsten S, Sharp PP, Wenzell NA, Kuzuoglu-Ozturk D, Wang HY, Trenker R, Young JM, Cavero DA, Hiatt J, Roth TL, Rathore U, Subramanian A, Noack J, Hubert M, Stroud RM, Frankel AD, Rosenberg OS, Verba KA, Agard DA, Ott M, Emerman M, Jura N, von Zastrow </w:t>
      </w:r>
      <w:r>
        <w:rPr>
          <w:rFonts w:ascii="Book Antiqua" w:hAnsi="Book Antiqua" w:cs="Book Antiqua"/>
        </w:rPr>
        <w:t>M, Verdin E, Ashworth A, Schwartz O, d'Enfert C, Mukherjee S, Jacobson M, Malik HS, Fujimori DG, Ideker T, Craik CS, Floor SN, Fraser JS, Gross JD, Sali A, Roth BL, Ruggero D, Taunton J, Kortemme T, Beltrao P, Vignuzzi M, García-Sastre A, Shokat KM, Shoich</w:t>
      </w:r>
      <w:r>
        <w:rPr>
          <w:rFonts w:ascii="Book Antiqua" w:hAnsi="Book Antiqua" w:cs="Book Antiqua"/>
        </w:rPr>
        <w:t xml:space="preserve">et BK, Krogan NJ. A SARS-CoV-2 protein interaction map reveals targets for drug repurposing. </w:t>
      </w:r>
      <w:r>
        <w:rPr>
          <w:rFonts w:ascii="Book Antiqua" w:hAnsi="Book Antiqua" w:cs="Book Antiqua"/>
          <w:i/>
          <w:iCs/>
        </w:rPr>
        <w:t>Nature</w:t>
      </w:r>
      <w:r>
        <w:rPr>
          <w:rFonts w:ascii="Book Antiqua" w:hAnsi="Book Antiqua" w:cs="Book Antiqua"/>
        </w:rPr>
        <w:t xml:space="preserve"> 2020; </w:t>
      </w:r>
      <w:r>
        <w:rPr>
          <w:rFonts w:ascii="Book Antiqua" w:hAnsi="Book Antiqua" w:cs="Book Antiqua"/>
          <w:b/>
          <w:bCs/>
        </w:rPr>
        <w:t>583</w:t>
      </w:r>
      <w:r>
        <w:rPr>
          <w:rFonts w:ascii="Book Antiqua" w:hAnsi="Book Antiqua" w:cs="Book Antiqua"/>
        </w:rPr>
        <w:t>: 459-468 [PMID: 32353859 DOI: 10.1038/s41586-020-2286-9]</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48 </w:t>
      </w:r>
      <w:r>
        <w:rPr>
          <w:rFonts w:ascii="Book Antiqua" w:hAnsi="Book Antiqua" w:cs="Book Antiqua"/>
          <w:b/>
          <w:bCs/>
        </w:rPr>
        <w:t>Qiao X</w:t>
      </w:r>
      <w:r>
        <w:rPr>
          <w:rFonts w:ascii="Book Antiqua" w:hAnsi="Book Antiqua" w:cs="Book Antiqua"/>
        </w:rPr>
        <w:t>, Zhou ZC, Niu R, Su YT, Sun Y, Liu HL, Teng JL, Ye JN, Shi H, Yang CD, Cheng XB</w:t>
      </w:r>
      <w:r>
        <w:rPr>
          <w:rFonts w:ascii="Book Antiqua" w:hAnsi="Book Antiqua" w:cs="Book Antiqua"/>
        </w:rPr>
        <w:t xml:space="preserve">. Hydroxychloroquine Improves Obesity-Associated Insulin Resistance and Hepatic Steatosis by Regulating Lipid Metabolism. </w:t>
      </w:r>
      <w:r>
        <w:rPr>
          <w:rFonts w:ascii="Book Antiqua" w:hAnsi="Book Antiqua" w:cs="Book Antiqua"/>
          <w:i/>
          <w:iCs/>
        </w:rPr>
        <w:t>Front Pharmacol</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855 [PMID: 31427967 DOI: 10.3389/fphar.2019.00855]</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Nieto-Torres JL</w:t>
      </w:r>
      <w:r>
        <w:rPr>
          <w:rFonts w:ascii="Book Antiqua" w:hAnsi="Book Antiqua" w:cs="Book Antiqua"/>
        </w:rPr>
        <w:t>, DeDiego ML, Verdiá-Báguena C, Jimenez</w:t>
      </w:r>
      <w:r>
        <w:rPr>
          <w:rFonts w:ascii="Book Antiqua" w:hAnsi="Book Antiqua" w:cs="Book Antiqua"/>
        </w:rPr>
        <w:t xml:space="preserve">-Guardeño JM, Regla-Nava JA, Fernandez-Delgado R, Castaño-Rodriguez C, Alcaraz A, Torres J, Aguilella VM, Enjuanes L. Severe acute respiratory syndrome coronavirus envelope protein ion channel activity promotes virus fitness and pathogenesis. </w:t>
      </w:r>
      <w:r>
        <w:rPr>
          <w:rFonts w:ascii="Book Antiqua" w:hAnsi="Book Antiqua" w:cs="Book Antiqua"/>
          <w:i/>
          <w:iCs/>
        </w:rPr>
        <w:t>PLoS Pathog</w:t>
      </w:r>
      <w:r>
        <w:rPr>
          <w:rFonts w:ascii="Book Antiqua" w:hAnsi="Book Antiqua" w:cs="Book Antiqua"/>
        </w:rPr>
        <w:t xml:space="preserve"> 2</w:t>
      </w:r>
      <w:r>
        <w:rPr>
          <w:rFonts w:ascii="Book Antiqua" w:hAnsi="Book Antiqua" w:cs="Book Antiqua"/>
        </w:rPr>
        <w:t xml:space="preserve">014; </w:t>
      </w:r>
      <w:r>
        <w:rPr>
          <w:rFonts w:ascii="Book Antiqua" w:hAnsi="Book Antiqua" w:cs="Book Antiqua"/>
          <w:b/>
          <w:bCs/>
        </w:rPr>
        <w:t>10</w:t>
      </w:r>
      <w:r>
        <w:rPr>
          <w:rFonts w:ascii="Book Antiqua" w:hAnsi="Book Antiqua" w:cs="Book Antiqua"/>
        </w:rPr>
        <w:t>: e1004077 [PMID: 24788150 DOI: 10.1371/journal.ppat.1004077]</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lastRenderedPageBreak/>
        <w:t xml:space="preserve">50 </w:t>
      </w:r>
      <w:r>
        <w:rPr>
          <w:rFonts w:ascii="Book Antiqua" w:hAnsi="Book Antiqua" w:cs="Book Antiqua"/>
          <w:b/>
          <w:bCs/>
        </w:rPr>
        <w:t>Ichinohe T</w:t>
      </w:r>
      <w:r>
        <w:rPr>
          <w:rFonts w:ascii="Book Antiqua" w:hAnsi="Book Antiqua" w:cs="Book Antiqua"/>
        </w:rPr>
        <w:t xml:space="preserve">, Pang IK, Iwasaki A. Influenza virus activates inflammasomes via its intracellular M2 ion channel. </w:t>
      </w:r>
      <w:r>
        <w:rPr>
          <w:rFonts w:ascii="Book Antiqua" w:hAnsi="Book Antiqua" w:cs="Book Antiqua"/>
          <w:i/>
          <w:iCs/>
        </w:rPr>
        <w:t>Nat Immunol</w:t>
      </w:r>
      <w:r>
        <w:rPr>
          <w:rFonts w:ascii="Book Antiqua" w:hAnsi="Book Antiqua" w:cs="Book Antiqua"/>
        </w:rPr>
        <w:t xml:space="preserve"> 2010; </w:t>
      </w:r>
      <w:r>
        <w:rPr>
          <w:rFonts w:ascii="Book Antiqua" w:hAnsi="Book Antiqua" w:cs="Book Antiqua"/>
          <w:b/>
          <w:bCs/>
        </w:rPr>
        <w:t>11</w:t>
      </w:r>
      <w:r>
        <w:rPr>
          <w:rFonts w:ascii="Book Antiqua" w:hAnsi="Book Antiqua" w:cs="Book Antiqua"/>
        </w:rPr>
        <w:t>: 404-410 [PMID: 20383149 DOI: 10.1038/ni.1861]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Che</w:t>
      </w:r>
      <w:r>
        <w:rPr>
          <w:rFonts w:ascii="Book Antiqua" w:hAnsi="Book Antiqua" w:cs="Book Antiqua"/>
          <w:b/>
          <w:bCs/>
        </w:rPr>
        <w:t>n D</w:t>
      </w:r>
      <w:r>
        <w:rPr>
          <w:rFonts w:ascii="Book Antiqua" w:hAnsi="Book Antiqua" w:cs="Book Antiqua"/>
        </w:rPr>
        <w:t xml:space="preserve">, Li X, Song Q, Hu C, Su F, Dai J, Ye Y, Huang J, Zhang X. Assessment of Hypokalemia and Clinical Characteristics in Patients With Coronavirus Disease 2019 in Wenzhou, China. </w:t>
      </w:r>
      <w:r>
        <w:rPr>
          <w:rFonts w:ascii="Book Antiqua" w:hAnsi="Book Antiqua" w:cs="Book Antiqua"/>
          <w:i/>
          <w:iCs/>
        </w:rPr>
        <w:t>JAMA Netw Open</w:t>
      </w:r>
      <w:r>
        <w:rPr>
          <w:rFonts w:ascii="Book Antiqua" w:hAnsi="Book Antiqua" w:cs="Book Antiqua"/>
        </w:rPr>
        <w:t xml:space="preserve"> 2020; </w:t>
      </w:r>
      <w:r>
        <w:rPr>
          <w:rFonts w:ascii="Book Antiqua" w:hAnsi="Book Antiqua" w:cs="Book Antiqua"/>
          <w:b/>
          <w:bCs/>
        </w:rPr>
        <w:t>3</w:t>
      </w:r>
      <w:r>
        <w:rPr>
          <w:rFonts w:ascii="Book Antiqua" w:hAnsi="Book Antiqua" w:cs="Book Antiqua"/>
        </w:rPr>
        <w:t>: e2011122 [PMID: 32525548 DOI: 10.1001/jamanetworkopen.</w:t>
      </w:r>
      <w:r>
        <w:rPr>
          <w:rFonts w:ascii="Book Antiqua" w:hAnsi="Book Antiqua" w:cs="Book Antiqua"/>
        </w:rPr>
        <w:t>2020.11122]</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Dietrich CG</w:t>
      </w:r>
      <w:r>
        <w:rPr>
          <w:rFonts w:ascii="Book Antiqua" w:hAnsi="Book Antiqua" w:cs="Book Antiqua"/>
        </w:rPr>
        <w:t xml:space="preserve">, Götze O, Geier A. Molecular changes in hepatic metabolism and transport in cirrhosis and their functional importance. </w:t>
      </w:r>
      <w:r>
        <w:rPr>
          <w:rFonts w:ascii="Book Antiqua" w:hAnsi="Book Antiqua" w:cs="Book Antiqua"/>
          <w:i/>
          <w:iCs/>
        </w:rPr>
        <w:t>World J Gastroenterol</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72-88 [PMID: 26755861 DOI: 10.3748/wjg.v22.i1.72]</w:t>
      </w:r>
    </w:p>
    <w:p w:rsidR="005F527F" w:rsidRDefault="00542EC0" w:rsidP="001736C0">
      <w:pPr>
        <w:adjustRightInd w:val="0"/>
        <w:snapToGrid w:val="0"/>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committee has granted an ethical approval for the above mentioned request and following documents.</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the tran</w:t>
      </w:r>
      <w:r>
        <w:rPr>
          <w:rFonts w:ascii="Book Antiqua" w:eastAsia="Book Antiqua" w:hAnsi="Book Antiqua" w:cs="Book Antiqua"/>
          <w:color w:val="000000"/>
        </w:rPr>
        <w:t>scriptomic data is shared in Gene Expression Omnibus with data sets GSE150316 and GSE112356. All other processed data are shared in the manuscript as tables or figures.</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w:t>
      </w:r>
      <w:r>
        <w:rPr>
          <w:rFonts w:ascii="Book Antiqua" w:eastAsia="Book Antiqua" w:hAnsi="Book Antiqua" w:cs="Book Antiqua"/>
          <w:color w:val="000000"/>
        </w:rPr>
        <w:t>ditor and fully peer-reviewed by external reviewers. It is distributed in accordance with the Creative Commons Attribution NonCommercial (CC BY-NC 4.0) license, which permits others to distribute, remix, adapt, build upon this work non-commercially, and li</w:t>
      </w:r>
      <w:r>
        <w:rPr>
          <w:rFonts w:ascii="Book Antiqua" w:eastAsia="Book Antiqua" w:hAnsi="Book Antiqua" w:cs="Book Antiqua"/>
          <w:color w:val="000000"/>
        </w:rPr>
        <w:t>cense their derivative works on different terms, provided the original work is properly cited and the use is non-commercial. See: http://creativecommons.org/Licenses/by-nc/4.0/</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8037A">
        <w:rPr>
          <w:rFonts w:ascii="Book Antiqua" w:eastAsia="Book Antiqua" w:hAnsi="Book Antiqua" w:cs="Book Antiqua"/>
          <w:color w:val="000000"/>
        </w:rPr>
        <w:t>m</w:t>
      </w:r>
      <w:r>
        <w:rPr>
          <w:rFonts w:ascii="Book Antiqua" w:eastAsia="Book Antiqua" w:hAnsi="Book Antiqua" w:cs="Book Antiqua"/>
          <w:color w:val="000000"/>
        </w:rPr>
        <w:t>anuscript</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 xml:space="preserve">February 6, </w:t>
      </w:r>
      <w:r>
        <w:rPr>
          <w:rFonts w:ascii="Book Antiqua" w:eastAsia="Book Antiqua" w:hAnsi="Book Antiqua" w:cs="Book Antiqua"/>
          <w:color w:val="000000"/>
        </w:rPr>
        <w:t>2021</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Medical </w:t>
      </w:r>
      <w:bookmarkStart w:id="1" w:name="_GoBack"/>
      <w:r w:rsidR="00B575F8">
        <w:rPr>
          <w:rFonts w:ascii="Book Antiqua" w:eastAsia="Book Antiqua" w:hAnsi="Book Antiqua" w:cs="Book Antiqua"/>
          <w:color w:val="000000"/>
        </w:rPr>
        <w:t>i</w:t>
      </w:r>
      <w:bookmarkEnd w:id="1"/>
      <w:r>
        <w:rPr>
          <w:rFonts w:ascii="Book Antiqua" w:eastAsia="Book Antiqua" w:hAnsi="Book Antiqua" w:cs="Book Antiqua"/>
          <w:color w:val="000000"/>
        </w:rPr>
        <w:t>nformatics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Arab Emirates</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A (Excellent):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B (Very good): B</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C (Good</w:t>
      </w:r>
      <w:r>
        <w:rPr>
          <w:rFonts w:ascii="Book Antiqua" w:eastAsia="Book Antiqua" w:hAnsi="Book Antiqua" w:cs="Book Antiqua"/>
          <w:color w:val="000000"/>
        </w:rPr>
        <w:t>):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lastRenderedPageBreak/>
        <w:t>Grade D (Fair): 0</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t>Grade E (Poor): 0</w:t>
      </w:r>
    </w:p>
    <w:p w:rsidR="005F527F" w:rsidRDefault="005F527F" w:rsidP="001736C0">
      <w:pPr>
        <w:adjustRightInd w:val="0"/>
        <w:snapToGrid w:val="0"/>
        <w:spacing w:after="0" w:line="360" w:lineRule="auto"/>
        <w:jc w:val="both"/>
        <w:rPr>
          <w:rFonts w:ascii="Book Antiqua" w:hAnsi="Book Antiqua" w:cs="Book Antiqua"/>
        </w:rPr>
      </w:pPr>
    </w:p>
    <w:p w:rsidR="005F527F" w:rsidRDefault="00542EC0" w:rsidP="001736C0">
      <w:pPr>
        <w:adjustRightInd w:val="0"/>
        <w:snapToGrid w:val="0"/>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Alberca RW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P-Editor: </w:t>
      </w:r>
    </w:p>
    <w:p w:rsidR="005F527F" w:rsidRDefault="00542EC0" w:rsidP="001736C0">
      <w:pPr>
        <w:adjustRightInd w:val="0"/>
        <w:snapToGrid w:val="0"/>
        <w:spacing w:after="0"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w:t>
      </w:r>
      <w:r>
        <w:rPr>
          <w:rFonts w:ascii="Book Antiqua" w:hAnsi="Book Antiqua" w:cs="Book Antiqua"/>
          <w:b/>
          <w:color w:val="000000"/>
          <w:lang w:eastAsia="zh-CN"/>
        </w:rPr>
        <w:t>igure</w:t>
      </w:r>
      <w:r>
        <w:rPr>
          <w:rFonts w:ascii="Book Antiqua" w:eastAsia="Book Antiqua" w:hAnsi="Book Antiqua" w:cs="Book Antiqua"/>
          <w:b/>
          <w:color w:val="000000"/>
        </w:rPr>
        <w:t xml:space="preserve"> L</w:t>
      </w:r>
      <w:r>
        <w:rPr>
          <w:rFonts w:ascii="Book Antiqua" w:hAnsi="Book Antiqua" w:cs="Book Antiqua"/>
          <w:b/>
          <w:color w:val="000000"/>
          <w:lang w:eastAsia="zh-CN"/>
        </w:rPr>
        <w:t>egends</w:t>
      </w:r>
    </w:p>
    <w:p w:rsidR="005F527F"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noProof/>
          <w:lang w:eastAsia="zh-CN"/>
        </w:rPr>
        <w:drawing>
          <wp:inline distT="0" distB="0" distL="114300" distR="114300">
            <wp:extent cx="4847208" cy="5041127"/>
            <wp:effectExtent l="0" t="0" r="0" b="7620"/>
            <wp:docPr id="2"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1"/>
                    <pic:cNvPicPr>
                      <a:picLocks noChangeAspect="1"/>
                    </pic:cNvPicPr>
                  </pic:nvPicPr>
                  <pic:blipFill>
                    <a:blip r:embed="rId8"/>
                    <a:stretch>
                      <a:fillRect/>
                    </a:stretch>
                  </pic:blipFill>
                  <pic:spPr>
                    <a:xfrm>
                      <a:off x="0" y="0"/>
                      <a:ext cx="4856331" cy="5050615"/>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1</w:t>
      </w:r>
      <w:r>
        <w:rPr>
          <w:rFonts w:ascii="Book Antiqua" w:hAnsi="Book Antiqua" w:cs="Book Antiqua"/>
        </w:rPr>
        <w:t xml:space="preserve"> </w:t>
      </w:r>
      <w:r>
        <w:rPr>
          <w:rFonts w:ascii="Book Antiqua" w:hAnsi="Book Antiqua" w:cs="Book Antiqua"/>
          <w:b/>
          <w:bCs/>
        </w:rPr>
        <w:t xml:space="preserve">General Workflow of the in-silico analysis of the coronavirus disease 2019 and healthy tissue autopsy samples RNA-seq data. </w:t>
      </w:r>
      <w:r>
        <w:rPr>
          <w:rFonts w:ascii="Book Antiqua" w:hAnsi="Book Antiqua" w:cs="Book Antiqua"/>
        </w:rPr>
        <w:t xml:space="preserve">Figure was created with BioRender.com. DEGs: </w:t>
      </w:r>
      <w:r>
        <w:rPr>
          <w:rFonts w:ascii="Book Antiqua" w:hAnsi="Book Antiqua" w:cs="Book Antiqua"/>
          <w:lang w:eastAsia="zh-CN"/>
        </w:rPr>
        <w:t>D</w:t>
      </w:r>
      <w:r>
        <w:rPr>
          <w:rFonts w:ascii="Book Antiqua" w:hAnsi="Book Antiqua" w:cs="Book Antiqua"/>
        </w:rPr>
        <w:t xml:space="preserve">ifferentially expressed genes; DisGeNET: Disease Gene Network; NAFLD: </w:t>
      </w:r>
      <w:r>
        <w:rPr>
          <w:rFonts w:ascii="Book Antiqua" w:hAnsi="Book Antiqua" w:cs="Book Antiqua"/>
          <w:lang w:eastAsia="zh-CN"/>
        </w:rPr>
        <w:t>N</w:t>
      </w:r>
      <w:r>
        <w:rPr>
          <w:rFonts w:ascii="Book Antiqua" w:hAnsi="Book Antiqua" w:cs="Book Antiqua"/>
        </w:rPr>
        <w:t>on-alcoholic fatty liver disease.</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943600" cy="3024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24505"/>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2 General overview of the commonly dysregulated transcriptome in lung and liver tissues in sev</w:t>
      </w:r>
      <w:r>
        <w:rPr>
          <w:rFonts w:ascii="Book Antiqua" w:hAnsi="Book Antiqua" w:cs="Book Antiqua"/>
          <w:b/>
          <w:bCs/>
        </w:rPr>
        <w:t>ere coronavirus disease 2019 patients.</w:t>
      </w:r>
      <w:r>
        <w:rPr>
          <w:rFonts w:ascii="Book Antiqua" w:hAnsi="Book Antiqua" w:cs="Book Antiqua"/>
        </w:rPr>
        <w:t xml:space="preserve"> A and B: Venn diagram representation of the overlapping (A) upregulated and (C) downregulated genes in response to severe acute respiratory syndrome coronavirus 2 (SARS-CoV2) infection in lung and liver tissues; C and</w:t>
      </w:r>
      <w:r>
        <w:rPr>
          <w:rFonts w:ascii="Book Antiqua" w:hAnsi="Book Antiqua" w:cs="Book Antiqua"/>
        </w:rPr>
        <w:t xml:space="preserve"> D: Top 20 pathways and functional clusters enriched in the commonly (B) upregulated and (D) downregulated genes in SARS-CoV-2 infected lung and liver tissues.</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noProof/>
          <w:lang w:eastAsia="zh-CN"/>
        </w:rPr>
        <w:lastRenderedPageBreak/>
        <w:drawing>
          <wp:inline distT="0" distB="0" distL="114300" distR="114300">
            <wp:extent cx="5894872" cy="7028953"/>
            <wp:effectExtent l="0" t="0" r="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0"/>
                    <a:stretch>
                      <a:fillRect/>
                    </a:stretch>
                  </pic:blipFill>
                  <pic:spPr>
                    <a:xfrm>
                      <a:off x="0" y="0"/>
                      <a:ext cx="5921470" cy="7060668"/>
                    </a:xfrm>
                    <a:prstGeom prst="rect">
                      <a:avLst/>
                    </a:prstGeom>
                    <a:noFill/>
                    <a:ln>
                      <a:noFill/>
                    </a:ln>
                  </pic:spPr>
                </pic:pic>
              </a:graphicData>
            </a:graphic>
          </wp:inline>
        </w:drawing>
      </w:r>
    </w:p>
    <w:p w:rsidR="005F527F" w:rsidRDefault="00542EC0" w:rsidP="001736C0">
      <w:pPr>
        <w:adjustRightInd w:val="0"/>
        <w:snapToGrid w:val="0"/>
        <w:spacing w:after="0" w:line="360" w:lineRule="auto"/>
        <w:jc w:val="both"/>
        <w:rPr>
          <w:rFonts w:ascii="Book Antiqua" w:eastAsia="Book Antiqua" w:hAnsi="Book Antiqua" w:cs="Book Antiqua"/>
          <w:color w:val="000000"/>
        </w:rPr>
      </w:pPr>
      <w:r>
        <w:rPr>
          <w:rFonts w:ascii="Book Antiqua" w:hAnsi="Book Antiqua" w:cs="Book Antiqua"/>
          <w:b/>
          <w:bCs/>
        </w:rPr>
        <w:t>Figure 3 functional clustering analysis of the upregulated transcriptome of severe coronavir</w:t>
      </w:r>
      <w:r>
        <w:rPr>
          <w:rFonts w:ascii="Book Antiqua" w:hAnsi="Book Antiqua" w:cs="Book Antiqua"/>
          <w:b/>
          <w:bCs/>
        </w:rPr>
        <w:t>us disease 2019 patients liver autopsy tissues.</w:t>
      </w:r>
      <w:r>
        <w:rPr>
          <w:rFonts w:ascii="Book Antiqua" w:hAnsi="Book Antiqua" w:cs="Book Antiqua"/>
        </w:rPr>
        <w:t xml:space="preserve"> A: Heatmap representation of the differentially upregulated genes and subsequently enriched pathways and functional clusters in severe acute respiratory syndrome coronavirus 2 (SARS-CoV2) infected liver </w:t>
      </w:r>
      <w:r>
        <w:rPr>
          <w:rFonts w:ascii="Book Antiqua" w:hAnsi="Book Antiqua" w:cs="Book Antiqua"/>
        </w:rPr>
        <w:lastRenderedPageBreak/>
        <w:t>sampl</w:t>
      </w:r>
      <w:r>
        <w:rPr>
          <w:rFonts w:ascii="Book Antiqua" w:hAnsi="Book Antiqua" w:cs="Book Antiqua"/>
        </w:rPr>
        <w:t>es in comparison to baseline expression in healthy tissue samples;</w:t>
      </w:r>
      <w:r>
        <w:rPr>
          <w:rFonts w:ascii="Book Antiqua" w:hAnsi="Book Antiqua" w:cs="Book Antiqua"/>
          <w:b/>
          <w:bCs/>
        </w:rPr>
        <w:t xml:space="preserve"> </w:t>
      </w:r>
      <w:r>
        <w:rPr>
          <w:rFonts w:ascii="Book Antiqua" w:hAnsi="Book Antiqua" w:cs="Book Antiqua"/>
        </w:rPr>
        <w:t>B and C:</w:t>
      </w:r>
      <w:r>
        <w:rPr>
          <w:rFonts w:ascii="Book Antiqua" w:hAnsi="Book Antiqua" w:cs="Book Antiqua"/>
          <w:b/>
          <w:bCs/>
        </w:rPr>
        <w:t xml:space="preserve"> </w:t>
      </w:r>
      <w:r>
        <w:rPr>
          <w:rFonts w:ascii="Book Antiqua" w:hAnsi="Book Antiqua" w:cs="Book Antiqua"/>
        </w:rPr>
        <w:t>Heatmap representation of the log2 of normalized expression of transcripts implicated signaling through (B) Class A</w:t>
      </w:r>
      <w:r>
        <w:rPr>
          <w:rFonts w:ascii="Book Antiqua" w:hAnsi="Book Antiqua" w:cs="Book Antiqua"/>
          <w:lang w:eastAsia="zh-CN"/>
        </w:rPr>
        <w:t>-</w:t>
      </w:r>
      <w:r>
        <w:rPr>
          <w:rFonts w:ascii="Book Antiqua" w:hAnsi="Book Antiqua" w:cs="Book Antiqua"/>
        </w:rPr>
        <w:t>rhodopsin-like receptors and (C) Class F</w:t>
      </w:r>
      <w:r>
        <w:rPr>
          <w:rFonts w:ascii="Book Antiqua" w:hAnsi="Book Antiqua" w:cs="Book Antiqua"/>
          <w:lang w:eastAsia="zh-CN"/>
        </w:rPr>
        <w:t>-</w:t>
      </w:r>
      <w:r>
        <w:rPr>
          <w:rFonts w:ascii="Book Antiqua" w:hAnsi="Book Antiqua" w:cs="Book Antiqua"/>
        </w:rPr>
        <w:t>frizzled and smoothened</w:t>
      </w:r>
      <w:r>
        <w:rPr>
          <w:rFonts w:ascii="Book Antiqua" w:hAnsi="Book Antiqua" w:cs="Book Antiqua"/>
        </w:rPr>
        <w:t xml:space="preserve"> receptors;</w:t>
      </w:r>
      <w:r>
        <w:rPr>
          <w:rFonts w:ascii="Book Antiqua" w:hAnsi="Book Antiqua" w:cs="Book Antiqua"/>
          <w:b/>
          <w:bCs/>
        </w:rPr>
        <w:t xml:space="preserve"> </w:t>
      </w:r>
      <w:r>
        <w:rPr>
          <w:rFonts w:ascii="Book Antiqua" w:hAnsi="Book Antiqua" w:cs="Book Antiqua"/>
        </w:rPr>
        <w:t xml:space="preserve">D: </w:t>
      </w:r>
      <w:r>
        <w:rPr>
          <w:rFonts w:ascii="Book Antiqua" w:hAnsi="Book Antiqua" w:cs="Book Antiqua"/>
          <w:lang w:eastAsia="zh-CN"/>
        </w:rPr>
        <w:t>B</w:t>
      </w:r>
      <w:r>
        <w:rPr>
          <w:rFonts w:ascii="Book Antiqua" w:hAnsi="Book Antiqua" w:cs="Book Antiqua"/>
        </w:rPr>
        <w:t xml:space="preserve">ox plot representation of some of the top upregulated transcripts in SARS-CoV-2 infected liver tissue samples. Data presented as mean ± SE; </w:t>
      </w:r>
      <w:r>
        <w:rPr>
          <w:rFonts w:ascii="Book Antiqua" w:hAnsi="Book Antiqua" w:cs="Book Antiqua"/>
          <w:i/>
          <w:iCs/>
          <w:vertAlign w:val="superscript"/>
        </w:rPr>
        <w:t>a</w:t>
      </w:r>
      <w:r>
        <w:rPr>
          <w:rFonts w:ascii="Book Antiqua" w:hAnsi="Book Antiqua" w:cs="Book Antiqua"/>
          <w:i/>
          <w:iCs/>
        </w:rPr>
        <w:t>P</w:t>
      </w:r>
      <w:r>
        <w:rPr>
          <w:rFonts w:ascii="Book Antiqua" w:hAnsi="Book Antiqua" w:cs="Book Antiqua"/>
        </w:rPr>
        <w:t xml:space="preserve"> &lt; 0.05, </w:t>
      </w:r>
      <w:r>
        <w:rPr>
          <w:rFonts w:ascii="Book Antiqua" w:hAnsi="Book Antiqua" w:cs="Book Antiqua"/>
          <w:i/>
          <w:iCs/>
          <w:vertAlign w:val="superscript"/>
        </w:rPr>
        <w:t>b</w:t>
      </w:r>
      <w:r>
        <w:rPr>
          <w:rFonts w:ascii="Book Antiqua" w:hAnsi="Book Antiqua" w:cs="Book Antiqua"/>
          <w:i/>
          <w:iCs/>
        </w:rPr>
        <w:t>P</w:t>
      </w:r>
      <w:r>
        <w:rPr>
          <w:rFonts w:ascii="Book Antiqua" w:hAnsi="Book Antiqua" w:cs="Book Antiqua"/>
        </w:rPr>
        <w:t xml:space="preserve"> &lt; 0.01, </w:t>
      </w:r>
      <w:r>
        <w:rPr>
          <w:rFonts w:ascii="Book Antiqua" w:hAnsi="Book Antiqua" w:cs="Book Antiqua"/>
          <w:i/>
          <w:iCs/>
          <w:vertAlign w:val="superscript"/>
        </w:rPr>
        <w:t>c</w:t>
      </w:r>
      <w:r>
        <w:rPr>
          <w:rFonts w:ascii="Book Antiqua" w:hAnsi="Book Antiqua" w:cs="Book Antiqua"/>
          <w:i/>
          <w:iCs/>
        </w:rPr>
        <w:t>P</w:t>
      </w:r>
      <w:r>
        <w:rPr>
          <w:rFonts w:ascii="Book Antiqua" w:hAnsi="Book Antiqua" w:cs="Book Antiqua"/>
        </w:rPr>
        <w:t xml:space="preserve"> &lt; 0.001, </w:t>
      </w:r>
      <w:r>
        <w:rPr>
          <w:rFonts w:ascii="Book Antiqua" w:hAnsi="Book Antiqua" w:cs="Book Antiqua"/>
          <w:i/>
          <w:iCs/>
          <w:vertAlign w:val="superscript"/>
        </w:rPr>
        <w:t>d</w:t>
      </w:r>
      <w:r>
        <w:rPr>
          <w:rFonts w:ascii="Book Antiqua" w:hAnsi="Book Antiqua" w:cs="Book Antiqua"/>
          <w:i/>
          <w:iCs/>
        </w:rPr>
        <w:t>P</w:t>
      </w:r>
      <w:r>
        <w:rPr>
          <w:rFonts w:ascii="Book Antiqua" w:hAnsi="Book Antiqua" w:cs="Book Antiqua"/>
        </w:rPr>
        <w:t xml:space="preserve"> &lt; 0.0005, </w:t>
      </w:r>
      <w:r>
        <w:rPr>
          <w:rFonts w:ascii="Book Antiqua" w:hAnsi="Book Antiqua" w:cs="Book Antiqua"/>
          <w:i/>
          <w:iCs/>
          <w:vertAlign w:val="superscript"/>
        </w:rPr>
        <w:t>e</w:t>
      </w:r>
      <w:r>
        <w:rPr>
          <w:rFonts w:ascii="Book Antiqua" w:hAnsi="Book Antiqua" w:cs="Book Antiqua"/>
          <w:i/>
          <w:iCs/>
        </w:rPr>
        <w:t>P</w:t>
      </w:r>
      <w:r>
        <w:rPr>
          <w:rFonts w:ascii="Book Antiqua" w:hAnsi="Book Antiqua" w:cs="Book Antiqua"/>
        </w:rPr>
        <w:t xml:space="preserve"> &lt; 0.0001 coronavirus disease 2019 (COVID-19) </w:t>
      </w:r>
      <w:r>
        <w:rPr>
          <w:rFonts w:ascii="Book Antiqua" w:hAnsi="Book Antiqua" w:cs="Book Antiqua"/>
          <w:i/>
          <w:iCs/>
        </w:rPr>
        <w:t>vs</w:t>
      </w:r>
      <w:r>
        <w:rPr>
          <w:rFonts w:ascii="Book Antiqua" w:hAnsi="Book Antiqua" w:cs="Book Antiqua"/>
        </w:rPr>
        <w:t xml:space="preserve"> He</w:t>
      </w:r>
      <w:r>
        <w:rPr>
          <w:rFonts w:ascii="Book Antiqua" w:hAnsi="Book Antiqua" w:cs="Book Antiqua"/>
        </w:rPr>
        <w:t xml:space="preserve">althy. </w:t>
      </w:r>
      <w:r>
        <w:rPr>
          <w:rFonts w:ascii="Book Antiqua" w:hAnsi="Book Antiqua" w:cs="Book Antiqua"/>
          <w:i/>
          <w:iCs/>
        </w:rPr>
        <w:t>DNAJB1</w:t>
      </w:r>
      <w:r>
        <w:rPr>
          <w:rFonts w:ascii="Book Antiqua" w:hAnsi="Book Antiqua" w:cs="Book Antiqua"/>
        </w:rPr>
        <w:t xml:space="preserve">: </w:t>
      </w:r>
      <w:r>
        <w:rPr>
          <w:rFonts w:ascii="Book Antiqua" w:eastAsia="Book Antiqua" w:hAnsi="Book Antiqua" w:cs="Book Antiqua"/>
          <w:color w:val="000000"/>
        </w:rPr>
        <w:t xml:space="preserve">DnaJ heat shock protein family (hsp40) member b1; </w:t>
      </w:r>
      <w:r>
        <w:rPr>
          <w:rFonts w:ascii="Book Antiqua" w:eastAsia="Book Antiqua" w:hAnsi="Book Antiqua" w:cs="Book Antiqua"/>
          <w:i/>
          <w:iCs/>
          <w:color w:val="000000"/>
        </w:rPr>
        <w:t>IGF2</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nsulin growth factor 2; </w:t>
      </w:r>
      <w:r>
        <w:rPr>
          <w:rFonts w:ascii="Book Antiqua" w:eastAsia="Book Antiqua" w:hAnsi="Book Antiqua" w:cs="Book Antiqua"/>
          <w:i/>
          <w:iCs/>
          <w:color w:val="000000"/>
        </w:rPr>
        <w:t>SCARNA10</w:t>
      </w:r>
      <w:r>
        <w:rPr>
          <w:rFonts w:ascii="Book Antiqua" w:eastAsia="Book Antiqua" w:hAnsi="Book Antiqua" w:cs="Book Antiqua"/>
          <w:color w:val="000000"/>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 xml:space="preserve">mall cajal body-specific rna 10;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HDGF</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epatoma-derived growth factor; </w:t>
      </w:r>
      <w:r>
        <w:rPr>
          <w:rFonts w:ascii="Book Antiqua" w:eastAsia="Book Antiqua" w:hAnsi="Book Antiqua" w:cs="Book Antiqua"/>
          <w:i/>
          <w:iCs/>
          <w:color w:val="000000"/>
        </w:rPr>
        <w:t>SDHA</w:t>
      </w:r>
      <w:r>
        <w:rPr>
          <w:rFonts w:ascii="Book Antiqua" w:eastAsia="Book Antiqua" w:hAnsi="Book Antiqua" w:cs="Book Antiqua"/>
          <w:color w:val="000000"/>
        </w:rPr>
        <w:t xml:space="preserve">: </w:t>
      </w:r>
      <w:r>
        <w:rPr>
          <w:rFonts w:ascii="Book Antiqua" w:eastAsia="宋体" w:hAnsi="Book Antiqua" w:cs="Book Antiqua"/>
          <w:color w:val="000000"/>
          <w:lang w:eastAsia="zh-CN"/>
        </w:rPr>
        <w:t>S</w:t>
      </w:r>
      <w:r>
        <w:rPr>
          <w:rFonts w:ascii="Book Antiqua" w:eastAsia="Book Antiqua" w:hAnsi="Book Antiqua" w:cs="Book Antiqua"/>
          <w:color w:val="000000"/>
        </w:rPr>
        <w:t xml:space="preserve">uccinate dehydrogenase complex flavoprotein subunit A. </w:t>
      </w:r>
    </w:p>
    <w:p w:rsidR="005F527F" w:rsidRDefault="00542EC0" w:rsidP="001736C0">
      <w:pPr>
        <w:adjustRightInd w:val="0"/>
        <w:snapToGrid w:val="0"/>
        <w:spacing w:after="0" w:line="360" w:lineRule="auto"/>
        <w:jc w:val="both"/>
        <w:rPr>
          <w:rFonts w:ascii="Book Antiqua" w:hAnsi="Book Antiqua" w:cs="Book Antiqua"/>
        </w:rPr>
      </w:pPr>
      <w:r>
        <w:rPr>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0" distR="0">
            <wp:extent cx="5874119" cy="70528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4486" cy="7065254"/>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4</w:t>
      </w:r>
      <w:r>
        <w:rPr>
          <w:rFonts w:ascii="Book Antiqua" w:hAnsi="Book Antiqua" w:cs="Book Antiqua"/>
        </w:rPr>
        <w:t xml:space="preserve"> </w:t>
      </w:r>
      <w:r>
        <w:rPr>
          <w:rFonts w:ascii="Book Antiqua" w:hAnsi="Book Antiqua" w:cs="Book Antiqua"/>
          <w:b/>
          <w:bCs/>
        </w:rPr>
        <w:t xml:space="preserve">Comparative analysis of the overlapping transcriptomes mapping to severe coronavirus disease 2019 liver tissue, liver cirrhosis, liver </w:t>
      </w:r>
      <w:r>
        <w:rPr>
          <w:rFonts w:ascii="Book Antiqua" w:hAnsi="Book Antiqua" w:cs="Book Antiqua"/>
          <w:b/>
          <w:bCs/>
          <w:lang w:eastAsia="zh-CN"/>
        </w:rPr>
        <w:t>f</w:t>
      </w:r>
      <w:r>
        <w:rPr>
          <w:rFonts w:ascii="Book Antiqua" w:hAnsi="Book Antiqua" w:cs="Book Antiqua"/>
          <w:b/>
          <w:bCs/>
        </w:rPr>
        <w:t xml:space="preserve">ibrosis, and </w:t>
      </w:r>
      <w:r>
        <w:rPr>
          <w:rFonts w:ascii="Book Antiqua" w:hAnsi="Book Antiqua" w:cs="Book Antiqua"/>
          <w:b/>
          <w:bCs/>
          <w:lang w:eastAsia="zh-CN"/>
        </w:rPr>
        <w:t>n</w:t>
      </w:r>
      <w:r>
        <w:rPr>
          <w:rFonts w:ascii="Book Antiqua" w:hAnsi="Book Antiqua" w:cs="Book Antiqua"/>
          <w:b/>
          <w:bCs/>
        </w:rPr>
        <w:t xml:space="preserve">on-alcoholic fatty liver disease. </w:t>
      </w:r>
      <w:r>
        <w:rPr>
          <w:rFonts w:ascii="Book Antiqua" w:hAnsi="Book Antiqua" w:cs="Book Antiqua"/>
        </w:rPr>
        <w:t>A: T</w:t>
      </w:r>
      <w:r>
        <w:rPr>
          <w:rFonts w:ascii="Book Antiqua" w:hAnsi="Book Antiqua" w:cs="Book Antiqua"/>
        </w:rPr>
        <w:t xml:space="preserve">op 20 Genes overlapping between the upregulated transcriptome of severe </w:t>
      </w:r>
      <w:r>
        <w:rPr>
          <w:rFonts w:ascii="Book Antiqua" w:eastAsia="Book Antiqua" w:hAnsi="Book Antiqua" w:cs="Book Antiqua"/>
          <w:color w:val="000000"/>
          <w:lang w:bidi="ar"/>
        </w:rPr>
        <w:t>coronavirus disease 2019</w:t>
      </w:r>
      <w:r>
        <w:rPr>
          <w:rFonts w:ascii="Book Antiqua" w:eastAsia="宋体" w:hAnsi="Book Antiqua" w:cs="Book Antiqua"/>
          <w:color w:val="000000"/>
          <w:lang w:eastAsia="zh-CN" w:bidi="ar"/>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liver tissue samples and the </w:t>
      </w:r>
      <w:r>
        <w:rPr>
          <w:rFonts w:ascii="Book Antiqua" w:hAnsi="Book Antiqua" w:cs="Book Antiqua"/>
        </w:rPr>
        <w:lastRenderedPageBreak/>
        <w:t xml:space="preserve">signatures of liver cirrhosis, liver fibrosis, and </w:t>
      </w:r>
      <w:r>
        <w:rPr>
          <w:rFonts w:ascii="Book Antiqua" w:hAnsi="Book Antiqua" w:cs="Book Antiqua"/>
          <w:lang w:eastAsia="zh-CN"/>
        </w:rPr>
        <w:t>n</w:t>
      </w:r>
      <w:r>
        <w:rPr>
          <w:rFonts w:ascii="Book Antiqua" w:hAnsi="Book Antiqua" w:cs="Book Antiqua"/>
        </w:rPr>
        <w:t>on-alcoholic fatty liver disease retrieved from DisGeNET;</w:t>
      </w:r>
      <w:r>
        <w:rPr>
          <w:rFonts w:ascii="Book Antiqua" w:hAnsi="Book Antiqua" w:cs="Book Antiqua"/>
        </w:rPr>
        <w:t xml:space="preserve"> </w:t>
      </w:r>
      <w:r>
        <w:rPr>
          <w:rFonts w:ascii="Book Antiqua" w:hAnsi="Book Antiqua" w:cs="Book Antiqua"/>
          <w:lang w:eastAsia="zh-CN"/>
        </w:rPr>
        <w:t>g</w:t>
      </w:r>
      <w:r>
        <w:rPr>
          <w:rFonts w:ascii="Book Antiqua" w:hAnsi="Book Antiqua" w:cs="Book Antiqua"/>
        </w:rPr>
        <w:t xml:space="preserve">ene disease association score was retrieved from DisGeNET and </w:t>
      </w:r>
      <w:r>
        <w:rPr>
          <w:rFonts w:ascii="Book Antiqua" w:hAnsi="Book Antiqua" w:cs="Book Antiqua"/>
          <w:lang w:eastAsia="zh-CN"/>
        </w:rPr>
        <w:t>f</w:t>
      </w:r>
      <w:r>
        <w:rPr>
          <w:rFonts w:ascii="Book Antiqua" w:hAnsi="Book Antiqua" w:cs="Book Antiqua"/>
        </w:rPr>
        <w:t xml:space="preserve">old change is calculated using AltAnalyze to represent the difference in expression in COVID-19 liver tissue samples </w:t>
      </w:r>
      <w:r>
        <w:rPr>
          <w:rFonts w:ascii="Book Antiqua" w:hAnsi="Book Antiqua" w:cs="Book Antiqua"/>
          <w:i/>
          <w:iCs/>
        </w:rPr>
        <w:t>vs</w:t>
      </w:r>
      <w:r>
        <w:rPr>
          <w:rFonts w:ascii="Book Antiqua" w:hAnsi="Book Antiqua" w:cs="Book Antiqua"/>
        </w:rPr>
        <w:t xml:space="preserve"> non-COVID-19 liver samples; B: functional clustering and pathway analysis of the overlapping transcriptome (upregulated and downregulated) of the severe COVID-19 patients’ liver tissues with the disease signature of liver cirrhosis, liver fibrosis, and no</w:t>
      </w:r>
      <w:r>
        <w:rPr>
          <w:rFonts w:ascii="Book Antiqua" w:hAnsi="Book Antiqua" w:cs="Book Antiqua"/>
        </w:rPr>
        <w:t xml:space="preserve">n-alcoholic fatty liver disease analyzed using Metascape. GDA score: </w:t>
      </w:r>
      <w:r>
        <w:rPr>
          <w:rFonts w:ascii="Book Antiqua" w:hAnsi="Book Antiqua" w:cs="Book Antiqua"/>
          <w:lang w:eastAsia="zh-CN"/>
        </w:rPr>
        <w:t>G</w:t>
      </w:r>
      <w:r>
        <w:rPr>
          <w:rFonts w:ascii="Book Antiqua" w:hAnsi="Book Antiqua" w:cs="Book Antiqua"/>
        </w:rPr>
        <w:t xml:space="preserve">ene disease association score; F.C.: </w:t>
      </w:r>
      <w:r>
        <w:rPr>
          <w:rFonts w:ascii="Book Antiqua" w:hAnsi="Book Antiqua" w:cs="Book Antiqua"/>
          <w:lang w:eastAsia="zh-CN"/>
        </w:rPr>
        <w:t>F</w:t>
      </w:r>
      <w:r>
        <w:rPr>
          <w:rFonts w:ascii="Book Antiqua" w:hAnsi="Book Antiqua" w:cs="Book Antiqua"/>
        </w:rPr>
        <w:t>old change.</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836549" cy="693353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5985" cy="6944747"/>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 xml:space="preserve">Figure 5 Comparative analysis of the overlapping transcriptomes mapping to severe </w:t>
      </w:r>
      <w:r>
        <w:rPr>
          <w:rFonts w:ascii="Book Antiqua" w:eastAsia="Book Antiqua" w:hAnsi="Book Antiqua" w:cs="Book Antiqua"/>
          <w:b/>
          <w:bCs/>
          <w:color w:val="000000"/>
          <w:lang w:bidi="ar"/>
        </w:rPr>
        <w:t>coronavirus disease 2019</w:t>
      </w:r>
      <w:r>
        <w:rPr>
          <w:rFonts w:ascii="Book Antiqua" w:hAnsi="Book Antiqua" w:cs="Book Antiqua"/>
          <w:b/>
          <w:bCs/>
        </w:rPr>
        <w:t xml:space="preserve"> liver tissue, hepatitis a, hepatitis b, and hepatitis C.</w:t>
      </w:r>
      <w:r>
        <w:rPr>
          <w:rFonts w:ascii="Book Antiqua" w:hAnsi="Book Antiqua" w:cs="Book Antiqua"/>
        </w:rPr>
        <w:t xml:space="preserve"> A: Table representing the genes overlapping between the upregulated signature of severe acute respiratory syndrome coronavirus 2 (SARS-CoV2) infected liver tissue samples and the </w:t>
      </w:r>
      <w:r>
        <w:rPr>
          <w:rFonts w:ascii="Book Antiqua" w:hAnsi="Book Antiqua" w:cs="Book Antiqua"/>
        </w:rPr>
        <w:lastRenderedPageBreak/>
        <w:t>signatures of hepat</w:t>
      </w:r>
      <w:r>
        <w:rPr>
          <w:rFonts w:ascii="Book Antiqua" w:hAnsi="Book Antiqua" w:cs="Book Antiqua"/>
        </w:rPr>
        <w:t xml:space="preserve">itis A, B, and C retrieved from DisGeNET; gene disease association score was retrieved from DisGeNET and fold change is calculated using AltAnalyze to represent the difference in expression in COVID-19 liver tissue samples </w:t>
      </w:r>
      <w:r>
        <w:rPr>
          <w:rFonts w:ascii="Book Antiqua" w:hAnsi="Book Antiqua" w:cs="Book Antiqua"/>
          <w:i/>
          <w:iCs/>
        </w:rPr>
        <w:t>vs</w:t>
      </w:r>
      <w:r>
        <w:rPr>
          <w:rFonts w:ascii="Book Antiqua" w:hAnsi="Book Antiqua" w:cs="Book Antiqua"/>
        </w:rPr>
        <w:t xml:space="preserve"> non-COVID-19 liver samples; B:</w:t>
      </w:r>
      <w:r>
        <w:rPr>
          <w:rFonts w:ascii="Book Antiqua" w:hAnsi="Book Antiqua" w:cs="Book Antiqua"/>
        </w:rPr>
        <w:t xml:space="preserve"> Top 20 pathways and functional clusters enriched in the commonly upregulated genes between SARS-CoV-2 infected liver tissues and hepatitis A, B, and C disease signatures analyzed using Metascape. GDA score: </w:t>
      </w:r>
      <w:r>
        <w:rPr>
          <w:rFonts w:ascii="Book Antiqua" w:hAnsi="Book Antiqua" w:cs="Book Antiqua"/>
          <w:lang w:eastAsia="zh-CN"/>
        </w:rPr>
        <w:t>G</w:t>
      </w:r>
      <w:r>
        <w:rPr>
          <w:rFonts w:ascii="Book Antiqua" w:hAnsi="Book Antiqua" w:cs="Book Antiqua"/>
        </w:rPr>
        <w:t xml:space="preserve">ene disease association score; F.C.: </w:t>
      </w:r>
      <w:r>
        <w:rPr>
          <w:rFonts w:ascii="Book Antiqua" w:hAnsi="Book Antiqua" w:cs="Book Antiqua"/>
          <w:lang w:eastAsia="zh-CN"/>
        </w:rPr>
        <w:t>F</w:t>
      </w:r>
      <w:r>
        <w:rPr>
          <w:rFonts w:ascii="Book Antiqua" w:hAnsi="Book Antiqua" w:cs="Book Antiqua"/>
        </w:rPr>
        <w:t>old chang</w:t>
      </w:r>
      <w:r>
        <w:rPr>
          <w:rFonts w:ascii="Book Antiqua" w:hAnsi="Book Antiqua" w:cs="Book Antiqua"/>
        </w:rPr>
        <w:t>e.</w:t>
      </w:r>
    </w:p>
    <w:p w:rsidR="005F527F" w:rsidRDefault="00542EC0" w:rsidP="001736C0">
      <w:pPr>
        <w:adjustRightInd w:val="0"/>
        <w:snapToGrid w:val="0"/>
        <w:spacing w:after="0" w:line="360" w:lineRule="auto"/>
        <w:rPr>
          <w:rFonts w:ascii="Book Antiqua" w:hAnsi="Book Antiqua" w:cs="Book Antiqua"/>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rPr>
      </w:pPr>
      <w:r>
        <w:rPr>
          <w:noProof/>
          <w:lang w:eastAsia="zh-CN"/>
        </w:rPr>
        <w:lastRenderedPageBreak/>
        <w:drawing>
          <wp:inline distT="0" distB="0" distL="114300" distR="114300">
            <wp:extent cx="4861451" cy="5072932"/>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3"/>
                    <a:stretch>
                      <a:fillRect/>
                    </a:stretch>
                  </pic:blipFill>
                  <pic:spPr>
                    <a:xfrm>
                      <a:off x="0" y="0"/>
                      <a:ext cx="4868978" cy="5080787"/>
                    </a:xfrm>
                    <a:prstGeom prst="rect">
                      <a:avLst/>
                    </a:prstGeom>
                    <a:noFill/>
                    <a:ln>
                      <a:noFill/>
                    </a:ln>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6</w:t>
      </w:r>
      <w:r>
        <w:rPr>
          <w:rFonts w:ascii="Book Antiqua" w:hAnsi="Book Antiqua" w:cs="Book Antiqua"/>
        </w:rPr>
        <w:t xml:space="preserve"> </w:t>
      </w:r>
      <w:r>
        <w:rPr>
          <w:rFonts w:ascii="Book Antiqua" w:hAnsi="Book Antiqua" w:cs="Book Antiqua"/>
          <w:b/>
          <w:bCs/>
        </w:rPr>
        <w:t>functional clustering analysis of the downregulated transcriptome of severe coronavirus disease 2019 patients liver autopsy tissues.</w:t>
      </w:r>
      <w:r>
        <w:rPr>
          <w:rFonts w:ascii="Book Antiqua" w:hAnsi="Book Antiqua" w:cs="Book Antiqua"/>
        </w:rPr>
        <w:t xml:space="preserve"> A: Heatmap representation of the differentially downregulated genes and subsequently enriched pathways and </w:t>
      </w:r>
      <w:r>
        <w:rPr>
          <w:rFonts w:ascii="Book Antiqua" w:hAnsi="Book Antiqua" w:cs="Book Antiqua"/>
        </w:rPr>
        <w:t xml:space="preserve">functional clusters in severe acute respiratory syndrome coronavirus 2 (SARS-CoV2) infected liver samples in comparison to baseline expression in healthy tissue samples; B: box plot representation of some of the top downregulated transcripts in SARS-CoV-2 </w:t>
      </w:r>
      <w:r>
        <w:rPr>
          <w:rFonts w:ascii="Book Antiqua" w:hAnsi="Book Antiqua" w:cs="Book Antiqua"/>
        </w:rPr>
        <w:t xml:space="preserve">infected liver tissue samples. </w:t>
      </w:r>
      <w:bookmarkStart w:id="2" w:name="_Hlk53911878"/>
      <w:r>
        <w:rPr>
          <w:rFonts w:ascii="Book Antiqua" w:hAnsi="Book Antiqua" w:cs="Book Antiqua"/>
        </w:rPr>
        <w:t xml:space="preserve">Data presented as mean ± SE; </w:t>
      </w:r>
      <w:r>
        <w:rPr>
          <w:rFonts w:ascii="Book Antiqua" w:hAnsi="Book Antiqua" w:cs="Book Antiqua"/>
          <w:i/>
          <w:iCs/>
          <w:vertAlign w:val="superscript"/>
        </w:rPr>
        <w:t>a</w:t>
      </w:r>
      <w:r>
        <w:rPr>
          <w:rFonts w:ascii="Book Antiqua" w:hAnsi="Book Antiqua" w:cs="Book Antiqua"/>
          <w:i/>
          <w:iCs/>
        </w:rPr>
        <w:t>P</w:t>
      </w:r>
      <w:r>
        <w:rPr>
          <w:rFonts w:ascii="Book Antiqua" w:hAnsi="Book Antiqua" w:cs="Book Antiqua"/>
        </w:rPr>
        <w:t xml:space="preserve"> &lt; 0.05, </w:t>
      </w:r>
      <w:r>
        <w:rPr>
          <w:rFonts w:ascii="Book Antiqua" w:hAnsi="Book Antiqua" w:cs="Book Antiqua"/>
          <w:i/>
          <w:iCs/>
          <w:vertAlign w:val="superscript"/>
        </w:rPr>
        <w:t>b</w:t>
      </w:r>
      <w:r>
        <w:rPr>
          <w:rFonts w:ascii="Book Antiqua" w:hAnsi="Book Antiqua" w:cs="Book Antiqua"/>
          <w:i/>
          <w:iCs/>
        </w:rPr>
        <w:t>P</w:t>
      </w:r>
      <w:r>
        <w:rPr>
          <w:rFonts w:ascii="Book Antiqua" w:hAnsi="Book Antiqua" w:cs="Book Antiqua"/>
        </w:rPr>
        <w:t xml:space="preserve"> &lt; 0.01, </w:t>
      </w:r>
      <w:r>
        <w:rPr>
          <w:rFonts w:ascii="Book Antiqua" w:hAnsi="Book Antiqua" w:cs="Book Antiqua"/>
          <w:i/>
          <w:iCs/>
          <w:vertAlign w:val="superscript"/>
        </w:rPr>
        <w:t>c</w:t>
      </w:r>
      <w:r>
        <w:rPr>
          <w:rFonts w:ascii="Book Antiqua" w:hAnsi="Book Antiqua" w:cs="Book Antiqua"/>
          <w:i/>
          <w:iCs/>
        </w:rPr>
        <w:t>P</w:t>
      </w:r>
      <w:r>
        <w:rPr>
          <w:rFonts w:ascii="Book Antiqua" w:hAnsi="Book Antiqua" w:cs="Book Antiqua"/>
        </w:rPr>
        <w:t xml:space="preserve"> &lt; 0.001, </w:t>
      </w:r>
      <w:r>
        <w:rPr>
          <w:rFonts w:ascii="Book Antiqua" w:hAnsi="Book Antiqua" w:cs="Book Antiqua"/>
          <w:i/>
          <w:iCs/>
          <w:vertAlign w:val="superscript"/>
        </w:rPr>
        <w:t>d</w:t>
      </w:r>
      <w:r>
        <w:rPr>
          <w:rFonts w:ascii="Book Antiqua" w:hAnsi="Book Antiqua" w:cs="Book Antiqua"/>
          <w:i/>
          <w:iCs/>
        </w:rPr>
        <w:t>P</w:t>
      </w:r>
      <w:r>
        <w:rPr>
          <w:rFonts w:ascii="Book Antiqua" w:hAnsi="Book Antiqua" w:cs="Book Antiqua"/>
        </w:rPr>
        <w:t xml:space="preserve"> &lt; 0.0005, </w:t>
      </w:r>
      <w:r>
        <w:rPr>
          <w:rFonts w:ascii="Book Antiqua" w:hAnsi="Book Antiqua" w:cs="Book Antiqua"/>
          <w:i/>
          <w:iCs/>
          <w:vertAlign w:val="superscript"/>
        </w:rPr>
        <w:t>e</w:t>
      </w:r>
      <w:r>
        <w:rPr>
          <w:rFonts w:ascii="Book Antiqua" w:hAnsi="Book Antiqua" w:cs="Book Antiqua"/>
          <w:i/>
          <w:iCs/>
        </w:rPr>
        <w:t>P</w:t>
      </w:r>
      <w:r>
        <w:rPr>
          <w:rFonts w:ascii="Book Antiqua" w:hAnsi="Book Antiqua" w:cs="Book Antiqua"/>
        </w:rPr>
        <w:t xml:space="preserve"> &lt; 0.0001 COVID-19 </w:t>
      </w:r>
      <w:r>
        <w:rPr>
          <w:rFonts w:ascii="Book Antiqua" w:hAnsi="Book Antiqua" w:cs="Book Antiqua"/>
          <w:i/>
          <w:iCs/>
        </w:rPr>
        <w:t>vs</w:t>
      </w:r>
      <w:r>
        <w:rPr>
          <w:rFonts w:ascii="Book Antiqua" w:hAnsi="Book Antiqua" w:cs="Book Antiqua"/>
        </w:rPr>
        <w:t xml:space="preserve"> Healthy. </w:t>
      </w:r>
      <w:r>
        <w:rPr>
          <w:rFonts w:ascii="Book Antiqua" w:hAnsi="Book Antiqua" w:cs="Book Antiqua"/>
          <w:i/>
          <w:iCs/>
        </w:rPr>
        <w:t>ACAD11</w:t>
      </w:r>
      <w:r>
        <w:rPr>
          <w:rFonts w:ascii="Book Antiqua" w:hAnsi="Book Antiqua" w:cs="Book Antiqua"/>
        </w:rPr>
        <w:t xml:space="preserve">: </w:t>
      </w:r>
      <w:r>
        <w:rPr>
          <w:rFonts w:ascii="Book Antiqua" w:eastAsia="Book Antiqua" w:hAnsi="Book Antiqua" w:cs="Book Antiqua"/>
          <w:color w:val="000000"/>
        </w:rPr>
        <w:t xml:space="preserve">acyl-CoA dehydrogenases 11; </w:t>
      </w:r>
      <w:r>
        <w:rPr>
          <w:rFonts w:ascii="Book Antiqua" w:eastAsia="Book Antiqua" w:hAnsi="Book Antiqua" w:cs="Book Antiqua"/>
          <w:i/>
          <w:iCs/>
          <w:color w:val="000000"/>
        </w:rPr>
        <w:t>CIDEB</w:t>
      </w:r>
      <w:r>
        <w:rPr>
          <w:rFonts w:ascii="Book Antiqua" w:eastAsia="Book Antiqua" w:hAnsi="Book Antiqua" w:cs="Book Antiqua"/>
          <w:color w:val="000000"/>
        </w:rPr>
        <w:t xml:space="preserve">: cell death-inducing DNA fragmentation factor alpha-like effector B; </w:t>
      </w:r>
      <w:r>
        <w:rPr>
          <w:rFonts w:ascii="Book Antiqua" w:eastAsia="Book Antiqua" w:hAnsi="Book Antiqua" w:cs="Book Antiqua"/>
          <w:i/>
          <w:iCs/>
          <w:color w:val="000000"/>
        </w:rPr>
        <w:t>GNMT</w:t>
      </w:r>
      <w:r>
        <w:rPr>
          <w:rFonts w:ascii="Book Antiqua" w:eastAsia="Book Antiqua" w:hAnsi="Book Antiqua" w:cs="Book Antiqua"/>
          <w:color w:val="000000"/>
        </w:rPr>
        <w:t xml:space="preserve">: glycine N-methyltransferase; </w:t>
      </w:r>
      <w:r>
        <w:rPr>
          <w:rFonts w:ascii="Book Antiqua" w:eastAsia="Book Antiqua" w:hAnsi="Book Antiqua" w:cs="Book Antiqua"/>
          <w:i/>
          <w:iCs/>
          <w:color w:val="000000"/>
        </w:rPr>
        <w:t>GPAM</w:t>
      </w:r>
      <w:r>
        <w:rPr>
          <w:rFonts w:ascii="Book Antiqua" w:eastAsia="Book Antiqua" w:hAnsi="Book Antiqua" w:cs="Book Antiqua"/>
          <w:color w:val="000000"/>
        </w:rPr>
        <w:t>: glycerol-3-phosphate acyltransferase and metabolism.</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br w:type="page"/>
      </w:r>
      <w:r>
        <w:rPr>
          <w:rFonts w:ascii="Book Antiqua" w:hAnsi="Book Antiqua" w:cs="Book Antiqua"/>
          <w:noProof/>
          <w:lang w:eastAsia="zh-CN"/>
        </w:rPr>
        <w:lastRenderedPageBreak/>
        <w:drawing>
          <wp:inline distT="0" distB="0" distL="0" distR="0">
            <wp:extent cx="5910580" cy="674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6419" cy="6775510"/>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bookmarkStart w:id="3" w:name="OLE_LINK2"/>
      <w:r>
        <w:rPr>
          <w:rFonts w:ascii="Book Antiqua" w:hAnsi="Book Antiqua" w:cs="Book Antiqua"/>
          <w:b/>
          <w:bCs/>
        </w:rPr>
        <w:t xml:space="preserve">Figure 7 Enrichment of cytochromes P450 family members involved in drug and xenobiotics metabolism in the downregulated transcriptome of severe </w:t>
      </w:r>
      <w:r>
        <w:rPr>
          <w:rFonts w:ascii="Book Antiqua" w:eastAsia="Book Antiqua" w:hAnsi="Book Antiqua" w:cs="Book Antiqua"/>
          <w:b/>
          <w:bCs/>
          <w:color w:val="000000"/>
          <w:lang w:bidi="ar"/>
        </w:rPr>
        <w:t>coronavirus disease</w:t>
      </w:r>
      <w:r>
        <w:rPr>
          <w:rFonts w:ascii="Book Antiqua" w:eastAsia="Book Antiqua" w:hAnsi="Book Antiqua" w:cs="Book Antiqua"/>
          <w:b/>
          <w:bCs/>
          <w:color w:val="000000"/>
          <w:lang w:bidi="ar"/>
        </w:rPr>
        <w:t xml:space="preserve"> 2019</w:t>
      </w:r>
      <w:r>
        <w:rPr>
          <w:rFonts w:ascii="Book Antiqua" w:hAnsi="Book Antiqua" w:cs="Book Antiqua"/>
          <w:b/>
          <w:bCs/>
        </w:rPr>
        <w:t xml:space="preserve"> patients liver tissues. </w:t>
      </w:r>
      <w:r>
        <w:rPr>
          <w:rFonts w:ascii="Book Antiqua" w:hAnsi="Book Antiqua" w:cs="Book Antiqua"/>
        </w:rPr>
        <w:t xml:space="preserve">A: </w:t>
      </w:r>
      <w:r>
        <w:rPr>
          <w:rFonts w:ascii="Book Antiqua" w:hAnsi="Book Antiqua" w:cs="Book Antiqua"/>
          <w:lang w:eastAsia="zh-CN"/>
        </w:rPr>
        <w:t>B</w:t>
      </w:r>
      <w:r>
        <w:rPr>
          <w:rFonts w:ascii="Book Antiqua" w:hAnsi="Book Antiqua" w:cs="Book Antiqua"/>
        </w:rPr>
        <w:t xml:space="preserve">ox plot representation of some of the significantly downregulated cytochrome P450 family members; B: Kegg pathway representations of the suppressive effect of severe acute respiratory syndrome coronavirus 2 infection in </w:t>
      </w:r>
      <w:r>
        <w:rPr>
          <w:rFonts w:ascii="Book Antiqua" w:hAnsi="Book Antiqua" w:cs="Book Antiqua"/>
        </w:rPr>
        <w:lastRenderedPageBreak/>
        <w:t>li</w:t>
      </w:r>
      <w:r>
        <w:rPr>
          <w:rFonts w:ascii="Book Antiqua" w:hAnsi="Book Antiqua" w:cs="Book Antiqua"/>
        </w:rPr>
        <w:t xml:space="preserve">ver on xenobiotic and drug metabolism through cytochrome P450 and other enzymes. Data presented as mean ± SE; </w:t>
      </w:r>
      <w:r>
        <w:rPr>
          <w:rFonts w:ascii="Book Antiqua" w:hAnsi="Book Antiqua" w:cs="Book Antiqua"/>
          <w:i/>
          <w:iCs/>
          <w:vertAlign w:val="superscript"/>
        </w:rPr>
        <w:t>a</w:t>
      </w:r>
      <w:r>
        <w:rPr>
          <w:rFonts w:ascii="Book Antiqua" w:hAnsi="Book Antiqua" w:cs="Book Antiqua"/>
          <w:i/>
          <w:iCs/>
        </w:rPr>
        <w:t>P</w:t>
      </w:r>
      <w:r>
        <w:rPr>
          <w:rFonts w:ascii="Book Antiqua" w:hAnsi="Book Antiqua" w:cs="Book Antiqua"/>
        </w:rPr>
        <w:t xml:space="preserve"> &lt; 0.05, </w:t>
      </w:r>
      <w:r>
        <w:rPr>
          <w:rFonts w:ascii="Book Antiqua" w:hAnsi="Book Antiqua" w:cs="Book Antiqua"/>
          <w:i/>
          <w:iCs/>
          <w:vertAlign w:val="superscript"/>
        </w:rPr>
        <w:t>b</w:t>
      </w:r>
      <w:r>
        <w:rPr>
          <w:rFonts w:ascii="Book Antiqua" w:hAnsi="Book Antiqua" w:cs="Book Antiqua"/>
          <w:i/>
          <w:iCs/>
        </w:rPr>
        <w:t>P</w:t>
      </w:r>
      <w:r>
        <w:rPr>
          <w:rFonts w:ascii="Book Antiqua" w:hAnsi="Book Antiqua" w:cs="Book Antiqua"/>
        </w:rPr>
        <w:t xml:space="preserve"> &lt; 0.01, </w:t>
      </w:r>
      <w:r>
        <w:rPr>
          <w:rFonts w:ascii="Book Antiqua" w:hAnsi="Book Antiqua" w:cs="Book Antiqua"/>
          <w:i/>
          <w:iCs/>
          <w:vertAlign w:val="superscript"/>
        </w:rPr>
        <w:t>c</w:t>
      </w:r>
      <w:r>
        <w:rPr>
          <w:rFonts w:ascii="Book Antiqua" w:hAnsi="Book Antiqua" w:cs="Book Antiqua"/>
          <w:i/>
          <w:iCs/>
        </w:rPr>
        <w:t>P</w:t>
      </w:r>
      <w:r>
        <w:rPr>
          <w:rFonts w:ascii="Book Antiqua" w:hAnsi="Book Antiqua" w:cs="Book Antiqua"/>
        </w:rPr>
        <w:t xml:space="preserve"> &lt; 0.001, </w:t>
      </w:r>
      <w:r>
        <w:rPr>
          <w:rFonts w:ascii="Book Antiqua" w:hAnsi="Book Antiqua" w:cs="Book Antiqua"/>
          <w:i/>
          <w:iCs/>
          <w:vertAlign w:val="superscript"/>
        </w:rPr>
        <w:t>d</w:t>
      </w:r>
      <w:r>
        <w:rPr>
          <w:rFonts w:ascii="Book Antiqua" w:hAnsi="Book Antiqua" w:cs="Book Antiqua"/>
          <w:i/>
          <w:iCs/>
        </w:rPr>
        <w:t>P</w:t>
      </w:r>
      <w:r>
        <w:rPr>
          <w:rFonts w:ascii="Book Antiqua" w:hAnsi="Book Antiqua" w:cs="Book Antiqua"/>
        </w:rPr>
        <w:t xml:space="preserve"> &lt; 0.0005, </w:t>
      </w:r>
      <w:r>
        <w:rPr>
          <w:rFonts w:ascii="Book Antiqua" w:hAnsi="Book Antiqua" w:cs="Book Antiqua"/>
          <w:i/>
          <w:iCs/>
          <w:vertAlign w:val="superscript"/>
        </w:rPr>
        <w:t>e</w:t>
      </w:r>
      <w:r>
        <w:rPr>
          <w:rFonts w:ascii="Book Antiqua" w:hAnsi="Book Antiqua" w:cs="Book Antiqua"/>
          <w:i/>
          <w:iCs/>
        </w:rPr>
        <w:t>P</w:t>
      </w:r>
      <w:r>
        <w:rPr>
          <w:rFonts w:ascii="Book Antiqua" w:hAnsi="Book Antiqua" w:cs="Book Antiqua"/>
        </w:rPr>
        <w:t xml:space="preserve"> &lt; 0.0001 coronavirus disease 2019 (COVID-19) </w:t>
      </w:r>
      <w:r>
        <w:rPr>
          <w:rFonts w:ascii="Book Antiqua" w:hAnsi="Book Antiqua" w:cs="Book Antiqua"/>
          <w:i/>
          <w:iCs/>
        </w:rPr>
        <w:t>vs</w:t>
      </w:r>
      <w:r>
        <w:rPr>
          <w:rFonts w:ascii="Book Antiqua" w:hAnsi="Book Antiqua" w:cs="Book Antiqua"/>
        </w:rPr>
        <w:t xml:space="preserve"> Healthy. </w:t>
      </w:r>
      <w:r>
        <w:rPr>
          <w:rFonts w:ascii="Book Antiqua" w:hAnsi="Book Antiqua" w:cs="Book Antiqua"/>
          <w:i/>
          <w:iCs/>
        </w:rPr>
        <w:t>CYP39A1</w:t>
      </w:r>
      <w:r>
        <w:rPr>
          <w:rFonts w:ascii="Book Antiqua" w:hAnsi="Book Antiqua" w:cs="Book Antiqua"/>
        </w:rPr>
        <w:t xml:space="preserve">: </w:t>
      </w:r>
      <w:r>
        <w:rPr>
          <w:rFonts w:ascii="Book Antiqua" w:hAnsi="Book Antiqua" w:cs="Book Antiqua"/>
          <w:lang w:eastAsia="zh-CN"/>
        </w:rPr>
        <w:t>C</w:t>
      </w:r>
      <w:r>
        <w:rPr>
          <w:rFonts w:ascii="Book Antiqua" w:hAnsi="Book Antiqua" w:cs="Book Antiqua"/>
        </w:rPr>
        <w:t>ytochrome P450 family 39 subf</w:t>
      </w:r>
      <w:r>
        <w:rPr>
          <w:rFonts w:ascii="Book Antiqua" w:hAnsi="Book Antiqua" w:cs="Book Antiqua"/>
        </w:rPr>
        <w:t xml:space="preserve">amily A member 1; CYP11A1: </w:t>
      </w:r>
      <w:r>
        <w:rPr>
          <w:rFonts w:ascii="Book Antiqua" w:hAnsi="Book Antiqua" w:cs="Book Antiqua"/>
          <w:lang w:eastAsia="zh-CN"/>
        </w:rPr>
        <w:t>C</w:t>
      </w:r>
      <w:r>
        <w:rPr>
          <w:rFonts w:ascii="Book Antiqua" w:hAnsi="Book Antiqua" w:cs="Book Antiqua"/>
        </w:rPr>
        <w:t xml:space="preserve">ytochrome P450 family 11 subfamily A member 1; CYP4X1: </w:t>
      </w:r>
      <w:r>
        <w:rPr>
          <w:rFonts w:ascii="Book Antiqua" w:hAnsi="Book Antiqua" w:cs="Book Antiqua"/>
          <w:lang w:eastAsia="zh-CN"/>
        </w:rPr>
        <w:t>C</w:t>
      </w:r>
      <w:r>
        <w:rPr>
          <w:rFonts w:ascii="Book Antiqua" w:hAnsi="Book Antiqua" w:cs="Book Antiqua"/>
        </w:rPr>
        <w:t xml:space="preserve">ytochrome P450 family 4 subfamily X member 1; CYP2U1: </w:t>
      </w:r>
      <w:r>
        <w:rPr>
          <w:rFonts w:ascii="Book Antiqua" w:hAnsi="Book Antiqua" w:cs="Book Antiqua"/>
          <w:lang w:eastAsia="zh-CN"/>
        </w:rPr>
        <w:t>C</w:t>
      </w:r>
      <w:r>
        <w:rPr>
          <w:rFonts w:ascii="Book Antiqua" w:hAnsi="Book Antiqua" w:cs="Book Antiqua"/>
        </w:rPr>
        <w:t xml:space="preserve">ytochrome P450 family 2 subfamily U member 1; CYP1A2: </w:t>
      </w:r>
      <w:r>
        <w:rPr>
          <w:rFonts w:ascii="Book Antiqua" w:hAnsi="Book Antiqua" w:cs="Book Antiqua"/>
          <w:lang w:eastAsia="zh-CN"/>
        </w:rPr>
        <w:t>C</w:t>
      </w:r>
      <w:r>
        <w:rPr>
          <w:rFonts w:ascii="Book Antiqua" w:hAnsi="Book Antiqua" w:cs="Book Antiqua"/>
        </w:rPr>
        <w:t>ytochrome P450 family 1 subfamily A member 2.</w:t>
      </w:r>
    </w:p>
    <w:p w:rsidR="005F527F" w:rsidRDefault="005F527F" w:rsidP="001736C0">
      <w:pPr>
        <w:adjustRightInd w:val="0"/>
        <w:snapToGrid w:val="0"/>
        <w:spacing w:after="0" w:line="360" w:lineRule="auto"/>
        <w:jc w:val="both"/>
        <w:rPr>
          <w:rFonts w:ascii="Book Antiqua" w:hAnsi="Book Antiqua" w:cs="Book Antiqua"/>
        </w:rPr>
      </w:pPr>
    </w:p>
    <w:bookmarkEnd w:id="3"/>
    <w:p w:rsidR="005F527F" w:rsidRDefault="00542EC0" w:rsidP="001736C0">
      <w:pPr>
        <w:adjustRightInd w:val="0"/>
        <w:snapToGrid w:val="0"/>
        <w:spacing w:after="0" w:line="360" w:lineRule="auto"/>
        <w:jc w:val="both"/>
        <w:rPr>
          <w:rFonts w:ascii="Book Antiqua" w:hAnsi="Book Antiqua" w:cs="Book Antiqua"/>
          <w:vertAlign w:val="superscript"/>
        </w:rPr>
      </w:pPr>
      <w:r>
        <w:rPr>
          <w:rFonts w:ascii="Book Antiqua" w:hAnsi="Book Antiqua" w:cs="Book Antiqua"/>
        </w:rPr>
        <w:br w:type="page"/>
      </w:r>
      <w:r>
        <w:rPr>
          <w:rFonts w:ascii="Book Antiqua" w:hAnsi="Book Antiqua" w:cs="Book Antiqua"/>
          <w:noProof/>
          <w:vertAlign w:val="superscript"/>
          <w:lang w:eastAsia="zh-CN"/>
        </w:rPr>
        <w:lastRenderedPageBreak/>
        <w:drawing>
          <wp:inline distT="0" distB="0" distL="0" distR="0">
            <wp:extent cx="4635500" cy="2631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9558" cy="2639221"/>
                    </a:xfrm>
                    <a:prstGeom prst="rect">
                      <a:avLst/>
                    </a:prstGeom>
                  </pic:spPr>
                </pic:pic>
              </a:graphicData>
            </a:graphic>
          </wp:inline>
        </w:drawing>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t>Figure 8</w:t>
      </w:r>
      <w:r>
        <w:rPr>
          <w:rFonts w:ascii="Book Antiqua" w:hAnsi="Book Antiqua" w:cs="Book Antiqua"/>
        </w:rPr>
        <w:t xml:space="preserve"> </w:t>
      </w:r>
      <w:r>
        <w:rPr>
          <w:rFonts w:ascii="Book Antiqua" w:hAnsi="Book Antiqua" w:cs="Book Antiqua"/>
          <w:b/>
          <w:bCs/>
        </w:rPr>
        <w:t xml:space="preserve">Validation of </w:t>
      </w:r>
      <w:r>
        <w:rPr>
          <w:rFonts w:ascii="Book Antiqua" w:hAnsi="Book Antiqua" w:cs="Book Antiqua"/>
          <w:b/>
          <w:bCs/>
          <w:lang w:eastAsia="zh-CN"/>
        </w:rPr>
        <w:t>d</w:t>
      </w:r>
      <w:r>
        <w:rPr>
          <w:rFonts w:ascii="Book Antiqua" w:hAnsi="Book Antiqua" w:cs="Book Antiqua"/>
          <w:b/>
          <w:bCs/>
        </w:rPr>
        <w:t xml:space="preserve">ifferentially expressed genes identified from the RNA-seq analysis of the severe coronavirus disease 2019 patients liver samples using blood plasma samples of severe coronavirus disease 2019 patients. </w:t>
      </w:r>
      <w:r>
        <w:rPr>
          <w:rFonts w:ascii="Book Antiqua" w:hAnsi="Book Antiqua" w:cs="Book Antiqua"/>
          <w:lang w:eastAsia="zh-CN"/>
        </w:rPr>
        <w:t>B</w:t>
      </w:r>
      <w:r>
        <w:rPr>
          <w:rFonts w:ascii="Book Antiqua" w:hAnsi="Book Antiqua" w:cs="Book Antiqua"/>
        </w:rPr>
        <w:t>ox plot representation of the gene expr</w:t>
      </w:r>
      <w:r>
        <w:rPr>
          <w:rFonts w:ascii="Book Antiqua" w:hAnsi="Book Antiqua" w:cs="Book Antiqua"/>
        </w:rPr>
        <w:t xml:space="preserve">ession of </w:t>
      </w:r>
      <w:r>
        <w:rPr>
          <w:rFonts w:ascii="Book Antiqua" w:hAnsi="Book Antiqua" w:cs="Book Antiqua"/>
          <w:i/>
          <w:iCs/>
        </w:rPr>
        <w:t>DNAJB1, HSP90AB1</w:t>
      </w:r>
      <w:r>
        <w:rPr>
          <w:rFonts w:ascii="Book Antiqua" w:hAnsi="Book Antiqua" w:cs="Book Antiqua"/>
        </w:rPr>
        <w:t xml:space="preserve">, and </w:t>
      </w:r>
      <w:r>
        <w:rPr>
          <w:rFonts w:ascii="Book Antiqua" w:hAnsi="Book Antiqua" w:cs="Book Antiqua"/>
          <w:i/>
          <w:iCs/>
        </w:rPr>
        <w:t>CYP39A1</w:t>
      </w:r>
      <w:r>
        <w:rPr>
          <w:rFonts w:ascii="Book Antiqua" w:hAnsi="Book Antiqua" w:cs="Book Antiqua"/>
        </w:rPr>
        <w:t xml:space="preserve"> in the blood plasma of severe coronavirus disease 2019</w:t>
      </w:r>
      <w:r>
        <w:rPr>
          <w:rFonts w:ascii="Book Antiqua" w:hAnsi="Book Antiqua" w:cs="Book Antiqua"/>
          <w:lang w:eastAsia="zh-CN"/>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without liver dysfunction (Severe) or with liver dysfunction (Severe (liver dysfunction)) in comparison to non-COVID-19 controls (Healthy); T</w:t>
      </w:r>
      <w:r>
        <w:rPr>
          <w:rFonts w:ascii="Book Antiqua" w:hAnsi="Book Antiqua" w:cs="Book Antiqua"/>
        </w:rPr>
        <w:t>he expression was detected in 4 healthy samples (DNAJB1 expression was only detected in 3 samples), 4 severe COVID-19 samples, and 9 severe COVID-19 samples with liver dysfunction (</w:t>
      </w:r>
      <w:r>
        <w:rPr>
          <w:rFonts w:ascii="Book Antiqua" w:hAnsi="Book Antiqua" w:cs="Book Antiqua"/>
          <w:i/>
          <w:iCs/>
        </w:rPr>
        <w:t>CYP39A1</w:t>
      </w:r>
      <w:r>
        <w:rPr>
          <w:rFonts w:ascii="Book Antiqua" w:hAnsi="Book Antiqua" w:cs="Book Antiqua"/>
        </w:rPr>
        <w:t xml:space="preserve"> expression was only detected in 8 samples); Data presented as mean </w:t>
      </w:r>
      <w:r>
        <w:rPr>
          <w:rFonts w:ascii="Book Antiqua" w:hAnsi="Book Antiqua" w:cs="Book Antiqua"/>
        </w:rPr>
        <w:t xml:space="preserve">± SE; </w:t>
      </w:r>
      <w:r>
        <w:rPr>
          <w:rFonts w:ascii="Book Antiqua" w:hAnsi="Book Antiqua" w:cs="Book Antiqua"/>
          <w:vertAlign w:val="superscript"/>
        </w:rPr>
        <w:t>f</w:t>
      </w:r>
      <w:r>
        <w:rPr>
          <w:rFonts w:ascii="Book Antiqua" w:hAnsi="Book Antiqua" w:cs="Book Antiqua"/>
          <w:i/>
          <w:iCs/>
        </w:rPr>
        <w:t>P</w:t>
      </w:r>
      <w:r>
        <w:rPr>
          <w:rFonts w:ascii="Book Antiqua" w:hAnsi="Book Antiqua" w:cs="Book Antiqua"/>
        </w:rPr>
        <w:t xml:space="preserve"> &lt; 0.05, </w:t>
      </w:r>
      <w:r>
        <w:rPr>
          <w:rFonts w:ascii="Book Antiqua" w:hAnsi="Book Antiqua" w:cs="Book Antiqua"/>
          <w:vertAlign w:val="superscript"/>
        </w:rPr>
        <w:t>g</w:t>
      </w:r>
      <w:r>
        <w:rPr>
          <w:rFonts w:ascii="Book Antiqua" w:hAnsi="Book Antiqua" w:cs="Book Antiqua"/>
          <w:i/>
          <w:iCs/>
        </w:rPr>
        <w:t>P</w:t>
      </w:r>
      <w:r>
        <w:rPr>
          <w:rFonts w:ascii="Book Antiqua" w:hAnsi="Book Antiqua" w:cs="Book Antiqua"/>
        </w:rPr>
        <w:t xml:space="preserve"> &lt; 0.001 Severe with liver dysfunction </w:t>
      </w:r>
      <w:r>
        <w:rPr>
          <w:rFonts w:ascii="Book Antiqua" w:hAnsi="Book Antiqua" w:cs="Book Antiqua"/>
          <w:i/>
          <w:iCs/>
        </w:rPr>
        <w:t>vs</w:t>
      </w:r>
      <w:r>
        <w:rPr>
          <w:rFonts w:ascii="Book Antiqua" w:hAnsi="Book Antiqua" w:cs="Book Antiqua"/>
        </w:rPr>
        <w:t xml:space="preserve"> Healthy. </w:t>
      </w:r>
      <w:r>
        <w:rPr>
          <w:rFonts w:ascii="Book Antiqua" w:hAnsi="Book Antiqua" w:cs="Book Antiqua"/>
          <w:i/>
          <w:iCs/>
        </w:rPr>
        <w:t>DNAJB1</w:t>
      </w:r>
      <w:r>
        <w:rPr>
          <w:rFonts w:ascii="Book Antiqua" w:hAnsi="Book Antiqua" w:cs="Book Antiqua"/>
        </w:rPr>
        <w:t xml:space="preserve">: </w:t>
      </w:r>
      <w:r>
        <w:rPr>
          <w:rFonts w:ascii="Book Antiqua" w:eastAsia="Book Antiqua" w:hAnsi="Book Antiqua" w:cs="Book Antiqua"/>
          <w:color w:val="000000"/>
        </w:rPr>
        <w:t xml:space="preserve">DnaJ heat shock protein family (Hsp40) member B1;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CYP39A1</w:t>
      </w:r>
      <w:r>
        <w:rPr>
          <w:rFonts w:ascii="Book Antiqua" w:eastAsia="Book Antiqua" w:hAnsi="Book Antiqua" w:cs="Book Antiqua"/>
          <w:color w:val="000000"/>
        </w:rPr>
        <w:t xml:space="preserve">: </w:t>
      </w:r>
      <w:r>
        <w:rPr>
          <w:rFonts w:ascii="Book Antiqua" w:eastAsia="宋体" w:hAnsi="Book Antiqua" w:cs="Book Antiqua"/>
          <w:lang w:eastAsia="zh-CN"/>
        </w:rPr>
        <w:t>C</w:t>
      </w:r>
      <w:r>
        <w:rPr>
          <w:rFonts w:ascii="Book Antiqua" w:hAnsi="Book Antiqua" w:cs="Book Antiqua"/>
        </w:rPr>
        <w:t>ytochrome P450 family 39 subfamily A member 1.</w:t>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rPr>
        <w:br w:type="page"/>
      </w:r>
    </w:p>
    <w:bookmarkEnd w:id="2"/>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noProof/>
          <w:lang w:eastAsia="zh-CN"/>
        </w:rPr>
        <w:lastRenderedPageBreak/>
        <w:drawing>
          <wp:inline distT="0" distB="0" distL="0" distR="0">
            <wp:extent cx="5964064" cy="48343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6081" cy="4860346"/>
                    </a:xfrm>
                    <a:prstGeom prst="rect">
                      <a:avLst/>
                    </a:prstGeom>
                  </pic:spPr>
                </pic:pic>
              </a:graphicData>
            </a:graphic>
          </wp:inline>
        </w:drawing>
      </w:r>
    </w:p>
    <w:p w:rsidR="00B40F46" w:rsidRDefault="00542EC0" w:rsidP="001736C0">
      <w:pPr>
        <w:adjustRightInd w:val="0"/>
        <w:snapToGrid w:val="0"/>
        <w:spacing w:after="0" w:line="360" w:lineRule="auto"/>
        <w:jc w:val="both"/>
        <w:rPr>
          <w:rFonts w:ascii="Book Antiqua" w:eastAsia="Book Antiqua" w:hAnsi="Book Antiqua" w:cs="Book Antiqua"/>
          <w:color w:val="000000"/>
        </w:rPr>
      </w:pPr>
      <w:r>
        <w:rPr>
          <w:rFonts w:ascii="Book Antiqua" w:hAnsi="Book Antiqua" w:cs="Book Antiqua"/>
          <w:b/>
          <w:bCs/>
        </w:rPr>
        <w:t>Figure 9</w:t>
      </w:r>
      <w:r>
        <w:rPr>
          <w:rFonts w:ascii="Book Antiqua" w:hAnsi="Book Antiqua" w:cs="Book Antiqua"/>
        </w:rPr>
        <w:t xml:space="preserve"> </w:t>
      </w:r>
      <w:r>
        <w:rPr>
          <w:rFonts w:ascii="Book Antiqua" w:hAnsi="Book Antiqua" w:cs="Book Antiqua"/>
          <w:b/>
          <w:bCs/>
        </w:rPr>
        <w:t>Summary of the study findings.</w:t>
      </w:r>
      <w:r>
        <w:rPr>
          <w:rFonts w:ascii="Book Antiqua" w:hAnsi="Book Antiqua" w:cs="Book Antiqua"/>
        </w:rPr>
        <w:t xml:space="preserve"> At advanced stages, severe acute respiratory syndrome coronavirus 2 infection appears to elicit transcriptional shifts in liver tissue resulting in increased </w:t>
      </w:r>
      <w:r>
        <w:rPr>
          <w:rFonts w:ascii="Book Antiqua" w:eastAsia="Book Antiqua" w:hAnsi="Book Antiqua" w:cs="Book Antiqua"/>
          <w:color w:val="000000"/>
        </w:rPr>
        <w:t>G-coupled protein receptor</w:t>
      </w:r>
      <w:r>
        <w:rPr>
          <w:rFonts w:ascii="Book Antiqua" w:hAnsi="Book Antiqua" w:cs="Book Antiqua"/>
        </w:rPr>
        <w:t xml:space="preserve">s signaling, tissue remodeling, </w:t>
      </w:r>
      <w:r>
        <w:rPr>
          <w:rFonts w:ascii="Book Antiqua" w:hAnsi="Book Antiqua" w:cs="Book Antiqua"/>
        </w:rPr>
        <w:t>transmembrane transport, vesicle formation and cell projections morphogenesis. On the other hand, metabolic and biosynthetic pathways including metabolism of drugs and xenobiotics as well as mitochondrial processes and ions homeostasis regulatory mechanism</w:t>
      </w:r>
      <w:r>
        <w:rPr>
          <w:rFonts w:ascii="Book Antiqua" w:hAnsi="Book Antiqua" w:cs="Book Antiqua"/>
        </w:rPr>
        <w:t>s appear to be suppressed in coronavirus disease 2019</w:t>
      </w:r>
      <w:r>
        <w:rPr>
          <w:rFonts w:ascii="Book Antiqua" w:hAnsi="Book Antiqua" w:cs="Book Antiqua"/>
          <w:lang w:eastAsia="zh-CN"/>
        </w:rPr>
        <w:t xml:space="preserve"> (</w:t>
      </w:r>
      <w:r>
        <w:rPr>
          <w:rFonts w:ascii="Book Antiqua" w:hAnsi="Book Antiqua" w:cs="Book Antiqua"/>
        </w:rPr>
        <w:t>COVID-19</w:t>
      </w:r>
      <w:r>
        <w:rPr>
          <w:rFonts w:ascii="Book Antiqua" w:hAnsi="Book Antiqua" w:cs="Book Antiqua"/>
          <w:lang w:eastAsia="zh-CN"/>
        </w:rPr>
        <w:t>)</w:t>
      </w:r>
      <w:r>
        <w:rPr>
          <w:rFonts w:ascii="Book Antiqua" w:hAnsi="Book Antiqua" w:cs="Book Antiqua"/>
        </w:rPr>
        <w:t xml:space="preserve"> patients. In response to these transcriptional shifts, we speculate that severe COVID-19 patients would be subjected to hepatic injury and tissue remodeling which may results in the clinicall</w:t>
      </w:r>
      <w:r>
        <w:rPr>
          <w:rFonts w:ascii="Book Antiqua" w:hAnsi="Book Antiqua" w:cs="Book Antiqua"/>
        </w:rPr>
        <w:t xml:space="preserve">y observed liver dysfunction, low liver detoxification capacity and increased liver enzymes. Figure was created with BioRender.com. </w:t>
      </w:r>
      <w:r>
        <w:rPr>
          <w:rFonts w:ascii="Book Antiqua" w:hAnsi="Book Antiqua" w:cs="Book Antiqua"/>
          <w:i/>
          <w:iCs/>
        </w:rPr>
        <w:t>DNAJB1</w:t>
      </w:r>
      <w:r>
        <w:rPr>
          <w:rFonts w:ascii="Book Antiqua" w:hAnsi="Book Antiqua" w:cs="Book Antiqua"/>
        </w:rPr>
        <w:t xml:space="preserve">: </w:t>
      </w:r>
      <w:r>
        <w:rPr>
          <w:rFonts w:ascii="Book Antiqua" w:eastAsia="Book Antiqua" w:hAnsi="Book Antiqua" w:cs="Book Antiqua"/>
          <w:color w:val="000000"/>
        </w:rPr>
        <w:t xml:space="preserve">DnaJ heat shock protein </w:t>
      </w:r>
      <w:r>
        <w:rPr>
          <w:rFonts w:ascii="Book Antiqua" w:eastAsia="Book Antiqua" w:hAnsi="Book Antiqua" w:cs="Book Antiqua"/>
          <w:color w:val="000000"/>
        </w:rPr>
        <w:lastRenderedPageBreak/>
        <w:t xml:space="preserve">family (Hsp40) member B1; </w:t>
      </w:r>
      <w:r>
        <w:rPr>
          <w:rFonts w:ascii="Book Antiqua" w:eastAsia="Book Antiqua" w:hAnsi="Book Antiqua" w:cs="Book Antiqua"/>
          <w:i/>
          <w:iCs/>
          <w:color w:val="000000"/>
        </w:rPr>
        <w:t>HDGF</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epatoma-derived growth factor; </w:t>
      </w:r>
      <w:r>
        <w:rPr>
          <w:rFonts w:ascii="Book Antiqua" w:eastAsia="Book Antiqua" w:hAnsi="Book Antiqua" w:cs="Book Antiqua"/>
          <w:i/>
          <w:iCs/>
          <w:color w:val="000000"/>
        </w:rPr>
        <w:t>IGF2</w:t>
      </w:r>
      <w:r>
        <w:rPr>
          <w:rFonts w:ascii="Book Antiqua" w:eastAsia="Book Antiqua" w:hAnsi="Book Antiqua" w:cs="Book Antiqua"/>
          <w:color w:val="000000"/>
        </w:rPr>
        <w:t xml:space="preserve">: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nsulin growth factor </w:t>
      </w:r>
      <w:r>
        <w:rPr>
          <w:rFonts w:ascii="Book Antiqua" w:eastAsia="Book Antiqua" w:hAnsi="Book Antiqua" w:cs="Book Antiqua"/>
          <w:color w:val="000000"/>
        </w:rPr>
        <w:t xml:space="preserve">2;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Pr>
          <w:rFonts w:ascii="Book Antiqua" w:eastAsia="宋体" w:hAnsi="Book Antiqua" w:cs="Book Antiqua"/>
          <w:color w:val="000000"/>
          <w:lang w:eastAsia="zh-CN"/>
        </w:rPr>
        <w:t>E</w:t>
      </w:r>
      <w:r>
        <w:rPr>
          <w:rFonts w:ascii="Book Antiqua" w:eastAsia="Book Antiqua" w:hAnsi="Book Antiqua" w:cs="Book Antiqua"/>
          <w:color w:val="000000"/>
        </w:rPr>
        <w:t xml:space="preserve">pidermal growth factor receptor; </w:t>
      </w:r>
      <w:r>
        <w:rPr>
          <w:rFonts w:ascii="Book Antiqua" w:hAnsi="Book Antiqua" w:cs="Book Antiqua"/>
          <w:i/>
          <w:iCs/>
        </w:rPr>
        <w:t>ACAD11</w:t>
      </w:r>
      <w:r>
        <w:rPr>
          <w:rFonts w:ascii="Book Antiqua" w:hAnsi="Book Antiqua" w:cs="Book Antiqua"/>
        </w:rPr>
        <w:t xml:space="preserve">: </w:t>
      </w:r>
      <w:r>
        <w:rPr>
          <w:rFonts w:ascii="Book Antiqua" w:eastAsia="宋体" w:hAnsi="Book Antiqua" w:cs="Book Antiqua"/>
          <w:color w:val="000000"/>
          <w:lang w:eastAsia="zh-CN"/>
        </w:rPr>
        <w:t>A</w:t>
      </w:r>
      <w:r>
        <w:rPr>
          <w:rFonts w:ascii="Book Antiqua" w:eastAsia="Book Antiqua" w:hAnsi="Book Antiqua" w:cs="Book Antiqua"/>
          <w:color w:val="000000"/>
        </w:rPr>
        <w:t xml:space="preserve">cyl-CoA dehydrogenases 11; </w:t>
      </w:r>
      <w:r>
        <w:rPr>
          <w:rFonts w:ascii="Book Antiqua" w:eastAsia="Book Antiqua" w:hAnsi="Book Antiqua" w:cs="Book Antiqua"/>
          <w:i/>
          <w:iCs/>
          <w:color w:val="000000"/>
        </w:rPr>
        <w:t>CIDEB</w:t>
      </w:r>
      <w:r>
        <w:rPr>
          <w:rFonts w:ascii="Book Antiqua" w:eastAsia="Book Antiqua" w:hAnsi="Book Antiqua" w:cs="Book Antiqua"/>
          <w:color w:val="000000"/>
        </w:rPr>
        <w:t xml:space="preserv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ell death-inducing DNA fragmentation factor alpha-like effector B; </w:t>
      </w:r>
      <w:r>
        <w:rPr>
          <w:rFonts w:ascii="Book Antiqua" w:eastAsia="Book Antiqua" w:hAnsi="Book Antiqua" w:cs="Book Antiqua"/>
          <w:i/>
          <w:iCs/>
          <w:color w:val="000000"/>
        </w:rPr>
        <w:t>GNMT</w:t>
      </w:r>
      <w:r>
        <w:rPr>
          <w:rFonts w:ascii="Book Antiqua" w:eastAsia="Book Antiqua" w:hAnsi="Book Antiqua" w:cs="Book Antiqua"/>
          <w:color w:val="000000"/>
        </w:rPr>
        <w:t xml:space="preserve">: </w:t>
      </w:r>
      <w:r>
        <w:rPr>
          <w:rFonts w:ascii="Book Antiqua" w:eastAsia="宋体" w:hAnsi="Book Antiqua" w:cs="Book Antiqua"/>
          <w:color w:val="000000"/>
          <w:lang w:eastAsia="zh-CN"/>
        </w:rPr>
        <w:t>G</w:t>
      </w:r>
      <w:r>
        <w:rPr>
          <w:rFonts w:ascii="Book Antiqua" w:eastAsia="Book Antiqua" w:hAnsi="Book Antiqua" w:cs="Book Antiqua"/>
          <w:color w:val="000000"/>
        </w:rPr>
        <w:t xml:space="preserve">lycine N-methyltransferase; </w:t>
      </w:r>
      <w:r>
        <w:rPr>
          <w:rFonts w:ascii="Book Antiqua" w:eastAsia="Book Antiqua" w:hAnsi="Book Antiqua" w:cs="Book Antiqua"/>
          <w:i/>
          <w:iCs/>
          <w:color w:val="000000"/>
        </w:rPr>
        <w:t>GPAM</w:t>
      </w:r>
      <w:r>
        <w:rPr>
          <w:rFonts w:ascii="Book Antiqua" w:eastAsia="Book Antiqua" w:hAnsi="Book Antiqua" w:cs="Book Antiqua"/>
          <w:color w:val="000000"/>
        </w:rPr>
        <w:t xml:space="preserve">: </w:t>
      </w:r>
      <w:r>
        <w:rPr>
          <w:rFonts w:ascii="Book Antiqua" w:eastAsia="宋体" w:hAnsi="Book Antiqua" w:cs="Book Antiqua"/>
          <w:color w:val="000000"/>
          <w:lang w:eastAsia="zh-CN"/>
        </w:rPr>
        <w:t>G</w:t>
      </w:r>
      <w:r>
        <w:rPr>
          <w:rFonts w:ascii="Book Antiqua" w:eastAsia="Book Antiqua" w:hAnsi="Book Antiqua" w:cs="Book Antiqua"/>
          <w:color w:val="000000"/>
        </w:rPr>
        <w:t>lycerol-3-phosphate acyltransferase and metabolism.</w:t>
      </w:r>
    </w:p>
    <w:p w:rsidR="00B40F46" w:rsidRDefault="00B40F46">
      <w:pPr>
        <w:spacing w:after="0" w:line="240" w:lineRule="auto"/>
        <w:rPr>
          <w:rFonts w:ascii="Book Antiqua" w:eastAsia="Book Antiqua" w:hAnsi="Book Antiqua" w:cs="Book Antiqua"/>
          <w:color w:val="000000"/>
        </w:rPr>
      </w:pPr>
      <w:r>
        <w:rPr>
          <w:rFonts w:ascii="Book Antiqua" w:eastAsia="Book Antiqua" w:hAnsi="Book Antiqua" w:cs="Book Antiqua"/>
          <w:color w:val="000000"/>
        </w:rPr>
        <w:br w:type="page"/>
      </w:r>
    </w:p>
    <w:p w:rsidR="005F527F" w:rsidRDefault="00542EC0" w:rsidP="001736C0">
      <w:pPr>
        <w:adjustRightInd w:val="0"/>
        <w:snapToGrid w:val="0"/>
        <w:spacing w:after="0" w:line="360" w:lineRule="auto"/>
        <w:jc w:val="both"/>
        <w:rPr>
          <w:rFonts w:ascii="Book Antiqua" w:hAnsi="Book Antiqua" w:cs="Book Antiqua"/>
        </w:rPr>
      </w:pPr>
      <w:r>
        <w:rPr>
          <w:rFonts w:ascii="Book Antiqua" w:hAnsi="Book Antiqua" w:cs="Book Antiqua"/>
          <w:b/>
          <w:bCs/>
        </w:rPr>
        <w:lastRenderedPageBreak/>
        <w:t xml:space="preserve">Table </w:t>
      </w:r>
      <w:r>
        <w:rPr>
          <w:rFonts w:ascii="Book Antiqua" w:hAnsi="Book Antiqua" w:cs="Book Antiqua"/>
          <w:b/>
          <w:bCs/>
        </w:rPr>
        <w:t>1 List of analyzed non-coronavirus disease 2019</w:t>
      </w:r>
      <w:r w:rsidR="000707D1">
        <w:rPr>
          <w:rFonts w:ascii="Book Antiqua" w:hAnsi="Book Antiqua" w:cs="Book Antiqua"/>
          <w:b/>
          <w:bCs/>
        </w:rPr>
        <w:t xml:space="preserve"> </w:t>
      </w:r>
      <w:r>
        <w:rPr>
          <w:rFonts w:ascii="Book Antiqua" w:hAnsi="Book Antiqua" w:cs="Book Antiqua"/>
          <w:b/>
          <w:bCs/>
        </w:rPr>
        <w:t>and severe coronavirus disease 2019</w:t>
      </w:r>
      <w:r w:rsidR="000707D1">
        <w:rPr>
          <w:rFonts w:ascii="Book Antiqua" w:hAnsi="Book Antiqua" w:cs="Book Antiqua"/>
          <w:b/>
          <w:bCs/>
        </w:rPr>
        <w:t xml:space="preserve"> </w:t>
      </w:r>
      <w:r>
        <w:rPr>
          <w:rFonts w:ascii="Book Antiqua" w:hAnsi="Book Antiqua" w:cs="Book Antiqua"/>
          <w:b/>
          <w:bCs/>
        </w:rPr>
        <w:t>lung and liver autopsy samples retrieved from the datasets GSE112356 and GSE150316 deposited in Gene Expression Omnibus</w:t>
      </w:r>
    </w:p>
    <w:tbl>
      <w:tblPr>
        <w:tblW w:w="9498" w:type="dxa"/>
        <w:jc w:val="center"/>
        <w:tblBorders>
          <w:top w:val="single" w:sz="4" w:space="0" w:color="auto"/>
          <w:bottom w:val="single" w:sz="4" w:space="0" w:color="auto"/>
        </w:tblBorders>
        <w:tblCellMar>
          <w:top w:w="29" w:type="dxa"/>
          <w:left w:w="115" w:type="dxa"/>
          <w:bottom w:w="29" w:type="dxa"/>
          <w:right w:w="115" w:type="dxa"/>
        </w:tblCellMar>
        <w:tblLook w:val="04A0" w:firstRow="1" w:lastRow="0" w:firstColumn="1" w:lastColumn="0" w:noHBand="0" w:noVBand="1"/>
      </w:tblPr>
      <w:tblGrid>
        <w:gridCol w:w="1347"/>
        <w:gridCol w:w="2248"/>
        <w:gridCol w:w="3209"/>
        <w:gridCol w:w="2694"/>
      </w:tblGrid>
      <w:tr w:rsidR="005F527F" w:rsidTr="00883637">
        <w:trPr>
          <w:trHeight w:val="21"/>
          <w:jc w:val="center"/>
        </w:trPr>
        <w:tc>
          <w:tcPr>
            <w:tcW w:w="1347" w:type="dxa"/>
            <w:tcBorders>
              <w:bottom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b/>
                <w:bCs/>
                <w:color w:val="000000" w:themeColor="text1"/>
                <w:kern w:val="24"/>
              </w:rPr>
              <w:t>Tissue source</w:t>
            </w:r>
          </w:p>
        </w:tc>
        <w:tc>
          <w:tcPr>
            <w:tcW w:w="2248" w:type="dxa"/>
            <w:tcBorders>
              <w:bottom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b/>
                <w:bCs/>
                <w:color w:val="000000" w:themeColor="text1"/>
                <w:kern w:val="24"/>
              </w:rPr>
              <w:t>Non-COVID-19</w:t>
            </w:r>
            <w:r>
              <w:rPr>
                <w:rFonts w:ascii="Book Antiqua" w:hAnsi="Book Antiqua" w:cs="Book Antiqua"/>
                <w:b/>
                <w:bCs/>
                <w:color w:val="000000" w:themeColor="text1"/>
                <w:kern w:val="24"/>
              </w:rPr>
              <w:t xml:space="preserve"> autopsy samples</w:t>
            </w:r>
          </w:p>
        </w:tc>
        <w:tc>
          <w:tcPr>
            <w:tcW w:w="3209" w:type="dxa"/>
            <w:tcBorders>
              <w:bottom w:val="single" w:sz="4" w:space="0" w:color="auto"/>
            </w:tcBorders>
            <w:shd w:val="clear" w:color="auto" w:fill="auto"/>
          </w:tcPr>
          <w:p w:rsidR="005F527F" w:rsidRDefault="00542EC0" w:rsidP="001736C0">
            <w:pPr>
              <w:adjustRightInd w:val="0"/>
              <w:snapToGrid w:val="0"/>
              <w:spacing w:after="0" w:line="360" w:lineRule="auto"/>
              <w:rPr>
                <w:rFonts w:ascii="Book Antiqua" w:hAnsi="Book Antiqua" w:cs="Book Antiqua"/>
                <w:b/>
                <w:bCs/>
                <w:color w:val="000000" w:themeColor="text1"/>
              </w:rPr>
            </w:pPr>
            <w:r>
              <w:rPr>
                <w:rFonts w:ascii="Book Antiqua" w:hAnsi="Book Antiqua" w:cs="Book Antiqua"/>
                <w:b/>
                <w:bCs/>
                <w:color w:val="000000" w:themeColor="text1"/>
                <w:kern w:val="24"/>
              </w:rPr>
              <w:t>COVID-19 autopsy samples</w:t>
            </w:r>
          </w:p>
        </w:tc>
        <w:tc>
          <w:tcPr>
            <w:tcW w:w="2694" w:type="dxa"/>
            <w:tcBorders>
              <w:bottom w:val="single" w:sz="4" w:space="0" w:color="auto"/>
            </w:tcBorders>
            <w:shd w:val="clear" w:color="auto" w:fill="auto"/>
          </w:tcPr>
          <w:p w:rsidR="005F527F" w:rsidRDefault="00542EC0" w:rsidP="001736C0">
            <w:pPr>
              <w:adjustRightInd w:val="0"/>
              <w:snapToGrid w:val="0"/>
              <w:spacing w:after="0" w:line="360" w:lineRule="auto"/>
              <w:rPr>
                <w:rFonts w:ascii="Book Antiqua" w:hAnsi="Book Antiqua" w:cs="Book Antiqua"/>
                <w:b/>
                <w:bCs/>
                <w:color w:val="000000" w:themeColor="text1"/>
                <w:kern w:val="24"/>
              </w:rPr>
            </w:pPr>
            <w:r>
              <w:rPr>
                <w:rFonts w:ascii="Book Antiqua" w:hAnsi="Book Antiqua" w:cs="Book Antiqua"/>
                <w:b/>
                <w:bCs/>
                <w:color w:val="000000" w:themeColor="text1"/>
                <w:kern w:val="24"/>
              </w:rPr>
              <w:t>Total number of analyzed samples</w:t>
            </w:r>
          </w:p>
        </w:tc>
      </w:tr>
      <w:tr w:rsidR="005F527F" w:rsidTr="00883637">
        <w:trPr>
          <w:trHeight w:val="290"/>
          <w:jc w:val="center"/>
        </w:trPr>
        <w:tc>
          <w:tcPr>
            <w:tcW w:w="1347" w:type="dxa"/>
            <w:tcBorders>
              <w:top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color w:val="000000" w:themeColor="text1"/>
                <w:kern w:val="24"/>
              </w:rPr>
              <w:t>Lung</w:t>
            </w:r>
          </w:p>
        </w:tc>
        <w:tc>
          <w:tcPr>
            <w:tcW w:w="2248" w:type="dxa"/>
            <w:tcBorders>
              <w:top w:val="single" w:sz="4" w:space="0" w:color="auto"/>
            </w:tcBorders>
            <w:shd w:val="clear" w:color="auto" w:fill="auto"/>
            <w:noWrap/>
          </w:tcPr>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H1Lu; H2Lu; H3Lu; H4Lu</w:t>
            </w:r>
          </w:p>
        </w:tc>
        <w:tc>
          <w:tcPr>
            <w:tcW w:w="3209" w:type="dxa"/>
            <w:tcBorders>
              <w:top w:val="single" w:sz="4" w:space="0" w:color="auto"/>
            </w:tcBorders>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Case2: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Case3: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Case4: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Case5: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Case6: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5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Case7: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Case8: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 4, 5</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Case9: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4, 5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Case10: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amples 1, 2, 3 </w:t>
            </w:r>
          </w:p>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 xml:space="preserve">Case11: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amples 1, 2, 3</w:t>
            </w:r>
          </w:p>
        </w:tc>
        <w:tc>
          <w:tcPr>
            <w:tcW w:w="2694" w:type="dxa"/>
            <w:tcBorders>
              <w:top w:val="single" w:sz="4" w:space="0" w:color="auto"/>
            </w:tcBorders>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4 healthy samples and 42 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 samples</w:t>
            </w:r>
          </w:p>
        </w:tc>
      </w:tr>
      <w:tr w:rsidR="005F527F" w:rsidTr="00883637">
        <w:trPr>
          <w:trHeight w:val="290"/>
          <w:jc w:val="center"/>
        </w:trPr>
        <w:tc>
          <w:tcPr>
            <w:tcW w:w="1347" w:type="dxa"/>
            <w:shd w:val="clear" w:color="auto" w:fill="auto"/>
            <w:noWrap/>
          </w:tcPr>
          <w:p w:rsidR="005F527F" w:rsidRDefault="00542EC0" w:rsidP="001736C0">
            <w:pPr>
              <w:adjustRightInd w:val="0"/>
              <w:snapToGrid w:val="0"/>
              <w:spacing w:after="0" w:line="360" w:lineRule="auto"/>
              <w:jc w:val="both"/>
              <w:rPr>
                <w:rFonts w:ascii="Book Antiqua" w:hAnsi="Book Antiqua" w:cs="Book Antiqua"/>
                <w:b/>
                <w:bCs/>
                <w:color w:val="000000" w:themeColor="text1"/>
              </w:rPr>
            </w:pPr>
            <w:r>
              <w:rPr>
                <w:rFonts w:ascii="Book Antiqua" w:hAnsi="Book Antiqua" w:cs="Book Antiqua"/>
                <w:color w:val="000000" w:themeColor="text1"/>
                <w:kern w:val="24"/>
              </w:rPr>
              <w:t>Liver</w:t>
            </w:r>
          </w:p>
        </w:tc>
        <w:tc>
          <w:tcPr>
            <w:tcW w:w="2248" w:type="dxa"/>
            <w:shd w:val="clear" w:color="auto" w:fill="auto"/>
            <w:noWrap/>
          </w:tcPr>
          <w:p w:rsidR="005F527F" w:rsidRDefault="00542EC0" w:rsidP="001736C0">
            <w:pPr>
              <w:adjustRightInd w:val="0"/>
              <w:snapToGrid w:val="0"/>
              <w:spacing w:after="0" w:line="360" w:lineRule="auto"/>
              <w:jc w:val="both"/>
              <w:rPr>
                <w:rFonts w:ascii="Book Antiqua" w:hAnsi="Book Antiqua" w:cs="Book Antiqua"/>
                <w:color w:val="000000" w:themeColor="text1"/>
              </w:rPr>
            </w:pPr>
            <w:r>
              <w:rPr>
                <w:rFonts w:ascii="Book Antiqua" w:hAnsi="Book Antiqua" w:cs="Book Antiqua"/>
                <w:color w:val="000000" w:themeColor="text1"/>
                <w:kern w:val="24"/>
              </w:rPr>
              <w:t>H1Li; H2Li; H3Li; H4Li</w:t>
            </w:r>
          </w:p>
        </w:tc>
        <w:tc>
          <w:tcPr>
            <w:tcW w:w="3209" w:type="dxa"/>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Case3: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 1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Case4: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Case5: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 xml:space="preserve">ample 1 </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Case8: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Case10: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 1</w:t>
            </w:r>
          </w:p>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 xml:space="preserve">Case12: </w:t>
            </w:r>
            <w:r>
              <w:rPr>
                <w:rFonts w:ascii="Book Antiqua" w:hAnsi="Book Antiqua" w:cs="Book Antiqua"/>
                <w:color w:val="000000" w:themeColor="text1"/>
                <w:kern w:val="24"/>
                <w:lang w:eastAsia="zh-CN"/>
              </w:rPr>
              <w:t>S</w:t>
            </w:r>
            <w:r>
              <w:rPr>
                <w:rFonts w:ascii="Book Antiqua" w:hAnsi="Book Antiqua" w:cs="Book Antiqua"/>
                <w:color w:val="000000" w:themeColor="text1"/>
                <w:kern w:val="24"/>
              </w:rPr>
              <w:t>ample1</w:t>
            </w:r>
          </w:p>
        </w:tc>
        <w:tc>
          <w:tcPr>
            <w:tcW w:w="2694" w:type="dxa"/>
            <w:shd w:val="clear" w:color="auto" w:fill="auto"/>
          </w:tcPr>
          <w:p w:rsidR="005F527F" w:rsidRDefault="00542EC0" w:rsidP="001736C0">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4 healthy samples and 6 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 samples</w:t>
            </w:r>
          </w:p>
        </w:tc>
      </w:tr>
    </w:tbl>
    <w:p w:rsidR="000410E1"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color w:val="000000" w:themeColor="text1"/>
          <w:kern w:val="24"/>
        </w:rPr>
        <w:t>COVID</w:t>
      </w:r>
      <w:r>
        <w:rPr>
          <w:rFonts w:ascii="Book Antiqua" w:hAnsi="Book Antiqua" w:cs="Book Antiqua"/>
          <w:color w:val="000000" w:themeColor="text1"/>
          <w:kern w:val="24"/>
          <w:lang w:eastAsia="zh-CN"/>
        </w:rPr>
        <w:t>-</w:t>
      </w:r>
      <w:r>
        <w:rPr>
          <w:rFonts w:ascii="Book Antiqua" w:hAnsi="Book Antiqua" w:cs="Book Antiqua"/>
          <w:color w:val="000000" w:themeColor="text1"/>
          <w:kern w:val="24"/>
        </w:rPr>
        <w:t>19</w:t>
      </w:r>
      <w:r>
        <w:rPr>
          <w:rFonts w:ascii="Book Antiqua" w:hAnsi="Book Antiqua" w:cs="Book Antiqua"/>
          <w:color w:val="000000" w:themeColor="text1"/>
          <w:kern w:val="24"/>
          <w:lang w:eastAsia="zh-CN"/>
        </w:rPr>
        <w:t>: C</w:t>
      </w:r>
      <w:r>
        <w:rPr>
          <w:rFonts w:ascii="Book Antiqua" w:hAnsi="Book Antiqua" w:cs="Book Antiqua"/>
        </w:rPr>
        <w:t>oronavirus disease 2019</w:t>
      </w:r>
      <w:r>
        <w:rPr>
          <w:rFonts w:ascii="Book Antiqua" w:hAnsi="Book Antiqua" w:cs="Book Antiqua"/>
          <w:lang w:eastAsia="zh-CN"/>
        </w:rPr>
        <w:t>.</w:t>
      </w:r>
    </w:p>
    <w:p w:rsidR="005F527F" w:rsidRDefault="00542EC0" w:rsidP="001736C0">
      <w:pPr>
        <w:adjustRightInd w:val="0"/>
        <w:snapToGrid w:val="0"/>
        <w:spacing w:after="0" w:line="360" w:lineRule="auto"/>
        <w:jc w:val="both"/>
        <w:rPr>
          <w:rFonts w:ascii="Book Antiqua" w:hAnsi="Book Antiqua" w:cs="Book Antiqua"/>
          <w:lang w:eastAsia="zh-CN"/>
        </w:rPr>
      </w:pPr>
      <w:r>
        <w:rPr>
          <w:rFonts w:ascii="Book Antiqua" w:hAnsi="Book Antiqua" w:cs="Book Antiqua"/>
        </w:rPr>
        <w:br w:type="page"/>
      </w:r>
    </w:p>
    <w:p w:rsidR="005F527F" w:rsidRDefault="00542EC0" w:rsidP="001736C0">
      <w:pPr>
        <w:adjustRightInd w:val="0"/>
        <w:snapToGrid w:val="0"/>
        <w:spacing w:after="0" w:line="360" w:lineRule="auto"/>
        <w:jc w:val="both"/>
        <w:rPr>
          <w:rFonts w:ascii="Book Antiqua" w:hAnsi="Book Antiqua" w:cs="Book Antiqua"/>
          <w:b/>
          <w:bCs/>
        </w:rPr>
      </w:pPr>
      <w:r>
        <w:rPr>
          <w:rFonts w:ascii="Book Antiqua" w:hAnsi="Book Antiqua" w:cs="Book Antiqua"/>
          <w:b/>
          <w:bCs/>
        </w:rPr>
        <w:lastRenderedPageBreak/>
        <w:t xml:space="preserve">Table 2 List of primer designs used in the qRT-PCR validation of some </w:t>
      </w:r>
      <w:r>
        <w:rPr>
          <w:rFonts w:ascii="Book Antiqua" w:hAnsi="Book Antiqua" w:cs="Book Antiqua"/>
          <w:b/>
          <w:bCs/>
          <w:lang w:eastAsia="zh-CN"/>
        </w:rPr>
        <w:t>d</w:t>
      </w:r>
      <w:r>
        <w:rPr>
          <w:rFonts w:ascii="Book Antiqua" w:hAnsi="Book Antiqua" w:cs="Book Antiqua"/>
          <w:b/>
          <w:bCs/>
        </w:rPr>
        <w:t xml:space="preserve">ifferentially expressed genes (DNAJB1, </w:t>
      </w:r>
      <w:r>
        <w:rPr>
          <w:rFonts w:ascii="Book Antiqua" w:hAnsi="Book Antiqua" w:cs="Book Antiqua"/>
          <w:b/>
          <w:bCs/>
        </w:rPr>
        <w:t>HSP90AB1, and CYP39A1) and housekeeping gene (18SrRNA)</w:t>
      </w:r>
    </w:p>
    <w:tbl>
      <w:tblPr>
        <w:tblW w:w="10747" w:type="dxa"/>
        <w:tblInd w:w="-586" w:type="dxa"/>
        <w:tblBorders>
          <w:top w:val="single" w:sz="4" w:space="0" w:color="auto"/>
          <w:bottom w:val="single" w:sz="4" w:space="0" w:color="auto"/>
        </w:tblBorders>
        <w:tblCellMar>
          <w:top w:w="29" w:type="dxa"/>
          <w:left w:w="115" w:type="dxa"/>
          <w:bottom w:w="29" w:type="dxa"/>
          <w:right w:w="115" w:type="dxa"/>
        </w:tblCellMar>
        <w:tblLook w:val="04A0" w:firstRow="1" w:lastRow="0" w:firstColumn="1" w:lastColumn="0" w:noHBand="0" w:noVBand="1"/>
      </w:tblPr>
      <w:tblGrid>
        <w:gridCol w:w="1377"/>
        <w:gridCol w:w="4066"/>
        <w:gridCol w:w="3980"/>
        <w:gridCol w:w="1324"/>
      </w:tblGrid>
      <w:tr w:rsidR="005F527F" w:rsidTr="00A5510D">
        <w:trPr>
          <w:trHeight w:val="21"/>
        </w:trPr>
        <w:tc>
          <w:tcPr>
            <w:tcW w:w="1377" w:type="dxa"/>
            <w:tcBorders>
              <w:bottom w:val="single" w:sz="4" w:space="0" w:color="auto"/>
            </w:tcBorders>
            <w:shd w:val="clear" w:color="auto" w:fill="auto"/>
            <w:noWrap/>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Gene symbol</w:t>
            </w:r>
          </w:p>
        </w:tc>
        <w:tc>
          <w:tcPr>
            <w:tcW w:w="4066" w:type="dxa"/>
            <w:tcBorders>
              <w:bottom w:val="single" w:sz="4" w:space="0" w:color="auto"/>
            </w:tcBorders>
            <w:shd w:val="clear" w:color="auto" w:fill="auto"/>
            <w:noWrap/>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Forward primer sequence</w:t>
            </w:r>
          </w:p>
        </w:tc>
        <w:tc>
          <w:tcPr>
            <w:tcW w:w="3980" w:type="dxa"/>
            <w:tcBorders>
              <w:bottom w:val="single" w:sz="4" w:space="0" w:color="auto"/>
            </w:tcBorders>
            <w:shd w:val="clear" w:color="auto" w:fill="auto"/>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Reverse primer sequence</w:t>
            </w:r>
          </w:p>
        </w:tc>
        <w:tc>
          <w:tcPr>
            <w:tcW w:w="1324" w:type="dxa"/>
            <w:tcBorders>
              <w:bottom w:val="single" w:sz="4" w:space="0" w:color="auto"/>
            </w:tcBorders>
            <w:shd w:val="clear" w:color="auto" w:fill="auto"/>
          </w:tcPr>
          <w:p w:rsidR="005F527F" w:rsidRDefault="00542EC0" w:rsidP="00A5510D">
            <w:pPr>
              <w:adjustRightInd w:val="0"/>
              <w:snapToGrid w:val="0"/>
              <w:spacing w:after="0" w:line="360" w:lineRule="auto"/>
              <w:jc w:val="both"/>
              <w:rPr>
                <w:rFonts w:ascii="Book Antiqua" w:hAnsi="Book Antiqua" w:cs="Book Antiqua"/>
                <w:b/>
                <w:bCs/>
                <w:color w:val="000000" w:themeColor="text1"/>
                <w:kern w:val="24"/>
              </w:rPr>
            </w:pPr>
            <w:r>
              <w:rPr>
                <w:rFonts w:ascii="Book Antiqua" w:hAnsi="Book Antiqua" w:cs="Book Antiqua"/>
                <w:b/>
                <w:bCs/>
                <w:color w:val="000000" w:themeColor="text1"/>
                <w:kern w:val="24"/>
              </w:rPr>
              <w:t>Amplicon size (bp)</w:t>
            </w:r>
          </w:p>
        </w:tc>
      </w:tr>
      <w:tr w:rsidR="005F527F" w:rsidTr="00A5510D">
        <w:trPr>
          <w:trHeight w:val="290"/>
        </w:trPr>
        <w:tc>
          <w:tcPr>
            <w:tcW w:w="1377" w:type="dxa"/>
            <w:tcBorders>
              <w:top w:val="single" w:sz="4" w:space="0" w:color="auto"/>
            </w:tcBorders>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18SrRNA</w:t>
            </w:r>
          </w:p>
        </w:tc>
        <w:tc>
          <w:tcPr>
            <w:tcW w:w="4066" w:type="dxa"/>
            <w:tcBorders>
              <w:top w:val="single" w:sz="4" w:space="0" w:color="auto"/>
            </w:tcBorders>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TGACTCAACACGGGAAACC</w:t>
            </w:r>
          </w:p>
        </w:tc>
        <w:tc>
          <w:tcPr>
            <w:tcW w:w="3980" w:type="dxa"/>
            <w:tcBorders>
              <w:top w:val="single" w:sz="4" w:space="0" w:color="auto"/>
            </w:tcBorders>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TCGCTCCACCAACTAAGAAC</w:t>
            </w:r>
          </w:p>
        </w:tc>
        <w:tc>
          <w:tcPr>
            <w:tcW w:w="1324" w:type="dxa"/>
            <w:tcBorders>
              <w:top w:val="single" w:sz="4" w:space="0" w:color="auto"/>
            </w:tcBorders>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114</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DNAJB1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GTTTTAAAGGACAAGCCCCACA</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TCCAGAGTGGGGACGTTCA</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119</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HSP90AB1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CTCTGTCAGAGTATGTTTCTCGC</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GTTTCCGCACTCGCTCCACAAA</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114</w:t>
            </w:r>
          </w:p>
        </w:tc>
      </w:tr>
      <w:tr w:rsidR="005F527F" w:rsidTr="00A5510D">
        <w:trPr>
          <w:trHeight w:val="290"/>
        </w:trPr>
        <w:tc>
          <w:tcPr>
            <w:tcW w:w="1377"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i/>
                <w:iCs/>
                <w:color w:val="000000" w:themeColor="text1"/>
                <w:kern w:val="24"/>
              </w:rPr>
            </w:pPr>
            <w:r>
              <w:rPr>
                <w:rFonts w:ascii="Book Antiqua" w:hAnsi="Book Antiqua" w:cs="Book Antiqua"/>
                <w:i/>
                <w:iCs/>
                <w:color w:val="000000" w:themeColor="text1"/>
                <w:kern w:val="24"/>
              </w:rPr>
              <w:t>CYP39A1</w:t>
            </w:r>
          </w:p>
        </w:tc>
        <w:tc>
          <w:tcPr>
            <w:tcW w:w="4066" w:type="dxa"/>
            <w:shd w:val="clear" w:color="auto" w:fill="auto"/>
            <w:noWrap/>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GTTCCAGTGTCCTGCAAGGT</w:t>
            </w:r>
          </w:p>
        </w:tc>
        <w:tc>
          <w:tcPr>
            <w:tcW w:w="3980"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TGGGTAATGGGTCCAGAAGAC</w:t>
            </w:r>
          </w:p>
        </w:tc>
        <w:tc>
          <w:tcPr>
            <w:tcW w:w="1324" w:type="dxa"/>
            <w:shd w:val="clear" w:color="auto" w:fill="auto"/>
            <w:vAlign w:val="center"/>
          </w:tcPr>
          <w:p w:rsidR="005F527F" w:rsidRDefault="00542EC0" w:rsidP="00A5510D">
            <w:pPr>
              <w:adjustRightInd w:val="0"/>
              <w:snapToGrid w:val="0"/>
              <w:spacing w:after="0" w:line="360" w:lineRule="auto"/>
              <w:jc w:val="both"/>
              <w:rPr>
                <w:rFonts w:ascii="Book Antiqua" w:hAnsi="Book Antiqua" w:cs="Book Antiqua"/>
                <w:color w:val="000000" w:themeColor="text1"/>
                <w:kern w:val="24"/>
              </w:rPr>
            </w:pPr>
            <w:r>
              <w:rPr>
                <w:rFonts w:ascii="Book Antiqua" w:hAnsi="Book Antiqua" w:cs="Book Antiqua"/>
                <w:color w:val="000000" w:themeColor="text1"/>
                <w:kern w:val="24"/>
              </w:rPr>
              <w:t>101</w:t>
            </w:r>
          </w:p>
        </w:tc>
      </w:tr>
    </w:tbl>
    <w:p w:rsidR="005F527F" w:rsidRDefault="00542EC0" w:rsidP="001736C0">
      <w:pPr>
        <w:adjustRightInd w:val="0"/>
        <w:snapToGrid w:val="0"/>
        <w:spacing w:after="0" w:line="360" w:lineRule="auto"/>
        <w:jc w:val="both"/>
        <w:rPr>
          <w:rFonts w:ascii="Book Antiqua" w:hAnsi="Book Antiqua" w:cs="Book Antiqua"/>
          <w:b/>
          <w:bCs/>
        </w:rPr>
      </w:pPr>
      <w:r>
        <w:rPr>
          <w:rFonts w:ascii="Book Antiqua" w:hAnsi="Book Antiqua" w:cs="Book Antiqua"/>
        </w:rPr>
        <w:t xml:space="preserve">bp: base pair; </w:t>
      </w:r>
      <w:r>
        <w:rPr>
          <w:rFonts w:ascii="Book Antiqua" w:hAnsi="Book Antiqua" w:cs="Book Antiqua"/>
          <w:i/>
          <w:iCs/>
        </w:rPr>
        <w:t>18SrRNA</w:t>
      </w:r>
      <w:r>
        <w:rPr>
          <w:rFonts w:ascii="Book Antiqua" w:hAnsi="Book Antiqua" w:cs="Book Antiqua"/>
        </w:rPr>
        <w:t xml:space="preserve">: 18S ribosomal RNA; </w:t>
      </w:r>
      <w:r>
        <w:rPr>
          <w:rFonts w:ascii="Book Antiqua" w:hAnsi="Book Antiqua" w:cs="Book Antiqua"/>
          <w:i/>
          <w:iCs/>
        </w:rPr>
        <w:t>DNAJB1</w:t>
      </w:r>
      <w:r>
        <w:rPr>
          <w:rFonts w:ascii="Book Antiqua" w:hAnsi="Book Antiqua" w:cs="Book Antiqua"/>
        </w:rPr>
        <w:t xml:space="preserve">: </w:t>
      </w:r>
      <w:r>
        <w:rPr>
          <w:rFonts w:ascii="Book Antiqua" w:eastAsia="Book Antiqua" w:hAnsi="Book Antiqua" w:cs="Book Antiqua"/>
          <w:color w:val="000000"/>
        </w:rPr>
        <w:t xml:space="preserve">DnaJ heat shock protein family (Hsp40) member B1; </w:t>
      </w:r>
      <w:r>
        <w:rPr>
          <w:rFonts w:ascii="Book Antiqua" w:eastAsia="Book Antiqua" w:hAnsi="Book Antiqua" w:cs="Book Antiqua"/>
          <w:i/>
          <w:iCs/>
          <w:color w:val="000000"/>
        </w:rPr>
        <w:t>HSP90AB1</w:t>
      </w:r>
      <w:r>
        <w:rPr>
          <w:rFonts w:ascii="Book Antiqua" w:eastAsia="Book Antiqua" w:hAnsi="Book Antiqua" w:cs="Book Antiqua"/>
          <w:color w:val="000000"/>
        </w:rPr>
        <w:t xml:space="preserve">: </w:t>
      </w:r>
      <w:r>
        <w:rPr>
          <w:rFonts w:ascii="Book Antiqua" w:eastAsia="宋体" w:hAnsi="Book Antiqua" w:cs="Book Antiqua"/>
          <w:color w:val="000000"/>
          <w:lang w:eastAsia="zh-CN"/>
        </w:rPr>
        <w:t>H</w:t>
      </w:r>
      <w:r>
        <w:rPr>
          <w:rFonts w:ascii="Book Antiqua" w:eastAsia="Book Antiqua" w:hAnsi="Book Antiqua" w:cs="Book Antiqua"/>
          <w:color w:val="000000"/>
        </w:rPr>
        <w:t xml:space="preserve">eat shock protein 90 alpha family class B member 1; </w:t>
      </w:r>
      <w:r>
        <w:rPr>
          <w:rFonts w:ascii="Book Antiqua" w:eastAsia="Book Antiqua" w:hAnsi="Book Antiqua" w:cs="Book Antiqua"/>
          <w:i/>
          <w:iCs/>
          <w:color w:val="000000"/>
        </w:rPr>
        <w:t>CYP39A1</w:t>
      </w:r>
      <w:r>
        <w:rPr>
          <w:rFonts w:ascii="Book Antiqua" w:eastAsia="Book Antiqua" w:hAnsi="Book Antiqua" w:cs="Book Antiqua"/>
          <w:color w:val="000000"/>
        </w:rPr>
        <w:t xml:space="preserve">: </w:t>
      </w:r>
      <w:r>
        <w:rPr>
          <w:rFonts w:ascii="Book Antiqua" w:eastAsia="宋体" w:hAnsi="Book Antiqua" w:cs="Book Antiqua"/>
          <w:lang w:eastAsia="zh-CN"/>
        </w:rPr>
        <w:t>C</w:t>
      </w:r>
      <w:r>
        <w:rPr>
          <w:rFonts w:ascii="Book Antiqua" w:hAnsi="Book Antiqua" w:cs="Book Antiqua"/>
        </w:rPr>
        <w:t>ytochrome P450 family 39 subfamily A member 1.</w:t>
      </w:r>
    </w:p>
    <w:p w:rsidR="005F527F" w:rsidRDefault="005F527F" w:rsidP="001736C0">
      <w:pPr>
        <w:adjustRightInd w:val="0"/>
        <w:snapToGrid w:val="0"/>
        <w:spacing w:after="0" w:line="360" w:lineRule="auto"/>
        <w:jc w:val="both"/>
        <w:rPr>
          <w:rFonts w:ascii="Book Antiqua" w:hAnsi="Book Antiqua" w:cs="Book Antiqua"/>
        </w:rPr>
      </w:pPr>
    </w:p>
    <w:sectPr w:rsidR="005F527F">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EC0" w:rsidRDefault="00542EC0">
      <w:pPr>
        <w:spacing w:line="240" w:lineRule="auto"/>
      </w:pPr>
      <w:r>
        <w:separator/>
      </w:r>
    </w:p>
  </w:endnote>
  <w:endnote w:type="continuationSeparator" w:id="0">
    <w:p w:rsidR="00542EC0" w:rsidRDefault="00542E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7F" w:rsidRDefault="00542EC0">
    <w:pPr>
      <w:pStyle w:val="a5"/>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F527F" w:rsidRDefault="00542EC0">
                          <w:pPr>
                            <w:pStyle w:val="a5"/>
                            <w:rPr>
                              <w:rFonts w:ascii="Book Antiqua" w:hAnsi="Book Antiqua" w:cs="Book Antiqua"/>
                              <w:sz w:val="24"/>
                              <w:szCs w:val="24"/>
                              <w:lang w:eastAsia="zh-CN"/>
                            </w:rPr>
                          </w:pPr>
                          <w:r>
                            <w:rPr>
                              <w:rFonts w:ascii="Book Antiqua" w:hAnsi="Book Antiqua" w:cs="Book Antiqua"/>
                              <w:sz w:val="24"/>
                              <w:szCs w:val="24"/>
                              <w:lang w:eastAsia="zh-CN"/>
                            </w:rPr>
                            <w:fldChar w:fldCharType="begin"/>
                          </w:r>
                          <w:r>
                            <w:rPr>
                              <w:rFonts w:ascii="Book Antiqua" w:hAnsi="Book Antiqua" w:cs="Book Antiqua"/>
                              <w:sz w:val="24"/>
                              <w:szCs w:val="24"/>
                              <w:lang w:eastAsia="zh-CN"/>
                            </w:rPr>
                            <w:instrText xml:space="preserve"> PAGE  \* MERGEFORMAT </w:instrText>
                          </w:r>
                          <w:r>
                            <w:rPr>
                              <w:rFonts w:ascii="Book Antiqua" w:hAnsi="Book Antiqua" w:cs="Book Antiqua"/>
                              <w:sz w:val="24"/>
                              <w:szCs w:val="24"/>
                              <w:lang w:eastAsia="zh-CN"/>
                            </w:rPr>
                            <w:fldChar w:fldCharType="separate"/>
                          </w:r>
                          <w:r w:rsidR="00B8037A">
                            <w:rPr>
                              <w:rFonts w:ascii="Book Antiqua" w:hAnsi="Book Antiqua" w:cs="Book Antiqua"/>
                              <w:noProof/>
                              <w:sz w:val="24"/>
                              <w:szCs w:val="24"/>
                              <w:lang w:eastAsia="zh-CN"/>
                            </w:rPr>
                            <w:t>2</w:t>
                          </w:r>
                          <w:r>
                            <w:rPr>
                              <w:rFonts w:ascii="Book Antiqua" w:hAnsi="Book Antiqua" w:cs="Book Antiqua"/>
                              <w:sz w:val="24"/>
                              <w:szCs w:val="24"/>
                              <w:lang w:eastAsia="zh-CN"/>
                            </w:rPr>
                            <w:fldChar w:fldCharType="end"/>
                          </w:r>
                          <w:r>
                            <w:rPr>
                              <w:rFonts w:ascii="Book Antiqua" w:hAnsi="Book Antiqua" w:cs="Book Antiqua"/>
                              <w:sz w:val="24"/>
                              <w:szCs w:val="24"/>
                              <w:lang w:eastAsia="zh-CN"/>
                            </w:rPr>
                            <w:t>/</w:t>
                          </w:r>
                          <w:r>
                            <w:rPr>
                              <w:rFonts w:ascii="Book Antiqua" w:hAnsi="Book Antiqua" w:cs="Book Antiqua" w:hint="eastAsia"/>
                              <w:sz w:val="24"/>
                              <w:szCs w:val="24"/>
                              <w:lang w:eastAsia="zh-CN"/>
                            </w:rPr>
                            <w:t>47</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5F527F" w:rsidRDefault="00542EC0">
                    <w:pPr>
                      <w:pStyle w:val="a5"/>
                      <w:rPr>
                        <w:rFonts w:ascii="Book Antiqua" w:hAnsi="Book Antiqua" w:cs="Book Antiqua"/>
                        <w:sz w:val="24"/>
                        <w:szCs w:val="24"/>
                        <w:lang w:eastAsia="zh-CN"/>
                      </w:rPr>
                    </w:pPr>
                    <w:r>
                      <w:rPr>
                        <w:rFonts w:ascii="Book Antiqua" w:hAnsi="Book Antiqua" w:cs="Book Antiqua"/>
                        <w:sz w:val="24"/>
                        <w:szCs w:val="24"/>
                        <w:lang w:eastAsia="zh-CN"/>
                      </w:rPr>
                      <w:fldChar w:fldCharType="begin"/>
                    </w:r>
                    <w:r>
                      <w:rPr>
                        <w:rFonts w:ascii="Book Antiqua" w:hAnsi="Book Antiqua" w:cs="Book Antiqua"/>
                        <w:sz w:val="24"/>
                        <w:szCs w:val="24"/>
                        <w:lang w:eastAsia="zh-CN"/>
                      </w:rPr>
                      <w:instrText xml:space="preserve"> PAGE  \* MERGEFORMAT </w:instrText>
                    </w:r>
                    <w:r>
                      <w:rPr>
                        <w:rFonts w:ascii="Book Antiqua" w:hAnsi="Book Antiqua" w:cs="Book Antiqua"/>
                        <w:sz w:val="24"/>
                        <w:szCs w:val="24"/>
                        <w:lang w:eastAsia="zh-CN"/>
                      </w:rPr>
                      <w:fldChar w:fldCharType="separate"/>
                    </w:r>
                    <w:r w:rsidR="00B8037A">
                      <w:rPr>
                        <w:rFonts w:ascii="Book Antiqua" w:hAnsi="Book Antiqua" w:cs="Book Antiqua"/>
                        <w:noProof/>
                        <w:sz w:val="24"/>
                        <w:szCs w:val="24"/>
                        <w:lang w:eastAsia="zh-CN"/>
                      </w:rPr>
                      <w:t>2</w:t>
                    </w:r>
                    <w:r>
                      <w:rPr>
                        <w:rFonts w:ascii="Book Antiqua" w:hAnsi="Book Antiqua" w:cs="Book Antiqua"/>
                        <w:sz w:val="24"/>
                        <w:szCs w:val="24"/>
                        <w:lang w:eastAsia="zh-CN"/>
                      </w:rPr>
                      <w:fldChar w:fldCharType="end"/>
                    </w:r>
                    <w:r>
                      <w:rPr>
                        <w:rFonts w:ascii="Book Antiqua" w:hAnsi="Book Antiqua" w:cs="Book Antiqua"/>
                        <w:sz w:val="24"/>
                        <w:szCs w:val="24"/>
                        <w:lang w:eastAsia="zh-CN"/>
                      </w:rPr>
                      <w:t>/</w:t>
                    </w:r>
                    <w:r>
                      <w:rPr>
                        <w:rFonts w:ascii="Book Antiqua" w:hAnsi="Book Antiqua" w:cs="Book Antiqua" w:hint="eastAsia"/>
                        <w:sz w:val="24"/>
                        <w:szCs w:val="24"/>
                        <w:lang w:eastAsia="zh-CN"/>
                      </w:rPr>
                      <w:t>47</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164854"/>
      <w:docPartObj>
        <w:docPartGallery w:val="Page Numbers (Bottom of Page)"/>
        <w:docPartUnique/>
      </w:docPartObj>
    </w:sdtPr>
    <w:sdtContent>
      <w:sdt>
        <w:sdtPr>
          <w:id w:val="-1705238520"/>
          <w:docPartObj>
            <w:docPartGallery w:val="Page Numbers (Top of Page)"/>
            <w:docPartUnique/>
          </w:docPartObj>
        </w:sdtPr>
        <w:sdtContent>
          <w:p w:rsidR="00C73417" w:rsidRDefault="00C73417" w:rsidP="00C7341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575F8">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575F8">
              <w:rPr>
                <w:b/>
                <w:bCs/>
                <w:noProof/>
              </w:rPr>
              <w:t>47</w:t>
            </w:r>
            <w:r>
              <w:rPr>
                <w:b/>
                <w:bCs/>
                <w:sz w:val="24"/>
                <w:szCs w:val="24"/>
              </w:rPr>
              <w:fldChar w:fldCharType="end"/>
            </w:r>
          </w:p>
        </w:sdtContent>
      </w:sdt>
    </w:sdtContent>
  </w:sdt>
  <w:p w:rsidR="005F527F" w:rsidRDefault="005F527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EC0" w:rsidRDefault="00542EC0">
      <w:pPr>
        <w:spacing w:after="0" w:line="240" w:lineRule="auto"/>
      </w:pPr>
      <w:r>
        <w:separator/>
      </w:r>
    </w:p>
  </w:footnote>
  <w:footnote w:type="continuationSeparator" w:id="0">
    <w:p w:rsidR="00542EC0" w:rsidRDefault="00542E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ptta9xnearsue9ft35wz0v2ree2v9ffspz&quot;&gt;My EndNote Library&lt;record-ids&gt;&lt;item&gt;328&lt;/item&gt;&lt;/record-ids&gt;&lt;/item&gt;&lt;/Libraries&gt;"/>
  </w:docVars>
  <w:rsids>
    <w:rsidRoot w:val="00A77B3E"/>
    <w:rsid w:val="00001D4F"/>
    <w:rsid w:val="00005997"/>
    <w:rsid w:val="00021C1A"/>
    <w:rsid w:val="000248D1"/>
    <w:rsid w:val="000410E1"/>
    <w:rsid w:val="0006171A"/>
    <w:rsid w:val="00063C25"/>
    <w:rsid w:val="000707D1"/>
    <w:rsid w:val="00071372"/>
    <w:rsid w:val="00082AFA"/>
    <w:rsid w:val="000A4D17"/>
    <w:rsid w:val="000B3319"/>
    <w:rsid w:val="000C24AD"/>
    <w:rsid w:val="000C6540"/>
    <w:rsid w:val="000F3FDB"/>
    <w:rsid w:val="0010173D"/>
    <w:rsid w:val="00101B74"/>
    <w:rsid w:val="001074C5"/>
    <w:rsid w:val="00126361"/>
    <w:rsid w:val="00133E13"/>
    <w:rsid w:val="00160F7E"/>
    <w:rsid w:val="001736C0"/>
    <w:rsid w:val="00174C20"/>
    <w:rsid w:val="001C5400"/>
    <w:rsid w:val="001C7C0D"/>
    <w:rsid w:val="001E65D3"/>
    <w:rsid w:val="002217A5"/>
    <w:rsid w:val="00225CA9"/>
    <w:rsid w:val="002C4F0C"/>
    <w:rsid w:val="002F3002"/>
    <w:rsid w:val="003001A2"/>
    <w:rsid w:val="0030466C"/>
    <w:rsid w:val="003059E2"/>
    <w:rsid w:val="0032353C"/>
    <w:rsid w:val="00374EFA"/>
    <w:rsid w:val="00396B47"/>
    <w:rsid w:val="00407330"/>
    <w:rsid w:val="0043449D"/>
    <w:rsid w:val="004446E5"/>
    <w:rsid w:val="00462EDF"/>
    <w:rsid w:val="004709C7"/>
    <w:rsid w:val="004F4E51"/>
    <w:rsid w:val="005243D5"/>
    <w:rsid w:val="0053105F"/>
    <w:rsid w:val="0053252F"/>
    <w:rsid w:val="00542EC0"/>
    <w:rsid w:val="00555DC9"/>
    <w:rsid w:val="0057725C"/>
    <w:rsid w:val="005A07BC"/>
    <w:rsid w:val="005A5355"/>
    <w:rsid w:val="005F527F"/>
    <w:rsid w:val="00601770"/>
    <w:rsid w:val="00617367"/>
    <w:rsid w:val="006362AD"/>
    <w:rsid w:val="006732C2"/>
    <w:rsid w:val="00680656"/>
    <w:rsid w:val="006B0C46"/>
    <w:rsid w:val="006D1DFA"/>
    <w:rsid w:val="006D3E5B"/>
    <w:rsid w:val="006E1603"/>
    <w:rsid w:val="00706D7B"/>
    <w:rsid w:val="00757A72"/>
    <w:rsid w:val="00772B9E"/>
    <w:rsid w:val="007754C6"/>
    <w:rsid w:val="0078262A"/>
    <w:rsid w:val="007F5265"/>
    <w:rsid w:val="00816965"/>
    <w:rsid w:val="00831537"/>
    <w:rsid w:val="00841B59"/>
    <w:rsid w:val="00846130"/>
    <w:rsid w:val="00852CD2"/>
    <w:rsid w:val="0086599F"/>
    <w:rsid w:val="00870E35"/>
    <w:rsid w:val="00872D86"/>
    <w:rsid w:val="00883637"/>
    <w:rsid w:val="0089532F"/>
    <w:rsid w:val="008A6E39"/>
    <w:rsid w:val="008D1D32"/>
    <w:rsid w:val="00907BE2"/>
    <w:rsid w:val="0093100D"/>
    <w:rsid w:val="00963536"/>
    <w:rsid w:val="00971D09"/>
    <w:rsid w:val="009A1728"/>
    <w:rsid w:val="00A06C24"/>
    <w:rsid w:val="00A11F8E"/>
    <w:rsid w:val="00A2037A"/>
    <w:rsid w:val="00A41A21"/>
    <w:rsid w:val="00A52C13"/>
    <w:rsid w:val="00A5510D"/>
    <w:rsid w:val="00A77B3E"/>
    <w:rsid w:val="00A801A9"/>
    <w:rsid w:val="00A8645E"/>
    <w:rsid w:val="00A90EC3"/>
    <w:rsid w:val="00AB6418"/>
    <w:rsid w:val="00AF7E71"/>
    <w:rsid w:val="00B143C1"/>
    <w:rsid w:val="00B147B4"/>
    <w:rsid w:val="00B21C57"/>
    <w:rsid w:val="00B31106"/>
    <w:rsid w:val="00B33BD0"/>
    <w:rsid w:val="00B40F46"/>
    <w:rsid w:val="00B5298E"/>
    <w:rsid w:val="00B575F8"/>
    <w:rsid w:val="00B60123"/>
    <w:rsid w:val="00B8037A"/>
    <w:rsid w:val="00B87D79"/>
    <w:rsid w:val="00B9223D"/>
    <w:rsid w:val="00BB77B1"/>
    <w:rsid w:val="00BD2BA1"/>
    <w:rsid w:val="00BF7A7A"/>
    <w:rsid w:val="00C03C34"/>
    <w:rsid w:val="00C15519"/>
    <w:rsid w:val="00C31B75"/>
    <w:rsid w:val="00C45339"/>
    <w:rsid w:val="00C73417"/>
    <w:rsid w:val="00C95C4D"/>
    <w:rsid w:val="00CA2A55"/>
    <w:rsid w:val="00CE4455"/>
    <w:rsid w:val="00D05520"/>
    <w:rsid w:val="00D27B51"/>
    <w:rsid w:val="00D5356B"/>
    <w:rsid w:val="00D7769D"/>
    <w:rsid w:val="00D77846"/>
    <w:rsid w:val="00D9009C"/>
    <w:rsid w:val="00D93795"/>
    <w:rsid w:val="00D964E1"/>
    <w:rsid w:val="00DA5A57"/>
    <w:rsid w:val="00DD1F37"/>
    <w:rsid w:val="00DE245D"/>
    <w:rsid w:val="00DE2E39"/>
    <w:rsid w:val="00E30D7C"/>
    <w:rsid w:val="00E34001"/>
    <w:rsid w:val="00E368CC"/>
    <w:rsid w:val="00E52FD7"/>
    <w:rsid w:val="00EC003E"/>
    <w:rsid w:val="00EC63D9"/>
    <w:rsid w:val="00ED65AD"/>
    <w:rsid w:val="00F05C20"/>
    <w:rsid w:val="00F13229"/>
    <w:rsid w:val="00F223C6"/>
    <w:rsid w:val="00F30095"/>
    <w:rsid w:val="00F418CB"/>
    <w:rsid w:val="00F445E3"/>
    <w:rsid w:val="00F45A5E"/>
    <w:rsid w:val="00F5280B"/>
    <w:rsid w:val="00F63D1D"/>
    <w:rsid w:val="00F642C4"/>
    <w:rsid w:val="00F660A3"/>
    <w:rsid w:val="00F81E0A"/>
    <w:rsid w:val="00F83F4C"/>
    <w:rsid w:val="00F93FA4"/>
    <w:rsid w:val="00FC1840"/>
    <w:rsid w:val="00FD3FB7"/>
    <w:rsid w:val="00FF56F4"/>
    <w:rsid w:val="105D05FA"/>
    <w:rsid w:val="150A23AC"/>
    <w:rsid w:val="349C6716"/>
    <w:rsid w:val="35713EB1"/>
    <w:rsid w:val="41B35707"/>
    <w:rsid w:val="5CC00FB7"/>
    <w:rsid w:val="5CE72F5C"/>
    <w:rsid w:val="5E5B3438"/>
    <w:rsid w:val="642F1F9C"/>
    <w:rsid w:val="652432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E2DEE2-C108-435A-A8CF-8B49D4F92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page number"/>
    <w:basedOn w:val="a0"/>
    <w:semiHidden/>
    <w:unhideWhenUsed/>
    <w:qFormat/>
  </w:style>
  <w:style w:type="character" w:styleId="a9">
    <w:name w:val="Hyperlink"/>
    <w:basedOn w:val="a0"/>
    <w:semiHidden/>
    <w:unhideWhenUsed/>
    <w:qFormat/>
    <w:rPr>
      <w:color w:val="0000FF"/>
      <w:u w:val="single"/>
    </w:rPr>
  </w:style>
  <w:style w:type="character" w:styleId="aa">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qFormat/>
    <w:rPr>
      <w:sz w:val="18"/>
      <w:szCs w:val="18"/>
    </w:rPr>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47</Pages>
  <Words>10754</Words>
  <Characters>61303</Characters>
  <Application>Microsoft Office Word</Application>
  <DocSecurity>0</DocSecurity>
  <Lines>510</Lines>
  <Paragraphs>143</Paragraphs>
  <ScaleCrop>false</ScaleCrop>
  <Company/>
  <LinksUpToDate>false</LinksUpToDate>
  <CharactersWithSpaces>71914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Admin</cp:lastModifiedBy>
  <cp:revision>60</cp:revision>
  <dcterms:created xsi:type="dcterms:W3CDTF">2021-05-07T09:54:00Z</dcterms:created>
  <dcterms:modified xsi:type="dcterms:W3CDTF">2021-05-10T08:07:00Z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1EE38AF3F6E14430851C7379CA34289F</vt:lpwstr>
  </property>
</Properties>
</file>