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EC" w:rsidRPr="0074751D" w:rsidRDefault="002E23EC" w:rsidP="0074751D">
      <w:pPr>
        <w:spacing w:after="0" w:line="360" w:lineRule="auto"/>
        <w:jc w:val="both"/>
        <w:rPr>
          <w:rFonts w:ascii="Book Antiqua" w:hAnsi="Book Antiqua"/>
          <w:b/>
          <w:color w:val="000000"/>
          <w:sz w:val="24"/>
          <w:szCs w:val="24"/>
          <w:lang w:eastAsia="zh-CN"/>
        </w:rPr>
      </w:pPr>
      <w:r w:rsidRPr="0074751D">
        <w:rPr>
          <w:rFonts w:ascii="Book Antiqua" w:hAnsi="Book Antiqua"/>
          <w:b/>
          <w:color w:val="000000"/>
          <w:sz w:val="24"/>
          <w:szCs w:val="24"/>
          <w:lang w:eastAsia="zh-CN"/>
        </w:rPr>
        <w:t>Name of journal: World Journal of Gastroenterology</w:t>
      </w:r>
    </w:p>
    <w:p w:rsidR="002E23EC" w:rsidRPr="0074751D" w:rsidRDefault="002E23EC" w:rsidP="0074751D">
      <w:pPr>
        <w:spacing w:after="0" w:line="360" w:lineRule="auto"/>
        <w:jc w:val="both"/>
        <w:rPr>
          <w:rFonts w:ascii="Book Antiqua" w:hAnsi="Book Antiqua"/>
          <w:b/>
          <w:color w:val="000000"/>
          <w:sz w:val="24"/>
          <w:szCs w:val="24"/>
          <w:lang w:eastAsia="zh-CN"/>
        </w:rPr>
      </w:pPr>
      <w:r w:rsidRPr="0074751D">
        <w:rPr>
          <w:rFonts w:ascii="Book Antiqua" w:hAnsi="Book Antiqua"/>
          <w:b/>
          <w:color w:val="000000"/>
          <w:sz w:val="24"/>
          <w:szCs w:val="24"/>
          <w:lang w:eastAsia="zh-CN"/>
        </w:rPr>
        <w:t>ESPS Manuscript NO: 6398</w:t>
      </w:r>
    </w:p>
    <w:p w:rsidR="002E23EC" w:rsidRPr="0074751D" w:rsidRDefault="002E23EC" w:rsidP="0074751D">
      <w:pPr>
        <w:spacing w:after="0" w:line="360" w:lineRule="auto"/>
        <w:jc w:val="both"/>
        <w:rPr>
          <w:rFonts w:ascii="Book Antiqua" w:hAnsi="Book Antiqua"/>
          <w:b/>
          <w:color w:val="000000"/>
          <w:sz w:val="24"/>
          <w:szCs w:val="24"/>
          <w:lang w:eastAsia="zh-CN"/>
        </w:rPr>
      </w:pPr>
      <w:r w:rsidRPr="0074751D">
        <w:rPr>
          <w:rFonts w:ascii="Book Antiqua" w:hAnsi="Book Antiqua"/>
          <w:b/>
          <w:color w:val="000000"/>
          <w:sz w:val="24"/>
          <w:szCs w:val="24"/>
          <w:lang w:eastAsia="zh-CN"/>
        </w:rPr>
        <w:t>Columns:</w:t>
      </w:r>
      <w:r w:rsidRPr="0074751D">
        <w:rPr>
          <w:rFonts w:ascii="Book Antiqua" w:hAnsi="Book Antiqua"/>
          <w:b/>
          <w:sz w:val="24"/>
          <w:szCs w:val="24"/>
        </w:rPr>
        <w:t xml:space="preserve"> </w:t>
      </w:r>
      <w:r w:rsidRPr="0074751D">
        <w:rPr>
          <w:rFonts w:ascii="Book Antiqua" w:hAnsi="Book Antiqua"/>
          <w:b/>
          <w:color w:val="000000"/>
          <w:sz w:val="24"/>
          <w:szCs w:val="24"/>
          <w:lang w:eastAsia="zh-CN"/>
        </w:rPr>
        <w:t>TOPIC HIGHLIGHTS</w:t>
      </w:r>
    </w:p>
    <w:p w:rsidR="002E23EC" w:rsidRDefault="002E23EC" w:rsidP="001F2AC2">
      <w:pPr>
        <w:spacing w:line="360" w:lineRule="auto"/>
        <w:rPr>
          <w:rFonts w:ascii="Book Antiqua" w:hAnsi="Book Antiqua" w:cs="TwCenMT-Bold"/>
          <w:bCs/>
          <w:sz w:val="24"/>
        </w:rPr>
      </w:pPr>
    </w:p>
    <w:p w:rsidR="002E23EC" w:rsidRPr="00B0503E" w:rsidRDefault="002E23EC" w:rsidP="001F2AC2">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2E23EC" w:rsidRPr="001F2AC2" w:rsidRDefault="002E23EC" w:rsidP="0074751D">
      <w:pPr>
        <w:spacing w:after="0" w:line="360" w:lineRule="auto"/>
        <w:jc w:val="both"/>
        <w:rPr>
          <w:rFonts w:ascii="Book Antiqua" w:hAnsi="Book Antiqua"/>
          <w:color w:val="000000"/>
          <w:sz w:val="24"/>
          <w:szCs w:val="24"/>
          <w:lang w:eastAsia="zh-CN"/>
        </w:rPr>
      </w:pPr>
    </w:p>
    <w:p w:rsidR="002E23EC" w:rsidRPr="0074751D" w:rsidRDefault="002E23EC" w:rsidP="0074751D">
      <w:pPr>
        <w:spacing w:after="0" w:line="360" w:lineRule="auto"/>
        <w:jc w:val="both"/>
        <w:rPr>
          <w:rFonts w:ascii="Book Antiqua" w:hAnsi="Book Antiqua"/>
          <w:b/>
          <w:color w:val="000000"/>
          <w:sz w:val="24"/>
          <w:szCs w:val="24"/>
        </w:rPr>
      </w:pPr>
      <w:r w:rsidRPr="0074751D">
        <w:rPr>
          <w:rFonts w:ascii="Book Antiqua" w:hAnsi="Book Antiqua"/>
          <w:b/>
          <w:color w:val="000000"/>
          <w:sz w:val="24"/>
          <w:szCs w:val="24"/>
        </w:rPr>
        <w:t xml:space="preserve">Beyond first-line chemotherapy for advanced pancreatic cancer: </w:t>
      </w:r>
      <w:r>
        <w:rPr>
          <w:rFonts w:ascii="Book Antiqua" w:hAnsi="Book Antiqua"/>
          <w:b/>
          <w:color w:val="000000"/>
          <w:sz w:val="24"/>
          <w:szCs w:val="24"/>
          <w:lang w:eastAsia="zh-CN"/>
        </w:rPr>
        <w:t>A</w:t>
      </w:r>
      <w:r w:rsidRPr="0074751D">
        <w:rPr>
          <w:rFonts w:ascii="Book Antiqua" w:hAnsi="Book Antiqua"/>
          <w:b/>
          <w:color w:val="000000"/>
          <w:sz w:val="24"/>
          <w:szCs w:val="24"/>
        </w:rPr>
        <w:t>n expanding array of therapeutic options?</w:t>
      </w:r>
      <w:bookmarkStart w:id="0" w:name="_GoBack"/>
      <w:bookmarkEnd w:id="0"/>
    </w:p>
    <w:p w:rsidR="002E23EC" w:rsidRPr="0074751D" w:rsidRDefault="002E23EC" w:rsidP="0074751D">
      <w:pPr>
        <w:spacing w:after="0" w:line="360" w:lineRule="auto"/>
        <w:jc w:val="both"/>
        <w:rPr>
          <w:rFonts w:ascii="Book Antiqua" w:hAnsi="Book Antiqua"/>
          <w:b/>
          <w:color w:val="000000"/>
          <w:sz w:val="24"/>
          <w:szCs w:val="24"/>
          <w:lang w:eastAsia="zh-CN"/>
        </w:rPr>
      </w:pP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sz w:val="24"/>
          <w:szCs w:val="24"/>
        </w:rPr>
        <w:t>Walker</w:t>
      </w:r>
      <w:r w:rsidRPr="0074751D">
        <w:rPr>
          <w:rFonts w:ascii="Book Antiqua" w:hAnsi="Book Antiqua"/>
          <w:color w:val="000000"/>
          <w:sz w:val="24"/>
          <w:szCs w:val="24"/>
        </w:rPr>
        <w:t xml:space="preserve"> </w:t>
      </w:r>
      <w:r w:rsidRPr="0074751D">
        <w:rPr>
          <w:rFonts w:ascii="Book Antiqua" w:hAnsi="Book Antiqua"/>
          <w:color w:val="000000"/>
          <w:sz w:val="24"/>
          <w:szCs w:val="24"/>
          <w:lang w:eastAsia="zh-CN"/>
        </w:rPr>
        <w:t xml:space="preserve">EJ </w:t>
      </w:r>
      <w:r w:rsidRPr="0074751D">
        <w:rPr>
          <w:rFonts w:ascii="Book Antiqua" w:hAnsi="Book Antiqua"/>
          <w:i/>
          <w:color w:val="000000"/>
          <w:sz w:val="24"/>
          <w:szCs w:val="24"/>
          <w:lang w:eastAsia="zh-CN"/>
        </w:rPr>
        <w:t>et al</w:t>
      </w:r>
      <w:r w:rsidRPr="0074751D">
        <w:rPr>
          <w:rFonts w:ascii="Book Antiqua" w:hAnsi="Book Antiqua"/>
          <w:color w:val="000000"/>
          <w:sz w:val="24"/>
          <w:szCs w:val="24"/>
          <w:lang w:eastAsia="zh-CN"/>
        </w:rPr>
        <w:t xml:space="preserve">. </w:t>
      </w:r>
      <w:r w:rsidRPr="0074751D">
        <w:rPr>
          <w:rFonts w:ascii="Book Antiqua" w:hAnsi="Book Antiqua"/>
          <w:color w:val="000000"/>
          <w:sz w:val="24"/>
          <w:szCs w:val="24"/>
        </w:rPr>
        <w:t>Treatment options for refractory pancreatic cancer</w:t>
      </w:r>
    </w:p>
    <w:p w:rsidR="002E23EC" w:rsidRPr="0074751D" w:rsidRDefault="002E23EC" w:rsidP="0074751D">
      <w:pPr>
        <w:spacing w:after="0" w:line="360" w:lineRule="auto"/>
        <w:jc w:val="both"/>
        <w:rPr>
          <w:rFonts w:ascii="Book Antiqua" w:hAnsi="Book Antiqua"/>
          <w:b/>
          <w:sz w:val="24"/>
          <w:szCs w:val="24"/>
          <w:lang w:eastAsia="zh-CN"/>
        </w:rPr>
      </w:pP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sz w:val="24"/>
          <w:szCs w:val="24"/>
        </w:rPr>
        <w:t>Evan J Walker, Andrew H Ko</w:t>
      </w:r>
    </w:p>
    <w:p w:rsidR="002E23EC" w:rsidRPr="0074751D" w:rsidRDefault="00081B12" w:rsidP="0074751D">
      <w:pPr>
        <w:spacing w:after="0" w:line="360" w:lineRule="auto"/>
        <w:jc w:val="both"/>
        <w:rPr>
          <w:rFonts w:ascii="Book Antiqua" w:hAnsi="Book Antiqua"/>
          <w:b/>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99059</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QDHwIAADcEAAAOAAAAZHJzL2Uyb0RvYy54bWysU9uO2yAQfa/Uf0C8J7az3mxixVlVdtKX&#10;bTdSth9AANuoGBCQOFHVf+9ALm3al6qqLGFghsOZc4bF87GX6MCtE1qVOBunGHFFNROqLfGXt/Vo&#10;hpHzRDEiteIlPnGHn5fv3y0GU/CJ7rRk3CIAUa4YTIk7702RJI52vCdurA1XEGy07YmHpW0TZskA&#10;6L1MJmk6TQZtmbGacudgtz4H8TLiNw2n/rVpHPdIlhi4+TjaOO7CmCwXpGgtMZ2gFxrkH1j0RCi4&#10;9AZVE0/Q3oo/oHpBrXa68WOq+0Q3jaA81gDVZOlv1Ww7YnisBcRx5iaT+3+w9PNhY5Fg4B1GivRg&#10;0dZbItrOo0orBQJqi7Kg02BcAemV2thQKT2qrXnR9KtDSlcdUS2PfN9OBkDiieTuSFg4A7fthk+a&#10;QQ7Zex1FOza2D5AgBzpGb043b/jRIwqb0/TxaZ6ChfQaS0hxPWis8x+57lGYlFgKFWQjBTm8OA/U&#10;IfWaEraVXgspo/VSoaHED7MMoEPIaSlYiMaFbXeVtOhAoHtmafiCEIB2l2b1XrGI1nHCVpe5J0Ke&#10;55AvVcCDWoDPZXZuj2/zdL6arWb5KJ9MV6M8revRh3WVj6br7Omxfqirqs6+B2pZXnSCMa4Cu2ur&#10;ZvnftcLl0Zyb7NasNx2Se/RYIpC9/iPpaGbw79wJO81OGxvUCL5Cd8bky0sK7f/rOmb9fO/LHwAA&#10;AP//AwBQSwMEFAAGAAgAAAAhACDerYjbAAAABwEAAA8AAABkcnMvZG93bnJldi54bWxMjstOwzAQ&#10;RfdI/IM1SGwQdaCkatM4FeKx6aISKR/gJJM4ajwOttumf88gFrCcc6/unHwz2UGc0IfekYKHWQIC&#10;qXZNT52Cz/37/RJEiJoaPThCBRcMsCmur3KdNe5MH3gqYyd4hEKmFZgYx0zKUBu0OszciMRZ67zV&#10;kU/fycbrM4/bQT4myUJa3RN/MHrEF4P1oTxaBV9b7ao3s51fXtv5bu9LbFf+Tqnbm+l5DSLiFP/K&#10;8KPP6lCwU+WO1AQxKHhKucg4XYDgeJUuGVS/QBa5/O9ffAMAAP//AwBQSwECLQAUAAYACAAAACEA&#10;toM4kv4AAADhAQAAEwAAAAAAAAAAAAAAAAAAAAAAW0NvbnRlbnRfVHlwZXNdLnhtbFBLAQItABQA&#10;BgAIAAAAIQA4/SH/1gAAAJQBAAALAAAAAAAAAAAAAAAAAC8BAABfcmVscy8ucmVsc1BLAQItABQA&#10;BgAIAAAAIQDo00QDHwIAADcEAAAOAAAAAAAAAAAAAAAAAC4CAABkcnMvZTJvRG9jLnhtbFBLAQIt&#10;ABQABgAIAAAAIQAg3q2I2wAAAAcBAAAPAAAAAAAAAAAAAAAAAHkEAABkcnMvZG93bnJldi54bWxQ&#10;SwUGAAAAAAQABADzAAAAgQUAAAAA&#10;" strokecolor="gray" strokeweight="3pt"/>
            </w:pict>
          </mc:Fallback>
        </mc:AlternateContent>
      </w:r>
    </w:p>
    <w:p w:rsidR="002E23EC" w:rsidRPr="0074751D" w:rsidRDefault="002E23EC" w:rsidP="0074751D">
      <w:pPr>
        <w:spacing w:after="0" w:line="360" w:lineRule="auto"/>
        <w:jc w:val="both"/>
        <w:rPr>
          <w:rFonts w:ascii="Book Antiqua" w:hAnsi="Book Antiqua"/>
          <w:sz w:val="24"/>
          <w:szCs w:val="24"/>
          <w:lang w:eastAsia="zh-CN"/>
        </w:rPr>
      </w:pPr>
      <w:r w:rsidRPr="0074751D">
        <w:rPr>
          <w:rFonts w:ascii="Book Antiqua" w:hAnsi="Book Antiqua"/>
          <w:b/>
          <w:sz w:val="24"/>
          <w:szCs w:val="24"/>
        </w:rPr>
        <w:t>Evan J Walker, Andrew H Ko,</w:t>
      </w:r>
      <w:r w:rsidRPr="0074751D">
        <w:rPr>
          <w:rFonts w:ascii="Book Antiqua" w:hAnsi="Book Antiqua"/>
          <w:sz w:val="24"/>
          <w:szCs w:val="24"/>
        </w:rPr>
        <w:t xml:space="preserve"> University of California, Helen Diller Family Comprehensi</w:t>
      </w:r>
      <w:r>
        <w:rPr>
          <w:rFonts w:ascii="Book Antiqua" w:hAnsi="Book Antiqua"/>
          <w:sz w:val="24"/>
          <w:szCs w:val="24"/>
        </w:rPr>
        <w:t>ve Cancer Center, San Francisco,</w:t>
      </w:r>
      <w:r w:rsidRPr="0074751D">
        <w:rPr>
          <w:rFonts w:ascii="Book Antiqua" w:hAnsi="Book Antiqua"/>
          <w:sz w:val="24"/>
          <w:szCs w:val="24"/>
        </w:rPr>
        <w:t xml:space="preserve"> CA</w:t>
      </w:r>
      <w:r w:rsidRPr="0074751D">
        <w:rPr>
          <w:rFonts w:ascii="Book Antiqua" w:hAnsi="Book Antiqua"/>
          <w:sz w:val="24"/>
          <w:szCs w:val="24"/>
          <w:lang w:eastAsia="zh-CN"/>
        </w:rPr>
        <w:t xml:space="preserve"> </w:t>
      </w:r>
      <w:r w:rsidRPr="0074751D">
        <w:rPr>
          <w:rFonts w:ascii="Book Antiqua" w:hAnsi="Book Antiqua"/>
          <w:sz w:val="24"/>
          <w:szCs w:val="24"/>
        </w:rPr>
        <w:t>94115, U</w:t>
      </w:r>
      <w:r w:rsidRPr="0074751D">
        <w:rPr>
          <w:rFonts w:ascii="Book Antiqua" w:hAnsi="Book Antiqua"/>
          <w:sz w:val="24"/>
          <w:szCs w:val="24"/>
          <w:lang w:eastAsia="zh-CN"/>
        </w:rPr>
        <w:t xml:space="preserve">nited </w:t>
      </w:r>
      <w:r w:rsidRPr="0074751D">
        <w:rPr>
          <w:rFonts w:ascii="Book Antiqua" w:hAnsi="Book Antiqua"/>
          <w:sz w:val="24"/>
          <w:szCs w:val="24"/>
        </w:rPr>
        <w:t>S</w:t>
      </w:r>
      <w:r w:rsidRPr="0074751D">
        <w:rPr>
          <w:rFonts w:ascii="Book Antiqua" w:hAnsi="Book Antiqua"/>
          <w:sz w:val="24"/>
          <w:szCs w:val="24"/>
          <w:lang w:eastAsia="zh-CN"/>
        </w:rPr>
        <w:t>tates</w:t>
      </w:r>
    </w:p>
    <w:p w:rsidR="002E23EC" w:rsidRPr="0074751D" w:rsidRDefault="002E23EC" w:rsidP="0074751D">
      <w:pPr>
        <w:autoSpaceDE w:val="0"/>
        <w:autoSpaceDN w:val="0"/>
        <w:adjustRightInd w:val="0"/>
        <w:spacing w:after="0" w:line="360" w:lineRule="auto"/>
        <w:jc w:val="both"/>
        <w:rPr>
          <w:rFonts w:ascii="Book Antiqua" w:hAnsi="Book Antiqua"/>
          <w:b/>
          <w:sz w:val="24"/>
          <w:szCs w:val="24"/>
          <w:lang w:eastAsia="zh-CN"/>
        </w:rPr>
      </w:pPr>
    </w:p>
    <w:p w:rsidR="002E23EC" w:rsidRPr="0074751D" w:rsidRDefault="002E23EC" w:rsidP="0074751D">
      <w:pPr>
        <w:autoSpaceDE w:val="0"/>
        <w:autoSpaceDN w:val="0"/>
        <w:adjustRightInd w:val="0"/>
        <w:spacing w:after="0" w:line="360" w:lineRule="auto"/>
        <w:jc w:val="both"/>
        <w:rPr>
          <w:rFonts w:ascii="Book Antiqua" w:hAnsi="Book Antiqua"/>
          <w:sz w:val="24"/>
          <w:szCs w:val="24"/>
        </w:rPr>
      </w:pPr>
      <w:r w:rsidRPr="00A27B97">
        <w:rPr>
          <w:rFonts w:ascii="Book Antiqua" w:hAnsi="Book Antiqua"/>
          <w:b/>
          <w:sz w:val="24"/>
          <w:szCs w:val="24"/>
        </w:rPr>
        <w:t xml:space="preserve">Author contributions: </w:t>
      </w:r>
      <w:r w:rsidRPr="0074751D">
        <w:rPr>
          <w:rFonts w:ascii="Book Antiqua" w:hAnsi="Book Antiqua"/>
          <w:sz w:val="24"/>
          <w:szCs w:val="24"/>
        </w:rPr>
        <w:t>Walker EJ performed the literature search; Walker EJ and Ko AH designed and wrote the paper.</w:t>
      </w:r>
    </w:p>
    <w:p w:rsidR="002E23EC" w:rsidRPr="0074751D" w:rsidRDefault="002E23EC" w:rsidP="0074751D">
      <w:pPr>
        <w:autoSpaceDE w:val="0"/>
        <w:autoSpaceDN w:val="0"/>
        <w:adjustRightInd w:val="0"/>
        <w:spacing w:after="0" w:line="360" w:lineRule="auto"/>
        <w:jc w:val="both"/>
        <w:rPr>
          <w:rFonts w:ascii="Book Antiqua" w:hAnsi="Book Antiqua"/>
          <w:sz w:val="24"/>
          <w:szCs w:val="24"/>
        </w:rPr>
      </w:pPr>
    </w:p>
    <w:p w:rsidR="002E23EC" w:rsidRPr="0074751D" w:rsidRDefault="002E23EC" w:rsidP="0074751D">
      <w:pPr>
        <w:autoSpaceDE w:val="0"/>
        <w:autoSpaceDN w:val="0"/>
        <w:adjustRightInd w:val="0"/>
        <w:spacing w:after="0" w:line="360" w:lineRule="auto"/>
        <w:jc w:val="both"/>
        <w:rPr>
          <w:rFonts w:ascii="Book Antiqua" w:hAnsi="Book Antiqua"/>
          <w:sz w:val="24"/>
          <w:szCs w:val="24"/>
        </w:rPr>
      </w:pPr>
      <w:r w:rsidRPr="00FD1C96">
        <w:rPr>
          <w:rFonts w:ascii="Book Antiqua" w:hAnsi="Book Antiqua"/>
          <w:b/>
          <w:sz w:val="24"/>
          <w:szCs w:val="24"/>
        </w:rPr>
        <w:t>Correspondence to:</w:t>
      </w:r>
      <w:r w:rsidRPr="0074751D">
        <w:rPr>
          <w:rFonts w:ascii="Book Antiqua" w:hAnsi="Book Antiqua"/>
          <w:b/>
          <w:sz w:val="24"/>
          <w:szCs w:val="24"/>
        </w:rPr>
        <w:t xml:space="preserve"> Andrew H Ko, MD</w:t>
      </w:r>
      <w:r w:rsidRPr="0074751D">
        <w:rPr>
          <w:rFonts w:ascii="Book Antiqua" w:hAnsi="Book Antiqua"/>
          <w:sz w:val="24"/>
          <w:szCs w:val="24"/>
        </w:rPr>
        <w:t>,</w:t>
      </w:r>
      <w:r w:rsidRPr="001837E5">
        <w:rPr>
          <w:rFonts w:ascii="Book Antiqua" w:hAnsi="Book Antiqua"/>
          <w:b/>
          <w:sz w:val="24"/>
          <w:szCs w:val="24"/>
        </w:rPr>
        <w:t xml:space="preserve"> Associate Professor</w:t>
      </w:r>
      <w:r w:rsidRPr="0074751D">
        <w:rPr>
          <w:rFonts w:ascii="Book Antiqua" w:hAnsi="Book Antiqua"/>
          <w:sz w:val="24"/>
          <w:szCs w:val="24"/>
        </w:rPr>
        <w:t xml:space="preserve"> of Medicine, University of California, Helen Diller Family Comprehensive Cancer Center,</w:t>
      </w:r>
      <w:r w:rsidRPr="0074751D">
        <w:rPr>
          <w:rFonts w:ascii="Book Antiqua" w:hAnsi="Book Antiqua"/>
          <w:sz w:val="24"/>
          <w:szCs w:val="24"/>
          <w:lang w:eastAsia="zh-CN"/>
        </w:rPr>
        <w:t xml:space="preserve"> </w:t>
      </w:r>
      <w:r w:rsidRPr="0074751D">
        <w:rPr>
          <w:rFonts w:ascii="Book Antiqua" w:hAnsi="Book Antiqua"/>
          <w:sz w:val="24"/>
          <w:szCs w:val="24"/>
        </w:rPr>
        <w:t xml:space="preserve">1600 Divisadero St, Box 1705, San </w:t>
      </w:r>
      <w:r>
        <w:rPr>
          <w:rFonts w:ascii="Book Antiqua" w:hAnsi="Book Antiqua"/>
          <w:sz w:val="24"/>
          <w:szCs w:val="24"/>
        </w:rPr>
        <w:t>Francisco,</w:t>
      </w:r>
      <w:r w:rsidRPr="0074751D">
        <w:rPr>
          <w:rFonts w:ascii="Book Antiqua" w:hAnsi="Book Antiqua"/>
          <w:sz w:val="24"/>
          <w:szCs w:val="24"/>
        </w:rPr>
        <w:t xml:space="preserve"> CA 94115, U</w:t>
      </w:r>
      <w:r w:rsidRPr="0074751D">
        <w:rPr>
          <w:rFonts w:ascii="Book Antiqua" w:hAnsi="Book Antiqua"/>
          <w:sz w:val="24"/>
          <w:szCs w:val="24"/>
          <w:lang w:eastAsia="zh-CN"/>
        </w:rPr>
        <w:t xml:space="preserve">nited </w:t>
      </w:r>
      <w:r w:rsidRPr="0074751D">
        <w:rPr>
          <w:rFonts w:ascii="Book Antiqua" w:hAnsi="Book Antiqua"/>
          <w:sz w:val="24"/>
          <w:szCs w:val="24"/>
        </w:rPr>
        <w:t>S</w:t>
      </w:r>
      <w:r w:rsidRPr="0074751D">
        <w:rPr>
          <w:rFonts w:ascii="Book Antiqua" w:hAnsi="Book Antiqua"/>
          <w:sz w:val="24"/>
          <w:szCs w:val="24"/>
          <w:lang w:eastAsia="zh-CN"/>
        </w:rPr>
        <w:t>tates</w:t>
      </w:r>
      <w:r w:rsidRPr="0074751D">
        <w:rPr>
          <w:rFonts w:ascii="Book Antiqua" w:hAnsi="Book Antiqua"/>
          <w:sz w:val="24"/>
          <w:szCs w:val="24"/>
        </w:rPr>
        <w:t>. andrewko@medicine.ucsf.edu</w:t>
      </w:r>
    </w:p>
    <w:p w:rsidR="002E23EC" w:rsidRPr="0074751D" w:rsidRDefault="002E23EC" w:rsidP="0074751D">
      <w:pPr>
        <w:autoSpaceDE w:val="0"/>
        <w:autoSpaceDN w:val="0"/>
        <w:adjustRightInd w:val="0"/>
        <w:spacing w:after="0" w:line="360" w:lineRule="auto"/>
        <w:jc w:val="both"/>
        <w:rPr>
          <w:rFonts w:ascii="Book Antiqua" w:hAnsi="Book Antiqua"/>
          <w:sz w:val="24"/>
          <w:szCs w:val="24"/>
        </w:rPr>
      </w:pPr>
    </w:p>
    <w:p w:rsidR="002E23EC" w:rsidRDefault="002E23EC" w:rsidP="0074751D">
      <w:pPr>
        <w:autoSpaceDE w:val="0"/>
        <w:autoSpaceDN w:val="0"/>
        <w:adjustRightInd w:val="0"/>
        <w:spacing w:after="0" w:line="360" w:lineRule="auto"/>
        <w:jc w:val="both"/>
        <w:rPr>
          <w:rFonts w:ascii="Book Antiqua" w:hAnsi="Book Antiqua"/>
          <w:sz w:val="24"/>
          <w:szCs w:val="24"/>
          <w:lang w:eastAsia="zh-CN"/>
        </w:rPr>
      </w:pPr>
      <w:r w:rsidRPr="0074751D">
        <w:rPr>
          <w:rFonts w:ascii="Book Antiqua" w:hAnsi="Book Antiqua"/>
          <w:b/>
          <w:sz w:val="24"/>
          <w:szCs w:val="24"/>
        </w:rPr>
        <w:t xml:space="preserve">Telephone: </w:t>
      </w:r>
      <w:r w:rsidRPr="0074751D">
        <w:rPr>
          <w:rFonts w:ascii="Book Antiqua" w:hAnsi="Book Antiqua"/>
          <w:sz w:val="24"/>
          <w:szCs w:val="24"/>
        </w:rPr>
        <w:t>+1-415-3537286</w:t>
      </w:r>
      <w:r w:rsidRPr="0074751D">
        <w:rPr>
          <w:rFonts w:ascii="Book Antiqua" w:hAnsi="Book Antiqua"/>
          <w:b/>
          <w:sz w:val="24"/>
          <w:szCs w:val="24"/>
          <w:lang w:eastAsia="zh-CN"/>
        </w:rPr>
        <w:t xml:space="preserve">                     </w:t>
      </w:r>
      <w:r w:rsidRPr="0074751D">
        <w:rPr>
          <w:rFonts w:ascii="Book Antiqua" w:hAnsi="Book Antiqua"/>
          <w:b/>
          <w:sz w:val="24"/>
          <w:szCs w:val="24"/>
        </w:rPr>
        <w:t xml:space="preserve">Fax: </w:t>
      </w:r>
      <w:r w:rsidRPr="0074751D">
        <w:rPr>
          <w:rFonts w:ascii="Book Antiqua" w:hAnsi="Book Antiqua"/>
          <w:sz w:val="24"/>
          <w:szCs w:val="24"/>
        </w:rPr>
        <w:t>+1-415-3537984</w:t>
      </w:r>
    </w:p>
    <w:p w:rsidR="002E23EC" w:rsidRPr="00324744" w:rsidRDefault="002E23EC" w:rsidP="000F4B77">
      <w:pPr>
        <w:autoSpaceDE w:val="0"/>
        <w:autoSpaceDN w:val="0"/>
        <w:adjustRightInd w:val="0"/>
        <w:spacing w:after="0" w:line="360" w:lineRule="auto"/>
        <w:jc w:val="both"/>
        <w:rPr>
          <w:rFonts w:ascii="Book Antiqua" w:hAnsi="Book Antiqua"/>
          <w:sz w:val="24"/>
          <w:szCs w:val="24"/>
          <w:lang w:eastAsia="zh-CN"/>
        </w:rPr>
      </w:pPr>
      <w:r w:rsidRPr="000F4B77">
        <w:rPr>
          <w:rFonts w:ascii="Book Antiqua" w:hAnsi="Book Antiqua"/>
          <w:b/>
          <w:sz w:val="24"/>
          <w:szCs w:val="24"/>
          <w:lang w:eastAsia="zh-CN"/>
        </w:rPr>
        <w:t xml:space="preserve">Received: </w:t>
      </w:r>
      <w:r w:rsidRPr="00324744">
        <w:rPr>
          <w:rFonts w:ascii="Book Antiqua" w:hAnsi="Book Antiqua"/>
          <w:sz w:val="24"/>
          <w:szCs w:val="24"/>
          <w:lang w:eastAsia="zh-CN"/>
        </w:rPr>
        <w:t xml:space="preserve">October 16, 2013 </w:t>
      </w:r>
      <w:r w:rsidRPr="000F4B77">
        <w:rPr>
          <w:rFonts w:ascii="Book Antiqua" w:hAnsi="Book Antiqua"/>
          <w:b/>
          <w:sz w:val="24"/>
          <w:szCs w:val="24"/>
          <w:lang w:eastAsia="zh-CN"/>
        </w:rPr>
        <w:t xml:space="preserve">     </w:t>
      </w:r>
      <w:r>
        <w:rPr>
          <w:rFonts w:ascii="Book Antiqua" w:hAnsi="Book Antiqua"/>
          <w:b/>
          <w:sz w:val="24"/>
          <w:szCs w:val="24"/>
          <w:lang w:eastAsia="zh-CN"/>
        </w:rPr>
        <w:t xml:space="preserve">                </w:t>
      </w:r>
      <w:r w:rsidRPr="000F4B77">
        <w:rPr>
          <w:rFonts w:ascii="Book Antiqua" w:hAnsi="Book Antiqua"/>
          <w:b/>
          <w:sz w:val="24"/>
          <w:szCs w:val="24"/>
          <w:lang w:eastAsia="zh-CN"/>
        </w:rPr>
        <w:t>Revised:</w:t>
      </w:r>
      <w:r>
        <w:rPr>
          <w:rFonts w:ascii="Book Antiqua" w:hAnsi="Book Antiqua"/>
          <w:b/>
          <w:sz w:val="24"/>
          <w:szCs w:val="24"/>
          <w:lang w:eastAsia="zh-CN"/>
        </w:rPr>
        <w:t xml:space="preserve"> </w:t>
      </w:r>
      <w:r w:rsidRPr="00324744">
        <w:rPr>
          <w:rFonts w:ascii="Book Antiqua" w:hAnsi="Book Antiqua"/>
          <w:sz w:val="24"/>
          <w:szCs w:val="24"/>
          <w:lang w:eastAsia="zh-CN"/>
        </w:rPr>
        <w:t>December 13, 2013</w:t>
      </w:r>
    </w:p>
    <w:p w:rsidR="006270F2" w:rsidRPr="00D57A62" w:rsidRDefault="002E23EC" w:rsidP="006270F2">
      <w:pPr>
        <w:rPr>
          <w:rFonts w:ascii="Book Antiqua" w:hAnsi="Book Antiqua"/>
          <w:sz w:val="24"/>
          <w:szCs w:val="24"/>
        </w:rPr>
      </w:pPr>
      <w:r w:rsidRPr="000F4B77">
        <w:rPr>
          <w:rFonts w:ascii="Book Antiqua" w:hAnsi="Book Antiqua"/>
          <w:b/>
          <w:sz w:val="24"/>
          <w:szCs w:val="24"/>
          <w:lang w:eastAsia="zh-CN"/>
        </w:rPr>
        <w:t>Accepted:</w:t>
      </w:r>
      <w:r w:rsidR="006270F2" w:rsidRPr="006270F2">
        <w:rPr>
          <w:rFonts w:ascii="Book Antiqua" w:hAnsi="Book Antiqua"/>
          <w:sz w:val="24"/>
          <w:szCs w:val="24"/>
        </w:rPr>
        <w:t xml:space="preserve"> </w:t>
      </w:r>
      <w:r w:rsidR="006270F2" w:rsidRPr="00D57A62">
        <w:rPr>
          <w:rFonts w:ascii="Book Antiqua" w:hAnsi="Book Antiqua"/>
          <w:sz w:val="24"/>
          <w:szCs w:val="24"/>
        </w:rPr>
        <w:t>January 3, 2014</w:t>
      </w:r>
    </w:p>
    <w:p w:rsidR="002E23EC" w:rsidRPr="000F4B77" w:rsidRDefault="002E23EC" w:rsidP="000F4B77">
      <w:pPr>
        <w:autoSpaceDE w:val="0"/>
        <w:autoSpaceDN w:val="0"/>
        <w:adjustRightInd w:val="0"/>
        <w:spacing w:after="0" w:line="360" w:lineRule="auto"/>
        <w:jc w:val="both"/>
        <w:rPr>
          <w:rFonts w:ascii="Book Antiqua" w:hAnsi="Book Antiqua"/>
          <w:b/>
          <w:sz w:val="24"/>
          <w:szCs w:val="24"/>
          <w:lang w:eastAsia="zh-CN"/>
        </w:rPr>
      </w:pPr>
    </w:p>
    <w:p w:rsidR="002E23EC" w:rsidRPr="0074751D" w:rsidRDefault="002E23EC" w:rsidP="000F4B77">
      <w:pPr>
        <w:autoSpaceDE w:val="0"/>
        <w:autoSpaceDN w:val="0"/>
        <w:adjustRightInd w:val="0"/>
        <w:spacing w:after="0" w:line="360" w:lineRule="auto"/>
        <w:jc w:val="both"/>
        <w:rPr>
          <w:rFonts w:ascii="Book Antiqua" w:hAnsi="Book Antiqua"/>
          <w:b/>
          <w:sz w:val="24"/>
          <w:szCs w:val="24"/>
          <w:lang w:eastAsia="zh-CN"/>
        </w:rPr>
      </w:pPr>
      <w:r w:rsidRPr="000F4B77">
        <w:rPr>
          <w:rFonts w:ascii="Book Antiqua" w:hAnsi="Book Antiqua"/>
          <w:b/>
          <w:sz w:val="24"/>
          <w:szCs w:val="24"/>
          <w:lang w:eastAsia="zh-CN"/>
        </w:rPr>
        <w:t>Published online:</w:t>
      </w:r>
    </w:p>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br w:type="page"/>
      </w:r>
    </w:p>
    <w:p w:rsidR="002E23EC" w:rsidRPr="0074751D" w:rsidRDefault="002E23EC" w:rsidP="0074751D">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t>Abstract</w:t>
      </w:r>
    </w:p>
    <w:p w:rsidR="002E23EC" w:rsidRPr="0074751D" w:rsidRDefault="002E23EC" w:rsidP="0074751D">
      <w:pPr>
        <w:autoSpaceDE w:val="0"/>
        <w:autoSpaceDN w:val="0"/>
        <w:adjustRightInd w:val="0"/>
        <w:spacing w:after="0" w:line="360" w:lineRule="auto"/>
        <w:jc w:val="both"/>
        <w:rPr>
          <w:rFonts w:ascii="Book Antiqua" w:hAnsi="Book Antiqua"/>
          <w:sz w:val="24"/>
          <w:szCs w:val="24"/>
          <w:lang w:eastAsia="zh-CN"/>
        </w:rPr>
      </w:pPr>
      <w:r w:rsidRPr="0074751D">
        <w:rPr>
          <w:rFonts w:ascii="Book Antiqua" w:hAnsi="Book Antiqua"/>
          <w:sz w:val="24"/>
          <w:szCs w:val="24"/>
        </w:rPr>
        <w:t>While an increasing number of therapeutic options are now available for the first-line treatment of locally advanced or metastatic pancreatic cancer, the optimal choice for treatment in the second-line setting and beyond is less well defined. A variety of cytotoxic agents, either alone or in combination, have been evaluated, although primarily in the context of small single-arm or retrospective studies. Most regimens have been associated with median progression-free survival rates in the range of 2-4 mo and overall survival rates between 4-8 mo, highlighting the very poor prognosis of patients who are candidates for such treatment. Targeted therapies studied in this chemotherapy-refractory setting, meanwhile, have produced even worse efficacy results. In the current article, we review the clinical evidence for treatment of refractory disease, primarily in patients who have progressed on front-line gemcitabine-based chemotherapy. In the process, we highlight the limitations of the available data to date as well as some of the challenges in designing appropriate clinical trials in this salvage setting, including how to select an appropriate control arm given the absence of a well-established reference standard, and the importance of incorporating predictive biomarkers and quality of life measures whenever possible into study design.</w:t>
      </w:r>
    </w:p>
    <w:p w:rsidR="002E23EC" w:rsidRDefault="002E23EC" w:rsidP="005F6348">
      <w:pPr>
        <w:pStyle w:val="ad"/>
        <w:tabs>
          <w:tab w:val="left" w:pos="2895"/>
        </w:tabs>
        <w:spacing w:line="360" w:lineRule="auto"/>
        <w:rPr>
          <w:rFonts w:ascii="Book Antiqua" w:hAnsi="Book Antiqua"/>
          <w:sz w:val="24"/>
          <w:lang w:eastAsia="zh-CN"/>
        </w:rPr>
      </w:pPr>
    </w:p>
    <w:p w:rsidR="002E23EC" w:rsidRPr="00173922" w:rsidRDefault="002E23EC" w:rsidP="005F6348">
      <w:pPr>
        <w:pStyle w:val="ad"/>
        <w:tabs>
          <w:tab w:val="left" w:pos="2895"/>
        </w:tabs>
        <w:spacing w:line="360" w:lineRule="auto"/>
        <w:rPr>
          <w:rFonts w:ascii="Book Antiqua" w:hAnsi="Book Antiqua"/>
          <w:sz w:val="24"/>
        </w:rPr>
      </w:pPr>
      <w:r w:rsidRPr="00173922">
        <w:rPr>
          <w:rFonts w:ascii="Book Antiqua" w:hAnsi="Book Antiqua"/>
          <w:sz w:val="24"/>
        </w:rPr>
        <w:t>© 201</w:t>
      </w:r>
      <w:r>
        <w:rPr>
          <w:rFonts w:ascii="Book Antiqua" w:hAnsi="Book Antiqua"/>
          <w:sz w:val="24"/>
        </w:rPr>
        <w:t>4</w:t>
      </w:r>
      <w:r w:rsidRPr="00173922">
        <w:rPr>
          <w:rFonts w:ascii="Book Antiqua" w:hAnsi="Book Antiqua"/>
          <w:sz w:val="24"/>
        </w:rPr>
        <w:t xml:space="preserve"> Baishideng Publishing Group Co., Limited. All rights reserved.</w:t>
      </w:r>
    </w:p>
    <w:p w:rsidR="002E23EC" w:rsidRPr="0074751D" w:rsidRDefault="002E23EC" w:rsidP="0074751D">
      <w:pPr>
        <w:autoSpaceDE w:val="0"/>
        <w:autoSpaceDN w:val="0"/>
        <w:adjustRightInd w:val="0"/>
        <w:spacing w:after="0" w:line="360" w:lineRule="auto"/>
        <w:jc w:val="both"/>
        <w:rPr>
          <w:rFonts w:ascii="Book Antiqua" w:hAnsi="Book Antiqua"/>
          <w:b/>
          <w:sz w:val="24"/>
          <w:szCs w:val="24"/>
        </w:rPr>
      </w:pPr>
    </w:p>
    <w:p w:rsidR="002E23EC" w:rsidRPr="00ED0DF8" w:rsidRDefault="002E23EC" w:rsidP="0074751D">
      <w:pPr>
        <w:autoSpaceDE w:val="0"/>
        <w:autoSpaceDN w:val="0"/>
        <w:adjustRightInd w:val="0"/>
        <w:spacing w:after="0" w:line="360" w:lineRule="auto"/>
        <w:jc w:val="both"/>
        <w:rPr>
          <w:rFonts w:ascii="Book Antiqua" w:hAnsi="Book Antiqua"/>
          <w:b/>
          <w:sz w:val="24"/>
          <w:szCs w:val="24"/>
        </w:rPr>
      </w:pPr>
      <w:r>
        <w:rPr>
          <w:rFonts w:ascii="Book Antiqua" w:hAnsi="Book Antiqua"/>
          <w:b/>
          <w:sz w:val="24"/>
          <w:szCs w:val="24"/>
        </w:rPr>
        <w:t xml:space="preserve">Key </w:t>
      </w:r>
      <w:r>
        <w:rPr>
          <w:rFonts w:ascii="Book Antiqua" w:hAnsi="Book Antiqua"/>
          <w:b/>
          <w:sz w:val="24"/>
          <w:szCs w:val="24"/>
          <w:lang w:eastAsia="zh-CN"/>
        </w:rPr>
        <w:t>w</w:t>
      </w:r>
      <w:r w:rsidRPr="0074751D">
        <w:rPr>
          <w:rFonts w:ascii="Book Antiqua" w:hAnsi="Book Antiqua"/>
          <w:b/>
          <w:sz w:val="24"/>
          <w:szCs w:val="24"/>
        </w:rPr>
        <w:t>ords:</w:t>
      </w:r>
      <w:r>
        <w:rPr>
          <w:rFonts w:ascii="Book Antiqua" w:hAnsi="Book Antiqua"/>
          <w:b/>
          <w:sz w:val="24"/>
          <w:szCs w:val="24"/>
          <w:lang w:eastAsia="zh-CN"/>
        </w:rPr>
        <w:t xml:space="preserve"> </w:t>
      </w:r>
      <w:r w:rsidRPr="0074751D">
        <w:rPr>
          <w:rFonts w:ascii="Book Antiqua" w:hAnsi="Book Antiqua"/>
          <w:sz w:val="24"/>
          <w:szCs w:val="24"/>
        </w:rPr>
        <w:t xml:space="preserve">Pancreatic cancer; </w:t>
      </w:r>
      <w:r>
        <w:rPr>
          <w:rFonts w:ascii="Book Antiqua" w:hAnsi="Book Antiqua"/>
          <w:sz w:val="24"/>
          <w:szCs w:val="24"/>
          <w:lang w:eastAsia="zh-CN"/>
        </w:rPr>
        <w:t>R</w:t>
      </w:r>
      <w:r w:rsidRPr="0074751D">
        <w:rPr>
          <w:rFonts w:ascii="Book Antiqua" w:hAnsi="Book Antiqua"/>
          <w:sz w:val="24"/>
          <w:szCs w:val="24"/>
        </w:rPr>
        <w:t xml:space="preserve">efractory; </w:t>
      </w:r>
      <w:r>
        <w:rPr>
          <w:rFonts w:ascii="Book Antiqua" w:hAnsi="Book Antiqua"/>
          <w:sz w:val="24"/>
          <w:szCs w:val="24"/>
          <w:lang w:eastAsia="zh-CN"/>
        </w:rPr>
        <w:t>S</w:t>
      </w:r>
      <w:r w:rsidRPr="0074751D">
        <w:rPr>
          <w:rFonts w:ascii="Book Antiqua" w:hAnsi="Book Antiqua"/>
          <w:sz w:val="24"/>
          <w:szCs w:val="24"/>
        </w:rPr>
        <w:t xml:space="preserve">econd-line; </w:t>
      </w:r>
      <w:r>
        <w:rPr>
          <w:rFonts w:ascii="Book Antiqua" w:hAnsi="Book Antiqua"/>
          <w:sz w:val="24"/>
          <w:szCs w:val="24"/>
          <w:lang w:eastAsia="zh-CN"/>
        </w:rPr>
        <w:t>C</w:t>
      </w:r>
      <w:r w:rsidRPr="0074751D">
        <w:rPr>
          <w:rFonts w:ascii="Book Antiqua" w:hAnsi="Book Antiqua"/>
          <w:sz w:val="24"/>
          <w:szCs w:val="24"/>
        </w:rPr>
        <w:t xml:space="preserve">hemotherapy; </w:t>
      </w:r>
      <w:r>
        <w:rPr>
          <w:rFonts w:ascii="Book Antiqua" w:hAnsi="Book Antiqua"/>
          <w:sz w:val="24"/>
          <w:szCs w:val="24"/>
          <w:lang w:eastAsia="zh-CN"/>
        </w:rPr>
        <w:t>G</w:t>
      </w:r>
      <w:r w:rsidRPr="0074751D">
        <w:rPr>
          <w:rFonts w:ascii="Book Antiqua" w:hAnsi="Book Antiqua"/>
          <w:sz w:val="24"/>
          <w:szCs w:val="24"/>
        </w:rPr>
        <w:t>emcitabine</w:t>
      </w:r>
    </w:p>
    <w:p w:rsidR="002E23EC" w:rsidRPr="0074751D" w:rsidRDefault="002E23EC" w:rsidP="0074751D">
      <w:pPr>
        <w:autoSpaceDE w:val="0"/>
        <w:autoSpaceDN w:val="0"/>
        <w:adjustRightInd w:val="0"/>
        <w:spacing w:after="0" w:line="360" w:lineRule="auto"/>
        <w:jc w:val="both"/>
        <w:rPr>
          <w:rFonts w:ascii="Book Antiqua" w:hAnsi="Book Antiqua"/>
          <w:b/>
          <w:sz w:val="24"/>
          <w:szCs w:val="24"/>
        </w:rPr>
      </w:pPr>
    </w:p>
    <w:p w:rsidR="002E23EC" w:rsidRPr="00ED227D" w:rsidRDefault="002E23EC" w:rsidP="00D64CF0">
      <w:pPr>
        <w:autoSpaceDE w:val="0"/>
        <w:autoSpaceDN w:val="0"/>
        <w:adjustRightInd w:val="0"/>
        <w:spacing w:after="0" w:line="360" w:lineRule="auto"/>
        <w:jc w:val="both"/>
        <w:rPr>
          <w:rFonts w:ascii="Book Antiqua" w:hAnsi="Book Antiqua"/>
          <w:b/>
          <w:sz w:val="24"/>
          <w:szCs w:val="24"/>
        </w:rPr>
      </w:pPr>
      <w:r w:rsidRPr="0074751D">
        <w:rPr>
          <w:rFonts w:ascii="Book Antiqua" w:hAnsi="Book Antiqua"/>
          <w:b/>
          <w:sz w:val="24"/>
          <w:szCs w:val="24"/>
        </w:rPr>
        <w:t xml:space="preserve">Core </w:t>
      </w:r>
      <w:r>
        <w:rPr>
          <w:rFonts w:ascii="Book Antiqua" w:hAnsi="Book Antiqua"/>
          <w:b/>
          <w:sz w:val="24"/>
          <w:szCs w:val="24"/>
          <w:lang w:eastAsia="zh-CN"/>
        </w:rPr>
        <w:t>t</w:t>
      </w:r>
      <w:r w:rsidRPr="0074751D">
        <w:rPr>
          <w:rFonts w:ascii="Book Antiqua" w:hAnsi="Book Antiqua"/>
          <w:b/>
          <w:sz w:val="24"/>
          <w:szCs w:val="24"/>
        </w:rPr>
        <w:t>ip:</w:t>
      </w:r>
      <w:r>
        <w:rPr>
          <w:rFonts w:ascii="Book Antiqua" w:hAnsi="Book Antiqua"/>
          <w:b/>
          <w:sz w:val="24"/>
          <w:szCs w:val="24"/>
          <w:lang w:eastAsia="zh-CN"/>
        </w:rPr>
        <w:t xml:space="preserve"> </w:t>
      </w:r>
      <w:r w:rsidRPr="0074751D">
        <w:rPr>
          <w:rFonts w:ascii="Book Antiqua" w:hAnsi="Book Antiqua"/>
          <w:sz w:val="24"/>
          <w:szCs w:val="24"/>
        </w:rPr>
        <w:t xml:space="preserve">No standard of care exists for patients with advanced pancreatic cancer who have progressed on front-line chemotherapy. To date, most available evidence has come from small non-randomized studies, with efficacy results that have been fairly dismal. In this review, we discuss both traditional and novel cytotoxic and targeted therapies that have been evaluated in this refractory setting and how they may (or may not) be applicable to clinical practice; and raise considerations for clinical trial design in the </w:t>
      </w:r>
      <w:r w:rsidRPr="0074751D">
        <w:rPr>
          <w:rFonts w:ascii="Book Antiqua" w:hAnsi="Book Antiqua"/>
          <w:sz w:val="24"/>
          <w:szCs w:val="24"/>
        </w:rPr>
        <w:lastRenderedPageBreak/>
        <w:t>future, particularly in this current era of both expanding chemotherapeutic options and molecular/“precision” medicine.</w:t>
      </w:r>
    </w:p>
    <w:p w:rsidR="002E23EC" w:rsidRPr="0074751D" w:rsidRDefault="002E23EC" w:rsidP="00D64CF0">
      <w:pPr>
        <w:spacing w:after="0" w:line="360" w:lineRule="auto"/>
        <w:jc w:val="both"/>
        <w:rPr>
          <w:rFonts w:ascii="Book Antiqua" w:hAnsi="Book Antiqua"/>
          <w:sz w:val="24"/>
          <w:szCs w:val="24"/>
        </w:rPr>
      </w:pPr>
    </w:p>
    <w:p w:rsidR="002E23EC" w:rsidRPr="0074751D" w:rsidRDefault="002E23EC" w:rsidP="00D64CF0">
      <w:pPr>
        <w:spacing w:after="0" w:line="360" w:lineRule="auto"/>
        <w:jc w:val="both"/>
        <w:rPr>
          <w:rFonts w:ascii="Book Antiqua" w:hAnsi="Book Antiqua"/>
          <w:color w:val="000000"/>
          <w:sz w:val="24"/>
          <w:szCs w:val="24"/>
        </w:rPr>
      </w:pPr>
      <w:r w:rsidRPr="00D64CF0">
        <w:rPr>
          <w:rFonts w:ascii="Book Antiqua" w:hAnsi="Book Antiqua"/>
          <w:sz w:val="24"/>
          <w:szCs w:val="24"/>
        </w:rPr>
        <w:t xml:space="preserve">Walker EJ, Ko AH. </w:t>
      </w:r>
      <w:r w:rsidRPr="00D64CF0">
        <w:rPr>
          <w:rFonts w:ascii="Book Antiqua" w:hAnsi="Book Antiqua"/>
          <w:color w:val="000000"/>
          <w:sz w:val="24"/>
          <w:szCs w:val="24"/>
        </w:rPr>
        <w:t>Beyond first-line chemotherapy for advanced pancreatic cancer: an expanding array of therapeutic options?</w:t>
      </w:r>
    </w:p>
    <w:p w:rsidR="002E23EC" w:rsidRPr="00D26319" w:rsidRDefault="002E23EC" w:rsidP="00D64CF0">
      <w:pPr>
        <w:spacing w:after="0" w:line="360" w:lineRule="auto"/>
        <w:jc w:val="both"/>
        <w:rPr>
          <w:rFonts w:ascii="Book Antiqua" w:hAnsi="Book Antiqua"/>
          <w:sz w:val="24"/>
        </w:rPr>
      </w:pPr>
      <w:bookmarkStart w:id="1" w:name="OLE_LINK22"/>
      <w:bookmarkStart w:id="2" w:name="OLE_LINK35"/>
      <w:bookmarkStart w:id="3" w:name="OLE_LINK44"/>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2E23EC" w:rsidRPr="00D26319" w:rsidRDefault="002E23EC" w:rsidP="00D64CF0">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1"/>
    <w:bookmarkEnd w:id="2"/>
    <w:bookmarkEnd w:id="3"/>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br w:type="page"/>
      </w: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INTRODUCTION</w:t>
      </w:r>
    </w:p>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t>More than 80% of patients diagnosed with pancreatic adenocarcinoma have metastatic or locally advanced inoperable disease at the time of initial presentation</w:t>
      </w:r>
      <w:r w:rsidRPr="0074751D">
        <w:rPr>
          <w:rFonts w:ascii="Book Antiqua" w:hAnsi="Book Antiqua"/>
          <w:sz w:val="24"/>
          <w:szCs w:val="24"/>
          <w:vertAlign w:val="superscript"/>
        </w:rPr>
        <w:t>[1]</w:t>
      </w:r>
      <w:r w:rsidRPr="0074751D">
        <w:rPr>
          <w:rFonts w:ascii="Book Antiqua" w:hAnsi="Book Antiqua"/>
          <w:sz w:val="24"/>
          <w:szCs w:val="24"/>
        </w:rPr>
        <w:t xml:space="preserve">, at which point systemic therapy becomes the mainstay of care. Over the past decade-plus, gemcitabine alone or in combination with other drugs (most commonly a fluoropyrimidine, a platinum analogue, or the epidermal growth factor receptor inhibitor erlotinib) have represented the most commonly used front-line treatment options. The treatment landscape is gradually shifting, however, with recent positive results from a couple of phase III studies establishing two new standards of care for first-line treatment, FOLFIRINOX (infusional 5-FU, leucovorin, irinotecan, oxaliplatin) and the doublet of gemcitabine plus </w:t>
      </w:r>
      <w:r w:rsidRPr="008221CA">
        <w:rPr>
          <w:rFonts w:ascii="Book Antiqua" w:hAnsi="Book Antiqua"/>
          <w:sz w:val="24"/>
          <w:szCs w:val="24"/>
        </w:rPr>
        <w:t>nab</w:t>
      </w:r>
      <w:r w:rsidRPr="0074751D">
        <w:rPr>
          <w:rFonts w:ascii="Book Antiqua" w:hAnsi="Book Antiqua"/>
          <w:sz w:val="24"/>
          <w:szCs w:val="24"/>
        </w:rPr>
        <w:t>-paclitaxel.</w:t>
      </w:r>
    </w:p>
    <w:p w:rsidR="002E23EC" w:rsidRPr="0074751D" w:rsidRDefault="002E23EC" w:rsidP="008221CA">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Invariably, regardless of choice of front-line therapy, patients with advanced/metastatic disease will progress, and at that point the choice of treatment becomes considerably murkier. According to results from one U</w:t>
      </w:r>
      <w:r>
        <w:rPr>
          <w:rFonts w:ascii="Book Antiqua" w:hAnsi="Book Antiqua"/>
          <w:sz w:val="24"/>
          <w:szCs w:val="24"/>
          <w:lang w:eastAsia="zh-CN"/>
        </w:rPr>
        <w:t xml:space="preserve">nited </w:t>
      </w:r>
      <w:r>
        <w:rPr>
          <w:rFonts w:ascii="Book Antiqua" w:hAnsi="Book Antiqua"/>
          <w:sz w:val="24"/>
          <w:szCs w:val="24"/>
        </w:rPr>
        <w:t>S</w:t>
      </w:r>
      <w:r>
        <w:rPr>
          <w:rFonts w:ascii="Book Antiqua" w:hAnsi="Book Antiqua"/>
          <w:sz w:val="24"/>
          <w:szCs w:val="24"/>
          <w:lang w:eastAsia="zh-CN"/>
        </w:rPr>
        <w:t>tates</w:t>
      </w:r>
      <w:r w:rsidRPr="0074751D">
        <w:rPr>
          <w:rFonts w:ascii="Book Antiqua" w:hAnsi="Book Antiqua"/>
          <w:sz w:val="24"/>
          <w:szCs w:val="24"/>
        </w:rPr>
        <w:t xml:space="preserve"> cooperative group trial (CALGB 80303), fewer than half of patients with advanced pancreatic cancer went on to receive any additional therapy after progressing on front-line study treatment</w:t>
      </w:r>
      <w:r w:rsidRPr="0074751D">
        <w:rPr>
          <w:rFonts w:ascii="Book Antiqua" w:hAnsi="Book Antiqua"/>
          <w:sz w:val="24"/>
          <w:szCs w:val="24"/>
          <w:vertAlign w:val="superscript"/>
        </w:rPr>
        <w:t>[2]</w:t>
      </w:r>
      <w:r w:rsidRPr="0074751D">
        <w:rPr>
          <w:rFonts w:ascii="Book Antiqua" w:hAnsi="Book Antiqua"/>
          <w:sz w:val="24"/>
          <w:szCs w:val="24"/>
        </w:rPr>
        <w:t>. This reflects, in part, the fact that patients in this setting frequently demonstrate significant clinical deterioration and a decline in performance status, and are no longer deemed appropriate candidates for further anti-cancer therapy. However, it also highlights the fact that no second-line regimen(s) has consistently and unequivocally been shown to confer a survival benefit for patients, and as such providers are left grasping for best available evidence to inform treatment decisions, especially for patients who wish to remain proactive with some form of therapy.</w:t>
      </w:r>
    </w:p>
    <w:p w:rsidR="002E23EC" w:rsidRPr="0074751D" w:rsidRDefault="002E23EC" w:rsidP="00D42471">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 xml:space="preserve">In this review, we summarize the various therapeutic options that have been evaluated to date in the second-line (and beyond) setting for advanced pancreatic cancer. In so doing, we raise a number of important issues regarding appropriate clinical trial design, what (if any) should be considered a correct reference standard and benchmark of success in this setting, and how the expanding armamentarium of </w:t>
      </w:r>
      <w:r w:rsidRPr="0074751D">
        <w:rPr>
          <w:rFonts w:ascii="Book Antiqua" w:hAnsi="Book Antiqua"/>
          <w:sz w:val="24"/>
          <w:szCs w:val="24"/>
        </w:rPr>
        <w:lastRenderedPageBreak/>
        <w:t>available agents and established regimens for this disease both expands our array of therapeutic options and adds to the complexity in decision-making.</w:t>
      </w: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GEMCITABINE-CONTAINING REGIMENS</w:t>
      </w:r>
    </w:p>
    <w:p w:rsidR="002E23EC" w:rsidRPr="0074751D" w:rsidRDefault="002E23EC" w:rsidP="0074751D">
      <w:pPr>
        <w:spacing w:after="0" w:line="360" w:lineRule="auto"/>
        <w:jc w:val="both"/>
        <w:rPr>
          <w:rFonts w:ascii="Book Antiqua" w:hAnsi="Book Antiqua"/>
          <w:sz w:val="24"/>
          <w:szCs w:val="24"/>
          <w:lang w:eastAsia="zh-CN"/>
        </w:rPr>
      </w:pPr>
      <w:r w:rsidRPr="0074751D">
        <w:rPr>
          <w:rFonts w:ascii="Book Antiqua" w:hAnsi="Book Antiqua"/>
          <w:sz w:val="24"/>
          <w:szCs w:val="24"/>
        </w:rPr>
        <w:t>Gemcitabine emerged as the standard of care for first-line treatment of advanced pancreatic cancer following its FDA approval in 1996</w:t>
      </w:r>
      <w:r w:rsidRPr="0074751D">
        <w:rPr>
          <w:rFonts w:ascii="Book Antiqua" w:hAnsi="Book Antiqua"/>
          <w:sz w:val="24"/>
          <w:szCs w:val="24"/>
          <w:vertAlign w:val="superscript"/>
        </w:rPr>
        <w:t>[3]</w:t>
      </w:r>
      <w:r w:rsidRPr="0074751D">
        <w:rPr>
          <w:rFonts w:ascii="Book Antiqua" w:hAnsi="Book Antiqua"/>
          <w:sz w:val="24"/>
          <w:szCs w:val="24"/>
        </w:rPr>
        <w:t xml:space="preserve">. Once patients develop resistance following front-line gemcitabine-based therapy, the natural question arises as to whether continuing with this same drug while adding novel agents can confer, or restore, clinical activity by overcoming drug-specific chemotherapeutic resistance and/or </w:t>
      </w:r>
      <w:r>
        <w:rPr>
          <w:rFonts w:ascii="Book Antiqua" w:hAnsi="Book Antiqua"/>
          <w:sz w:val="24"/>
          <w:szCs w:val="24"/>
        </w:rPr>
        <w:t>through synergistic effects.</w:t>
      </w:r>
    </w:p>
    <w:p w:rsidR="002E23EC" w:rsidRPr="0074751D" w:rsidRDefault="002E23EC" w:rsidP="001725EF">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 xml:space="preserve">Kozuch </w:t>
      </w:r>
      <w:r w:rsidRPr="0074751D">
        <w:rPr>
          <w:rFonts w:ascii="Book Antiqua" w:hAnsi="Book Antiqua"/>
          <w:i/>
          <w:sz w:val="24"/>
          <w:szCs w:val="24"/>
        </w:rPr>
        <w:t>et al</w:t>
      </w:r>
      <w:r w:rsidRPr="0074751D">
        <w:rPr>
          <w:rFonts w:ascii="Book Antiqua" w:hAnsi="Book Antiqua"/>
          <w:sz w:val="24"/>
          <w:szCs w:val="24"/>
          <w:vertAlign w:val="superscript"/>
        </w:rPr>
        <w:t>[4]</w:t>
      </w:r>
      <w:r w:rsidRPr="0074751D">
        <w:rPr>
          <w:rFonts w:ascii="Book Antiqua" w:hAnsi="Book Antiqua"/>
          <w:sz w:val="24"/>
          <w:szCs w:val="24"/>
        </w:rPr>
        <w:t xml:space="preserve"> first demonstrated the feasibility of this approach in a retrospective analysis of 34 consecutive patients with metastatic pancreatic cancer receiving irinotecan/gemcitabine/5-FU/leucovorin/cisplatin (G-FLIP), 32 of whom had previously progressed on gemcitabine and 31 who had progressed specifically on gemcitabine/5-FU/cisplatin (GFP). Of these 31 patients, whose regimen was altered only by the addition of irinotecan, 7 (23%) achieved partial responses (PR) and 7 (23%) achieved stable disease (SD). Notably, 8 of these 14 patients demonstrating disease control had previously experienced progressive disease as a best response to GFP alone. Median progression-free and overall survival (OS) for all 34 patients receiving second-line G-FLIP was 3.9 and 10.3 mo, respectively.</w:t>
      </w:r>
    </w:p>
    <w:p w:rsidR="002E23EC" w:rsidRPr="0074751D" w:rsidRDefault="002E23EC" w:rsidP="00CD3CB2">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 xml:space="preserve">Another multidrug regimen that has been evaluated in the refractory setting is cisplatin/epirubicin/5-FU/gemcitabine (PEFG). This combination was initially tested in the front-line setting in an Italian phase III trial by Reni </w:t>
      </w:r>
      <w:r w:rsidRPr="0074751D">
        <w:rPr>
          <w:rFonts w:ascii="Book Antiqua" w:hAnsi="Book Antiqua"/>
          <w:i/>
          <w:sz w:val="24"/>
          <w:szCs w:val="24"/>
        </w:rPr>
        <w:t>et al</w:t>
      </w:r>
      <w:r w:rsidRPr="0074751D">
        <w:rPr>
          <w:rFonts w:ascii="Book Antiqua" w:hAnsi="Book Antiqua"/>
          <w:sz w:val="24"/>
          <w:szCs w:val="24"/>
          <w:vertAlign w:val="superscript"/>
        </w:rPr>
        <w:t>[5]</w:t>
      </w:r>
      <w:r w:rsidRPr="0074751D">
        <w:rPr>
          <w:rFonts w:ascii="Book Antiqua" w:hAnsi="Book Antiqua"/>
          <w:sz w:val="24"/>
          <w:szCs w:val="24"/>
        </w:rPr>
        <w:t>, and showed improved 4-mo PFS and 2-year survival rates compared to gemcitabine monotherapy, albeit with significant rates of hematologic toxicity. PEFG was subsequently studied by the same research group as second-line therapy in patients with progressive or metastatic disease refractory to gemcitabine-based treatment. In this 46-patient study, subjects receiving either classic or dose-intense PEFG had a median OS of 8.3 mo, with no significant difference between the different doses of PEFG tested</w:t>
      </w:r>
      <w:r w:rsidRPr="0074751D">
        <w:rPr>
          <w:rFonts w:ascii="Book Antiqua" w:hAnsi="Book Antiqua"/>
          <w:sz w:val="24"/>
          <w:szCs w:val="24"/>
          <w:vertAlign w:val="superscript"/>
        </w:rPr>
        <w:t>[6]</w:t>
      </w:r>
      <w:r w:rsidRPr="0074751D">
        <w:rPr>
          <w:rFonts w:ascii="Book Antiqua" w:hAnsi="Book Antiqua"/>
          <w:sz w:val="24"/>
          <w:szCs w:val="24"/>
        </w:rPr>
        <w:t xml:space="preserve">. Again, marked toxicities were </w:t>
      </w:r>
      <w:r w:rsidRPr="0074751D">
        <w:rPr>
          <w:rFonts w:ascii="Book Antiqua" w:hAnsi="Book Antiqua"/>
          <w:sz w:val="24"/>
          <w:szCs w:val="24"/>
        </w:rPr>
        <w:lastRenderedPageBreak/>
        <w:t>noted, including Grade 3-4 neutropenia and thrombocytopenia in 26 (56%) and 10 (22%) patients, respectively.</w:t>
      </w:r>
    </w:p>
    <w:p w:rsidR="002E23EC" w:rsidRPr="0074751D" w:rsidRDefault="002E23EC" w:rsidP="005102A7">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Building upon observations from prior phase III trials demonstrating improvements in response rate (RR), progression free survival (PFS), and clinical benefit response (CBR) of gemcitabine/platinum doublets compared to gemcitabine monotherapy in the front-line setting</w:t>
      </w:r>
      <w:r w:rsidRPr="0074751D">
        <w:rPr>
          <w:rFonts w:ascii="Book Antiqua" w:hAnsi="Book Antiqua"/>
          <w:sz w:val="24"/>
          <w:szCs w:val="24"/>
          <w:vertAlign w:val="superscript"/>
        </w:rPr>
        <w:t>[7,8]</w:t>
      </w:r>
      <w:r w:rsidRPr="0074751D">
        <w:rPr>
          <w:rFonts w:ascii="Book Antiqua" w:hAnsi="Book Antiqua"/>
          <w:sz w:val="24"/>
          <w:szCs w:val="24"/>
        </w:rPr>
        <w:t xml:space="preserve">, a similar strategy has also been explored in the gemcitabine-refractory setting in a variety of contexts. Demols </w:t>
      </w:r>
      <w:r w:rsidRPr="0074751D">
        <w:rPr>
          <w:rFonts w:ascii="Book Antiqua" w:hAnsi="Book Antiqua"/>
          <w:i/>
          <w:sz w:val="24"/>
          <w:szCs w:val="24"/>
        </w:rPr>
        <w:t>et al</w:t>
      </w:r>
      <w:r w:rsidRPr="0074751D">
        <w:rPr>
          <w:rFonts w:ascii="Book Antiqua" w:hAnsi="Book Antiqua"/>
          <w:sz w:val="24"/>
          <w:szCs w:val="24"/>
          <w:vertAlign w:val="superscript"/>
        </w:rPr>
        <w:t>[9]</w:t>
      </w:r>
      <w:r w:rsidRPr="0074751D">
        <w:rPr>
          <w:rFonts w:ascii="Book Antiqua" w:hAnsi="Book Antiqua"/>
          <w:sz w:val="24"/>
          <w:szCs w:val="24"/>
        </w:rPr>
        <w:t xml:space="preserve"> investigated the combination of gemcitabine plus oxaliplatin (GemOx) in a single-arm phase II study involving 33 patients with gemcitabine-refractory advanced pancreatic cancer. A partial response was observed in 7 patients (21%) with an additional 12 patients (36%) achieving SD. Median OS was 6 mo. Importantly, 17 patients (52%) were reported as having a clinical benefit response. One more recent approach has involved testing the potential for enhanced chemotherapeutic efficacy at higher temperatures</w:t>
      </w:r>
      <w:r w:rsidRPr="0074751D">
        <w:rPr>
          <w:rFonts w:ascii="Book Antiqua" w:hAnsi="Book Antiqua"/>
          <w:sz w:val="24"/>
          <w:szCs w:val="24"/>
          <w:vertAlign w:val="superscript"/>
        </w:rPr>
        <w:t>[10]</w:t>
      </w:r>
      <w:r w:rsidRPr="0074751D">
        <w:rPr>
          <w:rFonts w:ascii="Book Antiqua" w:hAnsi="Book Antiqua"/>
          <w:sz w:val="24"/>
          <w:szCs w:val="24"/>
        </w:rPr>
        <w:t xml:space="preserve">, by which basis </w:t>
      </w:r>
      <w:r w:rsidRPr="00217FF7">
        <w:rPr>
          <w:rFonts w:ascii="Book Antiqua" w:hAnsi="Book Antiqua"/>
          <w:bCs/>
          <w:sz w:val="24"/>
          <w:szCs w:val="24"/>
        </w:rPr>
        <w:t>Tschoep-Lechner</w:t>
      </w:r>
      <w:r w:rsidRPr="0074751D">
        <w:rPr>
          <w:rFonts w:ascii="Book Antiqua" w:hAnsi="Book Antiqua"/>
          <w:sz w:val="24"/>
          <w:szCs w:val="24"/>
        </w:rPr>
        <w:t xml:space="preserve"> </w:t>
      </w:r>
      <w:r w:rsidRPr="0074751D">
        <w:rPr>
          <w:rFonts w:ascii="Book Antiqua" w:hAnsi="Book Antiqua"/>
          <w:i/>
          <w:sz w:val="24"/>
          <w:szCs w:val="24"/>
        </w:rPr>
        <w:t>et al</w:t>
      </w:r>
      <w:r w:rsidRPr="0074751D">
        <w:rPr>
          <w:rFonts w:ascii="Book Antiqua" w:hAnsi="Book Antiqua"/>
          <w:sz w:val="24"/>
          <w:szCs w:val="24"/>
          <w:vertAlign w:val="superscript"/>
        </w:rPr>
        <w:t>[11]</w:t>
      </w:r>
      <w:r w:rsidRPr="0074751D">
        <w:rPr>
          <w:rFonts w:ascii="Book Antiqua" w:hAnsi="Book Antiqua"/>
          <w:sz w:val="24"/>
          <w:szCs w:val="24"/>
        </w:rPr>
        <w:t xml:space="preserve"> conducted a study of gemcitabine and cisplatin combined with regional hyperthermia (RHT) in the second-line setting. Median time to progression for the 23 patients treated with this strategy was 4.3 mo, with a median overall survival of 12.9 mo. These results have spurred an ongoing prospective phase II trial offering second-line Gem/Cis/RHT (EudraCT: 2005-003855-11).</w:t>
      </w:r>
    </w:p>
    <w:p w:rsidR="002E23EC" w:rsidRPr="0074751D" w:rsidRDefault="002E23EC" w:rsidP="00040287">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Other doublet regimens that have been evaluated in the salvage setting include gemcitabine plus the oral fluoropyrimidine S-1</w:t>
      </w:r>
      <w:r w:rsidRPr="0074751D">
        <w:rPr>
          <w:rFonts w:ascii="Book Antiqua" w:hAnsi="Book Antiqua"/>
          <w:sz w:val="24"/>
          <w:szCs w:val="24"/>
          <w:vertAlign w:val="superscript"/>
        </w:rPr>
        <w:t>[12]</w:t>
      </w:r>
      <w:r w:rsidRPr="0074751D">
        <w:rPr>
          <w:rFonts w:ascii="Book Antiqua" w:hAnsi="Book Antiqua"/>
          <w:sz w:val="24"/>
          <w:szCs w:val="24"/>
        </w:rPr>
        <w:t xml:space="preserve"> and gemcitabine plus </w:t>
      </w:r>
      <w:r w:rsidRPr="00040287">
        <w:rPr>
          <w:rFonts w:ascii="Book Antiqua" w:hAnsi="Book Antiqua"/>
          <w:sz w:val="24"/>
          <w:szCs w:val="24"/>
        </w:rPr>
        <w:t>nab-</w:t>
      </w:r>
      <w:r w:rsidRPr="0074751D">
        <w:rPr>
          <w:rFonts w:ascii="Book Antiqua" w:hAnsi="Book Antiqua"/>
          <w:sz w:val="24"/>
          <w:szCs w:val="24"/>
        </w:rPr>
        <w:t>paclitaxel</w:t>
      </w:r>
      <w:r w:rsidRPr="0074751D">
        <w:rPr>
          <w:rFonts w:ascii="Book Antiqua" w:hAnsi="Book Antiqua"/>
          <w:sz w:val="24"/>
          <w:szCs w:val="24"/>
          <w:vertAlign w:val="superscript"/>
        </w:rPr>
        <w:t>[13]</w:t>
      </w:r>
      <w:r w:rsidRPr="0074751D">
        <w:rPr>
          <w:rFonts w:ascii="Book Antiqua" w:hAnsi="Book Antiqua"/>
          <w:sz w:val="24"/>
          <w:szCs w:val="24"/>
        </w:rPr>
        <w:t xml:space="preserve"> with median times to progression of 2.8 and 3.2 mo, respectively. More details of these and other gemcitabine-based combinations are summarized in Table 1.</w:t>
      </w:r>
    </w:p>
    <w:p w:rsidR="002E23EC" w:rsidRPr="0074751D" w:rsidRDefault="002E23EC" w:rsidP="0074751D">
      <w:pPr>
        <w:spacing w:after="0" w:line="360" w:lineRule="auto"/>
        <w:jc w:val="both"/>
        <w:rPr>
          <w:rFonts w:ascii="Book Antiqua" w:hAnsi="Book Antiqua"/>
          <w:sz w:val="24"/>
          <w:szCs w:val="24"/>
          <w:lang w:eastAsia="zh-CN"/>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NOVEL MONOTHERAPEUTIC REGIMENS</w:t>
      </w:r>
    </w:p>
    <w:p w:rsidR="002E23EC" w:rsidRPr="0074751D" w:rsidRDefault="002E23EC" w:rsidP="0074751D">
      <w:pPr>
        <w:spacing w:after="0" w:line="360" w:lineRule="auto"/>
        <w:jc w:val="both"/>
        <w:rPr>
          <w:rFonts w:ascii="Book Antiqua" w:hAnsi="Book Antiqua"/>
          <w:sz w:val="24"/>
          <w:szCs w:val="24"/>
          <w:lang w:eastAsia="zh-CN"/>
        </w:rPr>
      </w:pPr>
      <w:r w:rsidRPr="0074751D">
        <w:rPr>
          <w:rFonts w:ascii="Book Antiqua" w:hAnsi="Book Antiqua"/>
          <w:sz w:val="24"/>
          <w:szCs w:val="24"/>
        </w:rPr>
        <w:t xml:space="preserve">An alternative approach to second-line therapy involves administration of a completely non-cross-resistant regimen; using such a strategy, previous agents (such as gemcitabine) are discontinued and an entirely new drug or drug combination is given.  In terms of monotherapy, several topoisomerase inhibitors have been investigated in patients refractory to gemcitabine-based front-line treatment. The orally active </w:t>
      </w:r>
      <w:r w:rsidRPr="0074751D">
        <w:rPr>
          <w:rFonts w:ascii="Book Antiqua" w:hAnsi="Book Antiqua"/>
          <w:sz w:val="24"/>
          <w:szCs w:val="24"/>
        </w:rPr>
        <w:lastRenderedPageBreak/>
        <w:t>camptothecin rubitecan, for example, showed sufficient single-agent activity in two separate studies of gemcitabine-refractory disease</w:t>
      </w:r>
      <w:r w:rsidRPr="0074751D">
        <w:rPr>
          <w:rFonts w:ascii="Book Antiqua" w:hAnsi="Book Antiqua"/>
          <w:sz w:val="24"/>
          <w:szCs w:val="24"/>
          <w:vertAlign w:val="superscript"/>
        </w:rPr>
        <w:t>[14,15]</w:t>
      </w:r>
      <w:r w:rsidRPr="0074751D">
        <w:rPr>
          <w:rFonts w:ascii="Book Antiqua" w:hAnsi="Book Antiqua"/>
          <w:sz w:val="24"/>
          <w:szCs w:val="24"/>
        </w:rPr>
        <w:t xml:space="preserve"> to warrant a randomized phase III trial in which 409 pre-treated patients (70% of whom had received two or more prior regimens) were randomized to receive either rubitecan monotherapy or “best choice (BC)” alternative therapy as determined by treating physicians (most commonly gemcitabine, 5-FU, mitomycin C, capecitabine, or docetaxel). Presented as an abstract at the 2004 ASCO annual meeting but never subsequently published, the trial did not show a statistically significant difference in overall survival between groups (108 </w:t>
      </w:r>
      <w:r w:rsidRPr="007159CC">
        <w:rPr>
          <w:rFonts w:ascii="Book Antiqua" w:hAnsi="Book Antiqua"/>
          <w:i/>
          <w:sz w:val="24"/>
          <w:szCs w:val="24"/>
        </w:rPr>
        <w:t>vs</w:t>
      </w:r>
      <w:r w:rsidRPr="0074751D">
        <w:rPr>
          <w:rFonts w:ascii="Book Antiqua" w:hAnsi="Book Antiqua"/>
          <w:sz w:val="24"/>
          <w:szCs w:val="24"/>
        </w:rPr>
        <w:t xml:space="preserve"> 94 d, respectively; </w:t>
      </w:r>
      <w:r w:rsidRPr="007159CC">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 xml:space="preserve">0.63), although significant improvements were observed with rubitecan in terms of progression-free survival (58 </w:t>
      </w:r>
      <w:r w:rsidRPr="00923A39">
        <w:rPr>
          <w:rFonts w:ascii="Book Antiqua" w:hAnsi="Book Antiqua"/>
          <w:i/>
          <w:sz w:val="24"/>
          <w:szCs w:val="24"/>
        </w:rPr>
        <w:t>vs</w:t>
      </w:r>
      <w:r w:rsidRPr="0074751D">
        <w:rPr>
          <w:rFonts w:ascii="Book Antiqua" w:hAnsi="Book Antiqua"/>
          <w:sz w:val="24"/>
          <w:szCs w:val="24"/>
        </w:rPr>
        <w:t xml:space="preserve"> 48 d, </w:t>
      </w:r>
      <w:r w:rsidRPr="00923A39">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 xml:space="preserve">0.01) and response rate (6.1% </w:t>
      </w:r>
      <w:r w:rsidRPr="0074751D">
        <w:rPr>
          <w:rFonts w:ascii="Book Antiqua" w:hAnsi="Book Antiqua"/>
          <w:i/>
          <w:sz w:val="24"/>
          <w:szCs w:val="24"/>
        </w:rPr>
        <w:t>vs</w:t>
      </w:r>
      <w:r w:rsidRPr="0074751D">
        <w:rPr>
          <w:rFonts w:ascii="Book Antiqua" w:hAnsi="Book Antiqua"/>
          <w:sz w:val="24"/>
          <w:szCs w:val="24"/>
        </w:rPr>
        <w:t xml:space="preserve"> 0.5%, </w:t>
      </w:r>
      <w:r w:rsidRPr="002C0AAD">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0.01)</w:t>
      </w:r>
      <w:r w:rsidRPr="0074751D">
        <w:rPr>
          <w:rFonts w:ascii="Book Antiqua" w:hAnsi="Book Antiqua"/>
          <w:sz w:val="24"/>
          <w:szCs w:val="24"/>
          <w:vertAlign w:val="superscript"/>
        </w:rPr>
        <w:t>[16]</w:t>
      </w:r>
      <w:r w:rsidRPr="0074751D">
        <w:rPr>
          <w:rFonts w:ascii="Book Antiqua" w:hAnsi="Book Antiqua"/>
          <w:sz w:val="24"/>
          <w:szCs w:val="24"/>
        </w:rPr>
        <w:t>.</w:t>
      </w:r>
    </w:p>
    <w:p w:rsidR="002E23EC" w:rsidRPr="0074751D" w:rsidRDefault="002E23EC" w:rsidP="009C1FE2">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More recently, a phase II study of liposomal irinotecan sucrosofate (PEP02, MM-398), a drug formulation with improved pharmacokinetics and tumor bioavailability relative to free irinotecan, was performed in patients with metastatic pancreatic cancer refractory to front-line gemcitabine-based therapy</w:t>
      </w:r>
      <w:r w:rsidRPr="0074751D">
        <w:rPr>
          <w:rFonts w:ascii="Book Antiqua" w:hAnsi="Book Antiqua"/>
          <w:sz w:val="24"/>
          <w:szCs w:val="24"/>
          <w:vertAlign w:val="superscript"/>
        </w:rPr>
        <w:t>[17]</w:t>
      </w:r>
      <w:r w:rsidRPr="0074751D">
        <w:rPr>
          <w:rFonts w:ascii="Book Antiqua" w:hAnsi="Book Antiqua"/>
          <w:sz w:val="24"/>
          <w:szCs w:val="24"/>
        </w:rPr>
        <w:t xml:space="preserve">. Ko </w:t>
      </w:r>
      <w:r w:rsidRPr="0074751D">
        <w:rPr>
          <w:rFonts w:ascii="Book Antiqua" w:hAnsi="Book Antiqua"/>
          <w:i/>
          <w:sz w:val="24"/>
          <w:szCs w:val="24"/>
        </w:rPr>
        <w:t>et al</w:t>
      </w:r>
      <w:r w:rsidRPr="0074751D">
        <w:rPr>
          <w:rFonts w:ascii="Book Antiqua" w:hAnsi="Book Antiqua"/>
          <w:sz w:val="24"/>
          <w:szCs w:val="24"/>
          <w:vertAlign w:val="superscript"/>
        </w:rPr>
        <w:t>[17]</w:t>
      </w:r>
      <w:r w:rsidRPr="0074751D">
        <w:rPr>
          <w:rFonts w:ascii="Book Antiqua" w:hAnsi="Book Antiqua"/>
          <w:sz w:val="24"/>
          <w:szCs w:val="24"/>
        </w:rPr>
        <w:t xml:space="preserve"> reported a disease control rate of 50% (including 7.5% with an objective response) as well as a 50% or greater CA19-9 decline in 31% of evaluable subjects, with a median overall survival of 5.2 mo. Toxicities were manageable, with cytopenias, asthenia, and diarrhea representing the most common grade 3/4 adverse events. These results prompted the launch of an international randomized phase III trial (NAPOLI-1, NCT01494506) that has been recently completed, comparing MM-398 with or without 5-FU/leucovorin to 5-FU/leucovorin alon</w:t>
      </w:r>
      <w:r w:rsidRPr="009C1FE2">
        <w:rPr>
          <w:rFonts w:ascii="Book Antiqua" w:hAnsi="Book Antiqua"/>
          <w:sz w:val="24"/>
          <w:szCs w:val="24"/>
        </w:rPr>
        <w:t>e.</w:t>
      </w:r>
    </w:p>
    <w:p w:rsidR="002E23EC" w:rsidRPr="0074751D" w:rsidRDefault="002E23EC" w:rsidP="00866065">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 xml:space="preserve">Inhibitors of microtubule dynamics, including taxanes (docetaxel, paclitaxel, </w:t>
      </w:r>
      <w:r w:rsidRPr="0074751D">
        <w:rPr>
          <w:rFonts w:ascii="Book Antiqua" w:hAnsi="Book Antiqua"/>
          <w:i/>
          <w:sz w:val="24"/>
          <w:szCs w:val="24"/>
        </w:rPr>
        <w:t>nab</w:t>
      </w:r>
      <w:r w:rsidRPr="0074751D">
        <w:rPr>
          <w:rFonts w:ascii="Book Antiqua" w:hAnsi="Book Antiqua"/>
          <w:sz w:val="24"/>
          <w:szCs w:val="24"/>
        </w:rPr>
        <w:t>-paclitaxel) and eribulin mesylate, have also been investigated in small retrospective and single-arm phase II studies</w:t>
      </w:r>
      <w:r w:rsidRPr="0074751D">
        <w:rPr>
          <w:rFonts w:ascii="Book Antiqua" w:hAnsi="Book Antiqua"/>
          <w:sz w:val="24"/>
          <w:szCs w:val="24"/>
          <w:vertAlign w:val="superscript"/>
        </w:rPr>
        <w:t>[18–22]</w:t>
      </w:r>
      <w:r w:rsidRPr="0074751D">
        <w:rPr>
          <w:rFonts w:ascii="Book Antiqua" w:hAnsi="Book Antiqua"/>
          <w:sz w:val="24"/>
          <w:szCs w:val="24"/>
        </w:rPr>
        <w:t xml:space="preserve">. Given the unique formulation of </w:t>
      </w:r>
      <w:r w:rsidRPr="00866065">
        <w:rPr>
          <w:rFonts w:ascii="Book Antiqua" w:hAnsi="Book Antiqua"/>
          <w:sz w:val="24"/>
          <w:szCs w:val="24"/>
        </w:rPr>
        <w:t>nab-</w:t>
      </w:r>
      <w:r w:rsidRPr="0074751D">
        <w:rPr>
          <w:rFonts w:ascii="Book Antiqua" w:hAnsi="Book Antiqua"/>
          <w:sz w:val="24"/>
          <w:szCs w:val="24"/>
        </w:rPr>
        <w:t xml:space="preserve">paclitaxel that may allow it to more successfully traverse the blood-stroma barrier, in addition to the positive results from the phase III MPACT trial establishing the combination of </w:t>
      </w:r>
      <w:r w:rsidRPr="00866065">
        <w:rPr>
          <w:rFonts w:ascii="Book Antiqua" w:hAnsi="Book Antiqua"/>
          <w:sz w:val="24"/>
          <w:szCs w:val="24"/>
        </w:rPr>
        <w:t>nab-</w:t>
      </w:r>
      <w:r w:rsidRPr="0074751D">
        <w:rPr>
          <w:rFonts w:ascii="Book Antiqua" w:hAnsi="Book Antiqua"/>
          <w:sz w:val="24"/>
          <w:szCs w:val="24"/>
        </w:rPr>
        <w:t>paclitaxel/gemcitabine as a viable option for first-line therapy</w:t>
      </w:r>
      <w:r w:rsidRPr="0074751D">
        <w:rPr>
          <w:rFonts w:ascii="Book Antiqua" w:hAnsi="Book Antiqua"/>
          <w:sz w:val="24"/>
          <w:szCs w:val="24"/>
          <w:vertAlign w:val="superscript"/>
        </w:rPr>
        <w:t>[23]</w:t>
      </w:r>
      <w:r w:rsidRPr="0074751D">
        <w:rPr>
          <w:rFonts w:ascii="Book Antiqua" w:hAnsi="Book Antiqua"/>
          <w:sz w:val="24"/>
          <w:szCs w:val="24"/>
        </w:rPr>
        <w:t xml:space="preserve">, there has been natural interest in evaluating this agent in the salvage setting. To date, we only have results </w:t>
      </w:r>
      <w:r w:rsidRPr="0074751D">
        <w:rPr>
          <w:rFonts w:ascii="Book Antiqua" w:hAnsi="Book Antiqua"/>
          <w:sz w:val="24"/>
          <w:szCs w:val="24"/>
        </w:rPr>
        <w:lastRenderedPageBreak/>
        <w:t xml:space="preserve">from a small phase II study of </w:t>
      </w:r>
      <w:r w:rsidRPr="00A1721F">
        <w:rPr>
          <w:rFonts w:ascii="Book Antiqua" w:hAnsi="Book Antiqua"/>
          <w:sz w:val="24"/>
          <w:szCs w:val="24"/>
        </w:rPr>
        <w:t>nab-</w:t>
      </w:r>
      <w:r w:rsidRPr="0074751D">
        <w:rPr>
          <w:rFonts w:ascii="Book Antiqua" w:hAnsi="Book Antiqua"/>
          <w:sz w:val="24"/>
          <w:szCs w:val="24"/>
        </w:rPr>
        <w:t>paclitaxel as a single agent for refractory pancreatic cancer, in which there was a single objective response (with an additional 6 achieving disease stabilization) amongst 19 patients, with a median PFS of 1.7 mo. Estimated median OS in this cohort was 7.3 mo</w:t>
      </w:r>
      <w:r w:rsidRPr="0074751D">
        <w:rPr>
          <w:rFonts w:ascii="Book Antiqua" w:hAnsi="Book Antiqua"/>
          <w:sz w:val="24"/>
          <w:szCs w:val="24"/>
          <w:vertAlign w:val="superscript"/>
        </w:rPr>
        <w:t>[22]</w:t>
      </w:r>
      <w:r w:rsidRPr="0074751D">
        <w:rPr>
          <w:rFonts w:ascii="Book Antiqua" w:hAnsi="Book Antiqua"/>
          <w:sz w:val="24"/>
          <w:szCs w:val="24"/>
        </w:rPr>
        <w:t>.</w:t>
      </w:r>
    </w:p>
    <w:p w:rsidR="002E23EC" w:rsidRPr="0074751D" w:rsidRDefault="002E23EC" w:rsidP="00B96DC4">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 xml:space="preserve">Fluoropyrimidines have also been studied in the advanced refractory disease setting. Boeck </w:t>
      </w:r>
      <w:r w:rsidRPr="0074751D">
        <w:rPr>
          <w:rFonts w:ascii="Book Antiqua" w:hAnsi="Book Antiqua"/>
          <w:i/>
          <w:sz w:val="24"/>
          <w:szCs w:val="24"/>
        </w:rPr>
        <w:t>et al</w:t>
      </w:r>
      <w:r w:rsidRPr="0074751D">
        <w:rPr>
          <w:rFonts w:ascii="Book Antiqua" w:hAnsi="Book Antiqua"/>
          <w:sz w:val="24"/>
          <w:szCs w:val="24"/>
          <w:vertAlign w:val="superscript"/>
        </w:rPr>
        <w:t>[24]</w:t>
      </w:r>
      <w:r w:rsidRPr="0074751D">
        <w:rPr>
          <w:rFonts w:ascii="Book Antiqua" w:hAnsi="Book Antiqua"/>
          <w:i/>
          <w:sz w:val="24"/>
          <w:szCs w:val="24"/>
        </w:rPr>
        <w:t xml:space="preserve"> </w:t>
      </w:r>
      <w:r w:rsidRPr="0074751D">
        <w:rPr>
          <w:rFonts w:ascii="Book Antiqua" w:hAnsi="Book Antiqua"/>
          <w:sz w:val="24"/>
          <w:szCs w:val="24"/>
        </w:rPr>
        <w:t>studied second-line capecitabine monotherapy after gemcitabine failure and observed disease stabilization in 39% of patients (no objective responses), with a median time to progression and overall survival of 2.3 mo and 7.6 mo, respectively. Another oral fluoropyrimidine, S-1, widely used in Asia and other parts of the world for gastric and pancreatic cancer, has also been evaluated in several phase II studies as monotherapy for gemcitabine-refractory patients; response rates associated with this agent range from 4%-15%, with a median PFS almost uniformly in the 2 mo range</w:t>
      </w:r>
      <w:r w:rsidRPr="0074751D">
        <w:rPr>
          <w:rFonts w:ascii="Book Antiqua" w:hAnsi="Book Antiqua"/>
          <w:sz w:val="24"/>
          <w:szCs w:val="24"/>
          <w:vertAlign w:val="superscript"/>
        </w:rPr>
        <w:t>[25–28]</w:t>
      </w:r>
      <w:r w:rsidRPr="0074751D">
        <w:rPr>
          <w:rFonts w:ascii="Book Antiqua" w:hAnsi="Book Antiqua"/>
          <w:sz w:val="24"/>
          <w:szCs w:val="24"/>
        </w:rPr>
        <w:t>. See Table 2 for additional data from these studies.</w:t>
      </w:r>
    </w:p>
    <w:p w:rsidR="002E23EC" w:rsidRPr="0074751D" w:rsidRDefault="002E23EC" w:rsidP="0074751D">
      <w:pPr>
        <w:spacing w:after="0" w:line="360" w:lineRule="auto"/>
        <w:jc w:val="both"/>
        <w:rPr>
          <w:rFonts w:ascii="Book Antiqua" w:hAnsi="Book Antiqua"/>
          <w:b/>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CYTOTOXIC COMBINATION REGIMENS (NON-GEMCITABINE-BASED)</w:t>
      </w:r>
    </w:p>
    <w:p w:rsidR="002E23EC" w:rsidRPr="0074751D" w:rsidRDefault="002E23EC" w:rsidP="0074751D">
      <w:pPr>
        <w:spacing w:after="0" w:line="360" w:lineRule="auto"/>
        <w:jc w:val="both"/>
        <w:rPr>
          <w:rFonts w:ascii="Book Antiqua" w:hAnsi="Book Antiqua"/>
          <w:sz w:val="24"/>
          <w:szCs w:val="24"/>
          <w:lang w:eastAsia="zh-CN"/>
        </w:rPr>
      </w:pPr>
      <w:r w:rsidRPr="0074751D">
        <w:rPr>
          <w:rFonts w:ascii="Book Antiqua" w:hAnsi="Book Antiqua"/>
          <w:sz w:val="24"/>
          <w:szCs w:val="24"/>
        </w:rPr>
        <w:t>Patients who maintain a good performance status after progressing on front-line therapy may also be candidates for non-gemcitabine-based combination chemotherapy regimens</w:t>
      </w:r>
      <w:r>
        <w:rPr>
          <w:rFonts w:ascii="Book Antiqua" w:hAnsi="Book Antiqua"/>
          <w:sz w:val="24"/>
          <w:szCs w:val="24"/>
        </w:rPr>
        <w:t>.</w:t>
      </w:r>
    </w:p>
    <w:p w:rsidR="002E23EC" w:rsidRPr="0074751D" w:rsidRDefault="002E23EC" w:rsidP="0074751D">
      <w:pPr>
        <w:spacing w:after="0" w:line="360" w:lineRule="auto"/>
        <w:jc w:val="both"/>
        <w:rPr>
          <w:rFonts w:ascii="Book Antiqua" w:hAnsi="Book Antiqua"/>
          <w:i/>
          <w:sz w:val="24"/>
          <w:szCs w:val="24"/>
          <w:lang w:eastAsia="zh-CN"/>
        </w:rPr>
      </w:pP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b/>
          <w:i/>
          <w:sz w:val="24"/>
          <w:szCs w:val="24"/>
        </w:rPr>
        <w:t>Platinum-based combinations</w:t>
      </w:r>
    </w:p>
    <w:p w:rsidR="002E23EC" w:rsidRPr="0074751D" w:rsidRDefault="002E23EC" w:rsidP="0074751D">
      <w:pPr>
        <w:spacing w:after="0" w:line="360" w:lineRule="auto"/>
        <w:jc w:val="both"/>
        <w:rPr>
          <w:rFonts w:ascii="Book Antiqua" w:hAnsi="Book Antiqua"/>
          <w:sz w:val="24"/>
          <w:szCs w:val="24"/>
          <w:lang w:eastAsia="zh-CN"/>
        </w:rPr>
      </w:pPr>
      <w:r w:rsidRPr="0074751D">
        <w:rPr>
          <w:rFonts w:ascii="Book Antiqua" w:hAnsi="Book Antiqua"/>
          <w:sz w:val="24"/>
          <w:szCs w:val="24"/>
        </w:rPr>
        <w:t xml:space="preserve">To date, the majority of studies have concentrated on the combination of a fluoropyrimidine plus a platinum analogue, most notably 5-FU, leucovorin, and oxaliplatin administered in various dosing schedules. One of the earliest studies, a non-randomized phase II trial conducted in Greece by Tsavaris </w:t>
      </w:r>
      <w:r w:rsidRPr="0074751D">
        <w:rPr>
          <w:rFonts w:ascii="Book Antiqua" w:hAnsi="Book Antiqua"/>
          <w:i/>
          <w:sz w:val="24"/>
          <w:szCs w:val="24"/>
        </w:rPr>
        <w:t>et</w:t>
      </w:r>
      <w:r w:rsidRPr="0074751D">
        <w:rPr>
          <w:rFonts w:ascii="Book Antiqua" w:hAnsi="Book Antiqua"/>
          <w:sz w:val="24"/>
          <w:szCs w:val="24"/>
        </w:rPr>
        <w:t xml:space="preserve"> </w:t>
      </w:r>
      <w:r w:rsidRPr="0074751D">
        <w:rPr>
          <w:rFonts w:ascii="Book Antiqua" w:hAnsi="Book Antiqua"/>
          <w:i/>
          <w:sz w:val="24"/>
          <w:szCs w:val="24"/>
        </w:rPr>
        <w:t>al</w:t>
      </w:r>
      <w:r w:rsidRPr="0074751D">
        <w:rPr>
          <w:rFonts w:ascii="Book Antiqua" w:hAnsi="Book Antiqua"/>
          <w:sz w:val="24"/>
          <w:szCs w:val="24"/>
          <w:vertAlign w:val="superscript"/>
        </w:rPr>
        <w:t>[29]</w:t>
      </w:r>
      <w:r w:rsidRPr="0074751D">
        <w:rPr>
          <w:rFonts w:ascii="Book Antiqua" w:hAnsi="Book Antiqua"/>
          <w:sz w:val="24"/>
          <w:szCs w:val="24"/>
        </w:rPr>
        <w:t xml:space="preserve">, showed encouraging clinical activity of these drugs when administered weekly in bolus fashion, with the best response including partial responses in 7 of 30 patients (23%) and stable disease in an additional 9 (30%). More traditional FOLFOX regimens, with biweekly dosing schedules and prolonged 5-FU infusion times similar to that given in colorectal cancer, have also been examined with demonstrable evidence of activity in this setting. Yoo </w:t>
      </w:r>
      <w:r w:rsidRPr="00D60623">
        <w:rPr>
          <w:rFonts w:ascii="Book Antiqua" w:hAnsi="Book Antiqua"/>
          <w:i/>
          <w:sz w:val="24"/>
          <w:szCs w:val="24"/>
          <w:lang w:eastAsia="zh-CN"/>
        </w:rPr>
        <w:t xml:space="preserve">et </w:t>
      </w:r>
      <w:r w:rsidRPr="00D60623">
        <w:rPr>
          <w:rFonts w:ascii="Book Antiqua" w:hAnsi="Book Antiqua"/>
          <w:i/>
          <w:sz w:val="24"/>
          <w:szCs w:val="24"/>
          <w:lang w:eastAsia="zh-CN"/>
        </w:rPr>
        <w:lastRenderedPageBreak/>
        <w:t>al</w:t>
      </w:r>
      <w:r w:rsidRPr="00D60623">
        <w:rPr>
          <w:rFonts w:ascii="Book Antiqua" w:hAnsi="Book Antiqua"/>
          <w:sz w:val="24"/>
          <w:szCs w:val="24"/>
          <w:vertAlign w:val="superscript"/>
          <w:lang w:eastAsia="zh-CN"/>
        </w:rPr>
        <w:t>[30]</w:t>
      </w:r>
      <w:r w:rsidRPr="0074751D">
        <w:rPr>
          <w:rFonts w:ascii="Book Antiqua" w:hAnsi="Book Antiqua"/>
          <w:sz w:val="24"/>
          <w:szCs w:val="24"/>
        </w:rPr>
        <w:t xml:space="preserve"> conducted a randomized phase II trial comparing modified versions of FOLFOX and FOLFIRI (5-FU, leucovorin, irinotecan) for gemcitabine-refractory advanced pancreatic cancer. However, in this study, response rates to both regimens were low (7% and 0%) with associated PFS times of 6.0 and 8.3 w</w:t>
      </w:r>
      <w:r>
        <w:rPr>
          <w:rFonts w:ascii="Book Antiqua" w:hAnsi="Book Antiqua"/>
          <w:sz w:val="24"/>
          <w:szCs w:val="24"/>
        </w:rPr>
        <w:t>k</w:t>
      </w:r>
      <w:r w:rsidRPr="0074751D">
        <w:rPr>
          <w:rFonts w:ascii="Book Antiqua" w:hAnsi="Book Antiqua"/>
          <w:sz w:val="24"/>
          <w:szCs w:val="24"/>
        </w:rPr>
        <w:t>, respectively. A more recent phase II trial of FOLFOX4 from Korea reported modestly better results, with an objective response rate of 11%, a tumor stabilization rate of 41%, and a median time to progression of 9.9 wk</w:t>
      </w:r>
      <w:r w:rsidRPr="0074751D">
        <w:rPr>
          <w:rFonts w:ascii="Book Antiqua" w:hAnsi="Book Antiqua"/>
          <w:sz w:val="24"/>
          <w:szCs w:val="24"/>
          <w:vertAlign w:val="superscript"/>
        </w:rPr>
        <w:t>[31]</w:t>
      </w:r>
      <w:r w:rsidRPr="0074751D">
        <w:rPr>
          <w:rFonts w:ascii="Book Antiqua" w:hAnsi="Book Antiqua"/>
          <w:sz w:val="24"/>
          <w:szCs w:val="24"/>
        </w:rPr>
        <w:t>. Single-arm studies of capecitabine plus oxaliplatin (CapOx) have also been performed by several Asian groups, with fairly comparable results</w:t>
      </w:r>
      <w:r w:rsidRPr="0074751D">
        <w:rPr>
          <w:rFonts w:ascii="Book Antiqua" w:hAnsi="Book Antiqua"/>
          <w:sz w:val="24"/>
          <w:szCs w:val="24"/>
          <w:vertAlign w:val="superscript"/>
        </w:rPr>
        <w:t>[32–35]</w:t>
      </w:r>
      <w:r>
        <w:rPr>
          <w:rFonts w:ascii="Book Antiqua" w:hAnsi="Book Antiqua"/>
          <w:sz w:val="24"/>
          <w:szCs w:val="24"/>
        </w:rPr>
        <w:t>.</w:t>
      </w:r>
    </w:p>
    <w:p w:rsidR="002E23EC" w:rsidRPr="0074751D" w:rsidRDefault="002E23EC" w:rsidP="009E03D0">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The most convincing evidence supporting a fluoropyrimidine/platinum-based combination comes from Germany, using a regimen termed OFF, in which 5-FU (given as a 24-h infusion) plus folinic acid are given weekly x 4 in 6-wk cycles, with the addition of oxaliplatin during weeks 2 and 4. Prompted by promising results from a phase II trial using this regimen (disease control rate lasting 12 w</w:t>
      </w:r>
      <w:r>
        <w:rPr>
          <w:rFonts w:ascii="Book Antiqua" w:hAnsi="Book Antiqua"/>
          <w:sz w:val="24"/>
          <w:szCs w:val="24"/>
        </w:rPr>
        <w:t>k</w:t>
      </w:r>
      <w:r w:rsidRPr="0074751D">
        <w:rPr>
          <w:rFonts w:ascii="Book Antiqua" w:hAnsi="Book Antiqua"/>
          <w:sz w:val="24"/>
          <w:szCs w:val="24"/>
        </w:rPr>
        <w:t xml:space="preserve"> or better in 43% of study patients), a phase III randomized trial was designed by </w:t>
      </w:r>
      <w:r w:rsidRPr="0074751D">
        <w:rPr>
          <w:rStyle w:val="st"/>
          <w:rFonts w:ascii="Book Antiqua" w:hAnsi="Book Antiqua"/>
          <w:sz w:val="24"/>
          <w:szCs w:val="24"/>
        </w:rPr>
        <w:t xml:space="preserve">Charité Onkologie </w:t>
      </w:r>
      <w:r w:rsidRPr="0074751D">
        <w:rPr>
          <w:rFonts w:ascii="Book Antiqua" w:hAnsi="Book Antiqua"/>
          <w:sz w:val="24"/>
          <w:szCs w:val="24"/>
        </w:rPr>
        <w:t>(CONKO-003) in which patients were randomized to receive either the OFF regimen or best supportive care (BSC). A sample size of 165 was planned, but the study was stopped due to poor accrual (likely from the possibility of randomization to a BSC arm) after enrolling 46 patients</w:t>
      </w:r>
      <w:r w:rsidRPr="0074751D">
        <w:rPr>
          <w:rFonts w:ascii="Book Antiqua" w:hAnsi="Book Antiqua"/>
          <w:sz w:val="24"/>
          <w:szCs w:val="24"/>
          <w:vertAlign w:val="superscript"/>
        </w:rPr>
        <w:t>[36]</w:t>
      </w:r>
      <w:r w:rsidRPr="0074751D">
        <w:rPr>
          <w:rFonts w:ascii="Book Antiqua" w:hAnsi="Book Antiqua"/>
          <w:sz w:val="24"/>
          <w:szCs w:val="24"/>
        </w:rPr>
        <w:t>. Even with the limited sample size, overall survival in patients receiving OFF was 4.8 mo compared to 2.3 mo in those receiving BSC (</w:t>
      </w:r>
      <w:r w:rsidRPr="009E03D0">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0.008)</w:t>
      </w:r>
      <w:r w:rsidRPr="0074751D">
        <w:rPr>
          <w:rFonts w:ascii="Book Antiqua" w:hAnsi="Book Antiqua"/>
          <w:sz w:val="24"/>
          <w:szCs w:val="24"/>
          <w:vertAlign w:val="superscript"/>
        </w:rPr>
        <w:t>[37]</w:t>
      </w:r>
      <w:r w:rsidRPr="0074751D">
        <w:rPr>
          <w:rFonts w:ascii="Book Antiqua" w:hAnsi="Book Antiqua"/>
          <w:sz w:val="24"/>
          <w:szCs w:val="24"/>
        </w:rPr>
        <w:t>. The investigators sought to build on these results with another randomized phase III trial comparing OFF to weekly 5-FU/folinic acid (FF) alone. The results of this 168-patient trial were presented in abstract form at the 2008 ASCO meeting</w:t>
      </w:r>
      <w:r w:rsidRPr="0074751D">
        <w:rPr>
          <w:rFonts w:ascii="Book Antiqua" w:hAnsi="Book Antiqua"/>
          <w:sz w:val="24"/>
          <w:szCs w:val="24"/>
          <w:vertAlign w:val="superscript"/>
        </w:rPr>
        <w:t>[38]</w:t>
      </w:r>
      <w:r w:rsidRPr="0074751D">
        <w:rPr>
          <w:rFonts w:ascii="Book Antiqua" w:hAnsi="Book Antiqua"/>
          <w:sz w:val="24"/>
          <w:szCs w:val="24"/>
        </w:rPr>
        <w:t>. As compared to the FF regimen, patients receiving OFF demonstrated improved PFS (13 w</w:t>
      </w:r>
      <w:r>
        <w:rPr>
          <w:rFonts w:ascii="Book Antiqua" w:hAnsi="Book Antiqua"/>
          <w:sz w:val="24"/>
          <w:szCs w:val="24"/>
        </w:rPr>
        <w:t>k</w:t>
      </w:r>
      <w:r w:rsidRPr="0074751D">
        <w:rPr>
          <w:rFonts w:ascii="Book Antiqua" w:hAnsi="Book Antiqua"/>
          <w:sz w:val="24"/>
          <w:szCs w:val="24"/>
        </w:rPr>
        <w:t xml:space="preserve"> </w:t>
      </w:r>
      <w:r w:rsidRPr="008F70B5">
        <w:rPr>
          <w:rFonts w:ascii="Book Antiqua" w:hAnsi="Book Antiqua"/>
          <w:i/>
          <w:sz w:val="24"/>
          <w:szCs w:val="24"/>
        </w:rPr>
        <w:t>vs</w:t>
      </w:r>
      <w:r w:rsidRPr="0074751D">
        <w:rPr>
          <w:rFonts w:ascii="Book Antiqua" w:hAnsi="Book Antiqua"/>
          <w:sz w:val="24"/>
          <w:szCs w:val="24"/>
        </w:rPr>
        <w:t xml:space="preserve"> 9 w</w:t>
      </w:r>
      <w:r>
        <w:rPr>
          <w:rFonts w:ascii="Book Antiqua" w:hAnsi="Book Antiqua"/>
          <w:sz w:val="24"/>
          <w:szCs w:val="24"/>
        </w:rPr>
        <w:t>k</w:t>
      </w:r>
      <w:r w:rsidRPr="0074751D">
        <w:rPr>
          <w:rFonts w:ascii="Book Antiqua" w:hAnsi="Book Antiqua"/>
          <w:sz w:val="24"/>
          <w:szCs w:val="24"/>
        </w:rPr>
        <w:t xml:space="preserve">, </w:t>
      </w:r>
      <w:r w:rsidRPr="008F70B5">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0.012) and median OS (26 w</w:t>
      </w:r>
      <w:r>
        <w:rPr>
          <w:rFonts w:ascii="Book Antiqua" w:hAnsi="Book Antiqua"/>
          <w:sz w:val="24"/>
          <w:szCs w:val="24"/>
        </w:rPr>
        <w:t>k</w:t>
      </w:r>
      <w:r w:rsidRPr="0074751D">
        <w:rPr>
          <w:rFonts w:ascii="Book Antiqua" w:hAnsi="Book Antiqua"/>
          <w:sz w:val="24"/>
          <w:szCs w:val="24"/>
        </w:rPr>
        <w:t xml:space="preserve"> </w:t>
      </w:r>
      <w:r w:rsidRPr="000870C7">
        <w:rPr>
          <w:rFonts w:ascii="Book Antiqua" w:hAnsi="Book Antiqua"/>
          <w:i/>
          <w:sz w:val="24"/>
          <w:szCs w:val="24"/>
        </w:rPr>
        <w:t>vs</w:t>
      </w:r>
      <w:r w:rsidRPr="0074751D">
        <w:rPr>
          <w:rFonts w:ascii="Book Antiqua" w:hAnsi="Book Antiqua"/>
          <w:sz w:val="24"/>
          <w:szCs w:val="24"/>
        </w:rPr>
        <w:t xml:space="preserve"> 13 wk, </w:t>
      </w:r>
      <w:r w:rsidRPr="000870C7">
        <w:rPr>
          <w:rFonts w:ascii="Book Antiqua" w:hAnsi="Book Antiqua"/>
          <w:i/>
          <w:sz w:val="24"/>
          <w:szCs w:val="24"/>
          <w:lang w:eastAsia="zh-CN"/>
        </w:rPr>
        <w:t>P</w:t>
      </w:r>
      <w:r>
        <w:rPr>
          <w:rFonts w:ascii="Book Antiqua" w:hAnsi="Book Antiqua"/>
          <w:sz w:val="24"/>
          <w:szCs w:val="24"/>
          <w:lang w:eastAsia="zh-CN"/>
        </w:rPr>
        <w:t xml:space="preserve"> </w:t>
      </w:r>
      <w:r w:rsidRPr="0074751D">
        <w:rPr>
          <w:rFonts w:ascii="Book Antiqua" w:hAnsi="Book Antiqua"/>
          <w:sz w:val="24"/>
          <w:szCs w:val="24"/>
        </w:rPr>
        <w:t>=</w:t>
      </w:r>
      <w:r>
        <w:rPr>
          <w:rFonts w:ascii="Book Antiqua" w:hAnsi="Book Antiqua"/>
          <w:sz w:val="24"/>
          <w:szCs w:val="24"/>
          <w:lang w:eastAsia="zh-CN"/>
        </w:rPr>
        <w:t xml:space="preserve"> </w:t>
      </w:r>
      <w:r w:rsidRPr="0074751D">
        <w:rPr>
          <w:rFonts w:ascii="Book Antiqua" w:hAnsi="Book Antiqua"/>
          <w:sz w:val="24"/>
          <w:szCs w:val="24"/>
        </w:rPr>
        <w:t xml:space="preserve">0.014). This trial marks the largest phase III study to date showing a survival benefit of second-line therapy for pancreatic cancer; as such, the OFF regimen (or iterations thereof) has become accepted as the </w:t>
      </w:r>
      <w:r w:rsidRPr="00E25486">
        <w:rPr>
          <w:rFonts w:ascii="Book Antiqua" w:hAnsi="Book Antiqua"/>
          <w:sz w:val="24"/>
          <w:szCs w:val="24"/>
        </w:rPr>
        <w:t xml:space="preserve">de facto </w:t>
      </w:r>
      <w:r w:rsidRPr="0074751D">
        <w:rPr>
          <w:rFonts w:ascii="Book Antiqua" w:hAnsi="Book Antiqua"/>
          <w:sz w:val="24"/>
          <w:szCs w:val="24"/>
        </w:rPr>
        <w:t>standard treatment of refractory disease</w:t>
      </w:r>
      <w:r>
        <w:rPr>
          <w:rFonts w:ascii="Book Antiqua" w:hAnsi="Book Antiqua"/>
          <w:sz w:val="24"/>
          <w:szCs w:val="24"/>
        </w:rPr>
        <w:t>.</w:t>
      </w:r>
    </w:p>
    <w:p w:rsidR="002E23EC" w:rsidRPr="0074751D" w:rsidRDefault="002E23EC" w:rsidP="00103183">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 xml:space="preserve">With the emergence of FOLFIRINOX (5-FU, leucovorin, irinotecan, and oxaliplatin) as a front-line standard for patients with advanced pancreatic cancer and good </w:t>
      </w:r>
      <w:r w:rsidRPr="0074751D">
        <w:rPr>
          <w:rFonts w:ascii="Book Antiqua" w:hAnsi="Book Antiqua"/>
          <w:sz w:val="24"/>
          <w:szCs w:val="24"/>
        </w:rPr>
        <w:lastRenderedPageBreak/>
        <w:t>performance status</w:t>
      </w:r>
      <w:r w:rsidRPr="0074751D">
        <w:rPr>
          <w:rFonts w:ascii="Book Antiqua" w:hAnsi="Book Antiqua"/>
          <w:sz w:val="24"/>
          <w:szCs w:val="24"/>
          <w:vertAlign w:val="superscript"/>
        </w:rPr>
        <w:t>[39]</w:t>
      </w:r>
      <w:r w:rsidRPr="0074751D">
        <w:rPr>
          <w:rFonts w:ascii="Book Antiqua" w:hAnsi="Book Antiqua"/>
          <w:sz w:val="24"/>
          <w:szCs w:val="24"/>
        </w:rPr>
        <w:t>, there has naturally been interest in investigating this regimen in the second-line setting. To date, we only have data from one small retrospective series that included 27 patients</w:t>
      </w:r>
      <w:r w:rsidRPr="0074751D">
        <w:rPr>
          <w:rFonts w:ascii="Book Antiqua" w:hAnsi="Book Antiqua"/>
          <w:sz w:val="24"/>
          <w:szCs w:val="24"/>
          <w:vertAlign w:val="superscript"/>
        </w:rPr>
        <w:t>[40]</w:t>
      </w:r>
      <w:r w:rsidRPr="0074751D">
        <w:rPr>
          <w:rFonts w:ascii="Book Antiqua" w:hAnsi="Book Antiqua"/>
          <w:sz w:val="24"/>
          <w:szCs w:val="24"/>
        </w:rPr>
        <w:t>. Seventeen (63%) demonstrated stable disease or better, including 5 with partial responses, with an associated median TTP of 5.4 mo. Importantly, treatment was generally well-tolerated with manageable and predictable toxicities. Further evaluation of this regimen clearly needs to be performed in prospectively designed studies.</w:t>
      </w:r>
    </w:p>
    <w:p w:rsidR="002E23EC" w:rsidRPr="0074751D" w:rsidRDefault="002E23EC" w:rsidP="00103183">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While fluoropyrimidine/platinum combinations have been studied most extensively, single-arm studies of platinum-based agents partnered with other classes of agents, including oxaliplatin in combination with irinotecan</w:t>
      </w:r>
      <w:r w:rsidRPr="0074751D">
        <w:rPr>
          <w:rFonts w:ascii="Book Antiqua" w:hAnsi="Book Antiqua"/>
          <w:sz w:val="24"/>
          <w:szCs w:val="24"/>
          <w:vertAlign w:val="superscript"/>
        </w:rPr>
        <w:t>[41,42]</w:t>
      </w:r>
      <w:r w:rsidRPr="0074751D">
        <w:rPr>
          <w:rFonts w:ascii="Book Antiqua" w:hAnsi="Book Antiqua"/>
          <w:sz w:val="24"/>
          <w:szCs w:val="24"/>
        </w:rPr>
        <w:t>, raltitrexed</w:t>
      </w:r>
      <w:r w:rsidRPr="0074751D">
        <w:rPr>
          <w:rFonts w:ascii="Book Antiqua" w:hAnsi="Book Antiqua"/>
          <w:sz w:val="24"/>
          <w:szCs w:val="24"/>
          <w:vertAlign w:val="superscript"/>
        </w:rPr>
        <w:t>[43]</w:t>
      </w:r>
      <w:r w:rsidRPr="0074751D">
        <w:rPr>
          <w:rFonts w:ascii="Book Antiqua" w:hAnsi="Book Antiqua"/>
          <w:sz w:val="24"/>
          <w:szCs w:val="24"/>
        </w:rPr>
        <w:t>, and pemetrexed</w:t>
      </w:r>
      <w:r w:rsidRPr="0074751D">
        <w:rPr>
          <w:rFonts w:ascii="Book Antiqua" w:hAnsi="Book Antiqua"/>
          <w:sz w:val="24"/>
          <w:szCs w:val="24"/>
          <w:vertAlign w:val="superscript"/>
        </w:rPr>
        <w:t>[44]</w:t>
      </w:r>
      <w:r w:rsidRPr="0074751D">
        <w:rPr>
          <w:rFonts w:ascii="Book Antiqua" w:hAnsi="Book Antiqua"/>
          <w:sz w:val="24"/>
          <w:szCs w:val="24"/>
        </w:rPr>
        <w:t>, have also been examined. Results of these small series are shown in Table 3.</w:t>
      </w:r>
    </w:p>
    <w:p w:rsidR="002E23EC" w:rsidRPr="0074751D" w:rsidRDefault="002E23EC" w:rsidP="0074751D">
      <w:pPr>
        <w:spacing w:after="0" w:line="360" w:lineRule="auto"/>
        <w:jc w:val="both"/>
        <w:rPr>
          <w:rFonts w:ascii="Book Antiqua" w:hAnsi="Book Antiqua"/>
          <w:i/>
          <w:sz w:val="24"/>
          <w:szCs w:val="24"/>
          <w:lang w:eastAsia="zh-CN"/>
        </w:rPr>
      </w:pPr>
    </w:p>
    <w:p w:rsidR="002E23EC" w:rsidRPr="0074751D" w:rsidRDefault="002E23EC" w:rsidP="0074751D">
      <w:pPr>
        <w:spacing w:after="0" w:line="360" w:lineRule="auto"/>
        <w:jc w:val="both"/>
        <w:rPr>
          <w:rFonts w:ascii="Book Antiqua" w:hAnsi="Book Antiqua"/>
          <w:b/>
          <w:i/>
          <w:sz w:val="24"/>
          <w:szCs w:val="24"/>
          <w:lang w:eastAsia="zh-CN"/>
        </w:rPr>
      </w:pPr>
      <w:r w:rsidRPr="0074751D">
        <w:rPr>
          <w:rFonts w:ascii="Book Antiqua" w:hAnsi="Book Antiqua"/>
          <w:b/>
          <w:i/>
          <w:sz w:val="24"/>
          <w:szCs w:val="24"/>
        </w:rPr>
        <w:t>Non-platinum-based combinations</w:t>
      </w:r>
    </w:p>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t xml:space="preserve">In addition to the previously described phase II trial by Yoo </w:t>
      </w:r>
      <w:r w:rsidRPr="00376007">
        <w:rPr>
          <w:rFonts w:ascii="Book Antiqua" w:hAnsi="Book Antiqua"/>
          <w:i/>
          <w:sz w:val="24"/>
          <w:szCs w:val="24"/>
          <w:lang w:eastAsia="zh-CN"/>
        </w:rPr>
        <w:t>et al</w:t>
      </w:r>
      <w:r w:rsidRPr="00376007">
        <w:rPr>
          <w:rFonts w:ascii="Book Antiqua" w:hAnsi="Book Antiqua"/>
          <w:sz w:val="24"/>
          <w:szCs w:val="24"/>
          <w:vertAlign w:val="superscript"/>
          <w:lang w:eastAsia="zh-CN"/>
        </w:rPr>
        <w:t>[30]</w:t>
      </w:r>
      <w:r w:rsidRPr="0074751D">
        <w:rPr>
          <w:rFonts w:ascii="Book Antiqua" w:hAnsi="Book Antiqua"/>
          <w:sz w:val="24"/>
          <w:szCs w:val="24"/>
        </w:rPr>
        <w:t xml:space="preserve"> in which gemcitabine-refractory patients were randomized to receive modified versions of either FOLFOX or FOLFIRI, other smaller prospective and retrospective studies of FOLFIRI have been conducted, with response rates ranging between 8%-15% and median progression-free survival in the 3-4 mo range</w:t>
      </w:r>
      <w:r w:rsidRPr="0074751D">
        <w:rPr>
          <w:rFonts w:ascii="Book Antiqua" w:hAnsi="Book Antiqua"/>
          <w:sz w:val="24"/>
          <w:szCs w:val="24"/>
          <w:vertAlign w:val="superscript"/>
        </w:rPr>
        <w:t>[45–47]</w:t>
      </w:r>
      <w:r w:rsidRPr="0074751D">
        <w:rPr>
          <w:rFonts w:ascii="Book Antiqua" w:hAnsi="Book Antiqua"/>
          <w:sz w:val="24"/>
          <w:szCs w:val="24"/>
        </w:rPr>
        <w:t>. Another fluoropyrimidine/irinotecan combination termed IRIS (irinotecan plus S-1) was compared to S-1 alone in a randomized phase II trial from Japan of 127 patients who had progressed on gemcitabine</w:t>
      </w:r>
      <w:r w:rsidRPr="0074751D">
        <w:rPr>
          <w:rFonts w:ascii="Book Antiqua" w:hAnsi="Book Antiqua"/>
          <w:sz w:val="24"/>
          <w:szCs w:val="24"/>
          <w:vertAlign w:val="superscript"/>
        </w:rPr>
        <w:t>[28]</w:t>
      </w:r>
      <w:r w:rsidRPr="0074751D">
        <w:rPr>
          <w:rFonts w:ascii="Book Antiqua" w:hAnsi="Book Antiqua"/>
          <w:sz w:val="24"/>
          <w:szCs w:val="24"/>
        </w:rPr>
        <w:t>. The combination produced a response rate of 18%, compared to 6% with S-1 alone (</w:t>
      </w:r>
      <w:r w:rsidRPr="0074751D">
        <w:rPr>
          <w:rFonts w:ascii="Book Antiqua" w:hAnsi="Book Antiqua"/>
          <w:i/>
          <w:sz w:val="24"/>
          <w:szCs w:val="24"/>
          <w:lang w:eastAsia="zh-CN"/>
        </w:rPr>
        <w:t>P</w:t>
      </w:r>
      <w:r w:rsidRPr="0074751D">
        <w:rPr>
          <w:rFonts w:ascii="Book Antiqua" w:hAnsi="Book Antiqua"/>
          <w:sz w:val="24"/>
          <w:szCs w:val="24"/>
          <w:lang w:eastAsia="zh-CN"/>
        </w:rPr>
        <w:t xml:space="preserve"> </w:t>
      </w:r>
      <w:r w:rsidRPr="0074751D">
        <w:rPr>
          <w:rFonts w:ascii="Book Antiqua" w:hAnsi="Book Antiqua"/>
          <w:sz w:val="24"/>
          <w:szCs w:val="24"/>
        </w:rPr>
        <w:t>=</w:t>
      </w:r>
      <w:r w:rsidRPr="0074751D">
        <w:rPr>
          <w:rFonts w:ascii="Book Antiqua" w:hAnsi="Book Antiqua"/>
          <w:sz w:val="24"/>
          <w:szCs w:val="24"/>
          <w:lang w:eastAsia="zh-CN"/>
        </w:rPr>
        <w:t xml:space="preserve"> </w:t>
      </w:r>
      <w:r w:rsidRPr="0074751D">
        <w:rPr>
          <w:rFonts w:ascii="Book Antiqua" w:hAnsi="Book Antiqua"/>
          <w:sz w:val="24"/>
          <w:szCs w:val="24"/>
        </w:rPr>
        <w:t xml:space="preserve">0.03). Median PFS and OS also favored the IRIS combination, although these improvements did not reach statistical significance (107 and 208 d, compared to 58 and 176 d for S-1, respectively). Irinotecan has also been tested in combination with the folate antimetabolite raltitrexed in a randomized phase II trial </w:t>
      </w:r>
      <w:r w:rsidRPr="0074751D">
        <w:rPr>
          <w:rFonts w:ascii="Book Antiqua" w:hAnsi="Book Antiqua"/>
          <w:i/>
          <w:sz w:val="24"/>
          <w:szCs w:val="24"/>
        </w:rPr>
        <w:t>vs</w:t>
      </w:r>
      <w:r w:rsidRPr="0074751D">
        <w:rPr>
          <w:rFonts w:ascii="Book Antiqua" w:hAnsi="Book Antiqua"/>
          <w:sz w:val="24"/>
          <w:szCs w:val="24"/>
        </w:rPr>
        <w:t xml:space="preserve"> raltitrexed monotherapy</w:t>
      </w:r>
      <w:r w:rsidRPr="0074751D">
        <w:rPr>
          <w:rFonts w:ascii="Book Antiqua" w:hAnsi="Book Antiqua"/>
          <w:sz w:val="24"/>
          <w:szCs w:val="24"/>
          <w:vertAlign w:val="superscript"/>
        </w:rPr>
        <w:t>[48]</w:t>
      </w:r>
      <w:r w:rsidRPr="0074751D">
        <w:rPr>
          <w:rFonts w:ascii="Book Antiqua" w:hAnsi="Book Antiqua"/>
          <w:sz w:val="24"/>
          <w:szCs w:val="24"/>
        </w:rPr>
        <w:t xml:space="preserve">. In this 38-patient study, the doublet was associated with a higher rate of objective response (16% </w:t>
      </w:r>
      <w:r w:rsidRPr="0074751D">
        <w:rPr>
          <w:rFonts w:ascii="Book Antiqua" w:hAnsi="Book Antiqua"/>
          <w:i/>
          <w:sz w:val="24"/>
          <w:szCs w:val="24"/>
        </w:rPr>
        <w:t>vs</w:t>
      </w:r>
      <w:r w:rsidRPr="0074751D">
        <w:rPr>
          <w:rFonts w:ascii="Book Antiqua" w:hAnsi="Book Antiqua"/>
          <w:sz w:val="24"/>
          <w:szCs w:val="24"/>
        </w:rPr>
        <w:t xml:space="preserve"> 0%) and prolonged PFS (4.0 mo</w:t>
      </w:r>
      <w:r w:rsidRPr="0074751D">
        <w:rPr>
          <w:rFonts w:ascii="Book Antiqua" w:hAnsi="Book Antiqua"/>
          <w:i/>
          <w:sz w:val="24"/>
          <w:szCs w:val="24"/>
        </w:rPr>
        <w:t xml:space="preserve"> vs</w:t>
      </w:r>
      <w:r w:rsidRPr="0074751D">
        <w:rPr>
          <w:rFonts w:ascii="Book Antiqua" w:hAnsi="Book Antiqua"/>
          <w:sz w:val="24"/>
          <w:szCs w:val="24"/>
        </w:rPr>
        <w:t xml:space="preserve"> 2.5 </w:t>
      </w:r>
      <w:r w:rsidRPr="0074751D">
        <w:rPr>
          <w:rFonts w:ascii="Book Antiqua" w:hAnsi="Book Antiqua"/>
          <w:sz w:val="24"/>
          <w:szCs w:val="24"/>
        </w:rPr>
        <w:lastRenderedPageBreak/>
        <w:t>mo) and OS (6.5</w:t>
      </w:r>
      <w:r w:rsidRPr="00B9307C">
        <w:rPr>
          <w:rFonts w:ascii="Book Antiqua" w:hAnsi="Book Antiqua"/>
          <w:sz w:val="24"/>
          <w:szCs w:val="24"/>
        </w:rPr>
        <w:t xml:space="preserve"> </w:t>
      </w:r>
      <w:r w:rsidRPr="0074751D">
        <w:rPr>
          <w:rFonts w:ascii="Book Antiqua" w:hAnsi="Book Antiqua"/>
          <w:sz w:val="24"/>
          <w:szCs w:val="24"/>
        </w:rPr>
        <w:t xml:space="preserve">mo </w:t>
      </w:r>
      <w:r w:rsidRPr="0074751D">
        <w:rPr>
          <w:rFonts w:ascii="Book Antiqua" w:hAnsi="Book Antiqua"/>
          <w:i/>
          <w:sz w:val="24"/>
          <w:szCs w:val="24"/>
        </w:rPr>
        <w:t>vs</w:t>
      </w:r>
      <w:r w:rsidRPr="0074751D">
        <w:rPr>
          <w:rFonts w:ascii="Book Antiqua" w:hAnsi="Book Antiqua"/>
          <w:sz w:val="24"/>
          <w:szCs w:val="24"/>
        </w:rPr>
        <w:t xml:space="preserve"> 4.3 mo), albeit with higher rates of clinically relevant toxicities including gastrointestinal symptoms and alopecia.</w:t>
      </w:r>
    </w:p>
    <w:p w:rsidR="002E23EC" w:rsidRPr="0074751D" w:rsidRDefault="002E23EC" w:rsidP="008071BE">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Taxanes represent the other most frequently studied class of agents evaluated in the salvage setting for pancreatic cancer. Combination regimens including capecitabine/docetaxel</w:t>
      </w:r>
      <w:r w:rsidRPr="0074751D">
        <w:rPr>
          <w:rFonts w:ascii="Book Antiqua" w:hAnsi="Book Antiqua"/>
          <w:sz w:val="24"/>
          <w:szCs w:val="24"/>
          <w:vertAlign w:val="superscript"/>
        </w:rPr>
        <w:t>[49,50]</w:t>
      </w:r>
      <w:r w:rsidRPr="0074751D">
        <w:rPr>
          <w:rFonts w:ascii="Book Antiqua" w:hAnsi="Book Antiqua"/>
          <w:sz w:val="24"/>
          <w:szCs w:val="24"/>
        </w:rPr>
        <w:t xml:space="preserve"> and 5-FU/paclitaxel</w:t>
      </w:r>
      <w:r w:rsidRPr="0074751D">
        <w:rPr>
          <w:rFonts w:ascii="Book Antiqua" w:hAnsi="Book Antiqua"/>
          <w:sz w:val="24"/>
          <w:szCs w:val="24"/>
          <w:vertAlign w:val="superscript"/>
        </w:rPr>
        <w:t>[51]</w:t>
      </w:r>
      <w:r w:rsidRPr="0074751D">
        <w:rPr>
          <w:rFonts w:ascii="Book Antiqua" w:hAnsi="Book Antiqua"/>
          <w:sz w:val="24"/>
          <w:szCs w:val="24"/>
        </w:rPr>
        <w:t xml:space="preserve"> have been studied in small phase II trials, with response rates in the 10% range and median PFS centered around 2 mo. A small phase II study looking at the combination of irinotecan/docetaxel was discontinued early due to excess toxicity, with no responses observed in 14 evaluable patients</w:t>
      </w:r>
      <w:r w:rsidRPr="0074751D">
        <w:rPr>
          <w:rFonts w:ascii="Book Antiqua" w:hAnsi="Book Antiqua"/>
          <w:sz w:val="24"/>
          <w:szCs w:val="24"/>
          <w:vertAlign w:val="superscript"/>
        </w:rPr>
        <w:t>[52]</w:t>
      </w:r>
      <w:r w:rsidRPr="0074751D">
        <w:rPr>
          <w:rFonts w:ascii="Book Antiqua" w:hAnsi="Book Antiqua"/>
          <w:sz w:val="24"/>
          <w:szCs w:val="24"/>
        </w:rPr>
        <w:t>. Table 3 highlights other non-platinum-based combinations that have been explored, mostly in the context of single-arm phase II studies.</w:t>
      </w: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TARGETED THERAPIES</w:t>
      </w:r>
    </w:p>
    <w:p w:rsidR="002E23EC" w:rsidRPr="0074751D" w:rsidRDefault="002E23EC" w:rsidP="0074751D">
      <w:pPr>
        <w:tabs>
          <w:tab w:val="left" w:pos="1135"/>
        </w:tabs>
        <w:spacing w:after="0" w:line="360" w:lineRule="auto"/>
        <w:jc w:val="both"/>
        <w:rPr>
          <w:rFonts w:ascii="Book Antiqua" w:hAnsi="Book Antiqua"/>
          <w:sz w:val="24"/>
          <w:szCs w:val="24"/>
        </w:rPr>
      </w:pPr>
      <w:r w:rsidRPr="0074751D">
        <w:rPr>
          <w:rFonts w:ascii="Book Antiqua" w:hAnsi="Book Antiqua"/>
          <w:sz w:val="24"/>
          <w:szCs w:val="24"/>
        </w:rPr>
        <w:t>In recent years, an improved understanding of cancer biology has led to the development of targeted therapies intended to inhibit tumor-specific proteins or pathways instrumental in cellular proliferation and survival. These include small molecule inhibitors, which inhibit a specific intracellular protein or pathway; or engineered antibodies, designed to target proteins expressed preferentially on the tumor cell surface. In pancreatic cancer, a number of potentially actionable oncogenic pathways have been identified for which such targeted therapies have been developed and tested, many in the chemo-refractory setting, either alone or in combination with other targeted or cytotoxic agents.</w:t>
      </w:r>
    </w:p>
    <w:p w:rsidR="002E23EC" w:rsidRPr="0074751D" w:rsidRDefault="002E23EC" w:rsidP="00AF50B5">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Small molecule inhibitors that bind the intracellular tyrosine kinase (TK) domain of the human epidermal growth factor receptor (HER1/EGFR) block signaling through this pathway that controls aspects of DNA synthesis, cell proliferation, adhesion, and migration. Erlotinib, one such anti-EGFR tyrosine kinase inhibitor (TKI), was approved in the front-line setting for advanced pancreatic cancer based on a small but statistically significant improvement in median survival when added to gemcitabine in a randomized phase III trial led by the National Cancer Institute of Canada</w:t>
      </w:r>
      <w:r w:rsidRPr="0074751D">
        <w:rPr>
          <w:rFonts w:ascii="Book Antiqua" w:hAnsi="Book Antiqua"/>
          <w:sz w:val="24"/>
          <w:szCs w:val="24"/>
          <w:vertAlign w:val="superscript"/>
        </w:rPr>
        <w:t>[53]</w:t>
      </w:r>
      <w:r w:rsidRPr="0074751D">
        <w:rPr>
          <w:rFonts w:ascii="Book Antiqua" w:hAnsi="Book Antiqua"/>
          <w:sz w:val="24"/>
          <w:szCs w:val="24"/>
        </w:rPr>
        <w:t>. When tested as monotherapy in the setting of gemcitabine-refractory disease in a (non-</w:t>
      </w:r>
      <w:r w:rsidRPr="0074751D">
        <w:rPr>
          <w:rFonts w:ascii="Book Antiqua" w:hAnsi="Book Antiqua"/>
          <w:sz w:val="24"/>
          <w:szCs w:val="24"/>
        </w:rPr>
        <w:lastRenderedPageBreak/>
        <w:t>published) phase II trial, erlotinib produced prolonged disease control (greater than 8 w</w:t>
      </w:r>
      <w:r>
        <w:rPr>
          <w:rFonts w:ascii="Book Antiqua" w:hAnsi="Book Antiqua"/>
          <w:sz w:val="24"/>
          <w:szCs w:val="24"/>
        </w:rPr>
        <w:t>k</w:t>
      </w:r>
      <w:r w:rsidRPr="0074751D">
        <w:rPr>
          <w:rFonts w:ascii="Book Antiqua" w:hAnsi="Book Antiqua"/>
          <w:sz w:val="24"/>
          <w:szCs w:val="24"/>
        </w:rPr>
        <w:t>) in 10/40 evaluable patients, with a median time to progression of 1.6 mo and a median survival of 4.1 mo</w:t>
      </w:r>
      <w:r w:rsidRPr="0074751D">
        <w:rPr>
          <w:rFonts w:ascii="Book Antiqua" w:hAnsi="Book Antiqua"/>
          <w:sz w:val="24"/>
          <w:szCs w:val="24"/>
          <w:vertAlign w:val="superscript"/>
        </w:rPr>
        <w:t>[54]</w:t>
      </w:r>
      <w:r w:rsidRPr="0074751D">
        <w:rPr>
          <w:rFonts w:ascii="Book Antiqua" w:hAnsi="Book Antiqua"/>
          <w:sz w:val="24"/>
          <w:szCs w:val="24"/>
        </w:rPr>
        <w:t xml:space="preserve">. </w:t>
      </w:r>
      <w:r w:rsidRPr="00AF5EF8">
        <w:rPr>
          <w:rFonts w:ascii="Book Antiqua" w:hAnsi="Book Antiqua"/>
          <w:sz w:val="24"/>
          <w:szCs w:val="24"/>
        </w:rPr>
        <w:t xml:space="preserve">A randomized trial of erlotinib </w:t>
      </w:r>
      <w:r w:rsidRPr="008E000F">
        <w:rPr>
          <w:rFonts w:ascii="Book Antiqua" w:hAnsi="Book Antiqua"/>
          <w:i/>
          <w:sz w:val="24"/>
          <w:szCs w:val="24"/>
        </w:rPr>
        <w:t>vs</w:t>
      </w:r>
      <w:r w:rsidRPr="00AF5EF8">
        <w:rPr>
          <w:rFonts w:ascii="Book Antiqua" w:hAnsi="Book Antiqua"/>
          <w:sz w:val="24"/>
          <w:szCs w:val="24"/>
        </w:rPr>
        <w:t xml:space="preserve"> placebo (NCT00674973) has completed accrual with the goal of identifying biomarkers predictive of benefit to this agent (Table 5); data are not yet available. An</w:t>
      </w:r>
      <w:r w:rsidRPr="0074751D">
        <w:rPr>
          <w:rFonts w:ascii="Book Antiqua" w:hAnsi="Book Antiqua"/>
          <w:sz w:val="24"/>
          <w:szCs w:val="24"/>
        </w:rPr>
        <w:t>other phase II study tested erlotinib in combination with capecitabine in the refractory setting and produced somewhat better results, including a 10% objective response rate, a median PFS of 3.4 mo, and a median OS of 6.5 mo, with no associated grade 4 toxicities</w:t>
      </w:r>
      <w:r w:rsidRPr="0074751D">
        <w:rPr>
          <w:rFonts w:ascii="Book Antiqua" w:hAnsi="Book Antiqua"/>
          <w:sz w:val="24"/>
          <w:szCs w:val="24"/>
          <w:vertAlign w:val="superscript"/>
        </w:rPr>
        <w:t>[55]</w:t>
      </w:r>
      <w:r>
        <w:rPr>
          <w:rFonts w:ascii="Book Antiqua" w:hAnsi="Book Antiqua"/>
          <w:sz w:val="24"/>
          <w:szCs w:val="24"/>
        </w:rPr>
        <w:t>.</w:t>
      </w:r>
    </w:p>
    <w:p w:rsidR="002E23EC" w:rsidRPr="0074751D" w:rsidRDefault="002E23EC" w:rsidP="00451067">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Downstream of EGFR is the protein encoded by the KRAS oncogene, which is mutated and hence constitutively activated in the vast majority of pancreatic cancers</w:t>
      </w:r>
      <w:r w:rsidRPr="0074751D">
        <w:rPr>
          <w:rFonts w:ascii="Book Antiqua" w:hAnsi="Book Antiqua"/>
          <w:sz w:val="24"/>
          <w:szCs w:val="24"/>
          <w:vertAlign w:val="superscript"/>
        </w:rPr>
        <w:t>[56–58]</w:t>
      </w:r>
      <w:r w:rsidRPr="0074751D">
        <w:rPr>
          <w:rFonts w:ascii="Book Antiqua" w:hAnsi="Book Antiqua"/>
          <w:sz w:val="24"/>
          <w:szCs w:val="24"/>
        </w:rPr>
        <w:t xml:space="preserve">. While KRAS itself has proved to be challenging as a druggable target, KRAS effector pathways such as the MAP (RAF/MEK/ERK) signaling cascade may be more amenable to pharmacologic inhibition. Bodoky </w:t>
      </w:r>
      <w:r w:rsidRPr="0074751D">
        <w:rPr>
          <w:rFonts w:ascii="Book Antiqua" w:hAnsi="Book Antiqua"/>
          <w:i/>
          <w:sz w:val="24"/>
          <w:szCs w:val="24"/>
        </w:rPr>
        <w:t>et al</w:t>
      </w:r>
      <w:r w:rsidRPr="0074751D">
        <w:rPr>
          <w:rFonts w:ascii="Book Antiqua" w:hAnsi="Book Antiqua"/>
          <w:sz w:val="24"/>
          <w:szCs w:val="24"/>
          <w:vertAlign w:val="superscript"/>
        </w:rPr>
        <w:t>[59]</w:t>
      </w:r>
      <w:r w:rsidRPr="0074751D">
        <w:rPr>
          <w:rFonts w:ascii="Book Antiqua" w:hAnsi="Book Antiqua"/>
          <w:sz w:val="24"/>
          <w:szCs w:val="24"/>
        </w:rPr>
        <w:t xml:space="preserve"> investigated selumetinib, a selective MEK1/2 inhibitor, in a randomized phase II trial </w:t>
      </w:r>
      <w:r w:rsidRPr="00451067">
        <w:rPr>
          <w:rFonts w:ascii="Book Antiqua" w:hAnsi="Book Antiqua"/>
          <w:i/>
          <w:sz w:val="24"/>
          <w:szCs w:val="24"/>
        </w:rPr>
        <w:t>vs</w:t>
      </w:r>
      <w:r w:rsidRPr="0074751D">
        <w:rPr>
          <w:rFonts w:ascii="Book Antiqua" w:hAnsi="Book Antiqua"/>
          <w:sz w:val="24"/>
          <w:szCs w:val="24"/>
        </w:rPr>
        <w:t xml:space="preserve"> capecitabine for gemcitabine-resistant pancreatic cancer. Selumetinib, though well tolerated, did not improve survival relative to capecitabine monotherapy, with median PFS and OS times of 2.1 and 5.4 mo compared to 2.2 and 5.0 mo, respectively. Two of 32 patients on the selumetinib arm (6.3%) did achieve a (unconfirmed) partial response.</w:t>
      </w:r>
    </w:p>
    <w:p w:rsidR="002E23EC" w:rsidRPr="0074751D" w:rsidRDefault="002E23EC" w:rsidP="00D805ED">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Several lines of preclinical evidence indicate that inhibition of MEK induces compensatory hyperactivation of a semi-parallel EGFR signaling pathway, the PI3K/AKT cascade</w:t>
      </w:r>
      <w:r w:rsidRPr="0074751D">
        <w:rPr>
          <w:rFonts w:ascii="Book Antiqua" w:hAnsi="Book Antiqua"/>
          <w:sz w:val="24"/>
          <w:szCs w:val="24"/>
          <w:vertAlign w:val="superscript"/>
        </w:rPr>
        <w:t>[60]</w:t>
      </w:r>
      <w:r w:rsidRPr="0074751D">
        <w:rPr>
          <w:rFonts w:ascii="Book Antiqua" w:hAnsi="Book Antiqua"/>
          <w:sz w:val="24"/>
          <w:szCs w:val="24"/>
        </w:rPr>
        <w:t xml:space="preserve">, and that simultaneous blockade of multiple nodes leads to better anti-tumor activity. Ko </w:t>
      </w:r>
      <w:r w:rsidRPr="00D805ED">
        <w:rPr>
          <w:rFonts w:ascii="Book Antiqua" w:hAnsi="Book Antiqua"/>
          <w:i/>
          <w:sz w:val="24"/>
          <w:szCs w:val="24"/>
          <w:lang w:eastAsia="zh-CN"/>
        </w:rPr>
        <w:t>et al</w:t>
      </w:r>
      <w:r w:rsidRPr="0074751D">
        <w:rPr>
          <w:rFonts w:ascii="Book Antiqua" w:hAnsi="Book Antiqua"/>
          <w:sz w:val="24"/>
          <w:szCs w:val="24"/>
          <w:vertAlign w:val="superscript"/>
        </w:rPr>
        <w:t>[61]</w:t>
      </w:r>
      <w:r w:rsidRPr="0074751D">
        <w:rPr>
          <w:rFonts w:ascii="Book Antiqua" w:hAnsi="Book Antiqua"/>
          <w:sz w:val="24"/>
          <w:szCs w:val="24"/>
        </w:rPr>
        <w:t xml:space="preserve"> tested this approach of dual inhibition for refractory pancreatic cancer in a multicenter phase II study, using the combination of selumetinib plus erlotinib. Although no objective responses were observed, 12 of 46 patients (26%) achieved stable disease for a minimum of 12 w</w:t>
      </w:r>
      <w:r>
        <w:rPr>
          <w:rFonts w:ascii="Book Antiqua" w:hAnsi="Book Antiqua"/>
          <w:sz w:val="24"/>
          <w:szCs w:val="24"/>
        </w:rPr>
        <w:t>k</w:t>
      </w:r>
      <w:r w:rsidRPr="0074751D">
        <w:rPr>
          <w:rFonts w:ascii="Book Antiqua" w:hAnsi="Book Antiqua"/>
          <w:sz w:val="24"/>
          <w:szCs w:val="24"/>
        </w:rPr>
        <w:t>, and 38% of evaluable patients had a biomarker response (CA19-9 decline &gt;</w:t>
      </w:r>
      <w:r>
        <w:rPr>
          <w:rFonts w:ascii="Book Antiqua" w:hAnsi="Book Antiqua"/>
          <w:sz w:val="24"/>
          <w:szCs w:val="24"/>
          <w:lang w:eastAsia="zh-CN"/>
        </w:rPr>
        <w:t xml:space="preserve"> </w:t>
      </w:r>
      <w:r w:rsidRPr="0074751D">
        <w:rPr>
          <w:rFonts w:ascii="Book Antiqua" w:hAnsi="Book Antiqua"/>
          <w:sz w:val="24"/>
          <w:szCs w:val="24"/>
        </w:rPr>
        <w:t xml:space="preserve">50%). Median OS on this study was 7.5 mo. An ongoing randomized phase II study led by the Southwest Oncology Group (SWOG 1115) is comparing the combination of selumetinib plus the AKT inhibitor MK2206 to </w:t>
      </w:r>
      <w:r w:rsidRPr="0074751D">
        <w:rPr>
          <w:rFonts w:ascii="Book Antiqua" w:hAnsi="Book Antiqua"/>
          <w:sz w:val="24"/>
          <w:szCs w:val="24"/>
        </w:rPr>
        <w:lastRenderedPageBreak/>
        <w:t xml:space="preserve">standard FOLFOX chemotherapy in patients who have progressed on front-line gemcitabine-based treatment (NCT01658943) </w:t>
      </w:r>
      <w:r w:rsidRPr="00786ACB">
        <w:rPr>
          <w:rFonts w:ascii="Book Antiqua" w:hAnsi="Book Antiqua"/>
          <w:sz w:val="24"/>
          <w:szCs w:val="24"/>
        </w:rPr>
        <w:t>(Table 5).</w:t>
      </w:r>
    </w:p>
    <w:p w:rsidR="002E23EC" w:rsidRPr="0074751D" w:rsidRDefault="002E23EC" w:rsidP="00786ACB">
      <w:pPr>
        <w:spacing w:after="0" w:line="360" w:lineRule="auto"/>
        <w:ind w:firstLineChars="100" w:firstLine="240"/>
        <w:jc w:val="both"/>
        <w:rPr>
          <w:rFonts w:ascii="Book Antiqua" w:hAnsi="Book Antiqua"/>
          <w:sz w:val="24"/>
          <w:szCs w:val="24"/>
          <w:lang w:eastAsia="zh-CN"/>
        </w:rPr>
      </w:pPr>
      <w:r w:rsidRPr="0074751D">
        <w:rPr>
          <w:rFonts w:ascii="Book Antiqua" w:hAnsi="Book Antiqua"/>
          <w:sz w:val="24"/>
          <w:szCs w:val="24"/>
        </w:rPr>
        <w:t xml:space="preserve">Among other effects, the EGFR/PI3K/AKT signaling cascade results in activation of the mammalian target of rapamycin (mTOR) protein kinase. mTOR plays a central role in cell growth and cell-cycle control, integrating mitogenic signals from various extracellular ligands including EGF, insulin, and insulin-like growth factor (IGF-1/2). Wolpin </w:t>
      </w:r>
      <w:r w:rsidRPr="00786ACB">
        <w:rPr>
          <w:rFonts w:ascii="Book Antiqua" w:hAnsi="Book Antiqua"/>
          <w:i/>
          <w:sz w:val="24"/>
          <w:szCs w:val="24"/>
          <w:lang w:eastAsia="zh-CN"/>
        </w:rPr>
        <w:t>et al</w:t>
      </w:r>
      <w:r w:rsidRPr="0074751D">
        <w:rPr>
          <w:rFonts w:ascii="Book Antiqua" w:hAnsi="Book Antiqua"/>
          <w:sz w:val="24"/>
          <w:szCs w:val="24"/>
          <w:vertAlign w:val="superscript"/>
        </w:rPr>
        <w:t>[62]</w:t>
      </w:r>
      <w:r w:rsidRPr="0074751D">
        <w:rPr>
          <w:rFonts w:ascii="Book Antiqua" w:hAnsi="Book Antiqua"/>
          <w:sz w:val="24"/>
          <w:szCs w:val="24"/>
        </w:rPr>
        <w:t xml:space="preserve"> tested the direct mTOR inhibitor everolimus in gemcitabine-resistant disease, but observed no objective responses and a disease control rate of only 21%, with a median PFS of 1.8 mo. A trial of sirolimus monotherapy, in which 75% of patients had received prior chemotherapy, similarly revealed minimal to no clinical activity</w:t>
      </w:r>
      <w:r w:rsidRPr="0074751D">
        <w:rPr>
          <w:rFonts w:ascii="Book Antiqua" w:hAnsi="Book Antiqua"/>
          <w:sz w:val="24"/>
          <w:szCs w:val="24"/>
          <w:vertAlign w:val="superscript"/>
        </w:rPr>
        <w:t>[63]</w:t>
      </w:r>
      <w:r w:rsidRPr="0074751D">
        <w:rPr>
          <w:rFonts w:ascii="Book Antiqua" w:hAnsi="Book Antiqua"/>
          <w:sz w:val="24"/>
          <w:szCs w:val="24"/>
        </w:rPr>
        <w:t xml:space="preserve">. Javle </w:t>
      </w:r>
      <w:r w:rsidRPr="0074751D">
        <w:rPr>
          <w:rFonts w:ascii="Book Antiqua" w:hAnsi="Book Antiqua"/>
          <w:i/>
          <w:sz w:val="24"/>
          <w:szCs w:val="24"/>
        </w:rPr>
        <w:t>et al</w:t>
      </w:r>
      <w:r w:rsidRPr="0074751D">
        <w:rPr>
          <w:rFonts w:ascii="Book Antiqua" w:hAnsi="Book Antiqua"/>
          <w:sz w:val="24"/>
          <w:szCs w:val="24"/>
          <w:vertAlign w:val="superscript"/>
        </w:rPr>
        <w:t>[64]</w:t>
      </w:r>
      <w:r w:rsidRPr="0074751D">
        <w:rPr>
          <w:rFonts w:ascii="Book Antiqua" w:hAnsi="Book Antiqua"/>
          <w:sz w:val="24"/>
          <w:szCs w:val="24"/>
        </w:rPr>
        <w:t xml:space="preserve"> tested a dual inhibition strategy of everolimus in combination with erlotinib a small phase II study, but this study was closed early due to futility</w:t>
      </w:r>
      <w:r>
        <w:rPr>
          <w:rFonts w:ascii="Book Antiqua" w:hAnsi="Book Antiqua"/>
          <w:sz w:val="24"/>
          <w:szCs w:val="24"/>
        </w:rPr>
        <w:t>.</w:t>
      </w:r>
    </w:p>
    <w:p w:rsidR="002E23EC" w:rsidRPr="0074751D" w:rsidRDefault="002E23EC" w:rsidP="00C53707">
      <w:pPr>
        <w:spacing w:after="0" w:line="360" w:lineRule="auto"/>
        <w:ind w:firstLineChars="100" w:firstLine="240"/>
        <w:jc w:val="both"/>
        <w:rPr>
          <w:rFonts w:ascii="Book Antiqua" w:hAnsi="Book Antiqua"/>
          <w:sz w:val="24"/>
          <w:szCs w:val="24"/>
        </w:rPr>
      </w:pPr>
      <w:r w:rsidRPr="0074751D">
        <w:rPr>
          <w:rFonts w:ascii="Book Antiqua" w:hAnsi="Book Antiqua"/>
          <w:sz w:val="24"/>
          <w:szCs w:val="24"/>
        </w:rPr>
        <w:t>In a separate (but not unrelated) category, anti-angiogenic strategies, primarily targeting vascular endothelial growth factor (VEGF) and its corresponding receptor (VEGFR), have been extensively studied in pancreatic cancer in both the front-line and salvage settings. The anti-VEGF monoclonal antibody bevacizumab, which did not improve survival when added to either gemcitabine</w:t>
      </w:r>
      <w:r w:rsidRPr="0074751D">
        <w:rPr>
          <w:rFonts w:ascii="Book Antiqua" w:hAnsi="Book Antiqua"/>
          <w:sz w:val="24"/>
          <w:szCs w:val="24"/>
          <w:vertAlign w:val="superscript"/>
        </w:rPr>
        <w:t>[65]</w:t>
      </w:r>
      <w:r w:rsidRPr="0074751D">
        <w:rPr>
          <w:rFonts w:ascii="Book Antiqua" w:hAnsi="Book Antiqua"/>
          <w:sz w:val="24"/>
          <w:szCs w:val="24"/>
        </w:rPr>
        <w:t xml:space="preserve"> or erlotinib/gemcitabine</w:t>
      </w:r>
      <w:r w:rsidRPr="0074751D">
        <w:rPr>
          <w:rFonts w:ascii="Book Antiqua" w:hAnsi="Book Antiqua"/>
          <w:sz w:val="24"/>
          <w:szCs w:val="24"/>
          <w:vertAlign w:val="superscript"/>
        </w:rPr>
        <w:t>[66]</w:t>
      </w:r>
      <w:r w:rsidRPr="0074751D">
        <w:rPr>
          <w:rFonts w:ascii="Book Antiqua" w:hAnsi="Book Antiqua"/>
          <w:sz w:val="24"/>
          <w:szCs w:val="24"/>
        </w:rPr>
        <w:t xml:space="preserve"> as first-line therapy in two large randomized phase III studies, has also been explored in the refractory setting, with fairly minimal activity. A phase II trial by Ko </w:t>
      </w:r>
      <w:r w:rsidRPr="0074751D">
        <w:rPr>
          <w:rFonts w:ascii="Book Antiqua" w:hAnsi="Book Antiqua"/>
          <w:i/>
          <w:sz w:val="24"/>
          <w:szCs w:val="24"/>
        </w:rPr>
        <w:t>et al</w:t>
      </w:r>
      <w:r w:rsidRPr="0074751D">
        <w:rPr>
          <w:rFonts w:ascii="Book Antiqua" w:hAnsi="Book Antiqua"/>
          <w:sz w:val="24"/>
          <w:szCs w:val="24"/>
          <w:vertAlign w:val="superscript"/>
        </w:rPr>
        <w:t>[67]</w:t>
      </w:r>
      <w:r>
        <w:rPr>
          <w:rFonts w:ascii="Book Antiqua" w:hAnsi="Book Antiqua"/>
          <w:sz w:val="24"/>
          <w:szCs w:val="24"/>
          <w:lang w:eastAsia="zh-CN"/>
        </w:rPr>
        <w:t xml:space="preserve"> </w:t>
      </w:r>
      <w:r w:rsidRPr="0074751D">
        <w:rPr>
          <w:rFonts w:ascii="Book Antiqua" w:hAnsi="Book Antiqua"/>
          <w:sz w:val="24"/>
          <w:szCs w:val="24"/>
        </w:rPr>
        <w:t>examined the combination of bevacizumab and erlotinib in gemcitabine-refractory patients and reported a progression-free survival rate of 1.3 mo, with a median OS of only 3.4 mo. Oral TKIs directed against VEGFR have also been explored, including fairly large single-arm phase II studies of vatalinib</w:t>
      </w:r>
      <w:r w:rsidRPr="0074751D">
        <w:rPr>
          <w:rFonts w:ascii="Book Antiqua" w:hAnsi="Book Antiqua"/>
          <w:sz w:val="24"/>
          <w:szCs w:val="24"/>
          <w:vertAlign w:val="superscript"/>
        </w:rPr>
        <w:t>[68]</w:t>
      </w:r>
      <w:r w:rsidRPr="0074751D">
        <w:rPr>
          <w:rFonts w:ascii="Book Antiqua" w:hAnsi="Book Antiqua"/>
          <w:sz w:val="24"/>
          <w:szCs w:val="24"/>
        </w:rPr>
        <w:t xml:space="preserve"> and sunitinib</w:t>
      </w:r>
      <w:r w:rsidRPr="0074751D">
        <w:rPr>
          <w:rFonts w:ascii="Book Antiqua" w:hAnsi="Book Antiqua"/>
          <w:sz w:val="24"/>
          <w:szCs w:val="24"/>
          <w:vertAlign w:val="superscript"/>
        </w:rPr>
        <w:t>[69]</w:t>
      </w:r>
      <w:r w:rsidRPr="0074751D">
        <w:rPr>
          <w:rFonts w:ascii="Book Antiqua" w:hAnsi="Book Antiqua"/>
          <w:sz w:val="24"/>
          <w:szCs w:val="24"/>
        </w:rPr>
        <w:t>. Sunitinib, tested in the context of a cooperative group study (CALGB 80603), reported a single objective response amongst 77 patients (1.3%), a disease control rate of 22%, and progression-free and overall survival times of 1.3 and 3.7 mo, respectively. Interestingly, recent evidence suggests that pancreatic cancer, despite VEGF/VEGFR upregulation, is poorly vascularized relative to other tumors</w:t>
      </w:r>
      <w:r w:rsidRPr="0074751D">
        <w:rPr>
          <w:rFonts w:ascii="Book Antiqua" w:hAnsi="Book Antiqua"/>
          <w:sz w:val="24"/>
          <w:szCs w:val="24"/>
          <w:vertAlign w:val="superscript"/>
        </w:rPr>
        <w:t>[70]</w:t>
      </w:r>
      <w:r w:rsidRPr="0074751D">
        <w:rPr>
          <w:rFonts w:ascii="Book Antiqua" w:hAnsi="Book Antiqua"/>
          <w:sz w:val="24"/>
          <w:szCs w:val="24"/>
        </w:rPr>
        <w:t>. These data may help explain the minimal efficacy of anti-angiogenic therapy in pancreatic cancer.</w:t>
      </w:r>
    </w:p>
    <w:p w:rsidR="002E23EC" w:rsidRPr="0074751D" w:rsidRDefault="002E23EC" w:rsidP="00133DC6">
      <w:pPr>
        <w:tabs>
          <w:tab w:val="left" w:pos="1135"/>
        </w:tabs>
        <w:spacing w:after="0" w:line="360" w:lineRule="auto"/>
        <w:ind w:firstLineChars="100" w:firstLine="240"/>
        <w:jc w:val="both"/>
        <w:rPr>
          <w:rFonts w:ascii="Book Antiqua" w:hAnsi="Book Antiqua"/>
          <w:sz w:val="24"/>
          <w:szCs w:val="24"/>
          <w:highlight w:val="yellow"/>
        </w:rPr>
      </w:pPr>
      <w:r w:rsidRPr="0074751D">
        <w:rPr>
          <w:rFonts w:ascii="Book Antiqua" w:hAnsi="Book Antiqua"/>
          <w:sz w:val="24"/>
          <w:szCs w:val="24"/>
        </w:rPr>
        <w:lastRenderedPageBreak/>
        <w:t>Several other potential oncogenic pathways have been targeted in the second-line setting. Cyclooxygenase-2 (COX-2) is upregulated in pancreatic cancer</w:t>
      </w:r>
      <w:r w:rsidRPr="0074751D">
        <w:rPr>
          <w:rFonts w:ascii="Book Antiqua" w:hAnsi="Book Antiqua"/>
          <w:sz w:val="24"/>
          <w:szCs w:val="24"/>
          <w:vertAlign w:val="superscript"/>
        </w:rPr>
        <w:t>[71]</w:t>
      </w:r>
      <w:r w:rsidRPr="0074751D">
        <w:rPr>
          <w:rFonts w:ascii="Book Antiqua" w:hAnsi="Book Antiqua"/>
          <w:sz w:val="24"/>
          <w:szCs w:val="24"/>
        </w:rPr>
        <w:t>, and its product prostaglandin-E can transactivate EGFR and promote tumor survival</w:t>
      </w:r>
      <w:r w:rsidRPr="0074751D">
        <w:rPr>
          <w:rFonts w:ascii="Book Antiqua" w:hAnsi="Book Antiqua"/>
          <w:sz w:val="24"/>
          <w:szCs w:val="24"/>
          <w:vertAlign w:val="superscript"/>
        </w:rPr>
        <w:t>[72]</w:t>
      </w:r>
      <w:r w:rsidRPr="0074751D">
        <w:rPr>
          <w:rFonts w:ascii="Book Antiqua" w:hAnsi="Book Antiqua"/>
          <w:sz w:val="24"/>
          <w:szCs w:val="24"/>
        </w:rPr>
        <w:t>. Celecoxib, a selective COX-2 inhibitor, has been tested in combination with fluoropyrimidines (5-FU or capecitabine) in second-line regimens and found to produce response rates of 9%-12% with very mild side effect profiles</w:t>
      </w:r>
      <w:r w:rsidRPr="0074751D">
        <w:rPr>
          <w:rFonts w:ascii="Book Antiqua" w:hAnsi="Book Antiqua"/>
          <w:sz w:val="24"/>
          <w:szCs w:val="24"/>
          <w:vertAlign w:val="superscript"/>
        </w:rPr>
        <w:t>[73,74]</w:t>
      </w:r>
      <w:r w:rsidRPr="0074751D">
        <w:rPr>
          <w:rFonts w:ascii="Book Antiqua" w:hAnsi="Book Antiqua"/>
          <w:sz w:val="24"/>
          <w:szCs w:val="24"/>
        </w:rPr>
        <w:t xml:space="preserve">. Ruxolitinib, an oral inhibitor of Janus kinase (JAK) signaling that is approved for use in myelofibrosis, has been evaluated as second-line therapy in combination with capecitabine in a randomized phase II trial in patients with refractory pancreatic cancer (NCT01423604); this study has completed accrual as of mid-2013 and results are currently being awaited </w:t>
      </w:r>
      <w:r w:rsidRPr="00FF197D">
        <w:rPr>
          <w:rFonts w:ascii="Book Antiqua" w:hAnsi="Book Antiqua"/>
          <w:sz w:val="24"/>
          <w:szCs w:val="24"/>
        </w:rPr>
        <w:t>(Table 5). Data from other studies of targeted therapies are shown in Table 4.</w:t>
      </w:r>
    </w:p>
    <w:p w:rsidR="002E23EC" w:rsidRPr="0074751D" w:rsidRDefault="002E23EC" w:rsidP="0074751D">
      <w:pPr>
        <w:tabs>
          <w:tab w:val="left" w:pos="1135"/>
        </w:tabs>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t>DISCUSSION</w:t>
      </w:r>
    </w:p>
    <w:p w:rsidR="002E23EC" w:rsidRPr="0074751D" w:rsidRDefault="002E23EC" w:rsidP="0074751D">
      <w:pPr>
        <w:tabs>
          <w:tab w:val="left" w:pos="270"/>
        </w:tabs>
        <w:spacing w:after="0" w:line="360" w:lineRule="auto"/>
        <w:jc w:val="both"/>
        <w:rPr>
          <w:rFonts w:ascii="Book Antiqua" w:hAnsi="Book Antiqua" w:cs="Arial"/>
          <w:sz w:val="24"/>
          <w:szCs w:val="24"/>
          <w:lang w:eastAsia="zh-CN"/>
        </w:rPr>
      </w:pPr>
      <w:r w:rsidRPr="0074751D">
        <w:rPr>
          <w:rFonts w:ascii="Book Antiqua" w:hAnsi="Book Antiqua"/>
          <w:sz w:val="24"/>
          <w:szCs w:val="24"/>
        </w:rPr>
        <w:t xml:space="preserve">There is presently no universally accepted standard of care for patients with advanced pancreatic cancer who have progressed on front-line therapy. As described above, with a few notable exceptions, the vast majority of studies conducted in this setting have been single-arm, single-institution trials with relatively modest sample sizes. </w:t>
      </w:r>
      <w:r w:rsidRPr="0074751D">
        <w:rPr>
          <w:rFonts w:ascii="Book Antiqua" w:hAnsi="Book Antiqua" w:cs="Arial"/>
          <w:sz w:val="24"/>
          <w:szCs w:val="24"/>
        </w:rPr>
        <w:t>Such non-randomized trials</w:t>
      </w:r>
      <w:r w:rsidRPr="0074751D">
        <w:rPr>
          <w:rFonts w:ascii="Book Antiqua" w:hAnsi="Book Antiqua"/>
          <w:sz w:val="24"/>
          <w:szCs w:val="24"/>
        </w:rPr>
        <w:t xml:space="preserve"> need to be carefully interpreted in light of their </w:t>
      </w:r>
      <w:r w:rsidRPr="0074751D">
        <w:rPr>
          <w:rFonts w:ascii="Book Antiqua" w:hAnsi="Book Antiqua" w:cs="Arial"/>
          <w:sz w:val="24"/>
          <w:szCs w:val="24"/>
        </w:rPr>
        <w:t>inherent selection bias; certainly, those patients who are well enough to consider salvage treatment may already have more favorable tumor biology that influences patient outcomes, including survival rates, independent of the specific choice of therapy.</w:t>
      </w:r>
    </w:p>
    <w:p w:rsidR="002E23EC" w:rsidRPr="0074751D" w:rsidRDefault="002E23EC" w:rsidP="009F255B">
      <w:pPr>
        <w:tabs>
          <w:tab w:val="left" w:pos="270"/>
        </w:tabs>
        <w:spacing w:after="0" w:line="360" w:lineRule="auto"/>
        <w:ind w:firstLineChars="100" w:firstLine="240"/>
        <w:jc w:val="both"/>
        <w:rPr>
          <w:rFonts w:ascii="Book Antiqua" w:hAnsi="Book Antiqua" w:cs="Arial"/>
          <w:sz w:val="24"/>
          <w:szCs w:val="24"/>
          <w:lang w:eastAsia="zh-CN"/>
        </w:rPr>
      </w:pPr>
      <w:r w:rsidRPr="009F255B">
        <w:rPr>
          <w:rFonts w:ascii="Book Antiqua" w:hAnsi="Book Antiqua"/>
          <w:sz w:val="24"/>
          <w:szCs w:val="24"/>
        </w:rPr>
        <w:t xml:space="preserve">This argument certainly lends itself in support </w:t>
      </w:r>
      <w:r w:rsidRPr="009F255B">
        <w:rPr>
          <w:rFonts w:ascii="Book Antiqua" w:hAnsi="Book Antiqua" w:cs="Arial"/>
          <w:sz w:val="24"/>
          <w:szCs w:val="24"/>
        </w:rPr>
        <w:t>of randomized phase II/III trials; studies that fit this category and remain open or are still actively recruiting (as of December 2013) are presented in Table 5. However, it should be recognized that the design and performance of randomized studie</w:t>
      </w:r>
      <w:r w:rsidRPr="0074751D">
        <w:rPr>
          <w:rFonts w:ascii="Book Antiqua" w:hAnsi="Book Antiqua" w:cs="Arial"/>
          <w:sz w:val="24"/>
          <w:szCs w:val="24"/>
        </w:rPr>
        <w:t xml:space="preserve">s in this setting is particularly challenging. As the CONKO investigators observed, a control arm of best supportive care alone, while perhaps appropriate in many cases, is not a particularly attractive option to patients and may hinder study enrollment. But deciding on what the appropriate reference standard should be in a randomized study design, absent </w:t>
      </w:r>
      <w:r w:rsidRPr="0074751D">
        <w:rPr>
          <w:rFonts w:ascii="Book Antiqua" w:hAnsi="Book Antiqua" w:cs="Arial"/>
          <w:sz w:val="24"/>
          <w:szCs w:val="24"/>
        </w:rPr>
        <w:lastRenderedPageBreak/>
        <w:t>compelling evidence to support one regimen over another, is not a straightforward issue. For example, can a fluoropyrimidine alone (capecitabine, S-1, or 5-FU) be considered adequate as a control arm? Some might argue that there are adequate data indicating that a (fluoropyrimidine plus oxaliplatin) combination is clearly superior, and thus represents a more appropriate (and ethical) comparator for a randomized trial. But for a novel agent being evaluated in this setting, does comparing it alone to a reference standard of, for example, FOLFOX, provide adequate study equipo</w:t>
      </w:r>
      <w:r>
        <w:rPr>
          <w:rFonts w:ascii="Book Antiqua" w:hAnsi="Book Antiqua" w:cs="Arial"/>
          <w:sz w:val="24"/>
          <w:szCs w:val="24"/>
        </w:rPr>
        <w:t>ise?</w:t>
      </w:r>
    </w:p>
    <w:p w:rsidR="002E23EC" w:rsidRPr="0074751D" w:rsidRDefault="002E23EC" w:rsidP="009F255B">
      <w:pPr>
        <w:spacing w:after="0" w:line="360" w:lineRule="auto"/>
        <w:ind w:firstLineChars="100" w:firstLine="240"/>
        <w:jc w:val="both"/>
        <w:rPr>
          <w:rFonts w:ascii="Book Antiqua" w:hAnsi="Book Antiqua" w:cs="Arial"/>
          <w:sz w:val="24"/>
          <w:szCs w:val="24"/>
        </w:rPr>
      </w:pPr>
      <w:r w:rsidRPr="0074751D">
        <w:rPr>
          <w:rFonts w:ascii="Book Antiqua" w:hAnsi="Book Antiqua"/>
          <w:sz w:val="24"/>
          <w:szCs w:val="24"/>
        </w:rPr>
        <w:t xml:space="preserve">It should also be noted that almost all of the studies detailed above were conducted in the pre-FOLFIRINOX era; as such, they primarily included patients who received a gemcitabine-based regimen as front-line therapy. It would seem logical that for a patient in the present time who receives FOLFIRINOX as first-line therapy, </w:t>
      </w:r>
      <w:r w:rsidRPr="0074751D">
        <w:rPr>
          <w:rFonts w:ascii="Book Antiqua" w:hAnsi="Book Antiqua" w:cs="Arial"/>
          <w:bCs/>
          <w:iCs/>
          <w:sz w:val="24"/>
          <w:szCs w:val="24"/>
        </w:rPr>
        <w:t>the next step would be to try a gemcitabine-based regimen (monotherapy, gemcitabine/</w:t>
      </w:r>
      <w:r w:rsidRPr="007670E3">
        <w:rPr>
          <w:rFonts w:ascii="Book Antiqua" w:hAnsi="Book Antiqua" w:cs="Arial"/>
          <w:bCs/>
          <w:iCs/>
          <w:sz w:val="24"/>
          <w:szCs w:val="24"/>
        </w:rPr>
        <w:t>nab</w:t>
      </w:r>
      <w:r w:rsidRPr="0074751D">
        <w:rPr>
          <w:rFonts w:ascii="Book Antiqua" w:hAnsi="Book Antiqua" w:cs="Arial"/>
          <w:bCs/>
          <w:iCs/>
          <w:sz w:val="24"/>
          <w:szCs w:val="24"/>
        </w:rPr>
        <w:t>-paclitaxel, or perhaps another gemcitabine-based combination). However, prospective randomized studies are still required to support this recommendation.</w:t>
      </w:r>
      <w:r w:rsidRPr="0074751D">
        <w:rPr>
          <w:rFonts w:ascii="Book Antiqua" w:hAnsi="Book Antiqua" w:cs="Arial"/>
          <w:sz w:val="24"/>
          <w:szCs w:val="24"/>
        </w:rPr>
        <w:t xml:space="preserve"> Moreover, such FOLFIRINOX-treated patients </w:t>
      </w:r>
      <w:r w:rsidRPr="0074751D">
        <w:rPr>
          <w:rFonts w:ascii="Book Antiqua" w:hAnsi="Book Antiqua"/>
          <w:sz w:val="24"/>
          <w:szCs w:val="24"/>
        </w:rPr>
        <w:t>would obviously</w:t>
      </w:r>
      <w:r w:rsidRPr="009F255B">
        <w:rPr>
          <w:rFonts w:ascii="Book Antiqua" w:hAnsi="Book Antiqua"/>
          <w:sz w:val="24"/>
          <w:szCs w:val="24"/>
        </w:rPr>
        <w:t xml:space="preserve"> not </w:t>
      </w:r>
      <w:r w:rsidRPr="0074751D">
        <w:rPr>
          <w:rFonts w:ascii="Book Antiqua" w:hAnsi="Book Antiqua"/>
          <w:sz w:val="24"/>
          <w:szCs w:val="24"/>
        </w:rPr>
        <w:t>be appropriate for enrollment onto a study in which (s)he might be randomized to receive any of these same drugs, alone or in combination, as part of the control arm. Thus, looking ahead, one must consider the possibility that separate clinical trials should be developed in the second-line setting depending on patients’ first-line treatment exposure.</w:t>
      </w:r>
    </w:p>
    <w:p w:rsidR="002E23EC" w:rsidRPr="0074751D" w:rsidRDefault="002E23EC" w:rsidP="007670E3">
      <w:pPr>
        <w:tabs>
          <w:tab w:val="left" w:pos="270"/>
        </w:tabs>
        <w:spacing w:after="0" w:line="360" w:lineRule="auto"/>
        <w:ind w:firstLineChars="100" w:firstLine="240"/>
        <w:jc w:val="both"/>
        <w:rPr>
          <w:rFonts w:ascii="Book Antiqua" w:hAnsi="Book Antiqua" w:cs="Arial"/>
          <w:sz w:val="24"/>
          <w:szCs w:val="24"/>
        </w:rPr>
      </w:pPr>
      <w:r w:rsidRPr="0074751D">
        <w:rPr>
          <w:rFonts w:ascii="Book Antiqua" w:hAnsi="Book Antiqua"/>
          <w:sz w:val="24"/>
          <w:szCs w:val="24"/>
        </w:rPr>
        <w:t>These conundrums highlight only some of the challenges in designing clinical trials in this refractory setting for pancreatic cancer.</w:t>
      </w:r>
      <w:r w:rsidRPr="0074751D">
        <w:rPr>
          <w:rFonts w:ascii="Book Antiqua" w:hAnsi="Book Antiqua" w:cs="Arial"/>
          <w:sz w:val="24"/>
          <w:szCs w:val="24"/>
        </w:rPr>
        <w:t xml:space="preserve"> The other major obstacle hindering progress is the lack of validated predictive biomarkers for this disease that could help inform treatment decisions, whether for conventional cytotoxics or for targeted agents. The track record for targeted agents in chemo-refractory pancreatic cancer is particularly dismal, bringing to light the fact that, in the future, we need to be superselective in identifying the patients most likely to benefit from a particular novel therapy, and to develop patient enrichment schemes in clinical trial design accordingly. However, obtaining adequate tumor tissue in this patient population for identifying and validating predictive molecular markers represents a substantial ongoing challenge.</w:t>
      </w:r>
    </w:p>
    <w:p w:rsidR="002E23EC" w:rsidRPr="002F6C74" w:rsidRDefault="002E23EC" w:rsidP="002F6C74">
      <w:pPr>
        <w:tabs>
          <w:tab w:val="left" w:pos="270"/>
        </w:tabs>
        <w:spacing w:after="0" w:line="360" w:lineRule="auto"/>
        <w:ind w:firstLineChars="100" w:firstLine="240"/>
        <w:jc w:val="both"/>
        <w:rPr>
          <w:rFonts w:ascii="Book Antiqua" w:hAnsi="Book Antiqua" w:cs="Arial"/>
          <w:sz w:val="24"/>
          <w:szCs w:val="24"/>
          <w:lang w:eastAsia="zh-CN"/>
        </w:rPr>
      </w:pPr>
      <w:r w:rsidRPr="002F6C74">
        <w:rPr>
          <w:rFonts w:ascii="Book Antiqua" w:hAnsi="Book Antiqua" w:cs="Arial"/>
          <w:sz w:val="24"/>
          <w:szCs w:val="24"/>
        </w:rPr>
        <w:lastRenderedPageBreak/>
        <w:t xml:space="preserve">We also propose that certain uniform study benchmarks be established to define “success” for a particular regimen and justify moving on to a larger phase III study. A recent systematic review of 34 studies found a median survival for any second line regimen of 6 mo, compared to 2.8 mo for </w:t>
      </w:r>
      <w:r>
        <w:rPr>
          <w:rFonts w:ascii="Book Antiqua" w:hAnsi="Book Antiqua" w:cs="Arial"/>
          <w:sz w:val="24"/>
          <w:szCs w:val="24"/>
        </w:rPr>
        <w:t>best supportive care alone</w:t>
      </w:r>
      <w:r w:rsidRPr="002F6C74">
        <w:rPr>
          <w:rFonts w:ascii="Book Antiqua" w:hAnsi="Book Antiqua" w:cs="Arial"/>
          <w:sz w:val="24"/>
          <w:szCs w:val="24"/>
          <w:vertAlign w:val="superscript"/>
        </w:rPr>
        <w:t>[75]</w:t>
      </w:r>
      <w:r>
        <w:rPr>
          <w:rFonts w:ascii="Book Antiqua" w:hAnsi="Book Antiqua" w:cs="Arial"/>
          <w:sz w:val="24"/>
          <w:szCs w:val="24"/>
          <w:lang w:eastAsia="zh-CN"/>
        </w:rPr>
        <w:t>.</w:t>
      </w:r>
      <w:r w:rsidRPr="002F6C74">
        <w:rPr>
          <w:rFonts w:ascii="Book Antiqua" w:hAnsi="Book Antiqua" w:cs="Arial"/>
          <w:sz w:val="24"/>
          <w:szCs w:val="24"/>
        </w:rPr>
        <w:t xml:space="preserve"> With this in mind, thresholds of at least 6 mo for median OS, at a bare minimum,  and 4 mo for median PFS, represent reasonable starting points that could be considered clinically meaningful and reflect treatment efficacy that matches or is superior to most historic data reported to date.</w:t>
      </w:r>
    </w:p>
    <w:p w:rsidR="002E23EC" w:rsidRPr="0074751D" w:rsidRDefault="002E23EC" w:rsidP="002F6C74">
      <w:pPr>
        <w:tabs>
          <w:tab w:val="left" w:pos="270"/>
        </w:tabs>
        <w:spacing w:after="0" w:line="360" w:lineRule="auto"/>
        <w:ind w:firstLineChars="100" w:firstLine="240"/>
        <w:jc w:val="both"/>
        <w:rPr>
          <w:rFonts w:ascii="Book Antiqua" w:hAnsi="Book Antiqua" w:cs="Arial"/>
          <w:sz w:val="24"/>
          <w:szCs w:val="24"/>
          <w:lang w:eastAsia="zh-CN"/>
        </w:rPr>
      </w:pPr>
      <w:r w:rsidRPr="002F6C74">
        <w:rPr>
          <w:rFonts w:ascii="Book Antiqua" w:hAnsi="Book Antiqua" w:cs="Arial"/>
          <w:sz w:val="24"/>
          <w:szCs w:val="24"/>
        </w:rPr>
        <w:t>Additionally, cost-effectiveness analysis represents an important element to consider embedding within trial design, especially in larger studies, to help inform broader health care decisions in this clinical context in which the magnitude of survival benefit of any novel agent or regimen is likely to be measurable in extra months, if not only weeks. Finally, and perhaps even more importantly, we recommend that every effort should be made to incorporate quality of life (QoL) endpoints/patient-reported outcomes into study design, as these measures are of paramount importance for patients in this late-stage setting.</w:t>
      </w:r>
    </w:p>
    <w:p w:rsidR="002E23EC" w:rsidRDefault="002E23EC" w:rsidP="0074751D">
      <w:pPr>
        <w:spacing w:after="0" w:line="360" w:lineRule="auto"/>
        <w:jc w:val="both"/>
        <w:rPr>
          <w:rFonts w:ascii="Book Antiqua" w:hAnsi="Book Antiqua"/>
          <w:b/>
          <w:sz w:val="24"/>
          <w:szCs w:val="24"/>
          <w:lang w:eastAsia="zh-CN"/>
        </w:rPr>
      </w:pPr>
    </w:p>
    <w:p w:rsidR="002E23EC" w:rsidRDefault="002E23EC" w:rsidP="0074751D">
      <w:pPr>
        <w:spacing w:after="0" w:line="360" w:lineRule="auto"/>
        <w:jc w:val="both"/>
        <w:rPr>
          <w:rFonts w:ascii="Book Antiqua" w:hAnsi="Book Antiqua"/>
          <w:b/>
          <w:sz w:val="24"/>
          <w:szCs w:val="24"/>
          <w:lang w:eastAsia="zh-CN"/>
        </w:rPr>
      </w:pPr>
      <w:r w:rsidRPr="001C12D3">
        <w:rPr>
          <w:rFonts w:ascii="Book Antiqua" w:hAnsi="Book Antiqua"/>
          <w:b/>
          <w:sz w:val="24"/>
          <w:szCs w:val="24"/>
          <w:lang w:eastAsia="zh-CN"/>
        </w:rPr>
        <w:t>REFERENCES</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 </w:t>
      </w:r>
      <w:r w:rsidRPr="001C12D3">
        <w:rPr>
          <w:rFonts w:ascii="Book Antiqua" w:hAnsi="Book Antiqua" w:cs="宋体"/>
          <w:b/>
          <w:bCs/>
          <w:sz w:val="24"/>
          <w:szCs w:val="24"/>
          <w:lang w:eastAsia="zh-CN"/>
        </w:rPr>
        <w:t>Hidalgo M</w:t>
      </w:r>
      <w:r w:rsidRPr="001C12D3">
        <w:rPr>
          <w:rFonts w:ascii="Book Antiqua" w:hAnsi="Book Antiqua" w:cs="宋体"/>
          <w:sz w:val="24"/>
          <w:szCs w:val="24"/>
          <w:lang w:eastAsia="zh-CN"/>
        </w:rPr>
        <w:t xml:space="preserve">. Pancreatic cancer. </w:t>
      </w:r>
      <w:r w:rsidRPr="001C12D3">
        <w:rPr>
          <w:rFonts w:ascii="Book Antiqua" w:hAnsi="Book Antiqua" w:cs="宋体"/>
          <w:i/>
          <w:iCs/>
          <w:sz w:val="24"/>
          <w:szCs w:val="24"/>
          <w:lang w:eastAsia="zh-CN"/>
        </w:rPr>
        <w:t>N Engl J Med</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362</w:t>
      </w:r>
      <w:r w:rsidRPr="001C12D3">
        <w:rPr>
          <w:rFonts w:ascii="Book Antiqua" w:hAnsi="Book Antiqua" w:cs="宋体"/>
          <w:sz w:val="24"/>
          <w:szCs w:val="24"/>
          <w:lang w:eastAsia="zh-CN"/>
        </w:rPr>
        <w:t>: 1605-1617 [PMID: 20427809 DOI: 10.1056/NEJMra0901557]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 </w:t>
      </w:r>
      <w:r w:rsidRPr="001C12D3">
        <w:rPr>
          <w:rFonts w:ascii="Book Antiqua" w:hAnsi="Book Antiqua" w:cs="宋体"/>
          <w:b/>
          <w:sz w:val="24"/>
          <w:szCs w:val="24"/>
          <w:lang w:eastAsia="zh-CN"/>
        </w:rPr>
        <w:t>Schrag D</w:t>
      </w:r>
      <w:r w:rsidRPr="001C12D3">
        <w:rPr>
          <w:rFonts w:ascii="Book Antiqua" w:hAnsi="Book Antiqua" w:cs="宋体"/>
          <w:sz w:val="24"/>
          <w:szCs w:val="24"/>
          <w:lang w:eastAsia="zh-CN"/>
        </w:rPr>
        <w:t>, Archer L, Wang X, Romanus D, Mulcahy M, Goldberg R, Kindler H. A patterns-of-care study of post-progression treatment (Rx) among patients (pts) with advanced pancreas cancer (APC) after gemcitabine therapy on Cancer and Leukemia Group B (CALGB) study #80303.</w:t>
      </w:r>
      <w:r w:rsidRPr="001C12D3">
        <w:rPr>
          <w:rFonts w:ascii="Book Antiqua" w:hAnsi="Book Antiqua" w:cs="宋体"/>
          <w:i/>
          <w:sz w:val="24"/>
          <w:szCs w:val="24"/>
          <w:lang w:eastAsia="zh-CN"/>
        </w:rPr>
        <w:t xml:space="preserve"> J Clin Oncol</w:t>
      </w:r>
      <w:r w:rsidRPr="001C12D3">
        <w:rPr>
          <w:rFonts w:ascii="Book Antiqua" w:hAnsi="Book Antiqua" w:cs="宋体"/>
          <w:sz w:val="24"/>
          <w:szCs w:val="24"/>
          <w:lang w:eastAsia="zh-CN"/>
        </w:rPr>
        <w:t xml:space="preserve"> 2007; </w:t>
      </w:r>
      <w:r w:rsidRPr="001C12D3">
        <w:rPr>
          <w:rFonts w:ascii="Book Antiqua" w:hAnsi="Book Antiqua" w:cs="宋体"/>
          <w:b/>
          <w:sz w:val="24"/>
          <w:szCs w:val="24"/>
          <w:lang w:eastAsia="zh-CN"/>
        </w:rPr>
        <w:t>25</w:t>
      </w:r>
      <w:r w:rsidRPr="001C12D3">
        <w:rPr>
          <w:rFonts w:ascii="Book Antiqua" w:hAnsi="Book Antiqua" w:cs="宋体"/>
          <w:sz w:val="24"/>
          <w:szCs w:val="24"/>
          <w:lang w:eastAsia="zh-CN"/>
        </w:rPr>
        <w:t xml:space="preserve"> Suppl 18: abstract 4524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 </w:t>
      </w:r>
      <w:r w:rsidRPr="001C12D3">
        <w:rPr>
          <w:rFonts w:ascii="Book Antiqua" w:hAnsi="Book Antiqua" w:cs="宋体"/>
          <w:b/>
          <w:bCs/>
          <w:sz w:val="24"/>
          <w:szCs w:val="24"/>
          <w:lang w:eastAsia="zh-CN"/>
        </w:rPr>
        <w:t>Burris HA</w:t>
      </w:r>
      <w:r w:rsidRPr="001C12D3">
        <w:rPr>
          <w:rFonts w:ascii="Book Antiqua" w:hAnsi="Book Antiqua" w:cs="宋体"/>
          <w:sz w:val="24"/>
          <w:szCs w:val="24"/>
          <w:lang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1997; </w:t>
      </w:r>
      <w:r w:rsidRPr="001C12D3">
        <w:rPr>
          <w:rFonts w:ascii="Book Antiqua" w:hAnsi="Book Antiqua" w:cs="宋体"/>
          <w:b/>
          <w:bCs/>
          <w:sz w:val="24"/>
          <w:szCs w:val="24"/>
          <w:lang w:eastAsia="zh-CN"/>
        </w:rPr>
        <w:t>15</w:t>
      </w:r>
      <w:r w:rsidRPr="001C12D3">
        <w:rPr>
          <w:rFonts w:ascii="Book Antiqua" w:hAnsi="Book Antiqua" w:cs="宋体"/>
          <w:sz w:val="24"/>
          <w:szCs w:val="24"/>
          <w:lang w:eastAsia="zh-CN"/>
        </w:rPr>
        <w:t>: 2403-2413 [PMID: 9196156]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4 </w:t>
      </w:r>
      <w:r w:rsidRPr="001C12D3">
        <w:rPr>
          <w:rFonts w:ascii="Book Antiqua" w:hAnsi="Book Antiqua" w:cs="宋体"/>
          <w:b/>
          <w:bCs/>
          <w:sz w:val="24"/>
          <w:szCs w:val="24"/>
          <w:lang w:eastAsia="zh-CN"/>
        </w:rPr>
        <w:t>Kozuch P</w:t>
      </w:r>
      <w:r w:rsidRPr="001C12D3">
        <w:rPr>
          <w:rFonts w:ascii="Book Antiqua" w:hAnsi="Book Antiqua" w:cs="宋体"/>
          <w:sz w:val="24"/>
          <w:szCs w:val="24"/>
          <w:lang w:eastAsia="zh-CN"/>
        </w:rPr>
        <w:t xml:space="preserve">, Grossbard ML, Barzdins A, Araneo M, Robin A, Frager D, Homel P, Marino J, DeGregorio P, Bruckner HW. Irinotecan combined with gemcitabine, 5-fluorouracil, leucovorin, and cisplatin (G-FLIP) is an effective and noncrossresistant treatment for chemotherapy refractory metastatic pancreatic cancer. </w:t>
      </w:r>
      <w:r w:rsidRPr="001C12D3">
        <w:rPr>
          <w:rFonts w:ascii="Book Antiqua" w:hAnsi="Book Antiqua" w:cs="宋体"/>
          <w:i/>
          <w:iCs/>
          <w:sz w:val="24"/>
          <w:szCs w:val="24"/>
          <w:lang w:eastAsia="zh-CN"/>
        </w:rPr>
        <w:t>Oncologist</w:t>
      </w:r>
      <w:r w:rsidRPr="001C12D3">
        <w:rPr>
          <w:rFonts w:ascii="Book Antiqua" w:hAnsi="Book Antiqua" w:cs="宋体"/>
          <w:sz w:val="24"/>
          <w:szCs w:val="24"/>
          <w:lang w:eastAsia="zh-CN"/>
        </w:rPr>
        <w:t xml:space="preserve"> 2001; </w:t>
      </w:r>
      <w:r w:rsidRPr="001C12D3">
        <w:rPr>
          <w:rFonts w:ascii="Book Antiqua" w:hAnsi="Book Antiqua" w:cs="宋体"/>
          <w:b/>
          <w:bCs/>
          <w:sz w:val="24"/>
          <w:szCs w:val="24"/>
          <w:lang w:eastAsia="zh-CN"/>
        </w:rPr>
        <w:t>6</w:t>
      </w:r>
      <w:r w:rsidRPr="001C12D3">
        <w:rPr>
          <w:rFonts w:ascii="Book Antiqua" w:hAnsi="Book Antiqua" w:cs="宋体"/>
          <w:sz w:val="24"/>
          <w:szCs w:val="24"/>
          <w:lang w:eastAsia="zh-CN"/>
        </w:rPr>
        <w:t>: 488-495 [PMID: 11743211 DOI: 10.1634/theoncologist.6-6-488]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 </w:t>
      </w:r>
      <w:r w:rsidRPr="001C12D3">
        <w:rPr>
          <w:rFonts w:ascii="Book Antiqua" w:hAnsi="Book Antiqua" w:cs="宋体"/>
          <w:b/>
          <w:bCs/>
          <w:sz w:val="24"/>
          <w:szCs w:val="24"/>
          <w:lang w:eastAsia="zh-CN"/>
        </w:rPr>
        <w:t>Reni M</w:t>
      </w:r>
      <w:r w:rsidRPr="001C12D3">
        <w:rPr>
          <w:rFonts w:ascii="Book Antiqua" w:hAnsi="Book Antiqua" w:cs="宋体"/>
          <w:sz w:val="24"/>
          <w:szCs w:val="24"/>
          <w:lang w:eastAsia="zh-CN"/>
        </w:rPr>
        <w:t xml:space="preserve">, Cordio S, Milandri C, Passoni P, Bonetto E, Oliani C, Luppi G, Nicoletti R, Galli L, Bordonaro R, Passardi A, Zerbi A, Balzano G, Aldrighetti L, Staudacher C, Villa E, Di Carlo V. Gemcitabine versus cisplatin, epirubicin, fluorouracil, and gemcitabine in advanced pancreatic cancer: a randomised controlled multicentre phase III trial. </w:t>
      </w:r>
      <w:r w:rsidRPr="001C12D3">
        <w:rPr>
          <w:rFonts w:ascii="Book Antiqua" w:hAnsi="Book Antiqua" w:cs="宋体"/>
          <w:i/>
          <w:iCs/>
          <w:sz w:val="24"/>
          <w:szCs w:val="24"/>
          <w:lang w:eastAsia="zh-CN"/>
        </w:rPr>
        <w:t>Lancet Oncol</w:t>
      </w:r>
      <w:r w:rsidRPr="001C12D3">
        <w:rPr>
          <w:rFonts w:ascii="Book Antiqua" w:hAnsi="Book Antiqua" w:cs="宋体"/>
          <w:sz w:val="24"/>
          <w:szCs w:val="24"/>
          <w:lang w:eastAsia="zh-CN"/>
        </w:rPr>
        <w:t xml:space="preserve"> 2005; </w:t>
      </w:r>
      <w:r w:rsidRPr="001C12D3">
        <w:rPr>
          <w:rFonts w:ascii="Book Antiqua" w:hAnsi="Book Antiqua" w:cs="宋体"/>
          <w:b/>
          <w:bCs/>
          <w:sz w:val="24"/>
          <w:szCs w:val="24"/>
          <w:lang w:eastAsia="zh-CN"/>
        </w:rPr>
        <w:t>6</w:t>
      </w:r>
      <w:r w:rsidRPr="001C12D3">
        <w:rPr>
          <w:rFonts w:ascii="Book Antiqua" w:hAnsi="Book Antiqua" w:cs="宋体"/>
          <w:sz w:val="24"/>
          <w:szCs w:val="24"/>
          <w:lang w:eastAsia="zh-CN"/>
        </w:rPr>
        <w:t>: 369-376 [PMID: 15925814 DOI: 10.1016/S1470-2045(05)70175-3]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 </w:t>
      </w:r>
      <w:r w:rsidRPr="001C12D3">
        <w:rPr>
          <w:rFonts w:ascii="Book Antiqua" w:hAnsi="Book Antiqua" w:cs="宋体"/>
          <w:b/>
          <w:bCs/>
          <w:sz w:val="24"/>
          <w:szCs w:val="24"/>
          <w:lang w:eastAsia="zh-CN"/>
        </w:rPr>
        <w:t>Reni M</w:t>
      </w:r>
      <w:r w:rsidRPr="001C12D3">
        <w:rPr>
          <w:rFonts w:ascii="Book Antiqua" w:hAnsi="Book Antiqua" w:cs="宋体"/>
          <w:sz w:val="24"/>
          <w:szCs w:val="24"/>
          <w:lang w:eastAsia="zh-CN"/>
        </w:rPr>
        <w:t xml:space="preserve">, Cereda S, Mazza E, Passoni P, Nicoletti R, Balzano G, Zerbi A, Arcidiacono PG, Staudacher C, Di Carlo V. PEFG (cisplatin, epirubicin, 5-fluorouracil, gemcitabine) regimen as second-line therapy in patients with progressive or recurrent pancreatic cancer after gemcitabine-containing chemotherapy.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2008; </w:t>
      </w:r>
      <w:r w:rsidRPr="001C12D3">
        <w:rPr>
          <w:rFonts w:ascii="Book Antiqua" w:hAnsi="Book Antiqua" w:cs="宋体"/>
          <w:b/>
          <w:bCs/>
          <w:sz w:val="24"/>
          <w:szCs w:val="24"/>
          <w:lang w:eastAsia="zh-CN"/>
        </w:rPr>
        <w:t>31</w:t>
      </w:r>
      <w:r w:rsidRPr="001C12D3">
        <w:rPr>
          <w:rFonts w:ascii="Book Antiqua" w:hAnsi="Book Antiqua" w:cs="宋体"/>
          <w:sz w:val="24"/>
          <w:szCs w:val="24"/>
          <w:lang w:eastAsia="zh-CN"/>
        </w:rPr>
        <w:t>: 145-150 [PMID: 18391598 DOI: 10.1097/COC.0b013e31814688f7]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 </w:t>
      </w:r>
      <w:r w:rsidRPr="0074751D">
        <w:rPr>
          <w:rFonts w:ascii="Book Antiqua" w:hAnsi="Book Antiqua"/>
          <w:b/>
          <w:bCs/>
          <w:sz w:val="24"/>
          <w:szCs w:val="24"/>
        </w:rPr>
        <w:t>Colucci G</w:t>
      </w:r>
      <w:r w:rsidRPr="0074751D">
        <w:rPr>
          <w:rFonts w:ascii="Book Antiqua" w:hAnsi="Book Antiqua"/>
          <w:sz w:val="24"/>
          <w:szCs w:val="24"/>
        </w:rPr>
        <w:t xml:space="preserve">, Giuliani F, Gebbia V, Biglietto M, Rabitti P, Uomo G, Cigolari S, Testa A, Maiello E, Lopez M. Gemcitabine alone or with cisplatin for the treatment of patients with locally advanced and/or metastatic pancreatic carcinoma: a prospective, randomized phase III study of the Gruppo Oncologia dell’Italia Meridionale. </w:t>
      </w:r>
      <w:r w:rsidRPr="0074751D">
        <w:rPr>
          <w:rFonts w:ascii="Book Antiqua" w:hAnsi="Book Antiqua"/>
          <w:i/>
          <w:iCs/>
          <w:sz w:val="24"/>
          <w:szCs w:val="24"/>
        </w:rPr>
        <w:t xml:space="preserve">Cancer </w:t>
      </w:r>
      <w:r w:rsidRPr="0074751D">
        <w:rPr>
          <w:rFonts w:ascii="Book Antiqua" w:hAnsi="Book Antiqua"/>
          <w:sz w:val="24"/>
          <w:szCs w:val="24"/>
        </w:rPr>
        <w:t>2002</w:t>
      </w:r>
      <w:r w:rsidRPr="0074751D">
        <w:rPr>
          <w:rFonts w:ascii="Book Antiqua" w:hAnsi="Book Antiqua"/>
          <w:i/>
          <w:iCs/>
          <w:sz w:val="24"/>
          <w:szCs w:val="24"/>
        </w:rPr>
        <w:t>;</w:t>
      </w:r>
      <w:r w:rsidRPr="0074751D">
        <w:rPr>
          <w:rFonts w:ascii="Book Antiqua" w:hAnsi="Book Antiqua"/>
          <w:sz w:val="24"/>
          <w:szCs w:val="24"/>
        </w:rPr>
        <w:t xml:space="preserve"> </w:t>
      </w:r>
      <w:r w:rsidRPr="0074751D">
        <w:rPr>
          <w:rFonts w:ascii="Book Antiqua" w:hAnsi="Book Antiqua"/>
          <w:b/>
          <w:bCs/>
          <w:sz w:val="24"/>
          <w:szCs w:val="24"/>
        </w:rPr>
        <w:t>94:</w:t>
      </w:r>
      <w:r w:rsidRPr="0074751D">
        <w:rPr>
          <w:rFonts w:ascii="Book Antiqua" w:hAnsi="Book Antiqua"/>
          <w:sz w:val="24"/>
          <w:szCs w:val="24"/>
        </w:rPr>
        <w:t xml:space="preserve"> 902–910 [</w:t>
      </w:r>
      <w:r w:rsidRPr="000901EA">
        <w:rPr>
          <w:rFonts w:ascii="Book Antiqua" w:hAnsi="Book Antiqua"/>
          <w:sz w:val="24"/>
          <w:szCs w:val="24"/>
        </w:rPr>
        <w:t>PMID: 11920457</w:t>
      </w:r>
      <w:r w:rsidRPr="0074751D">
        <w:rPr>
          <w:rFonts w:ascii="Book Antiqua" w:hAnsi="Book Antiqua"/>
          <w:sz w:val="24"/>
          <w:szCs w:val="24"/>
        </w:rPr>
        <w:t>]</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 </w:t>
      </w:r>
      <w:r w:rsidRPr="001C12D3">
        <w:rPr>
          <w:rFonts w:ascii="Book Antiqua" w:hAnsi="Book Antiqua" w:cs="宋体"/>
          <w:b/>
          <w:bCs/>
          <w:sz w:val="24"/>
          <w:szCs w:val="24"/>
          <w:lang w:eastAsia="zh-CN"/>
        </w:rPr>
        <w:t>Louvet C</w:t>
      </w:r>
      <w:r w:rsidRPr="001C12D3">
        <w:rPr>
          <w:rFonts w:ascii="Book Antiqua" w:hAnsi="Book Antiqua" w:cs="宋体"/>
          <w:sz w:val="24"/>
          <w:szCs w:val="24"/>
          <w:lang w:eastAsia="zh-CN"/>
        </w:rPr>
        <w:t xml:space="preserve">, Labianca R, Hammel P, Lledo G, Zampino MG, André T, Zaniboni A, Ducreux M, Aitini E, Taïeb J, Faroux R, Lepere C, de Gramont A. Gemcitabine in combination with oxaliplatin compared with gemcitabine alone in locally advanced or metastatic pancreatic cancer: results of a GERCOR and GISCAD phase III trial.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2005; </w:t>
      </w:r>
      <w:r w:rsidRPr="001C12D3">
        <w:rPr>
          <w:rFonts w:ascii="Book Antiqua" w:hAnsi="Book Antiqua" w:cs="宋体"/>
          <w:b/>
          <w:bCs/>
          <w:sz w:val="24"/>
          <w:szCs w:val="24"/>
          <w:lang w:eastAsia="zh-CN"/>
        </w:rPr>
        <w:t>23</w:t>
      </w:r>
      <w:r w:rsidRPr="001C12D3">
        <w:rPr>
          <w:rFonts w:ascii="Book Antiqua" w:hAnsi="Book Antiqua" w:cs="宋体"/>
          <w:sz w:val="24"/>
          <w:szCs w:val="24"/>
          <w:lang w:eastAsia="zh-CN"/>
        </w:rPr>
        <w:t>: 3509-3516 [PMID: 15908661 DOI: 10.1200/JCO.2005.06.023]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 </w:t>
      </w:r>
      <w:r w:rsidRPr="001C12D3">
        <w:rPr>
          <w:rFonts w:ascii="Book Antiqua" w:hAnsi="Book Antiqua" w:cs="宋体"/>
          <w:b/>
          <w:bCs/>
          <w:sz w:val="24"/>
          <w:szCs w:val="24"/>
          <w:lang w:eastAsia="zh-CN"/>
        </w:rPr>
        <w:t>Demols A</w:t>
      </w:r>
      <w:r w:rsidRPr="001C12D3">
        <w:rPr>
          <w:rFonts w:ascii="Book Antiqua" w:hAnsi="Book Antiqua" w:cs="宋体"/>
          <w:sz w:val="24"/>
          <w:szCs w:val="24"/>
          <w:lang w:eastAsia="zh-CN"/>
        </w:rPr>
        <w:t xml:space="preserve">, Peeters M, Polus M, Marechal R, Gay F, Monsaert E, Hendlisz A, Van Laethem JL. Gemcitabine and oxaliplatin (GEMOX) in gemcitabine refractory advanced pancreatic adenocarcinoma: a phase II study.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2006; </w:t>
      </w:r>
      <w:r w:rsidRPr="001C12D3">
        <w:rPr>
          <w:rFonts w:ascii="Book Antiqua" w:hAnsi="Book Antiqua" w:cs="宋体"/>
          <w:b/>
          <w:bCs/>
          <w:sz w:val="24"/>
          <w:szCs w:val="24"/>
          <w:lang w:eastAsia="zh-CN"/>
        </w:rPr>
        <w:t>94</w:t>
      </w:r>
      <w:r w:rsidRPr="001C12D3">
        <w:rPr>
          <w:rFonts w:ascii="Book Antiqua" w:hAnsi="Book Antiqua" w:cs="宋体"/>
          <w:sz w:val="24"/>
          <w:szCs w:val="24"/>
          <w:lang w:eastAsia="zh-CN"/>
        </w:rPr>
        <w:t>: 481-485 [PMID: 16434988 DOI: 10.1038/sj.bjc.6602966]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10 </w:t>
      </w:r>
      <w:r w:rsidRPr="001C12D3">
        <w:rPr>
          <w:rFonts w:ascii="Book Antiqua" w:hAnsi="Book Antiqua" w:cs="宋体"/>
          <w:b/>
          <w:bCs/>
          <w:sz w:val="24"/>
          <w:szCs w:val="24"/>
          <w:lang w:eastAsia="zh-CN"/>
        </w:rPr>
        <w:t>Wust P</w:t>
      </w:r>
      <w:r w:rsidRPr="001C12D3">
        <w:rPr>
          <w:rFonts w:ascii="Book Antiqua" w:hAnsi="Book Antiqua" w:cs="宋体"/>
          <w:sz w:val="24"/>
          <w:szCs w:val="24"/>
          <w:lang w:eastAsia="zh-CN"/>
        </w:rPr>
        <w:t xml:space="preserve">, Hildebrandt B, Sreenivasa G, Rau B, Gellermann J, Riess H, Felix R, Schlag PM. Hyperthermia in combined treatment of cancer. </w:t>
      </w:r>
      <w:r w:rsidRPr="001C12D3">
        <w:rPr>
          <w:rFonts w:ascii="Book Antiqua" w:hAnsi="Book Antiqua" w:cs="宋体"/>
          <w:i/>
          <w:iCs/>
          <w:sz w:val="24"/>
          <w:szCs w:val="24"/>
          <w:lang w:eastAsia="zh-CN"/>
        </w:rPr>
        <w:t>Lancet Oncol</w:t>
      </w:r>
      <w:r w:rsidRPr="001C12D3">
        <w:rPr>
          <w:rFonts w:ascii="Book Antiqua" w:hAnsi="Book Antiqua" w:cs="宋体"/>
          <w:sz w:val="24"/>
          <w:szCs w:val="24"/>
          <w:lang w:eastAsia="zh-CN"/>
        </w:rPr>
        <w:t xml:space="preserve"> 2002; </w:t>
      </w:r>
      <w:r w:rsidRPr="001C12D3">
        <w:rPr>
          <w:rFonts w:ascii="Book Antiqua" w:hAnsi="Book Antiqua" w:cs="宋体"/>
          <w:b/>
          <w:bCs/>
          <w:sz w:val="24"/>
          <w:szCs w:val="24"/>
          <w:lang w:eastAsia="zh-CN"/>
        </w:rPr>
        <w:t>3</w:t>
      </w:r>
      <w:r w:rsidRPr="001C12D3">
        <w:rPr>
          <w:rFonts w:ascii="Book Antiqua" w:hAnsi="Book Antiqua" w:cs="宋体"/>
          <w:sz w:val="24"/>
          <w:szCs w:val="24"/>
          <w:lang w:eastAsia="zh-CN"/>
        </w:rPr>
        <w:t>: 487-497 [PMID: 12147435 DOI: 10.1016/S1470-2045(02)00818-5]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11 </w:t>
      </w:r>
      <w:r w:rsidRPr="001C12D3">
        <w:rPr>
          <w:rFonts w:ascii="Book Antiqua" w:hAnsi="Book Antiqua" w:cs="宋体"/>
          <w:b/>
          <w:bCs/>
          <w:sz w:val="24"/>
          <w:szCs w:val="24"/>
          <w:lang w:eastAsia="zh-CN"/>
        </w:rPr>
        <w:t>Tschoep-Lechner KE</w:t>
      </w:r>
      <w:r w:rsidRPr="001C12D3">
        <w:rPr>
          <w:rFonts w:ascii="Book Antiqua" w:hAnsi="Book Antiqua" w:cs="宋体"/>
          <w:sz w:val="24"/>
          <w:szCs w:val="24"/>
          <w:lang w:eastAsia="zh-CN"/>
        </w:rPr>
        <w:t xml:space="preserve">, Milani V, Berger F, Dieterle N, Abdel-Rahman S, Salat C, Issels RD. Gemcitabine and cisplatin combined with regional hyperthermia as second-line treatment in patients with gemcitabine-refractory advanced pancreatic cancer. </w:t>
      </w:r>
      <w:r w:rsidRPr="001C12D3">
        <w:rPr>
          <w:rFonts w:ascii="Book Antiqua" w:hAnsi="Book Antiqua" w:cs="宋体"/>
          <w:i/>
          <w:iCs/>
          <w:sz w:val="24"/>
          <w:szCs w:val="24"/>
          <w:lang w:eastAsia="zh-CN"/>
        </w:rPr>
        <w:t>Int J Hyperthermia</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29</w:t>
      </w:r>
      <w:r w:rsidRPr="001C12D3">
        <w:rPr>
          <w:rFonts w:ascii="Book Antiqua" w:hAnsi="Book Antiqua" w:cs="宋体"/>
          <w:sz w:val="24"/>
          <w:szCs w:val="24"/>
          <w:lang w:eastAsia="zh-CN"/>
        </w:rPr>
        <w:t>: 8-16 [PMID: 23245336 DOI: 10.3109/02656736.2012.740764]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12 </w:t>
      </w:r>
      <w:r w:rsidRPr="001C12D3">
        <w:rPr>
          <w:rFonts w:ascii="Book Antiqua" w:hAnsi="Book Antiqua" w:cs="宋体"/>
          <w:b/>
          <w:bCs/>
          <w:sz w:val="24"/>
          <w:szCs w:val="24"/>
          <w:lang w:eastAsia="zh-CN"/>
        </w:rPr>
        <w:t>Morizane C</w:t>
      </w:r>
      <w:r w:rsidRPr="001C12D3">
        <w:rPr>
          <w:rFonts w:ascii="Book Antiqua" w:hAnsi="Book Antiqua" w:cs="宋体"/>
          <w:sz w:val="24"/>
          <w:szCs w:val="24"/>
          <w:lang w:eastAsia="zh-CN"/>
        </w:rPr>
        <w:t xml:space="preserve">, Okusaka T, Ueno H, Kondo S, Ikeda M, Furuse J, Shinichi O, Nakachi K, Mitsunaga S, Kojima Y, Suzuki E, Ueno M, Yamaguchi T. Phase I/II study of gemcitabine as a fixed dose rate infusion and S-1 combination therapy (FGS) in gemcitabine-refractory pancreatic cancer patients.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69</w:t>
      </w:r>
      <w:r w:rsidRPr="001C12D3">
        <w:rPr>
          <w:rFonts w:ascii="Book Antiqua" w:hAnsi="Book Antiqua" w:cs="宋体"/>
          <w:sz w:val="24"/>
          <w:szCs w:val="24"/>
          <w:lang w:eastAsia="zh-CN"/>
        </w:rPr>
        <w:t>: 957-964 [PMID: 22120961 DOI: 10.1007/s00280-011-1786-6]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13</w:t>
      </w:r>
      <w:r w:rsidRPr="001C12D3">
        <w:rPr>
          <w:rFonts w:ascii="Book Antiqua" w:hAnsi="Book Antiqua" w:cs="宋体"/>
          <w:b/>
          <w:sz w:val="24"/>
          <w:szCs w:val="24"/>
          <w:lang w:eastAsia="zh-CN"/>
        </w:rPr>
        <w:t xml:space="preserve"> Ernani V</w:t>
      </w:r>
      <w:r w:rsidRPr="001C12D3">
        <w:rPr>
          <w:rFonts w:ascii="Book Antiqua" w:hAnsi="Book Antiqua" w:cs="宋体"/>
          <w:sz w:val="24"/>
          <w:szCs w:val="24"/>
          <w:lang w:eastAsia="zh-CN"/>
        </w:rPr>
        <w:t xml:space="preserve">, Akunyili II, Hosein PJ, Macintyre J, Rocha Lima CM. Gemcitabine (G) and nab-paclitaxel (nab-P) in patients with refractory advanced pancreatic cancer (PC).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2012; </w:t>
      </w:r>
      <w:r w:rsidRPr="001C12D3">
        <w:rPr>
          <w:rFonts w:ascii="Book Antiqua" w:hAnsi="Book Antiqua" w:cs="宋体"/>
          <w:b/>
          <w:sz w:val="24"/>
          <w:szCs w:val="24"/>
          <w:lang w:eastAsia="zh-CN"/>
        </w:rPr>
        <w:t>30</w:t>
      </w:r>
      <w:r w:rsidRPr="001C12D3">
        <w:rPr>
          <w:rFonts w:ascii="Book Antiqua" w:hAnsi="Book Antiqua" w:cs="宋体"/>
          <w:sz w:val="24"/>
          <w:szCs w:val="24"/>
          <w:lang w:eastAsia="zh-CN"/>
        </w:rPr>
        <w:t xml:space="preserve"> Suppl 4: abstract 373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14 </w:t>
      </w:r>
      <w:r w:rsidRPr="001C12D3">
        <w:rPr>
          <w:rFonts w:ascii="Book Antiqua" w:hAnsi="Book Antiqua" w:cs="宋体"/>
          <w:b/>
          <w:bCs/>
          <w:sz w:val="24"/>
          <w:szCs w:val="24"/>
          <w:lang w:eastAsia="zh-CN"/>
        </w:rPr>
        <w:t>Stehlin JS</w:t>
      </w:r>
      <w:r w:rsidRPr="001C12D3">
        <w:rPr>
          <w:rFonts w:ascii="Book Antiqua" w:hAnsi="Book Antiqua" w:cs="宋体"/>
          <w:sz w:val="24"/>
          <w:szCs w:val="24"/>
          <w:lang w:eastAsia="zh-CN"/>
        </w:rPr>
        <w:t xml:space="preserve">, Giovanella BC, Natelson EA, De Ipolyi PD, Coil D, Davis B, Wolk D, Wallace P, Trojacek A. A study of 9-nitrocamptothecin (RFS-2000) in patients with advanced pancreatic cancer. </w:t>
      </w:r>
      <w:r w:rsidRPr="001C12D3">
        <w:rPr>
          <w:rFonts w:ascii="Book Antiqua" w:hAnsi="Book Antiqua" w:cs="宋体"/>
          <w:i/>
          <w:iCs/>
          <w:sz w:val="24"/>
          <w:szCs w:val="24"/>
          <w:lang w:eastAsia="zh-CN"/>
        </w:rPr>
        <w:t>Int J Oncol</w:t>
      </w:r>
      <w:r w:rsidRPr="001C12D3">
        <w:rPr>
          <w:rFonts w:ascii="Book Antiqua" w:hAnsi="Book Antiqua" w:cs="宋体"/>
          <w:sz w:val="24"/>
          <w:szCs w:val="24"/>
          <w:lang w:eastAsia="zh-CN"/>
        </w:rPr>
        <w:t xml:space="preserve"> 1999; </w:t>
      </w:r>
      <w:r w:rsidRPr="001C12D3">
        <w:rPr>
          <w:rFonts w:ascii="Book Antiqua" w:hAnsi="Book Antiqua" w:cs="宋体"/>
          <w:b/>
          <w:bCs/>
          <w:sz w:val="24"/>
          <w:szCs w:val="24"/>
          <w:lang w:eastAsia="zh-CN"/>
        </w:rPr>
        <w:t>14</w:t>
      </w:r>
      <w:r w:rsidRPr="001C12D3">
        <w:rPr>
          <w:rFonts w:ascii="Book Antiqua" w:hAnsi="Book Antiqua" w:cs="宋体"/>
          <w:sz w:val="24"/>
          <w:szCs w:val="24"/>
          <w:lang w:eastAsia="zh-CN"/>
        </w:rPr>
        <w:t>: 821-831 [PMID: 10200331]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15 </w:t>
      </w:r>
      <w:r w:rsidRPr="001C12D3">
        <w:rPr>
          <w:rFonts w:ascii="Book Antiqua" w:hAnsi="Book Antiqua" w:cs="宋体"/>
          <w:b/>
          <w:bCs/>
          <w:sz w:val="24"/>
          <w:szCs w:val="24"/>
          <w:lang w:eastAsia="zh-CN"/>
        </w:rPr>
        <w:t>Burris HA</w:t>
      </w:r>
      <w:r w:rsidRPr="001C12D3">
        <w:rPr>
          <w:rFonts w:ascii="Book Antiqua" w:hAnsi="Book Antiqua" w:cs="宋体"/>
          <w:sz w:val="24"/>
          <w:szCs w:val="24"/>
          <w:lang w:eastAsia="zh-CN"/>
        </w:rPr>
        <w:t xml:space="preserve">, Rivkin S, Reynolds R, Harris J, Wax A, Gerstein H, Mettinger KL, Staddon A. Phase II trial of oral rubitecan in previously treated pancreatic cancer patients. </w:t>
      </w:r>
      <w:r w:rsidRPr="001C12D3">
        <w:rPr>
          <w:rFonts w:ascii="Book Antiqua" w:hAnsi="Book Antiqua" w:cs="宋体"/>
          <w:i/>
          <w:iCs/>
          <w:sz w:val="24"/>
          <w:szCs w:val="24"/>
          <w:lang w:eastAsia="zh-CN"/>
        </w:rPr>
        <w:t>Oncologist</w:t>
      </w:r>
      <w:r w:rsidRPr="001C12D3">
        <w:rPr>
          <w:rFonts w:ascii="Book Antiqua" w:hAnsi="Book Antiqua" w:cs="宋体"/>
          <w:sz w:val="24"/>
          <w:szCs w:val="24"/>
          <w:lang w:eastAsia="zh-CN"/>
        </w:rPr>
        <w:t xml:space="preserve"> 2005; </w:t>
      </w:r>
      <w:r w:rsidRPr="001C12D3">
        <w:rPr>
          <w:rFonts w:ascii="Book Antiqua" w:hAnsi="Book Antiqua" w:cs="宋体"/>
          <w:b/>
          <w:bCs/>
          <w:sz w:val="24"/>
          <w:szCs w:val="24"/>
          <w:lang w:eastAsia="zh-CN"/>
        </w:rPr>
        <w:t>10</w:t>
      </w:r>
      <w:r w:rsidRPr="001C12D3">
        <w:rPr>
          <w:rFonts w:ascii="Book Antiqua" w:hAnsi="Book Antiqua" w:cs="宋体"/>
          <w:sz w:val="24"/>
          <w:szCs w:val="24"/>
          <w:lang w:eastAsia="zh-CN"/>
        </w:rPr>
        <w:t>: 183-190 [PMID: 15793221 DOI: 10.1634/theoncologist.10-3-183]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16 </w:t>
      </w:r>
      <w:r w:rsidRPr="001C12D3">
        <w:rPr>
          <w:rFonts w:ascii="Book Antiqua" w:hAnsi="Book Antiqua" w:cs="宋体"/>
          <w:b/>
          <w:sz w:val="24"/>
          <w:szCs w:val="24"/>
          <w:lang w:eastAsia="zh-CN"/>
        </w:rPr>
        <w:t>Jacobs AD</w:t>
      </w:r>
      <w:r w:rsidRPr="001C12D3">
        <w:rPr>
          <w:rFonts w:ascii="Book Antiqua" w:hAnsi="Book Antiqua" w:cs="宋体"/>
          <w:sz w:val="24"/>
          <w:szCs w:val="24"/>
          <w:lang w:eastAsia="zh-CN"/>
        </w:rPr>
        <w:t xml:space="preserve">, Burris HA, Rivkin S, Ritch PS, Eisenberg PD, Mettinger KL. A randomized phase III study of rubitecan (ORA) vs. best choice (BC) in 409 patients with refractory pancreatic cancer report from a North-American multi-center study.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2004; </w:t>
      </w:r>
      <w:r w:rsidRPr="001C12D3">
        <w:rPr>
          <w:rFonts w:ascii="Book Antiqua" w:hAnsi="Book Antiqua" w:cs="宋体"/>
          <w:b/>
          <w:sz w:val="24"/>
          <w:szCs w:val="24"/>
          <w:lang w:eastAsia="zh-CN"/>
        </w:rPr>
        <w:t>22</w:t>
      </w:r>
      <w:r w:rsidRPr="001C12D3">
        <w:rPr>
          <w:rFonts w:ascii="Book Antiqua" w:hAnsi="Book Antiqua" w:cs="宋体"/>
          <w:sz w:val="24"/>
          <w:szCs w:val="24"/>
          <w:lang w:eastAsia="zh-CN"/>
        </w:rPr>
        <w:t xml:space="preserve"> Suppl 14: abstract 4013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17 </w:t>
      </w:r>
      <w:r w:rsidRPr="001C12D3">
        <w:rPr>
          <w:rFonts w:ascii="Book Antiqua" w:hAnsi="Book Antiqua" w:cs="宋体"/>
          <w:b/>
          <w:bCs/>
          <w:sz w:val="24"/>
          <w:szCs w:val="24"/>
          <w:lang w:eastAsia="zh-CN"/>
        </w:rPr>
        <w:t>Ko AH</w:t>
      </w:r>
      <w:r w:rsidRPr="001C12D3">
        <w:rPr>
          <w:rFonts w:ascii="Book Antiqua" w:hAnsi="Book Antiqua" w:cs="宋体"/>
          <w:sz w:val="24"/>
          <w:szCs w:val="24"/>
          <w:lang w:eastAsia="zh-CN"/>
        </w:rPr>
        <w:t xml:space="preserve">, Tempero MA, Shan YS, Su WC, Lin YL, Dito E, Ong A, Wang YW, Yeh CG, Chen LT. A multinational phase 2 study of nanoliposomal irinotecan sucrosofate </w:t>
      </w:r>
      <w:r w:rsidRPr="001C12D3">
        <w:rPr>
          <w:rFonts w:ascii="Book Antiqua" w:hAnsi="Book Antiqua" w:cs="宋体"/>
          <w:sz w:val="24"/>
          <w:szCs w:val="24"/>
          <w:lang w:eastAsia="zh-CN"/>
        </w:rPr>
        <w:lastRenderedPageBreak/>
        <w:t xml:space="preserve">(PEP02, MM-398) for patients with gemcitabine-refractory metastatic pancreatic cancer.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109</w:t>
      </w:r>
      <w:r w:rsidRPr="001C12D3">
        <w:rPr>
          <w:rFonts w:ascii="Book Antiqua" w:hAnsi="Book Antiqua" w:cs="宋体"/>
          <w:sz w:val="24"/>
          <w:szCs w:val="24"/>
          <w:lang w:eastAsia="zh-CN"/>
        </w:rPr>
        <w:t>: 920-925 [PMID: 23880820 DOI: 10.1038/bjc.2013.408]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18 </w:t>
      </w:r>
      <w:r w:rsidRPr="001C12D3">
        <w:rPr>
          <w:rFonts w:ascii="Book Antiqua" w:hAnsi="Book Antiqua" w:cs="宋体"/>
          <w:b/>
          <w:bCs/>
          <w:sz w:val="24"/>
          <w:szCs w:val="24"/>
          <w:lang w:eastAsia="zh-CN"/>
        </w:rPr>
        <w:t>Oettle H</w:t>
      </w:r>
      <w:r w:rsidRPr="001C12D3">
        <w:rPr>
          <w:rFonts w:ascii="Book Antiqua" w:hAnsi="Book Antiqua" w:cs="宋体"/>
          <w:sz w:val="24"/>
          <w:szCs w:val="24"/>
          <w:lang w:eastAsia="zh-CN"/>
        </w:rPr>
        <w:t xml:space="preserve">, Arnold D, Esser M, Huhn D, Riess H. Paclitaxel as weekly second-line therapy in patients with advanced pancreatic carcinoma. </w:t>
      </w:r>
      <w:r w:rsidRPr="001C12D3">
        <w:rPr>
          <w:rFonts w:ascii="Book Antiqua" w:hAnsi="Book Antiqua" w:cs="宋体"/>
          <w:i/>
          <w:iCs/>
          <w:sz w:val="24"/>
          <w:szCs w:val="24"/>
          <w:lang w:eastAsia="zh-CN"/>
        </w:rPr>
        <w:t>Anticancer Drugs</w:t>
      </w:r>
      <w:r w:rsidRPr="001C12D3">
        <w:rPr>
          <w:rFonts w:ascii="Book Antiqua" w:hAnsi="Book Antiqua" w:cs="宋体"/>
          <w:sz w:val="24"/>
          <w:szCs w:val="24"/>
          <w:lang w:eastAsia="zh-CN"/>
        </w:rPr>
        <w:t xml:space="preserve"> 2000; </w:t>
      </w:r>
      <w:r w:rsidRPr="001C12D3">
        <w:rPr>
          <w:rFonts w:ascii="Book Antiqua" w:hAnsi="Book Antiqua" w:cs="宋体"/>
          <w:b/>
          <w:bCs/>
          <w:sz w:val="24"/>
          <w:szCs w:val="24"/>
          <w:lang w:eastAsia="zh-CN"/>
        </w:rPr>
        <w:t>11</w:t>
      </w:r>
      <w:r w:rsidRPr="001C12D3">
        <w:rPr>
          <w:rFonts w:ascii="Book Antiqua" w:hAnsi="Book Antiqua" w:cs="宋体"/>
          <w:sz w:val="24"/>
          <w:szCs w:val="24"/>
          <w:lang w:eastAsia="zh-CN"/>
        </w:rPr>
        <w:t>: 635-638 [PMID: 11081455 DOI: 10.1097/00001813-200009000-00006]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19 </w:t>
      </w:r>
      <w:r w:rsidRPr="001C12D3">
        <w:rPr>
          <w:rFonts w:ascii="Book Antiqua" w:hAnsi="Book Antiqua" w:cs="宋体"/>
          <w:b/>
          <w:bCs/>
          <w:sz w:val="24"/>
          <w:szCs w:val="24"/>
          <w:lang w:eastAsia="zh-CN"/>
        </w:rPr>
        <w:t>Maeda S</w:t>
      </w:r>
      <w:r w:rsidRPr="001C12D3">
        <w:rPr>
          <w:rFonts w:ascii="Book Antiqua" w:hAnsi="Book Antiqua" w:cs="宋体"/>
          <w:sz w:val="24"/>
          <w:szCs w:val="24"/>
          <w:lang w:eastAsia="zh-CN"/>
        </w:rPr>
        <w:t xml:space="preserve">, Motoi F, Onogawa T, Morikawa T, Shigeru O, Sakata N, Takadate T, Naitoh T, Rikiyama T, Katayose Y, Egawa S, Unno M. Paclitaxel as second-line chemotherapy in patients with gemcitabine-refractory pancreatic cancer: a retrospective study. </w:t>
      </w:r>
      <w:r w:rsidRPr="001C12D3">
        <w:rPr>
          <w:rFonts w:ascii="Book Antiqua" w:hAnsi="Book Antiqua" w:cs="宋体"/>
          <w:i/>
          <w:iCs/>
          <w:sz w:val="24"/>
          <w:szCs w:val="24"/>
          <w:lang w:eastAsia="zh-CN"/>
        </w:rPr>
        <w:t>Int J Clin Oncol</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16</w:t>
      </w:r>
      <w:r w:rsidRPr="001C12D3">
        <w:rPr>
          <w:rFonts w:ascii="Book Antiqua" w:hAnsi="Book Antiqua" w:cs="宋体"/>
          <w:sz w:val="24"/>
          <w:szCs w:val="24"/>
          <w:lang w:eastAsia="zh-CN"/>
        </w:rPr>
        <w:t>: 539-545 [PMID: 21455624 DOI: 10.1007/s10147-011-0220-8]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20 </w:t>
      </w:r>
      <w:r w:rsidRPr="001C12D3">
        <w:rPr>
          <w:rFonts w:ascii="Book Antiqua" w:hAnsi="Book Antiqua" w:cs="宋体"/>
          <w:b/>
          <w:bCs/>
          <w:sz w:val="24"/>
          <w:szCs w:val="24"/>
          <w:lang w:eastAsia="zh-CN"/>
        </w:rPr>
        <w:t>Cereda S</w:t>
      </w:r>
      <w:r w:rsidRPr="001C12D3">
        <w:rPr>
          <w:rFonts w:ascii="Book Antiqua" w:hAnsi="Book Antiqua" w:cs="宋体"/>
          <w:sz w:val="24"/>
          <w:szCs w:val="24"/>
          <w:lang w:eastAsia="zh-CN"/>
        </w:rPr>
        <w:t xml:space="preserve">, Reni M. Weekly docetaxel as salvage therapy in patients with gemcitabine-refractory metastatic pancreatic cancer. </w:t>
      </w:r>
      <w:r w:rsidRPr="001C12D3">
        <w:rPr>
          <w:rFonts w:ascii="Book Antiqua" w:hAnsi="Book Antiqua" w:cs="宋体"/>
          <w:i/>
          <w:iCs/>
          <w:sz w:val="24"/>
          <w:szCs w:val="24"/>
          <w:lang w:eastAsia="zh-CN"/>
        </w:rPr>
        <w:t>J Chemother</w:t>
      </w:r>
      <w:r w:rsidRPr="001C12D3">
        <w:rPr>
          <w:rFonts w:ascii="Book Antiqua" w:hAnsi="Book Antiqua" w:cs="宋体"/>
          <w:sz w:val="24"/>
          <w:szCs w:val="24"/>
          <w:lang w:eastAsia="zh-CN"/>
        </w:rPr>
        <w:t xml:space="preserve"> 2008; </w:t>
      </w:r>
      <w:r w:rsidRPr="001C12D3">
        <w:rPr>
          <w:rFonts w:ascii="Book Antiqua" w:hAnsi="Book Antiqua" w:cs="宋体"/>
          <w:b/>
          <w:bCs/>
          <w:sz w:val="24"/>
          <w:szCs w:val="24"/>
          <w:lang w:eastAsia="zh-CN"/>
        </w:rPr>
        <w:t>20</w:t>
      </w:r>
      <w:r w:rsidRPr="001C12D3">
        <w:rPr>
          <w:rFonts w:ascii="Book Antiqua" w:hAnsi="Book Antiqua" w:cs="宋体"/>
          <w:sz w:val="24"/>
          <w:szCs w:val="24"/>
          <w:lang w:eastAsia="zh-CN"/>
        </w:rPr>
        <w:t>: 509-512 [PMID: 18676234]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21 </w:t>
      </w:r>
      <w:r w:rsidRPr="001C12D3">
        <w:rPr>
          <w:rFonts w:ascii="Book Antiqua" w:hAnsi="Book Antiqua" w:cs="宋体"/>
          <w:b/>
          <w:bCs/>
          <w:sz w:val="24"/>
          <w:szCs w:val="24"/>
          <w:lang w:eastAsia="zh-CN"/>
        </w:rPr>
        <w:t>Renouf DJ</w:t>
      </w:r>
      <w:r w:rsidRPr="001C12D3">
        <w:rPr>
          <w:rFonts w:ascii="Book Antiqua" w:hAnsi="Book Antiqua" w:cs="宋体"/>
          <w:sz w:val="24"/>
          <w:szCs w:val="24"/>
          <w:lang w:eastAsia="zh-CN"/>
        </w:rPr>
        <w:t xml:space="preserve">, Tang PA, Major P, Krzyzanowska MK, Dhesy-Thind B, Goffin JR, Hedley D, Wang L, Doyle L, Moore MJ. A phase II study of the halichondrin B analog eribulin mesylate in gemcitabine refractory advanced pancreatic cancer. </w:t>
      </w:r>
      <w:r w:rsidRPr="001C12D3">
        <w:rPr>
          <w:rFonts w:ascii="Book Antiqua" w:hAnsi="Book Antiqua" w:cs="宋体"/>
          <w:i/>
          <w:iCs/>
          <w:sz w:val="24"/>
          <w:szCs w:val="24"/>
          <w:lang w:eastAsia="zh-CN"/>
        </w:rPr>
        <w:t>Invest New Drugs</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30</w:t>
      </w:r>
      <w:r w:rsidRPr="001C12D3">
        <w:rPr>
          <w:rFonts w:ascii="Book Antiqua" w:hAnsi="Book Antiqua" w:cs="宋体"/>
          <w:sz w:val="24"/>
          <w:szCs w:val="24"/>
          <w:lang w:eastAsia="zh-CN"/>
        </w:rPr>
        <w:t>: 1203-1207 [PMID: 21526355 DOI: 10.1007/s10637-011-9673-x]</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22 </w:t>
      </w:r>
      <w:r w:rsidRPr="001C12D3">
        <w:rPr>
          <w:rFonts w:ascii="Book Antiqua" w:hAnsi="Book Antiqua" w:cs="宋体"/>
          <w:b/>
          <w:bCs/>
          <w:sz w:val="24"/>
          <w:szCs w:val="24"/>
          <w:lang w:eastAsia="zh-CN"/>
        </w:rPr>
        <w:t>Hosein PJ</w:t>
      </w:r>
      <w:r w:rsidRPr="001C12D3">
        <w:rPr>
          <w:rFonts w:ascii="Book Antiqua" w:hAnsi="Book Antiqua" w:cs="宋体"/>
          <w:sz w:val="24"/>
          <w:szCs w:val="24"/>
          <w:lang w:eastAsia="zh-CN"/>
        </w:rPr>
        <w:t xml:space="preserve">, de Lima Lopes G, Pastorini VH, Gomez C, Macintyre J, Zayas G, Reis I, Montero AJ, Merchan JR, Rocha Lima CM. A phase II trial of nab-Paclitaxel as second-line therapy in patients with advanced pancreatic cancer.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36</w:t>
      </w:r>
      <w:r w:rsidRPr="001C12D3">
        <w:rPr>
          <w:rFonts w:ascii="Book Antiqua" w:hAnsi="Book Antiqua" w:cs="宋体"/>
          <w:sz w:val="24"/>
          <w:szCs w:val="24"/>
          <w:lang w:eastAsia="zh-CN"/>
        </w:rPr>
        <w:t>: 151-156 [PMID: 22307213 DOI: 10.1097/COC.0b013e3182436e8c]</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23 </w:t>
      </w:r>
      <w:r w:rsidRPr="001C12D3">
        <w:rPr>
          <w:rFonts w:ascii="Book Antiqua" w:hAnsi="Book Antiqua" w:cs="宋体"/>
          <w:b/>
          <w:bCs/>
          <w:sz w:val="24"/>
          <w:szCs w:val="24"/>
          <w:lang w:eastAsia="zh-CN"/>
        </w:rPr>
        <w:t>Von Hoff DD</w:t>
      </w:r>
      <w:r w:rsidRPr="001C12D3">
        <w:rPr>
          <w:rFonts w:ascii="Book Antiqua" w:hAnsi="Book Antiqua" w:cs="宋体"/>
          <w:sz w:val="24"/>
          <w:szCs w:val="24"/>
          <w:lang w:eastAsia="zh-CN"/>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1C12D3">
        <w:rPr>
          <w:rFonts w:ascii="Book Antiqua" w:hAnsi="Book Antiqua" w:cs="宋体"/>
          <w:i/>
          <w:iCs/>
          <w:sz w:val="24"/>
          <w:szCs w:val="24"/>
          <w:lang w:eastAsia="zh-CN"/>
        </w:rPr>
        <w:t>N Engl J Med</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369</w:t>
      </w:r>
      <w:r w:rsidRPr="001C12D3">
        <w:rPr>
          <w:rFonts w:ascii="Book Antiqua" w:hAnsi="Book Antiqua" w:cs="宋体"/>
          <w:sz w:val="24"/>
          <w:szCs w:val="24"/>
          <w:lang w:eastAsia="zh-CN"/>
        </w:rPr>
        <w:t>: 1691-1703 [PMID: 241311</w:t>
      </w:r>
      <w:r>
        <w:rPr>
          <w:rFonts w:ascii="Book Antiqua" w:hAnsi="Book Antiqua" w:cs="宋体"/>
          <w:sz w:val="24"/>
          <w:szCs w:val="24"/>
          <w:lang w:eastAsia="zh-CN"/>
        </w:rPr>
        <w:t>40 DOI: 10.1056/NEJMoa1304369]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24 </w:t>
      </w:r>
      <w:r w:rsidRPr="001C12D3">
        <w:rPr>
          <w:rFonts w:ascii="Book Antiqua" w:hAnsi="Book Antiqua" w:cs="宋体"/>
          <w:b/>
          <w:bCs/>
          <w:sz w:val="24"/>
          <w:szCs w:val="24"/>
          <w:lang w:eastAsia="zh-CN"/>
        </w:rPr>
        <w:t>Boeck S</w:t>
      </w:r>
      <w:r w:rsidRPr="001C12D3">
        <w:rPr>
          <w:rFonts w:ascii="Book Antiqua" w:hAnsi="Book Antiqua" w:cs="宋体"/>
          <w:sz w:val="24"/>
          <w:szCs w:val="24"/>
          <w:lang w:eastAsia="zh-CN"/>
        </w:rPr>
        <w:t xml:space="preserve">, Wilkowski R, Bruns CJ, Issels RD, Schulz C, Moosmann N, Laessig D, Haas M, Golf A, Heinemann V. Oral capecitabine in gemcitabine-pretreated patients with </w:t>
      </w:r>
      <w:r w:rsidRPr="001C12D3">
        <w:rPr>
          <w:rFonts w:ascii="Book Antiqua" w:hAnsi="Book Antiqua" w:cs="宋体"/>
          <w:sz w:val="24"/>
          <w:szCs w:val="24"/>
          <w:lang w:eastAsia="zh-CN"/>
        </w:rPr>
        <w:lastRenderedPageBreak/>
        <w:t xml:space="preserve">advanced pancreatic cancer.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73</w:t>
      </w:r>
      <w:r w:rsidRPr="001C12D3">
        <w:rPr>
          <w:rFonts w:ascii="Book Antiqua" w:hAnsi="Book Antiqua" w:cs="宋体"/>
          <w:sz w:val="24"/>
          <w:szCs w:val="24"/>
          <w:lang w:eastAsia="zh-CN"/>
        </w:rPr>
        <w:t>: 221-227 [PMID: 18424886 DOI: 10.1159/000127413]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25 </w:t>
      </w:r>
      <w:r w:rsidRPr="001C12D3">
        <w:rPr>
          <w:rFonts w:ascii="Book Antiqua" w:hAnsi="Book Antiqua" w:cs="宋体"/>
          <w:b/>
          <w:bCs/>
          <w:sz w:val="24"/>
          <w:szCs w:val="24"/>
          <w:lang w:eastAsia="zh-CN"/>
        </w:rPr>
        <w:t>Morizane C</w:t>
      </w:r>
      <w:r w:rsidRPr="001C12D3">
        <w:rPr>
          <w:rFonts w:ascii="Book Antiqua" w:hAnsi="Book Antiqua" w:cs="宋体"/>
          <w:sz w:val="24"/>
          <w:szCs w:val="24"/>
          <w:lang w:eastAsia="zh-CN"/>
        </w:rPr>
        <w:t xml:space="preserve">, Okusaka T, Furuse J, Ishii H, Ueno H, Ikeda M, Nakachi K, Najima M, Ogura T, Suzuki E. A phase II study of S-1 in gemcitabine-refractory metastatic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63</w:t>
      </w:r>
      <w:r w:rsidRPr="001C12D3">
        <w:rPr>
          <w:rFonts w:ascii="Book Antiqua" w:hAnsi="Book Antiqua" w:cs="宋体"/>
          <w:sz w:val="24"/>
          <w:szCs w:val="24"/>
          <w:lang w:eastAsia="zh-CN"/>
        </w:rPr>
        <w:t>: 313-319 [PMID: 18398614 DOI: 10.1007/s00280-008-0741-7]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26 </w:t>
      </w:r>
      <w:r w:rsidRPr="001C12D3">
        <w:rPr>
          <w:rFonts w:ascii="Book Antiqua" w:hAnsi="Book Antiqua" w:cs="宋体"/>
          <w:b/>
          <w:bCs/>
          <w:sz w:val="24"/>
          <w:szCs w:val="24"/>
          <w:lang w:eastAsia="zh-CN"/>
        </w:rPr>
        <w:t>Todaka A</w:t>
      </w:r>
      <w:r w:rsidRPr="001C12D3">
        <w:rPr>
          <w:rFonts w:ascii="Book Antiqua" w:hAnsi="Book Antiqua" w:cs="宋体"/>
          <w:sz w:val="24"/>
          <w:szCs w:val="24"/>
          <w:lang w:eastAsia="zh-CN"/>
        </w:rPr>
        <w:t xml:space="preserve">, Fukutomi A, Boku N, Onozawa Y, Hironaka S, Yasui H, Yamazaki K, Taku K, Machida N, Sakamoto T, Tomita H. S-1 monotherapy as second-line treatment for advanced pancreatic cancer after gemcitabine failure. </w:t>
      </w:r>
      <w:r w:rsidRPr="001C12D3">
        <w:rPr>
          <w:rFonts w:ascii="Book Antiqua" w:hAnsi="Book Antiqua" w:cs="宋体"/>
          <w:i/>
          <w:iCs/>
          <w:sz w:val="24"/>
          <w:szCs w:val="24"/>
          <w:lang w:eastAsia="zh-CN"/>
        </w:rPr>
        <w:t>Jpn J Clin Oncol</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40</w:t>
      </w:r>
      <w:r w:rsidRPr="001C12D3">
        <w:rPr>
          <w:rFonts w:ascii="Book Antiqua" w:hAnsi="Book Antiqua" w:cs="宋体"/>
          <w:sz w:val="24"/>
          <w:szCs w:val="24"/>
          <w:lang w:eastAsia="zh-CN"/>
        </w:rPr>
        <w:t>: 567-572 [PMID: 20189975 DOI: 10.1093/jjco/hyq005]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27 </w:t>
      </w:r>
      <w:r w:rsidRPr="001C12D3">
        <w:rPr>
          <w:rFonts w:ascii="Book Antiqua" w:hAnsi="Book Antiqua" w:cs="宋体"/>
          <w:b/>
          <w:sz w:val="24"/>
          <w:szCs w:val="24"/>
          <w:lang w:eastAsia="zh-CN"/>
        </w:rPr>
        <w:t>Ioka T</w:t>
      </w:r>
      <w:r w:rsidRPr="001C12D3">
        <w:rPr>
          <w:rFonts w:ascii="Book Antiqua" w:hAnsi="Book Antiqua" w:cs="宋体"/>
          <w:sz w:val="24"/>
          <w:szCs w:val="24"/>
          <w:lang w:eastAsia="zh-CN"/>
        </w:rPr>
        <w:t xml:space="preserve">, Katayama K, Ishida N, Takada R, Yamai T, Fukutake N, Ashida R, Uehara H, Ohigashi H, Takahashi H, Ishikawa O. Randomized phase II study of best available fluoropyrimidine compared with continuation of gemcitabine (Gem) monotherapy in patients with Gem-refractory pancreatic cancer.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2012; </w:t>
      </w:r>
      <w:r w:rsidRPr="001C12D3">
        <w:rPr>
          <w:rFonts w:ascii="Book Antiqua" w:hAnsi="Book Antiqua" w:cs="宋体"/>
          <w:b/>
          <w:sz w:val="24"/>
          <w:szCs w:val="24"/>
          <w:lang w:eastAsia="zh-CN"/>
        </w:rPr>
        <w:t xml:space="preserve">30 </w:t>
      </w:r>
      <w:r w:rsidRPr="001C12D3">
        <w:rPr>
          <w:rFonts w:ascii="Book Antiqua" w:hAnsi="Book Antiqua" w:cs="宋体"/>
          <w:sz w:val="24"/>
          <w:szCs w:val="24"/>
          <w:lang w:eastAsia="zh-CN"/>
        </w:rPr>
        <w:t>Suppl 34: abstract 287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28 </w:t>
      </w:r>
      <w:r w:rsidRPr="001C12D3">
        <w:rPr>
          <w:rFonts w:ascii="Book Antiqua" w:hAnsi="Book Antiqua" w:cs="宋体"/>
          <w:b/>
          <w:sz w:val="24"/>
          <w:szCs w:val="24"/>
          <w:lang w:eastAsia="zh-CN"/>
        </w:rPr>
        <w:t>Mizuno N</w:t>
      </w:r>
      <w:r w:rsidRPr="001C12D3">
        <w:rPr>
          <w:rFonts w:ascii="Book Antiqua" w:hAnsi="Book Antiqua" w:cs="宋体"/>
          <w:sz w:val="24"/>
          <w:szCs w:val="24"/>
          <w:lang w:eastAsia="zh-CN"/>
        </w:rPr>
        <w:t>, Yamao K, Komatsu Y, Munakata M, Ishiguro A, Yamaguchi T, Ohkawa S, Kida M, Ioka T, Takeda K, Kudo T, Kitano M, Iguchi H, Tsuji A, Ito T, Tanaka M, Furuse J, Hamada C, Sakata Y. Randomized phase II trial of S-1 versus S-1 plus irinotecan (IRIS) in patients with gemcitabine-refractory pancreatic cancer.</w:t>
      </w:r>
      <w:r w:rsidRPr="001C12D3">
        <w:rPr>
          <w:rFonts w:ascii="Book Antiqua" w:hAnsi="Book Antiqua" w:cs="宋体"/>
          <w:i/>
          <w:sz w:val="24"/>
          <w:szCs w:val="24"/>
          <w:lang w:eastAsia="zh-CN"/>
        </w:rPr>
        <w:t xml:space="preserve"> J Clin Oncol </w:t>
      </w:r>
      <w:r w:rsidRPr="001C12D3">
        <w:rPr>
          <w:rFonts w:ascii="Book Antiqua" w:hAnsi="Book Antiqua" w:cs="宋体"/>
          <w:sz w:val="24"/>
          <w:szCs w:val="24"/>
          <w:lang w:eastAsia="zh-CN"/>
        </w:rPr>
        <w:t xml:space="preserve">2012; </w:t>
      </w:r>
      <w:r w:rsidRPr="001C12D3">
        <w:rPr>
          <w:rFonts w:ascii="Book Antiqua" w:hAnsi="Book Antiqua" w:cs="宋体"/>
          <w:b/>
          <w:sz w:val="24"/>
          <w:szCs w:val="24"/>
          <w:lang w:eastAsia="zh-CN"/>
        </w:rPr>
        <w:t>30</w:t>
      </w:r>
      <w:r w:rsidRPr="001C12D3">
        <w:rPr>
          <w:rFonts w:ascii="Book Antiqua" w:hAnsi="Book Antiqua" w:cs="宋体"/>
          <w:sz w:val="24"/>
          <w:szCs w:val="24"/>
          <w:lang w:eastAsia="zh-CN"/>
        </w:rPr>
        <w:t xml:space="preserve"> Suppl 34: abstract 263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29 </w:t>
      </w:r>
      <w:r w:rsidRPr="001C12D3">
        <w:rPr>
          <w:rFonts w:ascii="Book Antiqua" w:hAnsi="Book Antiqua" w:cs="宋体"/>
          <w:b/>
          <w:bCs/>
          <w:sz w:val="24"/>
          <w:szCs w:val="24"/>
          <w:lang w:eastAsia="zh-CN"/>
        </w:rPr>
        <w:t>Tsavaris N</w:t>
      </w:r>
      <w:r w:rsidRPr="001C12D3">
        <w:rPr>
          <w:rFonts w:ascii="Book Antiqua" w:hAnsi="Book Antiqua" w:cs="宋体"/>
          <w:sz w:val="24"/>
          <w:szCs w:val="24"/>
          <w:lang w:eastAsia="zh-CN"/>
        </w:rPr>
        <w:t xml:space="preserve">, Kosmas C, Skopelitis H, Gouveris P, Kopterides P, Loukeris D, Sigala F, Zorbala-Sypsa A, Felekouras E, Papalambros E. Second-line treatment with oxaliplatin, leucovorin and 5-fluorouracil in gemcitabine-pretreated advanced pancreatic cancer: A phase II study. </w:t>
      </w:r>
      <w:r w:rsidRPr="001C12D3">
        <w:rPr>
          <w:rFonts w:ascii="Book Antiqua" w:hAnsi="Book Antiqua" w:cs="宋体"/>
          <w:i/>
          <w:iCs/>
          <w:sz w:val="24"/>
          <w:szCs w:val="24"/>
          <w:lang w:eastAsia="zh-CN"/>
        </w:rPr>
        <w:t>Invest New Drugs</w:t>
      </w:r>
      <w:r w:rsidRPr="001C12D3">
        <w:rPr>
          <w:rFonts w:ascii="Book Antiqua" w:hAnsi="Book Antiqua" w:cs="宋体"/>
          <w:sz w:val="24"/>
          <w:szCs w:val="24"/>
          <w:lang w:eastAsia="zh-CN"/>
        </w:rPr>
        <w:t xml:space="preserve"> 2005; </w:t>
      </w:r>
      <w:r w:rsidRPr="001C12D3">
        <w:rPr>
          <w:rFonts w:ascii="Book Antiqua" w:hAnsi="Book Antiqua" w:cs="宋体"/>
          <w:b/>
          <w:bCs/>
          <w:sz w:val="24"/>
          <w:szCs w:val="24"/>
          <w:lang w:eastAsia="zh-CN"/>
        </w:rPr>
        <w:t>23</w:t>
      </w:r>
      <w:r w:rsidRPr="001C12D3">
        <w:rPr>
          <w:rFonts w:ascii="Book Antiqua" w:hAnsi="Book Antiqua" w:cs="宋体"/>
          <w:sz w:val="24"/>
          <w:szCs w:val="24"/>
          <w:lang w:eastAsia="zh-CN"/>
        </w:rPr>
        <w:t>: 369-375 [PMID: 16012797 DOI: 10.1007/s10637-005-1446-y]</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30 </w:t>
      </w:r>
      <w:r w:rsidRPr="001C12D3">
        <w:rPr>
          <w:rFonts w:ascii="Book Antiqua" w:hAnsi="Book Antiqua" w:cs="宋体"/>
          <w:b/>
          <w:bCs/>
          <w:sz w:val="24"/>
          <w:szCs w:val="24"/>
          <w:lang w:eastAsia="zh-CN"/>
        </w:rPr>
        <w:t>Yoo C</w:t>
      </w:r>
      <w:r w:rsidRPr="001C12D3">
        <w:rPr>
          <w:rFonts w:ascii="Book Antiqua" w:hAnsi="Book Antiqua" w:cs="宋体"/>
          <w:sz w:val="24"/>
          <w:szCs w:val="24"/>
          <w:lang w:eastAsia="zh-CN"/>
        </w:rPr>
        <w:t xml:space="preserve">, Hwang JY, Kim JE, Kim TW, Lee JS, Park DH, Lee SS, Seo DW, Lee SK, Kim MH, Han DJ, Kim SC, Lee JL. A randomised phase II study of modified FOLFIRI.3 vs modified FOLFOX as second-line therapy in patients with gemcitabine-refractory </w:t>
      </w:r>
      <w:r w:rsidRPr="001C12D3">
        <w:rPr>
          <w:rFonts w:ascii="Book Antiqua" w:hAnsi="Book Antiqua" w:cs="宋体"/>
          <w:sz w:val="24"/>
          <w:szCs w:val="24"/>
          <w:lang w:eastAsia="zh-CN"/>
        </w:rPr>
        <w:lastRenderedPageBreak/>
        <w:t xml:space="preserve">advanced pancreatic cancer.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101</w:t>
      </w:r>
      <w:r w:rsidRPr="001C12D3">
        <w:rPr>
          <w:rFonts w:ascii="Book Antiqua" w:hAnsi="Book Antiqua" w:cs="宋体"/>
          <w:sz w:val="24"/>
          <w:szCs w:val="24"/>
          <w:lang w:eastAsia="zh-CN"/>
        </w:rPr>
        <w:t>: 1658-1663 [PMID: 19826418 DOI: 10.1038/sj.bjc.6605374]</w:t>
      </w:r>
    </w:p>
    <w:p w:rsidR="002E23EC" w:rsidRPr="001C12D3" w:rsidRDefault="002E23EC" w:rsidP="008A2F30">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31 </w:t>
      </w:r>
      <w:r w:rsidRPr="001C12D3">
        <w:rPr>
          <w:rFonts w:ascii="Book Antiqua" w:hAnsi="Book Antiqua" w:cs="宋体"/>
          <w:b/>
          <w:bCs/>
          <w:sz w:val="24"/>
          <w:szCs w:val="24"/>
          <w:lang w:eastAsia="zh-CN"/>
        </w:rPr>
        <w:t>Chung JW</w:t>
      </w:r>
      <w:r w:rsidRPr="001C12D3">
        <w:rPr>
          <w:rFonts w:ascii="Book Antiqua" w:hAnsi="Book Antiqua" w:cs="宋体"/>
          <w:sz w:val="24"/>
          <w:szCs w:val="24"/>
          <w:lang w:eastAsia="zh-CN"/>
        </w:rPr>
        <w:t xml:space="preserve">, Jang HW, Chung MJ, Park JY, Park SW, Chung JB, Song SY, Bang S. Folfox4 as a rescue chemotherapy for gemcitabine-refractory pancreatic cancer. </w:t>
      </w:r>
      <w:r w:rsidRPr="001C12D3">
        <w:rPr>
          <w:rFonts w:ascii="Book Antiqua" w:hAnsi="Book Antiqua" w:cs="宋体"/>
          <w:i/>
          <w:iCs/>
          <w:sz w:val="24"/>
          <w:szCs w:val="24"/>
          <w:lang w:eastAsia="zh-CN"/>
        </w:rPr>
        <w:t>Hepatogastroenterology</w:t>
      </w:r>
      <w:r w:rsidRPr="001C12D3">
        <w:rPr>
          <w:rFonts w:ascii="Book Antiqua" w:hAnsi="Book Antiqua" w:cs="宋体"/>
          <w:sz w:val="24"/>
          <w:szCs w:val="24"/>
          <w:lang w:eastAsia="zh-CN"/>
        </w:rPr>
        <w:t xml:space="preserve"> </w:t>
      </w:r>
      <w:r>
        <w:rPr>
          <w:rFonts w:ascii="Book Antiqua" w:hAnsi="Book Antiqua" w:cs="宋体"/>
          <w:sz w:val="24"/>
          <w:szCs w:val="24"/>
          <w:lang w:eastAsia="zh-CN"/>
        </w:rPr>
        <w:t>2013</w:t>
      </w:r>
      <w:r w:rsidRPr="001C12D3">
        <w:rPr>
          <w:rFonts w:ascii="Book Antiqua" w:hAnsi="Book Antiqua" w:cs="宋体"/>
          <w:sz w:val="24"/>
          <w:szCs w:val="24"/>
          <w:lang w:eastAsia="zh-CN"/>
        </w:rPr>
        <w:t xml:space="preserve">; </w:t>
      </w:r>
      <w:r w:rsidRPr="001C12D3">
        <w:rPr>
          <w:rFonts w:ascii="Book Antiqua" w:hAnsi="Book Antiqua" w:cs="宋体"/>
          <w:b/>
          <w:bCs/>
          <w:sz w:val="24"/>
          <w:szCs w:val="24"/>
          <w:lang w:eastAsia="zh-CN"/>
        </w:rPr>
        <w:t>60</w:t>
      </w:r>
      <w:r w:rsidRPr="001C12D3">
        <w:rPr>
          <w:rFonts w:ascii="Book Antiqua" w:hAnsi="Book Antiqua" w:cs="宋体"/>
          <w:sz w:val="24"/>
          <w:szCs w:val="24"/>
          <w:lang w:eastAsia="zh-CN"/>
        </w:rPr>
        <w:t>: 363-367 [PMID: 23858557]</w:t>
      </w:r>
    </w:p>
    <w:p w:rsidR="002E23EC" w:rsidRPr="001C12D3" w:rsidRDefault="002E23EC" w:rsidP="008A2F30">
      <w:pPr>
        <w:pStyle w:val="a3"/>
        <w:spacing w:line="360" w:lineRule="auto"/>
        <w:ind w:left="0" w:firstLine="0"/>
        <w:jc w:val="both"/>
        <w:rPr>
          <w:rFonts w:ascii="Book Antiqua" w:hAnsi="Book Antiqua"/>
          <w:sz w:val="24"/>
          <w:szCs w:val="24"/>
          <w:lang w:eastAsia="zh-CN"/>
        </w:rPr>
      </w:pPr>
      <w:r>
        <w:rPr>
          <w:rFonts w:ascii="Book Antiqua" w:hAnsi="Book Antiqua" w:cs="宋体"/>
          <w:sz w:val="24"/>
          <w:szCs w:val="24"/>
          <w:lang w:eastAsia="zh-CN"/>
        </w:rPr>
        <w:t xml:space="preserve">32 </w:t>
      </w:r>
      <w:r w:rsidRPr="0074751D">
        <w:rPr>
          <w:rFonts w:ascii="Book Antiqua" w:hAnsi="Book Antiqua"/>
          <w:b/>
          <w:bCs/>
          <w:sz w:val="24"/>
          <w:szCs w:val="24"/>
        </w:rPr>
        <w:t xml:space="preserve">Sancho A, </w:t>
      </w:r>
      <w:r w:rsidRPr="0074751D">
        <w:rPr>
          <w:rFonts w:ascii="Book Antiqua" w:hAnsi="Book Antiqua"/>
          <w:sz w:val="24"/>
          <w:szCs w:val="24"/>
        </w:rPr>
        <w:t xml:space="preserve">López-Vivanco G, Diaz de Corcuera I, Ferreiro J, Moreno A, Mielgo X, Fernandez R, Ancizar N, Iruarrizaga E, Mañe JM. Oxaliplatin and capecitabine after gemcitabine failure in patients with advanced pancreatic, biliary, and gallbladder adenocarcinoma (APBC). </w:t>
      </w:r>
      <w:r w:rsidRPr="0074751D">
        <w:rPr>
          <w:rFonts w:ascii="Book Antiqua" w:hAnsi="Book Antiqua"/>
          <w:i/>
          <w:iCs/>
          <w:sz w:val="24"/>
          <w:szCs w:val="24"/>
        </w:rPr>
        <w:t>J Clin Oncol</w:t>
      </w:r>
      <w:r w:rsidRPr="0074751D">
        <w:rPr>
          <w:rFonts w:ascii="Book Antiqua" w:hAnsi="Book Antiqua"/>
          <w:sz w:val="24"/>
          <w:szCs w:val="24"/>
        </w:rPr>
        <w:t xml:space="preserve"> 2008; </w:t>
      </w:r>
      <w:r w:rsidRPr="0074751D">
        <w:rPr>
          <w:rFonts w:ascii="Book Antiqua" w:hAnsi="Book Antiqua"/>
          <w:b/>
          <w:bCs/>
          <w:sz w:val="24"/>
          <w:szCs w:val="24"/>
        </w:rPr>
        <w:t>26</w:t>
      </w:r>
      <w:r w:rsidRPr="0074751D">
        <w:rPr>
          <w:rFonts w:ascii="Book Antiqua" w:hAnsi="Book Antiqua"/>
          <w:sz w:val="24"/>
          <w:szCs w:val="24"/>
        </w:rPr>
        <w:t xml:space="preserve"> Suppl 15: abstract 15625</w:t>
      </w:r>
    </w:p>
    <w:p w:rsidR="002E23EC" w:rsidRPr="001C12D3" w:rsidRDefault="002E23EC" w:rsidP="008A2F30">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33 </w:t>
      </w:r>
      <w:r w:rsidRPr="001C12D3">
        <w:rPr>
          <w:rFonts w:ascii="Book Antiqua" w:hAnsi="Book Antiqua" w:cs="宋体"/>
          <w:b/>
          <w:bCs/>
          <w:sz w:val="24"/>
          <w:szCs w:val="24"/>
          <w:lang w:eastAsia="zh-CN"/>
        </w:rPr>
        <w:t>Xiong HQ</w:t>
      </w:r>
      <w:r w:rsidRPr="001C12D3">
        <w:rPr>
          <w:rFonts w:ascii="Book Antiqua" w:hAnsi="Book Antiqua" w:cs="宋体"/>
          <w:sz w:val="24"/>
          <w:szCs w:val="24"/>
          <w:lang w:eastAsia="zh-CN"/>
        </w:rPr>
        <w:t xml:space="preserve">, Varadhachary GR, Blais JC, Hess KR, Abbruzzese JL, Wolff RA. Phase 2 trial of oxaliplatin plus capecitabine (XELOX) as second-line therapy for patients with advanced pancreatic cancer. </w:t>
      </w:r>
      <w:r w:rsidRPr="001C12D3">
        <w:rPr>
          <w:rFonts w:ascii="Book Antiqua" w:hAnsi="Book Antiqua" w:cs="宋体"/>
          <w:i/>
          <w:iCs/>
          <w:sz w:val="24"/>
          <w:szCs w:val="24"/>
          <w:lang w:eastAsia="zh-CN"/>
        </w:rPr>
        <w:t>Cancer</w:t>
      </w:r>
      <w:r w:rsidRPr="001C12D3">
        <w:rPr>
          <w:rFonts w:ascii="Book Antiqua" w:hAnsi="Book Antiqua" w:cs="宋体"/>
          <w:sz w:val="24"/>
          <w:szCs w:val="24"/>
          <w:lang w:eastAsia="zh-CN"/>
        </w:rPr>
        <w:t xml:space="preserve"> 2008; </w:t>
      </w:r>
      <w:r w:rsidRPr="001C12D3">
        <w:rPr>
          <w:rFonts w:ascii="Book Antiqua" w:hAnsi="Book Antiqua" w:cs="宋体"/>
          <w:b/>
          <w:bCs/>
          <w:sz w:val="24"/>
          <w:szCs w:val="24"/>
          <w:lang w:eastAsia="zh-CN"/>
        </w:rPr>
        <w:t>113</w:t>
      </w:r>
      <w:r w:rsidRPr="001C12D3">
        <w:rPr>
          <w:rFonts w:ascii="Book Antiqua" w:hAnsi="Book Antiqua" w:cs="宋体"/>
          <w:sz w:val="24"/>
          <w:szCs w:val="24"/>
          <w:lang w:eastAsia="zh-CN"/>
        </w:rPr>
        <w:t>: 2046-2052 [PMID: 18756532 DOI: 10.1002/cncr.23810]</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34 </w:t>
      </w:r>
      <w:r w:rsidRPr="001C12D3">
        <w:rPr>
          <w:rFonts w:ascii="Book Antiqua" w:hAnsi="Book Antiqua" w:cs="宋体"/>
          <w:b/>
          <w:sz w:val="24"/>
          <w:szCs w:val="24"/>
          <w:lang w:eastAsia="zh-CN"/>
        </w:rPr>
        <w:t>Gasent Blesa J</w:t>
      </w:r>
      <w:r w:rsidRPr="001C12D3">
        <w:rPr>
          <w:rFonts w:ascii="Book Antiqua" w:hAnsi="Book Antiqua" w:cs="宋体"/>
          <w:sz w:val="24"/>
          <w:szCs w:val="24"/>
          <w:lang w:eastAsia="zh-CN"/>
        </w:rPr>
        <w:t xml:space="preserve">, Candel VA, Marco VG, Juan O, Pulla MP, Llorca C, Gravalos C. Phase II trial of second-line chemotherapy in metastatic pancreas cancer with the combination of oxaliplatin (Ox) and capecitabine (Cp).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2009; </w:t>
      </w:r>
      <w:r w:rsidRPr="001C12D3">
        <w:rPr>
          <w:rFonts w:ascii="Book Antiqua" w:hAnsi="Book Antiqua" w:cs="宋体"/>
          <w:b/>
          <w:sz w:val="24"/>
          <w:szCs w:val="24"/>
          <w:lang w:eastAsia="zh-CN"/>
        </w:rPr>
        <w:t>27</w:t>
      </w:r>
      <w:r w:rsidRPr="001C12D3">
        <w:rPr>
          <w:rFonts w:ascii="Book Antiqua" w:hAnsi="Book Antiqua" w:cs="宋体"/>
          <w:sz w:val="24"/>
          <w:szCs w:val="24"/>
          <w:lang w:eastAsia="zh-CN"/>
        </w:rPr>
        <w:t xml:space="preserve"> Suppl 15: abstract e15561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35 </w:t>
      </w:r>
      <w:r w:rsidRPr="001C12D3">
        <w:rPr>
          <w:rFonts w:ascii="Book Antiqua" w:hAnsi="Book Antiqua" w:cs="宋体"/>
          <w:b/>
          <w:bCs/>
          <w:sz w:val="24"/>
          <w:szCs w:val="24"/>
          <w:lang w:eastAsia="zh-CN"/>
        </w:rPr>
        <w:t>Berk V</w:t>
      </w:r>
      <w:r w:rsidRPr="001C12D3">
        <w:rPr>
          <w:rFonts w:ascii="Book Antiqua" w:hAnsi="Book Antiqua" w:cs="宋体"/>
          <w:sz w:val="24"/>
          <w:szCs w:val="24"/>
          <w:lang w:eastAsia="zh-CN"/>
        </w:rPr>
        <w:t xml:space="preserve">, Ozdemir N, Ozkan M, Aksoy S, Turan N, Inal A, Balakan O, Yasar N, Unal OU, Benekli M, Durnali A, Colak D, Sonmez OU. XELOX vs. FOLFOX4 as second line chemotherapy in advanced pancreatic cancer. </w:t>
      </w:r>
      <w:r w:rsidRPr="001C12D3">
        <w:rPr>
          <w:rFonts w:ascii="Book Antiqua" w:hAnsi="Book Antiqua" w:cs="宋体"/>
          <w:i/>
          <w:iCs/>
          <w:sz w:val="24"/>
          <w:szCs w:val="24"/>
          <w:lang w:eastAsia="zh-CN"/>
        </w:rPr>
        <w:t>Hepatogastroenterology</w:t>
      </w:r>
      <w:r w:rsidRPr="001C12D3">
        <w:rPr>
          <w:rFonts w:ascii="Book Antiqua" w:hAnsi="Book Antiqua" w:cs="宋体"/>
          <w:sz w:val="24"/>
          <w:szCs w:val="24"/>
          <w:lang w:eastAsia="zh-CN"/>
        </w:rPr>
        <w:t xml:space="preserve"> </w:t>
      </w:r>
      <w:r>
        <w:rPr>
          <w:rFonts w:ascii="Book Antiqua" w:hAnsi="Book Antiqua" w:cs="宋体"/>
          <w:sz w:val="24"/>
          <w:szCs w:val="24"/>
          <w:lang w:eastAsia="zh-CN"/>
        </w:rPr>
        <w:t>2012</w:t>
      </w:r>
      <w:r w:rsidRPr="001C12D3">
        <w:rPr>
          <w:rFonts w:ascii="Book Antiqua" w:hAnsi="Book Antiqua" w:cs="宋体"/>
          <w:sz w:val="24"/>
          <w:szCs w:val="24"/>
          <w:lang w:eastAsia="zh-CN"/>
        </w:rPr>
        <w:t xml:space="preserve">; </w:t>
      </w:r>
      <w:r w:rsidRPr="001C12D3">
        <w:rPr>
          <w:rFonts w:ascii="Book Antiqua" w:hAnsi="Book Antiqua" w:cs="宋体"/>
          <w:b/>
          <w:bCs/>
          <w:sz w:val="24"/>
          <w:szCs w:val="24"/>
          <w:lang w:eastAsia="zh-CN"/>
        </w:rPr>
        <w:t>59</w:t>
      </w:r>
      <w:r w:rsidRPr="001C12D3">
        <w:rPr>
          <w:rFonts w:ascii="Book Antiqua" w:hAnsi="Book Antiqua" w:cs="宋体"/>
          <w:sz w:val="24"/>
          <w:szCs w:val="24"/>
          <w:lang w:eastAsia="zh-CN"/>
        </w:rPr>
        <w:t>: 2635-2639 [PMID: 22534542 DOI: 10.5754/hge12181]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36 </w:t>
      </w:r>
      <w:r w:rsidRPr="001C12D3">
        <w:rPr>
          <w:rFonts w:ascii="Book Antiqua" w:hAnsi="Book Antiqua" w:cs="宋体"/>
          <w:b/>
          <w:sz w:val="24"/>
          <w:szCs w:val="24"/>
          <w:lang w:eastAsia="zh-CN"/>
        </w:rPr>
        <w:t>Oettle H</w:t>
      </w:r>
      <w:r w:rsidRPr="001C12D3">
        <w:rPr>
          <w:rFonts w:ascii="Book Antiqua" w:hAnsi="Book Antiqua" w:cs="宋体"/>
          <w:sz w:val="24"/>
          <w:szCs w:val="24"/>
          <w:lang w:eastAsia="zh-CN"/>
        </w:rPr>
        <w:t>, Pelzer U, Stieler J, Hilbig A, Roll L, Schwaner I, Adler M, Detken S, D</w:t>
      </w:r>
      <w:r w:rsidRPr="0074751D">
        <w:rPr>
          <w:rFonts w:ascii="Book Antiqua" w:hAnsi="Book Antiqua"/>
          <w:sz w:val="24"/>
          <w:szCs w:val="24"/>
        </w:rPr>
        <w:t>ö</w:t>
      </w:r>
      <w:r w:rsidRPr="001C12D3">
        <w:rPr>
          <w:rFonts w:ascii="Book Antiqua" w:hAnsi="Book Antiqua" w:cs="宋体"/>
          <w:sz w:val="24"/>
          <w:szCs w:val="24"/>
          <w:lang w:eastAsia="zh-CN"/>
        </w:rPr>
        <w:t xml:space="preserve">rken B, Riess H. Oxaliplatin/folinic acid/5-fluorouracil [24h] (OFF) plus best supportive care versus best supportive care alone (BSC) in second-line therapy of gemcitabine-refractory advanced pancreatic cancer (CONKO 003). </w:t>
      </w:r>
      <w:r w:rsidRPr="001C12D3">
        <w:rPr>
          <w:rFonts w:ascii="Book Antiqua" w:hAnsi="Book Antiqua" w:cs="宋体"/>
          <w:i/>
          <w:sz w:val="24"/>
          <w:szCs w:val="24"/>
          <w:lang w:eastAsia="zh-CN"/>
        </w:rPr>
        <w:t>J Clin Onco</w:t>
      </w:r>
      <w:r w:rsidRPr="001C12D3">
        <w:rPr>
          <w:rFonts w:ascii="Book Antiqua" w:hAnsi="Book Antiqua" w:cs="宋体"/>
          <w:sz w:val="24"/>
          <w:szCs w:val="24"/>
          <w:lang w:eastAsia="zh-CN"/>
        </w:rPr>
        <w:t xml:space="preserve">l 2005; </w:t>
      </w:r>
      <w:r w:rsidRPr="001C12D3">
        <w:rPr>
          <w:rFonts w:ascii="Book Antiqua" w:hAnsi="Book Antiqua" w:cs="宋体"/>
          <w:b/>
          <w:sz w:val="24"/>
          <w:szCs w:val="24"/>
          <w:lang w:eastAsia="zh-CN"/>
        </w:rPr>
        <w:t>23</w:t>
      </w:r>
      <w:r w:rsidRPr="001C12D3">
        <w:rPr>
          <w:rFonts w:ascii="Book Antiqua" w:hAnsi="Book Antiqua" w:cs="宋体"/>
          <w:sz w:val="24"/>
          <w:szCs w:val="24"/>
          <w:lang w:eastAsia="zh-CN"/>
        </w:rPr>
        <w:t xml:space="preserve"> Suppl 16: abstract 4031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37 </w:t>
      </w:r>
      <w:r w:rsidRPr="001C12D3">
        <w:rPr>
          <w:rFonts w:ascii="Book Antiqua" w:hAnsi="Book Antiqua" w:cs="宋体"/>
          <w:b/>
          <w:bCs/>
          <w:sz w:val="24"/>
          <w:szCs w:val="24"/>
          <w:lang w:eastAsia="zh-CN"/>
        </w:rPr>
        <w:t>Pelzer U</w:t>
      </w:r>
      <w:r w:rsidRPr="001C12D3">
        <w:rPr>
          <w:rFonts w:ascii="Book Antiqua" w:hAnsi="Book Antiqua" w:cs="宋体"/>
          <w:sz w:val="24"/>
          <w:szCs w:val="24"/>
          <w:lang w:eastAsia="zh-CN"/>
        </w:rPr>
        <w:t xml:space="preserve">, Schwaner I, Stieler J, Adler M, Seraphin J, Dörken B, Riess H, Oettle H. Best supportive care (BSC) versus oxaliplatin, folinic acid and 5-fluorouracil (OFF) plus BSC in patients for second-line advanced pancreatic cancer: a phase III-study from the </w:t>
      </w:r>
      <w:r w:rsidRPr="001C12D3">
        <w:rPr>
          <w:rFonts w:ascii="Book Antiqua" w:hAnsi="Book Antiqua" w:cs="宋体"/>
          <w:sz w:val="24"/>
          <w:szCs w:val="24"/>
          <w:lang w:eastAsia="zh-CN"/>
        </w:rPr>
        <w:lastRenderedPageBreak/>
        <w:t xml:space="preserve">German CONKO-study group. </w:t>
      </w:r>
      <w:r w:rsidRPr="001C12D3">
        <w:rPr>
          <w:rFonts w:ascii="Book Antiqua" w:hAnsi="Book Antiqua" w:cs="宋体"/>
          <w:i/>
          <w:iCs/>
          <w:sz w:val="24"/>
          <w:szCs w:val="24"/>
          <w:lang w:eastAsia="zh-CN"/>
        </w:rPr>
        <w:t>Eur J Cancer</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47</w:t>
      </w:r>
      <w:r w:rsidRPr="001C12D3">
        <w:rPr>
          <w:rFonts w:ascii="Book Antiqua" w:hAnsi="Book Antiqua" w:cs="宋体"/>
          <w:sz w:val="24"/>
          <w:szCs w:val="24"/>
          <w:lang w:eastAsia="zh-CN"/>
        </w:rPr>
        <w:t>: 1676-1681 [PMID: 21565490 DOI: 10.1016/j.ejca.2011.04.011]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38 </w:t>
      </w:r>
      <w:r w:rsidRPr="001C12D3">
        <w:rPr>
          <w:rFonts w:ascii="Book Antiqua" w:hAnsi="Book Antiqua" w:cs="宋体"/>
          <w:b/>
          <w:sz w:val="24"/>
          <w:szCs w:val="24"/>
          <w:lang w:eastAsia="zh-CN"/>
        </w:rPr>
        <w:t>Pelzer U</w:t>
      </w:r>
      <w:r w:rsidRPr="001C12D3">
        <w:rPr>
          <w:rFonts w:ascii="Book Antiqua" w:hAnsi="Book Antiqua" w:cs="宋体"/>
          <w:sz w:val="24"/>
          <w:szCs w:val="24"/>
          <w:lang w:eastAsia="zh-CN"/>
        </w:rPr>
        <w:t xml:space="preserve">, Kubica K, Stieler J, </w:t>
      </w:r>
      <w:r w:rsidRPr="0074751D">
        <w:rPr>
          <w:rFonts w:ascii="Book Antiqua" w:hAnsi="Book Antiqua"/>
          <w:sz w:val="24"/>
          <w:szCs w:val="24"/>
        </w:rPr>
        <w:t>Schwaner I, Heil G, Görner M, Mölle M, Hilbig A, Dörken B, Riess H, Oettle H</w:t>
      </w:r>
      <w:r w:rsidRPr="001C12D3">
        <w:rPr>
          <w:rFonts w:ascii="Book Antiqua" w:hAnsi="Book Antiqua" w:cs="宋体"/>
          <w:sz w:val="24"/>
          <w:szCs w:val="24"/>
          <w:lang w:eastAsia="zh-CN"/>
        </w:rPr>
        <w:t xml:space="preserve">. A randomized trial in patients with gemcitabine refractory pancreatic cancer. Final results of the CONKO 003 study.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2008; </w:t>
      </w:r>
      <w:r w:rsidRPr="001C12D3">
        <w:rPr>
          <w:rFonts w:ascii="Book Antiqua" w:hAnsi="Book Antiqua" w:cs="宋体"/>
          <w:b/>
          <w:sz w:val="24"/>
          <w:szCs w:val="24"/>
          <w:lang w:eastAsia="zh-CN"/>
        </w:rPr>
        <w:t>26</w:t>
      </w:r>
      <w:r w:rsidRPr="001C12D3">
        <w:rPr>
          <w:rFonts w:ascii="Book Antiqua" w:hAnsi="Book Antiqua" w:cs="宋体"/>
          <w:sz w:val="24"/>
          <w:szCs w:val="24"/>
          <w:lang w:eastAsia="zh-CN"/>
        </w:rPr>
        <w:t xml:space="preserve"> Suppl 15: abstract 4508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39 </w:t>
      </w:r>
      <w:r w:rsidRPr="001C12D3">
        <w:rPr>
          <w:rFonts w:ascii="Book Antiqua" w:hAnsi="Book Antiqua" w:cs="宋体"/>
          <w:b/>
          <w:bCs/>
          <w:sz w:val="24"/>
          <w:szCs w:val="24"/>
          <w:lang w:eastAsia="zh-CN"/>
        </w:rPr>
        <w:t>Conroy T</w:t>
      </w:r>
      <w:r w:rsidRPr="001C12D3">
        <w:rPr>
          <w:rFonts w:ascii="Book Antiqua" w:hAnsi="Book Antiqua" w:cs="宋体"/>
          <w:sz w:val="24"/>
          <w:szCs w:val="24"/>
          <w:lang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1C12D3">
        <w:rPr>
          <w:rFonts w:ascii="Book Antiqua" w:hAnsi="Book Antiqua" w:cs="宋体"/>
          <w:i/>
          <w:iCs/>
          <w:sz w:val="24"/>
          <w:szCs w:val="24"/>
          <w:lang w:eastAsia="zh-CN"/>
        </w:rPr>
        <w:t>N Engl J Med</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364</w:t>
      </w:r>
      <w:r w:rsidRPr="001C12D3">
        <w:rPr>
          <w:rFonts w:ascii="Book Antiqua" w:hAnsi="Book Antiqua" w:cs="宋体"/>
          <w:sz w:val="24"/>
          <w:szCs w:val="24"/>
          <w:lang w:eastAsia="zh-CN"/>
        </w:rPr>
        <w:t>: 1817-1825 [PMID: 21561347 DOI: 10.1056/NEJMoa1011923]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40 </w:t>
      </w:r>
      <w:r w:rsidRPr="001C12D3">
        <w:rPr>
          <w:rFonts w:ascii="Book Antiqua" w:hAnsi="Book Antiqua" w:cs="宋体"/>
          <w:b/>
          <w:bCs/>
          <w:sz w:val="24"/>
          <w:szCs w:val="24"/>
          <w:lang w:eastAsia="zh-CN"/>
        </w:rPr>
        <w:t>Assaf E</w:t>
      </w:r>
      <w:r w:rsidRPr="001C12D3">
        <w:rPr>
          <w:rFonts w:ascii="Book Antiqua" w:hAnsi="Book Antiqua" w:cs="宋体"/>
          <w:sz w:val="24"/>
          <w:szCs w:val="24"/>
          <w:lang w:eastAsia="zh-CN"/>
        </w:rPr>
        <w:t xml:space="preserve">, Verlinde-Carvalho M, Delbaldo C, Grenier J, Sellam Z, Pouessel D, Bouaita L, Baumgaertner I, Sobhani I, Tayar C, Paul M, Culine S. 5-fluorouracil/leucovorin combined with irinotecan and oxaliplatin (FOLFIRINOX) as second-line chemotherapy in patients with metastatic pancreatic adenocarcinoma.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80</w:t>
      </w:r>
      <w:r w:rsidRPr="001C12D3">
        <w:rPr>
          <w:rFonts w:ascii="Book Antiqua" w:hAnsi="Book Antiqua" w:cs="宋体"/>
          <w:sz w:val="24"/>
          <w:szCs w:val="24"/>
          <w:lang w:eastAsia="zh-CN"/>
        </w:rPr>
        <w:t>: 301-306 [PMID: 21778770 DOI: 10.1159/000329803]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41 </w:t>
      </w:r>
      <w:r w:rsidRPr="001C12D3">
        <w:rPr>
          <w:rFonts w:ascii="Book Antiqua" w:hAnsi="Book Antiqua" w:cs="宋体"/>
          <w:b/>
          <w:bCs/>
          <w:sz w:val="24"/>
          <w:szCs w:val="24"/>
          <w:lang w:eastAsia="zh-CN"/>
        </w:rPr>
        <w:t>Cantore M</w:t>
      </w:r>
      <w:r w:rsidRPr="001C12D3">
        <w:rPr>
          <w:rFonts w:ascii="Book Antiqua" w:hAnsi="Book Antiqua" w:cs="宋体"/>
          <w:sz w:val="24"/>
          <w:szCs w:val="24"/>
          <w:lang w:eastAsia="zh-CN"/>
        </w:rPr>
        <w:t xml:space="preserve">, Rabbi C, Fiorentini G, Oliani C, Zamagni D, Iacono C, Mambrini A, Del Freo A, Manni A. Combined irinotecan and oxaliplatin in patients with advanced pre-treated pancreatic cancer.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2004; </w:t>
      </w:r>
      <w:r w:rsidRPr="001C12D3">
        <w:rPr>
          <w:rFonts w:ascii="Book Antiqua" w:hAnsi="Book Antiqua" w:cs="宋体"/>
          <w:b/>
          <w:bCs/>
          <w:sz w:val="24"/>
          <w:szCs w:val="24"/>
          <w:lang w:eastAsia="zh-CN"/>
        </w:rPr>
        <w:t>67</w:t>
      </w:r>
      <w:r w:rsidRPr="001C12D3">
        <w:rPr>
          <w:rFonts w:ascii="Book Antiqua" w:hAnsi="Book Antiqua" w:cs="宋体"/>
          <w:sz w:val="24"/>
          <w:szCs w:val="24"/>
          <w:lang w:eastAsia="zh-CN"/>
        </w:rPr>
        <w:t>: 93-97 [PMID: 15539911 DOI: 10.1159/000080993]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42 </w:t>
      </w:r>
      <w:r w:rsidRPr="001C12D3">
        <w:rPr>
          <w:rFonts w:ascii="Book Antiqua" w:hAnsi="Book Antiqua" w:cs="宋体"/>
          <w:b/>
          <w:bCs/>
          <w:sz w:val="24"/>
          <w:szCs w:val="24"/>
          <w:lang w:eastAsia="zh-CN"/>
        </w:rPr>
        <w:t>Oh SY</w:t>
      </w:r>
      <w:r w:rsidRPr="001C12D3">
        <w:rPr>
          <w:rFonts w:ascii="Book Antiqua" w:hAnsi="Book Antiqua" w:cs="宋体"/>
          <w:sz w:val="24"/>
          <w:szCs w:val="24"/>
          <w:lang w:eastAsia="zh-CN"/>
        </w:rPr>
        <w:t xml:space="preserve">, Kim HJ, Kim TH, Lee GW, Kim HG, Jeong CY, Kwon HC, Kang JH. Pilot study of irinotecan/oxalipltin (IROX) combination chemotherapy for patients with gemcitabine- and 5-fluorouracil- refractory pancreatic cancer. </w:t>
      </w:r>
      <w:r w:rsidRPr="001C12D3">
        <w:rPr>
          <w:rFonts w:ascii="Book Antiqua" w:hAnsi="Book Antiqua" w:cs="宋体"/>
          <w:i/>
          <w:iCs/>
          <w:sz w:val="24"/>
          <w:szCs w:val="24"/>
          <w:lang w:eastAsia="zh-CN"/>
        </w:rPr>
        <w:t>Invest New Drugs</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28</w:t>
      </w:r>
      <w:r w:rsidRPr="001C12D3">
        <w:rPr>
          <w:rFonts w:ascii="Book Antiqua" w:hAnsi="Book Antiqua" w:cs="宋体"/>
          <w:sz w:val="24"/>
          <w:szCs w:val="24"/>
          <w:lang w:eastAsia="zh-CN"/>
        </w:rPr>
        <w:t>: 343-349 [PMID: 19444385 DOI: 10.1007/s10637-009-9265-1]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43 </w:t>
      </w:r>
      <w:r w:rsidRPr="001C12D3">
        <w:rPr>
          <w:rFonts w:ascii="Book Antiqua" w:hAnsi="Book Antiqua" w:cs="宋体"/>
          <w:b/>
          <w:bCs/>
          <w:sz w:val="24"/>
          <w:szCs w:val="24"/>
          <w:lang w:eastAsia="zh-CN"/>
        </w:rPr>
        <w:t>Reni M</w:t>
      </w:r>
      <w:r w:rsidRPr="001C12D3">
        <w:rPr>
          <w:rFonts w:ascii="Book Antiqua" w:hAnsi="Book Antiqua" w:cs="宋体"/>
          <w:sz w:val="24"/>
          <w:szCs w:val="24"/>
          <w:lang w:eastAsia="zh-CN"/>
        </w:rPr>
        <w:t xml:space="preserve">, Pasetto L, Aprile G, Cordio S, Bonetto E, Dell'Oro S, Passoni P, Piemonti L, Fugazza C, Luppi G, Milandri C, Nicoletti R, Zerbi A, Balzano G, Di Carlo V, Brandes AA. Raltitrexed-eloxatin salvage chemotherapy in gemcitabine-resistant metastatic pancreatic cancer.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2006; </w:t>
      </w:r>
      <w:r w:rsidRPr="001C12D3">
        <w:rPr>
          <w:rFonts w:ascii="Book Antiqua" w:hAnsi="Book Antiqua" w:cs="宋体"/>
          <w:b/>
          <w:bCs/>
          <w:sz w:val="24"/>
          <w:szCs w:val="24"/>
          <w:lang w:eastAsia="zh-CN"/>
        </w:rPr>
        <w:t>94</w:t>
      </w:r>
      <w:r w:rsidRPr="001C12D3">
        <w:rPr>
          <w:rFonts w:ascii="Book Antiqua" w:hAnsi="Book Antiqua" w:cs="宋体"/>
          <w:sz w:val="24"/>
          <w:szCs w:val="24"/>
          <w:lang w:eastAsia="zh-CN"/>
        </w:rPr>
        <w:t>: 785-791 [PMID: 16508631 DOI: 10.1038/sj.bjc.6603026]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44 </w:t>
      </w:r>
      <w:r w:rsidRPr="001C12D3">
        <w:rPr>
          <w:rFonts w:ascii="Book Antiqua" w:hAnsi="Book Antiqua" w:cs="宋体"/>
          <w:b/>
          <w:sz w:val="24"/>
          <w:szCs w:val="24"/>
          <w:lang w:eastAsia="zh-CN"/>
        </w:rPr>
        <w:t>Mazzer M</w:t>
      </w:r>
      <w:r w:rsidRPr="001C12D3">
        <w:rPr>
          <w:rFonts w:ascii="Book Antiqua" w:hAnsi="Book Antiqua" w:cs="宋体"/>
          <w:sz w:val="24"/>
          <w:szCs w:val="24"/>
          <w:lang w:eastAsia="zh-CN"/>
        </w:rPr>
        <w:t xml:space="preserve">, Zanon E, Foltran L, De Pauli F, Cardellino G, Iaiza E, Ermacora P, Aprile G, Fasola G. Second-line pemetrexed-oxaliplatin combination for advanced pancreatic adenocarcinoma.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2009; </w:t>
      </w:r>
      <w:r w:rsidRPr="001C12D3">
        <w:rPr>
          <w:rFonts w:ascii="Book Antiqua" w:hAnsi="Book Antiqua" w:cs="宋体"/>
          <w:b/>
          <w:sz w:val="24"/>
          <w:szCs w:val="24"/>
          <w:lang w:eastAsia="zh-CN"/>
        </w:rPr>
        <w:t>27</w:t>
      </w:r>
      <w:r w:rsidRPr="001C12D3">
        <w:rPr>
          <w:rFonts w:ascii="Book Antiqua" w:hAnsi="Book Antiqua" w:cs="宋体"/>
          <w:sz w:val="24"/>
          <w:szCs w:val="24"/>
          <w:lang w:eastAsia="zh-CN"/>
        </w:rPr>
        <w:t xml:space="preserve"> Suppl: abstract e15597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45 </w:t>
      </w:r>
      <w:r w:rsidRPr="001C12D3">
        <w:rPr>
          <w:rFonts w:ascii="Book Antiqua" w:hAnsi="Book Antiqua" w:cs="宋体"/>
          <w:b/>
          <w:bCs/>
          <w:sz w:val="24"/>
          <w:szCs w:val="24"/>
          <w:lang w:eastAsia="zh-CN"/>
        </w:rPr>
        <w:t>Gebbia V</w:t>
      </w:r>
      <w:r w:rsidRPr="001C12D3">
        <w:rPr>
          <w:rFonts w:ascii="Book Antiqua" w:hAnsi="Book Antiqua" w:cs="宋体"/>
          <w:sz w:val="24"/>
          <w:szCs w:val="24"/>
          <w:lang w:eastAsia="zh-CN"/>
        </w:rPr>
        <w:t xml:space="preserve">, Maiello E, Giuliani F, Borsellino N, Arcara C, Colucci G. Irinotecan plus bolus/infusional 5-Fluorouracil and leucovorin in patients with pretreated advanced pancreatic carcinoma: a multicenter experience of the Gruppo Oncologico Italia Meridionale.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33</w:t>
      </w:r>
      <w:r w:rsidRPr="001C12D3">
        <w:rPr>
          <w:rFonts w:ascii="Book Antiqua" w:hAnsi="Book Antiqua" w:cs="宋体"/>
          <w:sz w:val="24"/>
          <w:szCs w:val="24"/>
          <w:lang w:eastAsia="zh-CN"/>
        </w:rPr>
        <w:t>: 461-464 [PMID: 20142727 DOI: 10.1097/COC.0b013e3181b4e3b0]</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46 </w:t>
      </w:r>
      <w:r w:rsidRPr="001C12D3">
        <w:rPr>
          <w:rFonts w:ascii="Book Antiqua" w:hAnsi="Book Antiqua" w:cs="宋体"/>
          <w:b/>
          <w:bCs/>
          <w:sz w:val="24"/>
          <w:szCs w:val="24"/>
          <w:lang w:eastAsia="zh-CN"/>
        </w:rPr>
        <w:t>Zaniboni A</w:t>
      </w:r>
      <w:r w:rsidRPr="001C12D3">
        <w:rPr>
          <w:rFonts w:ascii="Book Antiqua" w:hAnsi="Book Antiqua" w:cs="宋体"/>
          <w:sz w:val="24"/>
          <w:szCs w:val="24"/>
          <w:lang w:eastAsia="zh-CN"/>
        </w:rPr>
        <w:t xml:space="preserve">, Aitini E, Barni S, Ferrari D, Cascinu S, Catalano V, Valmadre G, Ferrara D, Veltri E, Codignola C, Labianca R. FOLFIRI as second-line chemotherapy for advanced pancreatic cancer: a GISCAD multicenter phase II study.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69</w:t>
      </w:r>
      <w:r w:rsidRPr="001C12D3">
        <w:rPr>
          <w:rFonts w:ascii="Book Antiqua" w:hAnsi="Book Antiqua" w:cs="宋体"/>
          <w:sz w:val="24"/>
          <w:szCs w:val="24"/>
          <w:lang w:eastAsia="zh-CN"/>
        </w:rPr>
        <w:t>: 1641-1645 [PMID: 22576338 DOI: 10.1007/s00280-012-1875-1]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47 </w:t>
      </w:r>
      <w:r w:rsidRPr="001C12D3">
        <w:rPr>
          <w:rFonts w:ascii="Book Antiqua" w:hAnsi="Book Antiqua" w:cs="宋体"/>
          <w:b/>
          <w:bCs/>
          <w:sz w:val="24"/>
          <w:szCs w:val="24"/>
          <w:lang w:eastAsia="zh-CN"/>
        </w:rPr>
        <w:t>Neuzillet C</w:t>
      </w:r>
      <w:r w:rsidRPr="001C12D3">
        <w:rPr>
          <w:rFonts w:ascii="Book Antiqua" w:hAnsi="Book Antiqua" w:cs="宋体"/>
          <w:sz w:val="24"/>
          <w:szCs w:val="24"/>
          <w:lang w:eastAsia="zh-CN"/>
        </w:rPr>
        <w:t xml:space="preserve">, Hentic O, Rousseau B, Rebours V, Bengrine-Lefèvre L, Bonnetain F, Lévy P, Raymond E, Ruszniewski P, Louvet C, Hammel P. FOLFIRI regimen in metastatic pancreatic adenocarcinoma resistant to gemcitabine and platinum-salts. </w:t>
      </w:r>
      <w:r w:rsidRPr="001C12D3">
        <w:rPr>
          <w:rFonts w:ascii="Book Antiqua" w:hAnsi="Book Antiqua" w:cs="宋体"/>
          <w:i/>
          <w:iCs/>
          <w:sz w:val="24"/>
          <w:szCs w:val="24"/>
          <w:lang w:eastAsia="zh-CN"/>
        </w:rPr>
        <w:t>World J Gastroenterol</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18</w:t>
      </w:r>
      <w:r w:rsidRPr="001C12D3">
        <w:rPr>
          <w:rFonts w:ascii="Book Antiqua" w:hAnsi="Book Antiqua" w:cs="宋体"/>
          <w:sz w:val="24"/>
          <w:szCs w:val="24"/>
          <w:lang w:eastAsia="zh-CN"/>
        </w:rPr>
        <w:t>: 4533-4541 [PMID: 22969226 DOI: 10.3748/wjg.v18.i33.4533]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48 </w:t>
      </w:r>
      <w:r w:rsidRPr="001C12D3">
        <w:rPr>
          <w:rFonts w:ascii="Book Antiqua" w:hAnsi="Book Antiqua" w:cs="宋体"/>
          <w:b/>
          <w:bCs/>
          <w:sz w:val="24"/>
          <w:szCs w:val="24"/>
          <w:lang w:eastAsia="zh-CN"/>
        </w:rPr>
        <w:t>Ulrich-Pur H</w:t>
      </w:r>
      <w:r w:rsidRPr="001C12D3">
        <w:rPr>
          <w:rFonts w:ascii="Book Antiqua" w:hAnsi="Book Antiqua" w:cs="宋体"/>
          <w:sz w:val="24"/>
          <w:szCs w:val="24"/>
          <w:lang w:eastAsia="zh-CN"/>
        </w:rPr>
        <w:t xml:space="preserve">, Raderer M, Verena Kornek G, Schüll B, Schmid K, Haider K, Kwasny W, Depisch D, Schneeweiss B, Lang F, Scheithauer W. Irinotecan plus raltitrexed vs raltitrexed alone in patients with gemcitabine-pretreated advanced pancreatic adenocarcinoma.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2003; </w:t>
      </w:r>
      <w:r w:rsidRPr="001C12D3">
        <w:rPr>
          <w:rFonts w:ascii="Book Antiqua" w:hAnsi="Book Antiqua" w:cs="宋体"/>
          <w:b/>
          <w:bCs/>
          <w:sz w:val="24"/>
          <w:szCs w:val="24"/>
          <w:lang w:eastAsia="zh-CN"/>
        </w:rPr>
        <w:t>88</w:t>
      </w:r>
      <w:r w:rsidRPr="001C12D3">
        <w:rPr>
          <w:rFonts w:ascii="Book Antiqua" w:hAnsi="Book Antiqua" w:cs="宋体"/>
          <w:sz w:val="24"/>
          <w:szCs w:val="24"/>
          <w:lang w:eastAsia="zh-CN"/>
        </w:rPr>
        <w:t>: 1180-1184 [PMID: 12698181 DOI: 10.1038/sj.bjc.6600883]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49 </w:t>
      </w:r>
      <w:r w:rsidRPr="001C12D3">
        <w:rPr>
          <w:rFonts w:ascii="Book Antiqua" w:hAnsi="Book Antiqua" w:cs="宋体"/>
          <w:b/>
          <w:sz w:val="24"/>
          <w:szCs w:val="24"/>
          <w:lang w:eastAsia="zh-CN"/>
        </w:rPr>
        <w:t>Blaya M</w:t>
      </w:r>
      <w:r w:rsidRPr="001C12D3">
        <w:rPr>
          <w:rFonts w:ascii="Book Antiqua" w:hAnsi="Book Antiqua" w:cs="宋体"/>
          <w:sz w:val="24"/>
          <w:szCs w:val="24"/>
          <w:lang w:eastAsia="zh-CN"/>
        </w:rPr>
        <w:t xml:space="preserve">, Lopes Jr. GL, Roman E, Ahn E, Macintyre J, Quesada J, Levi J, Walker G, Green M, Rocha Lima CM. Phase II trial of capecitabine and docetaxel as second line therapy for locally advanced and metastatic pancreatic cancer.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2007; </w:t>
      </w:r>
      <w:r w:rsidRPr="001C12D3">
        <w:rPr>
          <w:rFonts w:ascii="Book Antiqua" w:hAnsi="Book Antiqua" w:cs="宋体"/>
          <w:b/>
          <w:sz w:val="24"/>
          <w:szCs w:val="24"/>
          <w:lang w:eastAsia="zh-CN"/>
        </w:rPr>
        <w:t>25</w:t>
      </w:r>
      <w:r w:rsidRPr="001C12D3">
        <w:rPr>
          <w:rFonts w:ascii="Book Antiqua" w:hAnsi="Book Antiqua" w:cs="宋体"/>
          <w:sz w:val="24"/>
          <w:szCs w:val="24"/>
          <w:lang w:eastAsia="zh-CN"/>
        </w:rPr>
        <w:t xml:space="preserve"> Suppl 18: abstract 15029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50 </w:t>
      </w:r>
      <w:r w:rsidRPr="001C12D3">
        <w:rPr>
          <w:rFonts w:ascii="Book Antiqua" w:hAnsi="Book Antiqua" w:cs="宋体"/>
          <w:b/>
          <w:bCs/>
          <w:sz w:val="24"/>
          <w:szCs w:val="24"/>
          <w:lang w:eastAsia="zh-CN"/>
        </w:rPr>
        <w:t>Katopodis O</w:t>
      </w:r>
      <w:r w:rsidRPr="001C12D3">
        <w:rPr>
          <w:rFonts w:ascii="Book Antiqua" w:hAnsi="Book Antiqua" w:cs="宋体"/>
          <w:sz w:val="24"/>
          <w:szCs w:val="24"/>
          <w:lang w:eastAsia="zh-CN"/>
        </w:rPr>
        <w:t xml:space="preserve">, Polyzos A, Kentepozidis N, Giassas S, Rovithi M, Bozionelou V, Kalbakis K, Vamvakas L, Mavroudis D, Georgoulias V. Second-line chemotherapy with capecitabine (Xeloda) and docetaxel (Taxotere) in previously treated, unresectable </w:t>
      </w:r>
      <w:r w:rsidRPr="001C12D3">
        <w:rPr>
          <w:rFonts w:ascii="Book Antiqua" w:hAnsi="Book Antiqua" w:cs="宋体"/>
          <w:sz w:val="24"/>
          <w:szCs w:val="24"/>
          <w:lang w:eastAsia="zh-CN"/>
        </w:rPr>
        <w:lastRenderedPageBreak/>
        <w:t xml:space="preserve">adenocarcinoma of pancreas: the final results of a phase II trial.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67</w:t>
      </w:r>
      <w:r w:rsidRPr="001C12D3">
        <w:rPr>
          <w:rFonts w:ascii="Book Antiqua" w:hAnsi="Book Antiqua" w:cs="宋体"/>
          <w:sz w:val="24"/>
          <w:szCs w:val="24"/>
          <w:lang w:eastAsia="zh-CN"/>
        </w:rPr>
        <w:t>: 361-368 [PMID: 20428874 DOI: 10.1007/s00280-010-1329-6]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51 </w:t>
      </w:r>
      <w:r w:rsidRPr="001C12D3">
        <w:rPr>
          <w:rFonts w:ascii="Book Antiqua" w:hAnsi="Book Antiqua" w:cs="宋体"/>
          <w:b/>
          <w:bCs/>
          <w:sz w:val="24"/>
          <w:szCs w:val="24"/>
          <w:lang w:eastAsia="zh-CN"/>
        </w:rPr>
        <w:t>Kim YJ</w:t>
      </w:r>
      <w:r w:rsidRPr="001C12D3">
        <w:rPr>
          <w:rFonts w:ascii="Book Antiqua" w:hAnsi="Book Antiqua" w:cs="宋体"/>
          <w:sz w:val="24"/>
          <w:szCs w:val="24"/>
          <w:lang w:eastAsia="zh-CN"/>
        </w:rPr>
        <w:t xml:space="preserve">, Bang S, Park JY, Park SW, Chung JB, Song SY. Phase II study of 5-fluorouracil and paclitaxel in patients with gemcitabine-refractory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63</w:t>
      </w:r>
      <w:r w:rsidRPr="001C12D3">
        <w:rPr>
          <w:rFonts w:ascii="Book Antiqua" w:hAnsi="Book Antiqua" w:cs="宋体"/>
          <w:sz w:val="24"/>
          <w:szCs w:val="24"/>
          <w:lang w:eastAsia="zh-CN"/>
        </w:rPr>
        <w:t>: 529-533 [PMID: 18766341 DOI: 10.1007/s00280-008-0822-7]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52 </w:t>
      </w:r>
      <w:r w:rsidRPr="001C12D3">
        <w:rPr>
          <w:rFonts w:ascii="Book Antiqua" w:hAnsi="Book Antiqua" w:cs="宋体"/>
          <w:b/>
          <w:bCs/>
          <w:sz w:val="24"/>
          <w:szCs w:val="24"/>
          <w:lang w:eastAsia="zh-CN"/>
        </w:rPr>
        <w:t>Ko AH</w:t>
      </w:r>
      <w:r w:rsidRPr="001C12D3">
        <w:rPr>
          <w:rFonts w:ascii="Book Antiqua" w:hAnsi="Book Antiqua" w:cs="宋体"/>
          <w:sz w:val="24"/>
          <w:szCs w:val="24"/>
          <w:lang w:eastAsia="zh-CN"/>
        </w:rPr>
        <w:t xml:space="preserve">, Dito E, Schillinger B, Venook AP, Bergsland EK, Tempero MA. Excess toxicity associated with docetaxel and irinotecan in patients with metastatic, gemcitabine-refractory pancreatic cancer: results of a phase II study. </w:t>
      </w:r>
      <w:r w:rsidRPr="001C12D3">
        <w:rPr>
          <w:rFonts w:ascii="Book Antiqua" w:hAnsi="Book Antiqua" w:cs="宋体"/>
          <w:i/>
          <w:iCs/>
          <w:sz w:val="24"/>
          <w:szCs w:val="24"/>
          <w:lang w:eastAsia="zh-CN"/>
        </w:rPr>
        <w:t>Cancer Invest</w:t>
      </w:r>
      <w:r w:rsidRPr="001C12D3">
        <w:rPr>
          <w:rFonts w:ascii="Book Antiqua" w:hAnsi="Book Antiqua" w:cs="宋体"/>
          <w:sz w:val="24"/>
          <w:szCs w:val="24"/>
          <w:lang w:eastAsia="zh-CN"/>
        </w:rPr>
        <w:t xml:space="preserve"> 2008; </w:t>
      </w:r>
      <w:r w:rsidRPr="001C12D3">
        <w:rPr>
          <w:rFonts w:ascii="Book Antiqua" w:hAnsi="Book Antiqua" w:cs="宋体"/>
          <w:b/>
          <w:bCs/>
          <w:sz w:val="24"/>
          <w:szCs w:val="24"/>
          <w:lang w:eastAsia="zh-CN"/>
        </w:rPr>
        <w:t>26</w:t>
      </w:r>
      <w:r w:rsidRPr="001C12D3">
        <w:rPr>
          <w:rFonts w:ascii="Book Antiqua" w:hAnsi="Book Antiqua" w:cs="宋体"/>
          <w:sz w:val="24"/>
          <w:szCs w:val="24"/>
          <w:lang w:eastAsia="zh-CN"/>
        </w:rPr>
        <w:t>: 47-52 [PMID: 18181045 DOI: 10.1080/07357900701681483]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53 </w:t>
      </w:r>
      <w:r w:rsidRPr="001C12D3">
        <w:rPr>
          <w:rFonts w:ascii="Book Antiqua" w:hAnsi="Book Antiqua" w:cs="宋体"/>
          <w:b/>
          <w:bCs/>
          <w:sz w:val="24"/>
          <w:szCs w:val="24"/>
          <w:lang w:eastAsia="zh-CN"/>
        </w:rPr>
        <w:t>Moore MJ</w:t>
      </w:r>
      <w:r w:rsidRPr="001C12D3">
        <w:rPr>
          <w:rFonts w:ascii="Book Antiqua" w:hAnsi="Book Antiqua" w:cs="宋体"/>
          <w:sz w:val="24"/>
          <w:szCs w:val="24"/>
          <w:lang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25</w:t>
      </w:r>
      <w:r w:rsidRPr="001C12D3">
        <w:rPr>
          <w:rFonts w:ascii="Book Antiqua" w:hAnsi="Book Antiqua" w:cs="宋体"/>
          <w:sz w:val="24"/>
          <w:szCs w:val="24"/>
          <w:lang w:eastAsia="zh-CN"/>
        </w:rPr>
        <w:t>: 1960-1966 [PMID: 17452677 DOI: 10.1200/JCO.2006.07.9525]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54 </w:t>
      </w:r>
      <w:r w:rsidRPr="001C12D3">
        <w:rPr>
          <w:rFonts w:ascii="Book Antiqua" w:hAnsi="Book Antiqua" w:cs="宋体"/>
          <w:b/>
          <w:sz w:val="24"/>
          <w:szCs w:val="24"/>
          <w:lang w:eastAsia="zh-CN"/>
        </w:rPr>
        <w:t>Tang P</w:t>
      </w:r>
      <w:r w:rsidRPr="001C12D3">
        <w:rPr>
          <w:rFonts w:ascii="Book Antiqua" w:hAnsi="Book Antiqua" w:cs="宋体"/>
          <w:sz w:val="24"/>
          <w:szCs w:val="24"/>
          <w:lang w:eastAsia="zh-CN"/>
        </w:rPr>
        <w:t xml:space="preserve">, Gill S, Au HJ, Chen EX, Hedley D, Leroux M, Wang L, Moore MJ. Phase II trial of erlotinib in advanced pancreatic cancer (PC).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2009; </w:t>
      </w:r>
      <w:r w:rsidRPr="001C12D3">
        <w:rPr>
          <w:rFonts w:ascii="Book Antiqua" w:hAnsi="Book Antiqua" w:cs="宋体"/>
          <w:b/>
          <w:sz w:val="24"/>
          <w:szCs w:val="24"/>
          <w:lang w:eastAsia="zh-CN"/>
        </w:rPr>
        <w:t>27</w:t>
      </w:r>
      <w:r w:rsidRPr="001C12D3">
        <w:rPr>
          <w:rFonts w:ascii="Book Antiqua" w:hAnsi="Book Antiqua" w:cs="宋体"/>
          <w:sz w:val="24"/>
          <w:szCs w:val="24"/>
          <w:lang w:eastAsia="zh-CN"/>
        </w:rPr>
        <w:t xml:space="preserve"> Suppl 15: abstract 4609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55 </w:t>
      </w:r>
      <w:r w:rsidRPr="001C12D3">
        <w:rPr>
          <w:rFonts w:ascii="Book Antiqua" w:hAnsi="Book Antiqua" w:cs="宋体"/>
          <w:b/>
          <w:bCs/>
          <w:sz w:val="24"/>
          <w:szCs w:val="24"/>
          <w:lang w:eastAsia="zh-CN"/>
        </w:rPr>
        <w:t>Kulke MH</w:t>
      </w:r>
      <w:r w:rsidRPr="001C12D3">
        <w:rPr>
          <w:rFonts w:ascii="Book Antiqua" w:hAnsi="Book Antiqua" w:cs="宋体"/>
          <w:sz w:val="24"/>
          <w:szCs w:val="24"/>
          <w:lang w:eastAsia="zh-CN"/>
        </w:rPr>
        <w:t xml:space="preserve">, Blaszkowsky LS, Ryan DP, Clark JW, Meyerhardt JA, Zhu AX, Enzinger PC, Kwak EL, Muzikansky A, Lawrence C, Fuchs CS. Capecitabine plus erlotinib in gemcitabine-refractory advanced pancreatic cancer.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25</w:t>
      </w:r>
      <w:r w:rsidRPr="001C12D3">
        <w:rPr>
          <w:rFonts w:ascii="Book Antiqua" w:hAnsi="Book Antiqua" w:cs="宋体"/>
          <w:sz w:val="24"/>
          <w:szCs w:val="24"/>
          <w:lang w:eastAsia="zh-CN"/>
        </w:rPr>
        <w:t>: 4787-4792 [PMID: 17947726 DOI: 10.1200/JCO.2007.11.852]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56 </w:t>
      </w:r>
      <w:r w:rsidRPr="001C12D3">
        <w:rPr>
          <w:rFonts w:ascii="Book Antiqua" w:hAnsi="Book Antiqua" w:cs="宋体"/>
          <w:b/>
          <w:bCs/>
          <w:sz w:val="24"/>
          <w:szCs w:val="24"/>
          <w:lang w:eastAsia="zh-CN"/>
        </w:rPr>
        <w:t>Almoguera C</w:t>
      </w:r>
      <w:r w:rsidRPr="001C12D3">
        <w:rPr>
          <w:rFonts w:ascii="Book Antiqua" w:hAnsi="Book Antiqua" w:cs="宋体"/>
          <w:sz w:val="24"/>
          <w:szCs w:val="24"/>
          <w:lang w:eastAsia="zh-CN"/>
        </w:rPr>
        <w:t xml:space="preserve">, Shibata D, Forrester K, Martin J, Arnheim N, Perucho M. Most human carcinomas of the exocrine pancreas contain mutant c-K-ras genes. </w:t>
      </w:r>
      <w:r w:rsidRPr="001C12D3">
        <w:rPr>
          <w:rFonts w:ascii="Book Antiqua" w:hAnsi="Book Antiqua" w:cs="宋体"/>
          <w:i/>
          <w:iCs/>
          <w:sz w:val="24"/>
          <w:szCs w:val="24"/>
          <w:lang w:eastAsia="zh-CN"/>
        </w:rPr>
        <w:t>Cell</w:t>
      </w:r>
      <w:r w:rsidRPr="001C12D3">
        <w:rPr>
          <w:rFonts w:ascii="Book Antiqua" w:hAnsi="Book Antiqua" w:cs="宋体"/>
          <w:sz w:val="24"/>
          <w:szCs w:val="24"/>
          <w:lang w:eastAsia="zh-CN"/>
        </w:rPr>
        <w:t xml:space="preserve"> 1988; </w:t>
      </w:r>
      <w:r w:rsidRPr="001C12D3">
        <w:rPr>
          <w:rFonts w:ascii="Book Antiqua" w:hAnsi="Book Antiqua" w:cs="宋体"/>
          <w:b/>
          <w:bCs/>
          <w:sz w:val="24"/>
          <w:szCs w:val="24"/>
          <w:lang w:eastAsia="zh-CN"/>
        </w:rPr>
        <w:t>53</w:t>
      </w:r>
      <w:r w:rsidRPr="001C12D3">
        <w:rPr>
          <w:rFonts w:ascii="Book Antiqua" w:hAnsi="Book Antiqua" w:cs="宋体"/>
          <w:sz w:val="24"/>
          <w:szCs w:val="24"/>
          <w:lang w:eastAsia="zh-CN"/>
        </w:rPr>
        <w:t>: 549-554 [PMID: 2453289 DOI: 10.1016/0092-8674(88)90571-5]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57 </w:t>
      </w:r>
      <w:r w:rsidRPr="001C12D3">
        <w:rPr>
          <w:rFonts w:ascii="Book Antiqua" w:hAnsi="Book Antiqua" w:cs="宋体"/>
          <w:b/>
          <w:bCs/>
          <w:sz w:val="24"/>
          <w:szCs w:val="24"/>
          <w:lang w:eastAsia="zh-CN"/>
        </w:rPr>
        <w:t>Smit VT</w:t>
      </w:r>
      <w:r w:rsidRPr="001C12D3">
        <w:rPr>
          <w:rFonts w:ascii="Book Antiqua" w:hAnsi="Book Antiqua" w:cs="宋体"/>
          <w:sz w:val="24"/>
          <w:szCs w:val="24"/>
          <w:lang w:eastAsia="zh-CN"/>
        </w:rPr>
        <w:t xml:space="preserve">, Boot AJ, Smits AM, Fleuren GJ, Cornelisse CJ, Bos JL. KRAS codon 12 mutations occur very frequently in pancreatic adenocarcinomas. </w:t>
      </w:r>
      <w:r w:rsidRPr="001C12D3">
        <w:rPr>
          <w:rFonts w:ascii="Book Antiqua" w:hAnsi="Book Antiqua" w:cs="宋体"/>
          <w:i/>
          <w:iCs/>
          <w:sz w:val="24"/>
          <w:szCs w:val="24"/>
          <w:lang w:eastAsia="zh-CN"/>
        </w:rPr>
        <w:t>Nucleic Acids Res</w:t>
      </w:r>
      <w:r w:rsidRPr="001C12D3">
        <w:rPr>
          <w:rFonts w:ascii="Book Antiqua" w:hAnsi="Book Antiqua" w:cs="宋体"/>
          <w:sz w:val="24"/>
          <w:szCs w:val="24"/>
          <w:lang w:eastAsia="zh-CN"/>
        </w:rPr>
        <w:t xml:space="preserve"> 1988; </w:t>
      </w:r>
      <w:r w:rsidRPr="001C12D3">
        <w:rPr>
          <w:rFonts w:ascii="Book Antiqua" w:hAnsi="Book Antiqua" w:cs="宋体"/>
          <w:b/>
          <w:bCs/>
          <w:sz w:val="24"/>
          <w:szCs w:val="24"/>
          <w:lang w:eastAsia="zh-CN"/>
        </w:rPr>
        <w:t>16</w:t>
      </w:r>
      <w:r w:rsidRPr="001C12D3">
        <w:rPr>
          <w:rFonts w:ascii="Book Antiqua" w:hAnsi="Book Antiqua" w:cs="宋体"/>
          <w:sz w:val="24"/>
          <w:szCs w:val="24"/>
          <w:lang w:eastAsia="zh-CN"/>
        </w:rPr>
        <w:t>: 7773-7782 [PMID: 3047672 DOI: 10.1093/nar/16.16.7773]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58 </w:t>
      </w:r>
      <w:r w:rsidRPr="001C12D3">
        <w:rPr>
          <w:rFonts w:ascii="Book Antiqua" w:hAnsi="Book Antiqua" w:cs="宋体"/>
          <w:b/>
          <w:bCs/>
          <w:sz w:val="24"/>
          <w:szCs w:val="24"/>
          <w:lang w:eastAsia="zh-CN"/>
        </w:rPr>
        <w:t>Moskaluk CA</w:t>
      </w:r>
      <w:r w:rsidRPr="001C12D3">
        <w:rPr>
          <w:rFonts w:ascii="Book Antiqua" w:hAnsi="Book Antiqua" w:cs="宋体"/>
          <w:sz w:val="24"/>
          <w:szCs w:val="24"/>
          <w:lang w:eastAsia="zh-CN"/>
        </w:rPr>
        <w:t xml:space="preserve">, Hruban RH, Kern SE. p16 and K-ras gene mutations in the intraductal precursors of human pancreatic adenocarcinoma. </w:t>
      </w:r>
      <w:r w:rsidRPr="001C12D3">
        <w:rPr>
          <w:rFonts w:ascii="Book Antiqua" w:hAnsi="Book Antiqua" w:cs="宋体"/>
          <w:i/>
          <w:iCs/>
          <w:sz w:val="24"/>
          <w:szCs w:val="24"/>
          <w:lang w:eastAsia="zh-CN"/>
        </w:rPr>
        <w:t>Cancer Res</w:t>
      </w:r>
      <w:r w:rsidRPr="001C12D3">
        <w:rPr>
          <w:rFonts w:ascii="Book Antiqua" w:hAnsi="Book Antiqua" w:cs="宋体"/>
          <w:sz w:val="24"/>
          <w:szCs w:val="24"/>
          <w:lang w:eastAsia="zh-CN"/>
        </w:rPr>
        <w:t xml:space="preserve"> 1997; </w:t>
      </w:r>
      <w:r w:rsidRPr="001C12D3">
        <w:rPr>
          <w:rFonts w:ascii="Book Antiqua" w:hAnsi="Book Antiqua" w:cs="宋体"/>
          <w:b/>
          <w:bCs/>
          <w:sz w:val="24"/>
          <w:szCs w:val="24"/>
          <w:lang w:eastAsia="zh-CN"/>
        </w:rPr>
        <w:t>57</w:t>
      </w:r>
      <w:r w:rsidRPr="001C12D3">
        <w:rPr>
          <w:rFonts w:ascii="Book Antiqua" w:hAnsi="Book Antiqua" w:cs="宋体"/>
          <w:sz w:val="24"/>
          <w:szCs w:val="24"/>
          <w:lang w:eastAsia="zh-CN"/>
        </w:rPr>
        <w:t>: 2140-2143 [PMID: 9187111]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59 </w:t>
      </w:r>
      <w:r w:rsidRPr="001C12D3">
        <w:rPr>
          <w:rFonts w:ascii="Book Antiqua" w:hAnsi="Book Antiqua" w:cs="宋体"/>
          <w:b/>
          <w:bCs/>
          <w:sz w:val="24"/>
          <w:szCs w:val="24"/>
          <w:lang w:eastAsia="zh-CN"/>
        </w:rPr>
        <w:t>Bodoky G</w:t>
      </w:r>
      <w:r w:rsidRPr="001C12D3">
        <w:rPr>
          <w:rFonts w:ascii="Book Antiqua" w:hAnsi="Book Antiqua" w:cs="宋体"/>
          <w:sz w:val="24"/>
          <w:szCs w:val="24"/>
          <w:lang w:eastAsia="zh-CN"/>
        </w:rPr>
        <w:t xml:space="preserve">,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1C12D3">
        <w:rPr>
          <w:rFonts w:ascii="Book Antiqua" w:hAnsi="Book Antiqua" w:cs="宋体"/>
          <w:i/>
          <w:iCs/>
          <w:sz w:val="24"/>
          <w:szCs w:val="24"/>
          <w:lang w:eastAsia="zh-CN"/>
        </w:rPr>
        <w:t>Invest New Drugs</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30</w:t>
      </w:r>
      <w:r w:rsidRPr="001C12D3">
        <w:rPr>
          <w:rFonts w:ascii="Book Antiqua" w:hAnsi="Book Antiqua" w:cs="宋体"/>
          <w:sz w:val="24"/>
          <w:szCs w:val="24"/>
          <w:lang w:eastAsia="zh-CN"/>
        </w:rPr>
        <w:t>: 1216-1223 [PMID: 21594619 DOI: 10.1007/s10637-011-9687-4]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60 </w:t>
      </w:r>
      <w:r w:rsidRPr="001C12D3">
        <w:rPr>
          <w:rFonts w:ascii="Book Antiqua" w:hAnsi="Book Antiqua" w:cs="宋体"/>
          <w:b/>
          <w:bCs/>
          <w:sz w:val="24"/>
          <w:szCs w:val="24"/>
          <w:lang w:eastAsia="zh-CN"/>
        </w:rPr>
        <w:t>De Luca A</w:t>
      </w:r>
      <w:r w:rsidRPr="001C12D3">
        <w:rPr>
          <w:rFonts w:ascii="Book Antiqua" w:hAnsi="Book Antiqua" w:cs="宋体"/>
          <w:sz w:val="24"/>
          <w:szCs w:val="24"/>
          <w:lang w:eastAsia="zh-CN"/>
        </w:rPr>
        <w:t xml:space="preserve">, Maiello MR, D'Alessio A, Pergameno M, Normanno N. The RAS/RAF/MEK/ERK and the PI3K/AKT signalling pathways: role in cancer pathogenesis and implications for therapeutic approaches. </w:t>
      </w:r>
      <w:r w:rsidRPr="001C12D3">
        <w:rPr>
          <w:rFonts w:ascii="Book Antiqua" w:hAnsi="Book Antiqua" w:cs="宋体"/>
          <w:i/>
          <w:iCs/>
          <w:sz w:val="24"/>
          <w:szCs w:val="24"/>
          <w:lang w:eastAsia="zh-CN"/>
        </w:rPr>
        <w:t>Expert Opin Ther Targets</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 xml:space="preserve">16 </w:t>
      </w:r>
      <w:r w:rsidRPr="001C12D3">
        <w:rPr>
          <w:rFonts w:ascii="Book Antiqua" w:hAnsi="Book Antiqua" w:cs="宋体"/>
          <w:bCs/>
          <w:sz w:val="24"/>
          <w:szCs w:val="24"/>
          <w:lang w:eastAsia="zh-CN"/>
        </w:rPr>
        <w:t>Suppl 2</w:t>
      </w:r>
      <w:r w:rsidRPr="001C12D3">
        <w:rPr>
          <w:rFonts w:ascii="Book Antiqua" w:hAnsi="Book Antiqua" w:cs="宋体"/>
          <w:sz w:val="24"/>
          <w:szCs w:val="24"/>
          <w:lang w:eastAsia="zh-CN"/>
        </w:rPr>
        <w:t>: S17-S27 [PMID: 22443084 DOI: 10.1517/14728222.2011.639361]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61 </w:t>
      </w:r>
      <w:r w:rsidRPr="001C12D3">
        <w:rPr>
          <w:rFonts w:ascii="Book Antiqua" w:hAnsi="Book Antiqua" w:cs="宋体"/>
          <w:b/>
          <w:sz w:val="24"/>
          <w:szCs w:val="24"/>
          <w:lang w:eastAsia="zh-CN"/>
        </w:rPr>
        <w:t>Ko AH</w:t>
      </w:r>
      <w:r w:rsidRPr="001C12D3">
        <w:rPr>
          <w:rFonts w:ascii="Book Antiqua" w:hAnsi="Book Antiqua" w:cs="宋体"/>
          <w:sz w:val="24"/>
          <w:szCs w:val="24"/>
          <w:lang w:eastAsia="zh-CN"/>
        </w:rPr>
        <w:t xml:space="preserve">, Tempero MA, Bekaii-Saab TB, Kuhn P, Courtin R, Ziyeh S, Tahiri S, Kelley RK, Dito E, Ong A, Linetskaya R, Mirzoeva OK, Wu CS, Venook AP, Korn WM. Dual MEK/EGFR inhibition for advanced, chemotherapy-refractory pancreatic cancer: A multicenter phase II trial of selumetinib (AZD6244; ARRY-142886) plus erlotinib.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2013; </w:t>
      </w:r>
      <w:r w:rsidRPr="001C12D3">
        <w:rPr>
          <w:rFonts w:ascii="Book Antiqua" w:hAnsi="Book Antiqua" w:cs="宋体"/>
          <w:b/>
          <w:sz w:val="24"/>
          <w:szCs w:val="24"/>
          <w:lang w:eastAsia="zh-CN"/>
        </w:rPr>
        <w:t>31</w:t>
      </w:r>
      <w:r w:rsidRPr="001C12D3">
        <w:rPr>
          <w:rFonts w:ascii="Book Antiqua" w:hAnsi="Book Antiqua" w:cs="宋体"/>
          <w:sz w:val="24"/>
          <w:szCs w:val="24"/>
          <w:lang w:eastAsia="zh-CN"/>
        </w:rPr>
        <w:t xml:space="preserve"> Suppl: abstract 4014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62 </w:t>
      </w:r>
      <w:r w:rsidRPr="001C12D3">
        <w:rPr>
          <w:rFonts w:ascii="Book Antiqua" w:hAnsi="Book Antiqua" w:cs="宋体"/>
          <w:b/>
          <w:bCs/>
          <w:sz w:val="24"/>
          <w:szCs w:val="24"/>
          <w:lang w:eastAsia="zh-CN"/>
        </w:rPr>
        <w:t>Wolpin BM</w:t>
      </w:r>
      <w:r w:rsidRPr="001C12D3">
        <w:rPr>
          <w:rFonts w:ascii="Book Antiqua" w:hAnsi="Book Antiqua" w:cs="宋体"/>
          <w:sz w:val="24"/>
          <w:szCs w:val="24"/>
          <w:lang w:eastAsia="zh-CN"/>
        </w:rPr>
        <w:t xml:space="preserve">, Hezel AF, Abrams T, Blaszkowsky LS, Meyerhardt JA, Chan JA, Enzinger PC, Allen B, Clark JW, Ryan DP, Fuchs CS. Oral mTOR inhibitor everolimus in patients with gemcitabine-refractory metastatic pancreatic cancer.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27</w:t>
      </w:r>
      <w:r w:rsidRPr="001C12D3">
        <w:rPr>
          <w:rFonts w:ascii="Book Antiqua" w:hAnsi="Book Antiqua" w:cs="宋体"/>
          <w:sz w:val="24"/>
          <w:szCs w:val="24"/>
          <w:lang w:eastAsia="zh-CN"/>
        </w:rPr>
        <w:t>: 193-198 [PMID: 19047305 DOI: 10.1200/JCO.2008.18.9514]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63 </w:t>
      </w:r>
      <w:r w:rsidRPr="001C12D3">
        <w:rPr>
          <w:rFonts w:ascii="Book Antiqua" w:hAnsi="Book Antiqua" w:cs="宋体"/>
          <w:b/>
          <w:bCs/>
          <w:sz w:val="24"/>
          <w:szCs w:val="24"/>
          <w:lang w:eastAsia="zh-CN"/>
        </w:rPr>
        <w:t>Garrido-Laguna I</w:t>
      </w:r>
      <w:r w:rsidRPr="001C12D3">
        <w:rPr>
          <w:rFonts w:ascii="Book Antiqua" w:hAnsi="Book Antiqua" w:cs="宋体"/>
          <w:sz w:val="24"/>
          <w:szCs w:val="24"/>
          <w:lang w:eastAsia="zh-CN"/>
        </w:rPr>
        <w:t xml:space="preserve">, Tan AC, Uson M, Angenendt M, Ma WW, Villaroel MC, Zhao M, Rajeshkumar NV, Jimeno A, Donehower R, Iacobuzio-Donahue C, Barrett M, Rudek MA, Rubio-Viqueira B, Laheru D, Hidalgo M. Integrated preclinical and clinical development of mTOR inhibitors in pancreatic cancer. </w:t>
      </w:r>
      <w:r w:rsidRPr="001C12D3">
        <w:rPr>
          <w:rFonts w:ascii="Book Antiqua" w:hAnsi="Book Antiqua" w:cs="宋体"/>
          <w:i/>
          <w:iCs/>
          <w:sz w:val="24"/>
          <w:szCs w:val="24"/>
          <w:lang w:eastAsia="zh-CN"/>
        </w:rPr>
        <w:t>Br J Cancer</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103</w:t>
      </w:r>
      <w:r w:rsidRPr="001C12D3">
        <w:rPr>
          <w:rFonts w:ascii="Book Antiqua" w:hAnsi="Book Antiqua" w:cs="宋体"/>
          <w:sz w:val="24"/>
          <w:szCs w:val="24"/>
          <w:lang w:eastAsia="zh-CN"/>
        </w:rPr>
        <w:t>: 649-655 [PMID: 20664591 DOI: 10.1038/sj.bjc.6605819]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64 </w:t>
      </w:r>
      <w:r w:rsidRPr="001C12D3">
        <w:rPr>
          <w:rFonts w:ascii="Book Antiqua" w:hAnsi="Book Antiqua" w:cs="宋体"/>
          <w:b/>
          <w:bCs/>
          <w:sz w:val="24"/>
          <w:szCs w:val="24"/>
          <w:lang w:eastAsia="zh-CN"/>
        </w:rPr>
        <w:t>Javle MM</w:t>
      </w:r>
      <w:r w:rsidRPr="001C12D3">
        <w:rPr>
          <w:rFonts w:ascii="Book Antiqua" w:hAnsi="Book Antiqua" w:cs="宋体"/>
          <w:sz w:val="24"/>
          <w:szCs w:val="24"/>
          <w:lang w:eastAsia="zh-CN"/>
        </w:rPr>
        <w:t xml:space="preserve">, Shroff RT, Xiong H, Varadhachary GA, Fogelman D, Reddy SA, Davis D, Zhang Y, Wolff RA, Abbruzzese JL. Inhibition of the mammalian target of rapamycin </w:t>
      </w:r>
      <w:r w:rsidRPr="001C12D3">
        <w:rPr>
          <w:rFonts w:ascii="Book Antiqua" w:hAnsi="Book Antiqua" w:cs="宋体"/>
          <w:sz w:val="24"/>
          <w:szCs w:val="24"/>
          <w:lang w:eastAsia="zh-CN"/>
        </w:rPr>
        <w:lastRenderedPageBreak/>
        <w:t xml:space="preserve">(mTOR) in advanced pancreatic cancer: results of two phase II studies. </w:t>
      </w:r>
      <w:r w:rsidRPr="001C12D3">
        <w:rPr>
          <w:rFonts w:ascii="Book Antiqua" w:hAnsi="Book Antiqua" w:cs="宋体"/>
          <w:i/>
          <w:iCs/>
          <w:sz w:val="24"/>
          <w:szCs w:val="24"/>
          <w:lang w:eastAsia="zh-CN"/>
        </w:rPr>
        <w:t>BMC Cancer</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10</w:t>
      </w:r>
      <w:r w:rsidRPr="001C12D3">
        <w:rPr>
          <w:rFonts w:ascii="Book Antiqua" w:hAnsi="Book Antiqua" w:cs="宋体"/>
          <w:sz w:val="24"/>
          <w:szCs w:val="24"/>
          <w:lang w:eastAsia="zh-CN"/>
        </w:rPr>
        <w:t>: 368 [PMID: 20630061 DOI: 10.1186/1471-2407-10-368]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65 </w:t>
      </w:r>
      <w:r w:rsidRPr="001C12D3">
        <w:rPr>
          <w:rFonts w:ascii="Book Antiqua" w:hAnsi="Book Antiqua" w:cs="宋体"/>
          <w:b/>
          <w:bCs/>
          <w:sz w:val="24"/>
          <w:szCs w:val="24"/>
          <w:lang w:eastAsia="zh-CN"/>
        </w:rPr>
        <w:t>Kindler HL</w:t>
      </w:r>
      <w:r w:rsidRPr="001C12D3">
        <w:rPr>
          <w:rFonts w:ascii="Book Antiqua" w:hAnsi="Book Antiqua" w:cs="宋体"/>
          <w:sz w:val="24"/>
          <w:szCs w:val="24"/>
          <w:lang w:eastAsia="zh-CN"/>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28</w:t>
      </w:r>
      <w:r w:rsidRPr="001C12D3">
        <w:rPr>
          <w:rFonts w:ascii="Book Antiqua" w:hAnsi="Book Antiqua" w:cs="宋体"/>
          <w:sz w:val="24"/>
          <w:szCs w:val="24"/>
          <w:lang w:eastAsia="zh-CN"/>
        </w:rPr>
        <w:t>: 3617-3622 [PMID: 20606091 DOI: 10.1200/JCO.2010.28.1386]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66 </w:t>
      </w:r>
      <w:r w:rsidRPr="001C12D3">
        <w:rPr>
          <w:rFonts w:ascii="Book Antiqua" w:hAnsi="Book Antiqua" w:cs="宋体"/>
          <w:b/>
          <w:bCs/>
          <w:sz w:val="24"/>
          <w:szCs w:val="24"/>
          <w:lang w:eastAsia="zh-CN"/>
        </w:rPr>
        <w:t>Van Cutsem E</w:t>
      </w:r>
      <w:r w:rsidRPr="001C12D3">
        <w:rPr>
          <w:rFonts w:ascii="Book Antiqua" w:hAnsi="Book Antiqua" w:cs="宋体"/>
          <w:sz w:val="24"/>
          <w:szCs w:val="24"/>
          <w:lang w:eastAsia="zh-CN"/>
        </w:rPr>
        <w:t xml:space="preserve">, Vervenne WL, Bennouna J, Humblet Y, Gill S, Van Laethem JL, Verslype C, Scheithauer W, Shang A, Cosaert J, Moore MJ. Phase III trial of bevacizumab in combination with gemcitabine and erlotinib in patients with metastatic pancreatic cancer. </w:t>
      </w:r>
      <w:r w:rsidRPr="001C12D3">
        <w:rPr>
          <w:rFonts w:ascii="Book Antiqua" w:hAnsi="Book Antiqua" w:cs="宋体"/>
          <w:i/>
          <w:iCs/>
          <w:sz w:val="24"/>
          <w:szCs w:val="24"/>
          <w:lang w:eastAsia="zh-CN"/>
        </w:rPr>
        <w:t>J Clin Oncol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27</w:t>
      </w:r>
      <w:r w:rsidRPr="001C12D3">
        <w:rPr>
          <w:rFonts w:ascii="Book Antiqua" w:hAnsi="Book Antiqua" w:cs="宋体"/>
          <w:sz w:val="24"/>
          <w:szCs w:val="24"/>
          <w:lang w:eastAsia="zh-CN"/>
        </w:rPr>
        <w:t>: 2231-2237 [PMID: 19307500 DOI: 10.1200/JCO.2008.20.0238]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67 </w:t>
      </w:r>
      <w:r w:rsidRPr="001C12D3">
        <w:rPr>
          <w:rFonts w:ascii="Book Antiqua" w:hAnsi="Book Antiqua" w:cs="宋体"/>
          <w:b/>
          <w:bCs/>
          <w:sz w:val="24"/>
          <w:szCs w:val="24"/>
          <w:lang w:eastAsia="zh-CN"/>
        </w:rPr>
        <w:t>Ko AH</w:t>
      </w:r>
      <w:r w:rsidRPr="001C12D3">
        <w:rPr>
          <w:rFonts w:ascii="Book Antiqua" w:hAnsi="Book Antiqua" w:cs="宋体"/>
          <w:sz w:val="24"/>
          <w:szCs w:val="24"/>
          <w:lang w:eastAsia="zh-CN"/>
        </w:rPr>
        <w:t xml:space="preserve">, Venook AP, Bergsland EK, Kelley RK, Korn WM, Dito E, Schillinger B, Scott J, Hwang J, Tempero MA. A phase II study of bevacizumab plus erlotinib for gemcitabine-refractory metastatic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66</w:t>
      </w:r>
      <w:r w:rsidRPr="001C12D3">
        <w:rPr>
          <w:rFonts w:ascii="Book Antiqua" w:hAnsi="Book Antiqua" w:cs="宋体"/>
          <w:sz w:val="24"/>
          <w:szCs w:val="24"/>
          <w:lang w:eastAsia="zh-CN"/>
        </w:rPr>
        <w:t>: 1051-1057 [PMID: 20130876 DOI: 10.1007/s00280-010-1257-5]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68 </w:t>
      </w:r>
      <w:r w:rsidRPr="001C12D3">
        <w:rPr>
          <w:rFonts w:ascii="Book Antiqua" w:hAnsi="Book Antiqua" w:cs="宋体"/>
          <w:b/>
          <w:sz w:val="24"/>
          <w:szCs w:val="24"/>
          <w:lang w:eastAsia="zh-CN"/>
        </w:rPr>
        <w:t>Dragovich T</w:t>
      </w:r>
      <w:r w:rsidRPr="001C12D3">
        <w:rPr>
          <w:rFonts w:ascii="Book Antiqua" w:hAnsi="Book Antiqua" w:cs="宋体"/>
          <w:sz w:val="24"/>
          <w:szCs w:val="24"/>
          <w:lang w:eastAsia="zh-CN"/>
        </w:rPr>
        <w:t xml:space="preserve">, Laheru DA, Crowley JJ, Smith LS, Seng J, Burris HA, Rosen PJ, Von Hoff DD, Bolejack V, Hidalgo M. Phase II trial of vatalinib in patients with advanced or metastatic pancreatic adenocarcinoma who failed gemcitabine therapy.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2008; </w:t>
      </w:r>
      <w:r w:rsidRPr="001C12D3">
        <w:rPr>
          <w:rFonts w:ascii="Book Antiqua" w:hAnsi="Book Antiqua" w:cs="宋体"/>
          <w:b/>
          <w:sz w:val="24"/>
          <w:szCs w:val="24"/>
          <w:lang w:eastAsia="zh-CN"/>
        </w:rPr>
        <w:t>26</w:t>
      </w:r>
      <w:r w:rsidRPr="001C12D3">
        <w:rPr>
          <w:rFonts w:ascii="Book Antiqua" w:hAnsi="Book Antiqua" w:cs="宋体"/>
          <w:sz w:val="24"/>
          <w:szCs w:val="24"/>
          <w:lang w:eastAsia="zh-CN"/>
        </w:rPr>
        <w:t xml:space="preserve"> Suppl 15: abstract 4615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69 </w:t>
      </w:r>
      <w:r w:rsidRPr="001C12D3">
        <w:rPr>
          <w:rFonts w:ascii="Book Antiqua" w:hAnsi="Book Antiqua" w:cs="宋体"/>
          <w:b/>
          <w:bCs/>
          <w:sz w:val="24"/>
          <w:szCs w:val="24"/>
          <w:lang w:eastAsia="zh-CN"/>
        </w:rPr>
        <w:t>O'Reilly EM</w:t>
      </w:r>
      <w:r w:rsidRPr="001C12D3">
        <w:rPr>
          <w:rFonts w:ascii="Book Antiqua" w:hAnsi="Book Antiqua" w:cs="宋体"/>
          <w:sz w:val="24"/>
          <w:szCs w:val="24"/>
          <w:lang w:eastAsia="zh-CN"/>
        </w:rPr>
        <w:t xml:space="preserve">, Niedzwiecki D, Hall M, Hollis D, Bekaii-Saab T, Pluard T, Douglas K, Abou-Alfa GK, Kindler HL, Schilsky RL, Goldberg RM. A Cancer and Leukemia Group B phase II study of sunitinib malate in patients with previously treated metastatic pancreatic adenocarcinoma (CALGB 80603). </w:t>
      </w:r>
      <w:r w:rsidRPr="001C12D3">
        <w:rPr>
          <w:rFonts w:ascii="Book Antiqua" w:hAnsi="Book Antiqua" w:cs="宋体"/>
          <w:i/>
          <w:iCs/>
          <w:sz w:val="24"/>
          <w:szCs w:val="24"/>
          <w:lang w:eastAsia="zh-CN"/>
        </w:rPr>
        <w:t>Oncologist</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15</w:t>
      </w:r>
      <w:r w:rsidRPr="001C12D3">
        <w:rPr>
          <w:rFonts w:ascii="Book Antiqua" w:hAnsi="Book Antiqua" w:cs="宋体"/>
          <w:sz w:val="24"/>
          <w:szCs w:val="24"/>
          <w:lang w:eastAsia="zh-CN"/>
        </w:rPr>
        <w:t>: 1310-1319 [PMID: 21148613 DOI: 10.1634/theoncologist.2010-0152.]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70 </w:t>
      </w:r>
      <w:r w:rsidRPr="001C12D3">
        <w:rPr>
          <w:rFonts w:ascii="Book Antiqua" w:hAnsi="Book Antiqua" w:cs="宋体"/>
          <w:b/>
          <w:bCs/>
          <w:sz w:val="24"/>
          <w:szCs w:val="24"/>
          <w:lang w:eastAsia="zh-CN"/>
        </w:rPr>
        <w:t>Olive KP</w:t>
      </w:r>
      <w:r w:rsidRPr="001C12D3">
        <w:rPr>
          <w:rFonts w:ascii="Book Antiqua" w:hAnsi="Book Antiqua" w:cs="宋体"/>
          <w:sz w:val="24"/>
          <w:szCs w:val="24"/>
          <w:lang w:eastAsia="zh-CN"/>
        </w:rPr>
        <w:t xml:space="preserve">, Jacobetz MA, Davidson CJ, Gopinathan A, McIntyre D, Honess D, Madhu B, Goldgraben MA, Caldwell ME, Allard D, Frese KK, Denicola G, Feig C, Combs C, Winter SP, Ireland-Zecchini H, Reichelt S, Howat WJ, Chang A, Dhara M, Wang L, </w:t>
      </w:r>
      <w:r w:rsidRPr="001C12D3">
        <w:rPr>
          <w:rFonts w:ascii="Book Antiqua" w:hAnsi="Book Antiqua" w:cs="宋体"/>
          <w:sz w:val="24"/>
          <w:szCs w:val="24"/>
          <w:lang w:eastAsia="zh-CN"/>
        </w:rPr>
        <w:lastRenderedPageBreak/>
        <w:t xml:space="preserve">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1C12D3">
        <w:rPr>
          <w:rFonts w:ascii="Book Antiqua" w:hAnsi="Book Antiqua" w:cs="宋体"/>
          <w:i/>
          <w:iCs/>
          <w:sz w:val="24"/>
          <w:szCs w:val="24"/>
          <w:lang w:eastAsia="zh-CN"/>
        </w:rPr>
        <w:t>Science</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324</w:t>
      </w:r>
      <w:r w:rsidRPr="001C12D3">
        <w:rPr>
          <w:rFonts w:ascii="Book Antiqua" w:hAnsi="Book Antiqua" w:cs="宋体"/>
          <w:sz w:val="24"/>
          <w:szCs w:val="24"/>
          <w:lang w:eastAsia="zh-CN"/>
        </w:rPr>
        <w:t>: 1457-1461 [PMID: 19460966 DOI: 10.1126/science.1171362]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71 </w:t>
      </w:r>
      <w:r w:rsidRPr="001C12D3">
        <w:rPr>
          <w:rFonts w:ascii="Book Antiqua" w:hAnsi="Book Antiqua" w:cs="宋体"/>
          <w:b/>
          <w:bCs/>
          <w:sz w:val="24"/>
          <w:szCs w:val="24"/>
          <w:lang w:eastAsia="zh-CN"/>
        </w:rPr>
        <w:t>Okami J</w:t>
      </w:r>
      <w:r w:rsidRPr="001C12D3">
        <w:rPr>
          <w:rFonts w:ascii="Book Antiqua" w:hAnsi="Book Antiqua" w:cs="宋体"/>
          <w:sz w:val="24"/>
          <w:szCs w:val="24"/>
          <w:lang w:eastAsia="zh-CN"/>
        </w:rPr>
        <w:t xml:space="preserve">, Yamamoto H, Fujiwara Y, Tsujie M, Kondo M, Noura S, Oshima S, Nagano H, Dono K, Umeshita K, Ishikawa O, Sakon M, Matsuura N, Nakamori S, Monden M. Overexpression of cyclooxygenase-2 in carcinoma of the pancreas. </w:t>
      </w:r>
      <w:r w:rsidRPr="001C12D3">
        <w:rPr>
          <w:rFonts w:ascii="Book Antiqua" w:hAnsi="Book Antiqua" w:cs="宋体"/>
          <w:i/>
          <w:iCs/>
          <w:sz w:val="24"/>
          <w:szCs w:val="24"/>
          <w:lang w:eastAsia="zh-CN"/>
        </w:rPr>
        <w:t>Clin Cancer Res</w:t>
      </w:r>
      <w:r w:rsidRPr="001C12D3">
        <w:rPr>
          <w:rFonts w:ascii="Book Antiqua" w:hAnsi="Book Antiqua" w:cs="宋体"/>
          <w:sz w:val="24"/>
          <w:szCs w:val="24"/>
          <w:lang w:eastAsia="zh-CN"/>
        </w:rPr>
        <w:t xml:space="preserve"> 1999; </w:t>
      </w:r>
      <w:r w:rsidRPr="001C12D3">
        <w:rPr>
          <w:rFonts w:ascii="Book Antiqua" w:hAnsi="Book Antiqua" w:cs="宋体"/>
          <w:b/>
          <w:bCs/>
          <w:sz w:val="24"/>
          <w:szCs w:val="24"/>
          <w:lang w:eastAsia="zh-CN"/>
        </w:rPr>
        <w:t>5</w:t>
      </w:r>
      <w:r w:rsidRPr="001C12D3">
        <w:rPr>
          <w:rFonts w:ascii="Book Antiqua" w:hAnsi="Book Antiqua" w:cs="宋体"/>
          <w:sz w:val="24"/>
          <w:szCs w:val="24"/>
          <w:lang w:eastAsia="zh-CN"/>
        </w:rPr>
        <w:t>: 2018-2024 [PMID: 10473081]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72 </w:t>
      </w:r>
      <w:r w:rsidRPr="001C12D3">
        <w:rPr>
          <w:rFonts w:ascii="Book Antiqua" w:hAnsi="Book Antiqua" w:cs="宋体"/>
          <w:b/>
          <w:bCs/>
          <w:sz w:val="24"/>
          <w:szCs w:val="24"/>
          <w:lang w:eastAsia="zh-CN"/>
        </w:rPr>
        <w:t>Pai R</w:t>
      </w:r>
      <w:r w:rsidRPr="001C12D3">
        <w:rPr>
          <w:rFonts w:ascii="Book Antiqua" w:hAnsi="Book Antiqua" w:cs="宋体"/>
          <w:sz w:val="24"/>
          <w:szCs w:val="24"/>
          <w:lang w:eastAsia="zh-CN"/>
        </w:rPr>
        <w:t xml:space="preserve">, Soreghan B, Szabo IL, Pavelka M, Baatar D, Tarnawski AS. Prostaglandin E2 transactivates EGF receptor: a novel mechanism for promoting colon cancer growth and gastrointestinal hypertrophy. </w:t>
      </w:r>
      <w:r w:rsidRPr="001C12D3">
        <w:rPr>
          <w:rFonts w:ascii="Book Antiqua" w:hAnsi="Book Antiqua" w:cs="宋体"/>
          <w:i/>
          <w:iCs/>
          <w:sz w:val="24"/>
          <w:szCs w:val="24"/>
          <w:lang w:eastAsia="zh-CN"/>
        </w:rPr>
        <w:t>Nat Med</w:t>
      </w:r>
      <w:r w:rsidRPr="001C12D3">
        <w:rPr>
          <w:rFonts w:ascii="Book Antiqua" w:hAnsi="Book Antiqua" w:cs="宋体"/>
          <w:sz w:val="24"/>
          <w:szCs w:val="24"/>
          <w:lang w:eastAsia="zh-CN"/>
        </w:rPr>
        <w:t xml:space="preserve"> 2002; </w:t>
      </w:r>
      <w:r w:rsidRPr="001C12D3">
        <w:rPr>
          <w:rFonts w:ascii="Book Antiqua" w:hAnsi="Book Antiqua" w:cs="宋体"/>
          <w:b/>
          <w:bCs/>
          <w:sz w:val="24"/>
          <w:szCs w:val="24"/>
          <w:lang w:eastAsia="zh-CN"/>
        </w:rPr>
        <w:t>8</w:t>
      </w:r>
      <w:r w:rsidRPr="001C12D3">
        <w:rPr>
          <w:rFonts w:ascii="Book Antiqua" w:hAnsi="Book Antiqua" w:cs="宋体"/>
          <w:sz w:val="24"/>
          <w:szCs w:val="24"/>
          <w:lang w:eastAsia="zh-CN"/>
        </w:rPr>
        <w:t>: 289-293 [PMID: 11875501 DOI: 10.1038/nm0302-289]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73 </w:t>
      </w:r>
      <w:r w:rsidRPr="001C12D3">
        <w:rPr>
          <w:rFonts w:ascii="Book Antiqua" w:hAnsi="Book Antiqua" w:cs="宋体"/>
          <w:b/>
          <w:bCs/>
          <w:sz w:val="24"/>
          <w:szCs w:val="24"/>
          <w:lang w:eastAsia="zh-CN"/>
        </w:rPr>
        <w:t>Milella M</w:t>
      </w:r>
      <w:r w:rsidRPr="001C12D3">
        <w:rPr>
          <w:rFonts w:ascii="Book Antiqua" w:hAnsi="Book Antiqua" w:cs="宋体"/>
          <w:sz w:val="24"/>
          <w:szCs w:val="24"/>
          <w:lang w:eastAsia="zh-CN"/>
        </w:rPr>
        <w:t xml:space="preserve">, Gelibter A, Di Cosimo S, Bria E, Ruggeri EM, Carlini P, Malaguti P, Pellicciotta M, Terzoli E, Cognetti F. Pilot study of celecoxib and infusional 5-fluorouracil as second-line treatment for advanced pancreatic carcinoma. </w:t>
      </w:r>
      <w:r w:rsidRPr="001C12D3">
        <w:rPr>
          <w:rFonts w:ascii="Book Antiqua" w:hAnsi="Book Antiqua" w:cs="宋体"/>
          <w:i/>
          <w:iCs/>
          <w:sz w:val="24"/>
          <w:szCs w:val="24"/>
          <w:lang w:eastAsia="zh-CN"/>
        </w:rPr>
        <w:t>Cancer</w:t>
      </w:r>
      <w:r w:rsidRPr="001C12D3">
        <w:rPr>
          <w:rFonts w:ascii="Book Antiqua" w:hAnsi="Book Antiqua" w:cs="宋体"/>
          <w:sz w:val="24"/>
          <w:szCs w:val="24"/>
          <w:lang w:eastAsia="zh-CN"/>
        </w:rPr>
        <w:t xml:space="preserve"> 2004; </w:t>
      </w:r>
      <w:r w:rsidRPr="001C12D3">
        <w:rPr>
          <w:rFonts w:ascii="Book Antiqua" w:hAnsi="Book Antiqua" w:cs="宋体"/>
          <w:b/>
          <w:bCs/>
          <w:sz w:val="24"/>
          <w:szCs w:val="24"/>
          <w:lang w:eastAsia="zh-CN"/>
        </w:rPr>
        <w:t>101</w:t>
      </w:r>
      <w:r w:rsidRPr="001C12D3">
        <w:rPr>
          <w:rFonts w:ascii="Book Antiqua" w:hAnsi="Book Antiqua" w:cs="宋体"/>
          <w:sz w:val="24"/>
          <w:szCs w:val="24"/>
          <w:lang w:eastAsia="zh-CN"/>
        </w:rPr>
        <w:t>: 133-138 [PMID: 15221998 DOI: 10.1002/cncr.20338]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74 </w:t>
      </w:r>
      <w:r w:rsidRPr="001C12D3">
        <w:rPr>
          <w:rFonts w:ascii="Book Antiqua" w:hAnsi="Book Antiqua" w:cs="宋体"/>
          <w:b/>
          <w:bCs/>
          <w:sz w:val="24"/>
          <w:szCs w:val="24"/>
          <w:lang w:eastAsia="zh-CN"/>
        </w:rPr>
        <w:t>Pino MS</w:t>
      </w:r>
      <w:r w:rsidRPr="001C12D3">
        <w:rPr>
          <w:rFonts w:ascii="Book Antiqua" w:hAnsi="Book Antiqua" w:cs="宋体"/>
          <w:sz w:val="24"/>
          <w:szCs w:val="24"/>
          <w:lang w:eastAsia="zh-CN"/>
        </w:rPr>
        <w:t xml:space="preserve">, Milella M, Gelibter A, Sperduti I, De Marco S, Nuzzo C, Bria E, Carpanese L, Ruggeri EM, Carlini P, Cognetti F. Capecitabine and celecoxib as second-line treatment of advanced pancreatic and biliary tract cancers.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76</w:t>
      </w:r>
      <w:r w:rsidRPr="001C12D3">
        <w:rPr>
          <w:rFonts w:ascii="Book Antiqua" w:hAnsi="Book Antiqua" w:cs="宋体"/>
          <w:sz w:val="24"/>
          <w:szCs w:val="24"/>
          <w:lang w:eastAsia="zh-CN"/>
        </w:rPr>
        <w:t>: 254-261 [PMID: 19246950 DOI: 10.1159/000205388]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75 </w:t>
      </w:r>
      <w:r w:rsidRPr="001C12D3">
        <w:rPr>
          <w:rFonts w:ascii="Book Antiqua" w:hAnsi="Book Antiqua" w:cs="宋体"/>
          <w:b/>
          <w:bCs/>
          <w:sz w:val="24"/>
          <w:szCs w:val="24"/>
          <w:lang w:eastAsia="zh-CN"/>
        </w:rPr>
        <w:t>Rahma OE</w:t>
      </w:r>
      <w:r w:rsidRPr="001C12D3">
        <w:rPr>
          <w:rFonts w:ascii="Book Antiqua" w:hAnsi="Book Antiqua" w:cs="宋体"/>
          <w:sz w:val="24"/>
          <w:szCs w:val="24"/>
          <w:lang w:eastAsia="zh-CN"/>
        </w:rPr>
        <w:t xml:space="preserve">, Duffy A, Liewehr DJ, Steinberg SM, Greten TF. Second-line treatment in advanced pancreatic cancer: a comprehensive analysis of published clinical trials. </w:t>
      </w:r>
      <w:r w:rsidRPr="001C12D3">
        <w:rPr>
          <w:rFonts w:ascii="Book Antiqua" w:hAnsi="Book Antiqua" w:cs="宋体"/>
          <w:i/>
          <w:iCs/>
          <w:sz w:val="24"/>
          <w:szCs w:val="24"/>
          <w:lang w:eastAsia="zh-CN"/>
        </w:rPr>
        <w:t>Ann Oncol</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24</w:t>
      </w:r>
      <w:r w:rsidRPr="001C12D3">
        <w:rPr>
          <w:rFonts w:ascii="Book Antiqua" w:hAnsi="Book Antiqua" w:cs="宋体"/>
          <w:sz w:val="24"/>
          <w:szCs w:val="24"/>
          <w:lang w:eastAsia="zh-CN"/>
        </w:rPr>
        <w:t>: 1972-1979 [PMID: 23670093 DOI: 10.1093/annonc/mdt166]</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76 </w:t>
      </w:r>
      <w:r w:rsidRPr="001C12D3">
        <w:rPr>
          <w:rFonts w:ascii="Book Antiqua" w:hAnsi="Book Antiqua" w:cs="宋体"/>
          <w:b/>
          <w:bCs/>
          <w:sz w:val="24"/>
          <w:szCs w:val="24"/>
          <w:lang w:eastAsia="zh-CN"/>
        </w:rPr>
        <w:t>Fortune BE</w:t>
      </w:r>
      <w:r w:rsidRPr="001C12D3">
        <w:rPr>
          <w:rFonts w:ascii="Book Antiqua" w:hAnsi="Book Antiqua" w:cs="宋体"/>
          <w:sz w:val="24"/>
          <w:szCs w:val="24"/>
          <w:lang w:eastAsia="zh-CN"/>
        </w:rPr>
        <w:t xml:space="preserve">, Li X, Kosuri KV, Weatherby LM, Thomas JP, Bekaii-Saab TS. Fixed-dose-rate gemcitabine in combination with oxaliplatin in patients with metastatic pancreatic cancer refractory to standard-dose-rate gemcitabine: a single-institute study.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76</w:t>
      </w:r>
      <w:r w:rsidRPr="001C12D3">
        <w:rPr>
          <w:rFonts w:ascii="Book Antiqua" w:hAnsi="Book Antiqua" w:cs="宋体"/>
          <w:sz w:val="24"/>
          <w:szCs w:val="24"/>
          <w:lang w:eastAsia="zh-CN"/>
        </w:rPr>
        <w:t>: 333-337 [PMID: 19307739 DOI: 10.1159/000209962]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77 </w:t>
      </w:r>
      <w:r w:rsidRPr="001C12D3">
        <w:rPr>
          <w:rFonts w:ascii="Book Antiqua" w:hAnsi="Book Antiqua" w:cs="宋体"/>
          <w:b/>
          <w:bCs/>
          <w:sz w:val="24"/>
          <w:szCs w:val="24"/>
          <w:lang w:eastAsia="zh-CN"/>
        </w:rPr>
        <w:t>Stathopoulos GP</w:t>
      </w:r>
      <w:r w:rsidRPr="001C12D3">
        <w:rPr>
          <w:rFonts w:ascii="Book Antiqua" w:hAnsi="Book Antiqua" w:cs="宋体"/>
          <w:sz w:val="24"/>
          <w:szCs w:val="24"/>
          <w:lang w:eastAsia="zh-CN"/>
        </w:rPr>
        <w:t xml:space="preserve">, Boulikas T, Vougiouka M, Rigatos SK, Stathopoulos JG. Liposomal cisplatin combined with gemcitabine in pretreated advanced pancreatic cancer patients: a phase I-II study. </w:t>
      </w:r>
      <w:r w:rsidRPr="001C12D3">
        <w:rPr>
          <w:rFonts w:ascii="Book Antiqua" w:hAnsi="Book Antiqua" w:cs="宋体"/>
          <w:i/>
          <w:iCs/>
          <w:sz w:val="24"/>
          <w:szCs w:val="24"/>
          <w:lang w:eastAsia="zh-CN"/>
        </w:rPr>
        <w:t>Oncol Rep</w:t>
      </w:r>
      <w:r w:rsidRPr="001C12D3">
        <w:rPr>
          <w:rFonts w:ascii="Book Antiqua" w:hAnsi="Book Antiqua" w:cs="宋体"/>
          <w:sz w:val="24"/>
          <w:szCs w:val="24"/>
          <w:lang w:eastAsia="zh-CN"/>
        </w:rPr>
        <w:t xml:space="preserve"> 2006; </w:t>
      </w:r>
      <w:r w:rsidRPr="001C12D3">
        <w:rPr>
          <w:rFonts w:ascii="Book Antiqua" w:hAnsi="Book Antiqua" w:cs="宋体"/>
          <w:b/>
          <w:bCs/>
          <w:sz w:val="24"/>
          <w:szCs w:val="24"/>
          <w:lang w:eastAsia="zh-CN"/>
        </w:rPr>
        <w:t>15</w:t>
      </w:r>
      <w:r w:rsidRPr="001C12D3">
        <w:rPr>
          <w:rFonts w:ascii="Book Antiqua" w:hAnsi="Book Antiqua" w:cs="宋体"/>
          <w:sz w:val="24"/>
          <w:szCs w:val="24"/>
          <w:lang w:eastAsia="zh-CN"/>
        </w:rPr>
        <w:t>: 1201-1204 [PMID: 16596187]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78 </w:t>
      </w:r>
      <w:r w:rsidRPr="001C12D3">
        <w:rPr>
          <w:rFonts w:ascii="Book Antiqua" w:hAnsi="Book Antiqua" w:cs="宋体"/>
          <w:b/>
          <w:bCs/>
          <w:sz w:val="24"/>
          <w:szCs w:val="24"/>
          <w:lang w:eastAsia="zh-CN"/>
        </w:rPr>
        <w:t>Yi SY</w:t>
      </w:r>
      <w:r w:rsidRPr="001C12D3">
        <w:rPr>
          <w:rFonts w:ascii="Book Antiqua" w:hAnsi="Book Antiqua" w:cs="宋体"/>
          <w:sz w:val="24"/>
          <w:szCs w:val="24"/>
          <w:lang w:eastAsia="zh-CN"/>
        </w:rPr>
        <w:t xml:space="preserve">, Park YS, Kim HS, Jun HJ, Kim KH, Chang MH, Park MJ, Uhm JE, Lee J, Park SH, Park JO, Lee JK, Lee KT, Lim HY, Kang WK. Irinotecan monotherapy as second-line treatment in advanced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63</w:t>
      </w:r>
      <w:r w:rsidRPr="001C12D3">
        <w:rPr>
          <w:rFonts w:ascii="Book Antiqua" w:hAnsi="Book Antiqua" w:cs="宋体"/>
          <w:sz w:val="24"/>
          <w:szCs w:val="24"/>
          <w:lang w:eastAsia="zh-CN"/>
        </w:rPr>
        <w:t>: 1141-1145 [PMID: 18839175 DOI: 10.1007/s00280-008-0839-y]</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79 </w:t>
      </w:r>
      <w:r w:rsidRPr="001C12D3">
        <w:rPr>
          <w:rFonts w:ascii="Book Antiqua" w:hAnsi="Book Antiqua" w:cs="宋体"/>
          <w:b/>
          <w:bCs/>
          <w:sz w:val="24"/>
          <w:szCs w:val="24"/>
          <w:lang w:eastAsia="zh-CN"/>
        </w:rPr>
        <w:t>Takahara N</w:t>
      </w:r>
      <w:r w:rsidRPr="001C12D3">
        <w:rPr>
          <w:rFonts w:ascii="Book Antiqua" w:hAnsi="Book Antiqua" w:cs="宋体"/>
          <w:sz w:val="24"/>
          <w:szCs w:val="24"/>
          <w:lang w:eastAsia="zh-CN"/>
        </w:rPr>
        <w:t xml:space="preserve">, Nakai Y, Isayama H, Sasaki T, Satoh Y, Takai D, Hamada T, Uchino R, Mizuno S, Miyabayashi K, Mohri D, Kawakubo K, Kogure H, Yamamoto N, Sasahira N, Hirano K, Ijichi H, Tada M, Yatomi Y, Koike K. Uridine diphosphate glucuronosyl transferase 1 family polypeptide A1 gene (UGT1A1) polymorphisms are associated with toxicity and efficacy in irinotecan monotherapy for refractory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71</w:t>
      </w:r>
      <w:r w:rsidRPr="001C12D3">
        <w:rPr>
          <w:rFonts w:ascii="Book Antiqua" w:hAnsi="Book Antiqua" w:cs="宋体"/>
          <w:sz w:val="24"/>
          <w:szCs w:val="24"/>
          <w:lang w:eastAsia="zh-CN"/>
        </w:rPr>
        <w:t>: 85-92 [PMID: 23053265 DOI: 10.1007/s00280-012-1981-0]</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80 </w:t>
      </w:r>
      <w:r w:rsidRPr="001C12D3">
        <w:rPr>
          <w:rFonts w:ascii="Book Antiqua" w:hAnsi="Book Antiqua" w:cs="宋体"/>
          <w:b/>
          <w:sz w:val="24"/>
          <w:szCs w:val="24"/>
          <w:lang w:eastAsia="zh-CN"/>
        </w:rPr>
        <w:t>Fukahori M</w:t>
      </w:r>
      <w:r w:rsidRPr="001C12D3">
        <w:rPr>
          <w:rFonts w:ascii="Book Antiqua" w:hAnsi="Book Antiqua" w:cs="宋体"/>
          <w:sz w:val="24"/>
          <w:szCs w:val="24"/>
          <w:lang w:eastAsia="zh-CN"/>
        </w:rPr>
        <w:t xml:space="preserve">. Efficacy of gemcitabine as second-line therapy after S-1 therapy failure in advanced pancreatic carcinoma.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2012; </w:t>
      </w:r>
      <w:r w:rsidRPr="001C12D3">
        <w:rPr>
          <w:rFonts w:ascii="Book Antiqua" w:hAnsi="Book Antiqua" w:cs="宋体"/>
          <w:b/>
          <w:sz w:val="24"/>
          <w:szCs w:val="24"/>
          <w:lang w:eastAsia="zh-CN"/>
        </w:rPr>
        <w:t>30</w:t>
      </w:r>
      <w:r w:rsidRPr="001C12D3">
        <w:rPr>
          <w:rFonts w:ascii="Book Antiqua" w:hAnsi="Book Antiqua" w:cs="宋体"/>
          <w:sz w:val="24"/>
          <w:szCs w:val="24"/>
          <w:lang w:eastAsia="zh-CN"/>
        </w:rPr>
        <w:t xml:space="preserve"> Suppl 4: abstract 248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81 </w:t>
      </w:r>
      <w:r w:rsidRPr="001C12D3">
        <w:rPr>
          <w:rFonts w:ascii="Book Antiqua" w:hAnsi="Book Antiqua" w:cs="宋体"/>
          <w:b/>
          <w:bCs/>
          <w:sz w:val="24"/>
          <w:szCs w:val="24"/>
          <w:lang w:eastAsia="zh-CN"/>
        </w:rPr>
        <w:t>Androulakis N</w:t>
      </w:r>
      <w:r w:rsidRPr="001C12D3">
        <w:rPr>
          <w:rFonts w:ascii="Book Antiqua" w:hAnsi="Book Antiqua" w:cs="宋体"/>
          <w:sz w:val="24"/>
          <w:szCs w:val="24"/>
          <w:lang w:eastAsia="zh-CN"/>
        </w:rPr>
        <w:t xml:space="preserve">, Syrigos K, Polyzos A, Aravantinos G, Stathopoulos GP, Ziras N, Mallas K, Vamvakas L, Georgoulis V. Oxaliplatin for pretreated patients with advanced or metastatic pancreatic cancer: a multicenter phase II study. </w:t>
      </w:r>
      <w:r w:rsidRPr="001C12D3">
        <w:rPr>
          <w:rFonts w:ascii="Book Antiqua" w:hAnsi="Book Antiqua" w:cs="宋体"/>
          <w:i/>
          <w:iCs/>
          <w:sz w:val="24"/>
          <w:szCs w:val="24"/>
          <w:lang w:eastAsia="zh-CN"/>
        </w:rPr>
        <w:t>Cancer Invest</w:t>
      </w:r>
      <w:r w:rsidRPr="001C12D3">
        <w:rPr>
          <w:rFonts w:ascii="Book Antiqua" w:hAnsi="Book Antiqua" w:cs="宋体"/>
          <w:sz w:val="24"/>
          <w:szCs w:val="24"/>
          <w:lang w:eastAsia="zh-CN"/>
        </w:rPr>
        <w:t xml:space="preserve"> 2005; </w:t>
      </w:r>
      <w:r w:rsidRPr="001C12D3">
        <w:rPr>
          <w:rFonts w:ascii="Book Antiqua" w:hAnsi="Book Antiqua" w:cs="宋体"/>
          <w:b/>
          <w:bCs/>
          <w:sz w:val="24"/>
          <w:szCs w:val="24"/>
          <w:lang w:eastAsia="zh-CN"/>
        </w:rPr>
        <w:t>23</w:t>
      </w:r>
      <w:r w:rsidRPr="001C12D3">
        <w:rPr>
          <w:rFonts w:ascii="Book Antiqua" w:hAnsi="Book Antiqua" w:cs="宋体"/>
          <w:sz w:val="24"/>
          <w:szCs w:val="24"/>
          <w:lang w:eastAsia="zh-CN"/>
        </w:rPr>
        <w:t>: 9-12 [PMID: 15779862 DOI: 10.1081/CNV-46502]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82 </w:t>
      </w:r>
      <w:r w:rsidRPr="001C12D3">
        <w:rPr>
          <w:rFonts w:ascii="Book Antiqua" w:hAnsi="Book Antiqua" w:cs="宋体"/>
          <w:b/>
          <w:bCs/>
          <w:sz w:val="24"/>
          <w:szCs w:val="24"/>
          <w:lang w:eastAsia="zh-CN"/>
        </w:rPr>
        <w:t>Boeck S</w:t>
      </w:r>
      <w:r w:rsidRPr="001C12D3">
        <w:rPr>
          <w:rFonts w:ascii="Book Antiqua" w:hAnsi="Book Antiqua" w:cs="宋体"/>
          <w:sz w:val="24"/>
          <w:szCs w:val="24"/>
          <w:lang w:eastAsia="zh-CN"/>
        </w:rPr>
        <w:t xml:space="preserve">, Weigang-Köhler K, Fuchs M, Kettner E, Quietzsch D, Trojan J, Stötzer O, Zeuzem S, Lordick F, Köhne CH, Kröning H, Steinmetz T, Depenbrock H, Heinemann V. Second-line chemotherapy with pemetrexed after gemcitabine failure in patients with advanced pancreatic cancer: a multicenter phase II trial. </w:t>
      </w:r>
      <w:r w:rsidRPr="001C12D3">
        <w:rPr>
          <w:rFonts w:ascii="Book Antiqua" w:hAnsi="Book Antiqua" w:cs="宋体"/>
          <w:i/>
          <w:iCs/>
          <w:sz w:val="24"/>
          <w:szCs w:val="24"/>
          <w:lang w:eastAsia="zh-CN"/>
        </w:rPr>
        <w:t>Ann Oncol</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18</w:t>
      </w:r>
      <w:r w:rsidRPr="001C12D3">
        <w:rPr>
          <w:rFonts w:ascii="Book Antiqua" w:hAnsi="Book Antiqua" w:cs="宋体"/>
          <w:sz w:val="24"/>
          <w:szCs w:val="24"/>
          <w:lang w:eastAsia="zh-CN"/>
        </w:rPr>
        <w:t>: 745-751 [PMID: 17229775 DOI: 10.1093/annonc/mdl463]</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83 </w:t>
      </w:r>
      <w:r w:rsidRPr="001C12D3">
        <w:rPr>
          <w:rFonts w:ascii="Book Antiqua" w:hAnsi="Book Antiqua" w:cs="宋体"/>
          <w:b/>
          <w:bCs/>
          <w:sz w:val="24"/>
          <w:szCs w:val="24"/>
          <w:lang w:eastAsia="zh-CN"/>
        </w:rPr>
        <w:t>Kindler HL</w:t>
      </w:r>
      <w:r w:rsidRPr="001C12D3">
        <w:rPr>
          <w:rFonts w:ascii="Book Antiqua" w:hAnsi="Book Antiqua" w:cs="宋体"/>
          <w:sz w:val="24"/>
          <w:szCs w:val="24"/>
          <w:lang w:eastAsia="zh-CN"/>
        </w:rPr>
        <w:t xml:space="preserve">, Aklilu M, Nattam S, Vokes EE. Arsenic trioxide in patients with adenocarcinoma of the pancreas refractory to gemcitabine: a phase II trial of the University of Chicago Phase II Consortium.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2008; </w:t>
      </w:r>
      <w:r w:rsidRPr="001C12D3">
        <w:rPr>
          <w:rFonts w:ascii="Book Antiqua" w:hAnsi="Book Antiqua" w:cs="宋体"/>
          <w:b/>
          <w:bCs/>
          <w:sz w:val="24"/>
          <w:szCs w:val="24"/>
          <w:lang w:eastAsia="zh-CN"/>
        </w:rPr>
        <w:t>31</w:t>
      </w:r>
      <w:r w:rsidRPr="001C12D3">
        <w:rPr>
          <w:rFonts w:ascii="Book Antiqua" w:hAnsi="Book Antiqua" w:cs="宋体"/>
          <w:sz w:val="24"/>
          <w:szCs w:val="24"/>
          <w:lang w:eastAsia="zh-CN"/>
        </w:rPr>
        <w:t>: 553-556 [PMID: 19060586 DOI: 10.1097/COC.0b013e318178e4cd]</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84 </w:t>
      </w:r>
      <w:r w:rsidRPr="001C12D3">
        <w:rPr>
          <w:rFonts w:ascii="Book Antiqua" w:hAnsi="Book Antiqua" w:cs="宋体"/>
          <w:b/>
          <w:bCs/>
          <w:sz w:val="24"/>
          <w:szCs w:val="24"/>
          <w:lang w:eastAsia="zh-CN"/>
        </w:rPr>
        <w:t>Mitry E</w:t>
      </w:r>
      <w:r w:rsidRPr="001C12D3">
        <w:rPr>
          <w:rFonts w:ascii="Book Antiqua" w:hAnsi="Book Antiqua" w:cs="宋体"/>
          <w:sz w:val="24"/>
          <w:szCs w:val="24"/>
          <w:lang w:eastAsia="zh-CN"/>
        </w:rPr>
        <w:t xml:space="preserve">, Ducreux M, Ould-Kaci M, Boige V, Seitz JF, Bugat R, Breau JL, Bouché O, Etienne PL, Tigaud JM, Morvan F, Cvitkovic E, Rougier P. Oxaliplatin combined with 5-FU in second line treatment of advanced pancreatic adenocarcinoma. Results of a phase II trial. </w:t>
      </w:r>
      <w:r w:rsidRPr="001C12D3">
        <w:rPr>
          <w:rFonts w:ascii="Book Antiqua" w:hAnsi="Book Antiqua" w:cs="宋体"/>
          <w:i/>
          <w:iCs/>
          <w:sz w:val="24"/>
          <w:szCs w:val="24"/>
          <w:lang w:eastAsia="zh-CN"/>
        </w:rPr>
        <w:t>Gastroenterol Clin Biol</w:t>
      </w:r>
      <w:r w:rsidRPr="001C12D3">
        <w:rPr>
          <w:rFonts w:ascii="Book Antiqua" w:hAnsi="Book Antiqua" w:cs="宋体"/>
          <w:sz w:val="24"/>
          <w:szCs w:val="24"/>
          <w:lang w:eastAsia="zh-CN"/>
        </w:rPr>
        <w:t xml:space="preserve"> 2006; </w:t>
      </w:r>
      <w:r w:rsidRPr="001C12D3">
        <w:rPr>
          <w:rFonts w:ascii="Book Antiqua" w:hAnsi="Book Antiqua" w:cs="宋体"/>
          <w:b/>
          <w:bCs/>
          <w:sz w:val="24"/>
          <w:szCs w:val="24"/>
          <w:lang w:eastAsia="zh-CN"/>
        </w:rPr>
        <w:t>30</w:t>
      </w:r>
      <w:r w:rsidRPr="001C12D3">
        <w:rPr>
          <w:rFonts w:ascii="Book Antiqua" w:hAnsi="Book Antiqua" w:cs="宋体"/>
          <w:sz w:val="24"/>
          <w:szCs w:val="24"/>
          <w:lang w:eastAsia="zh-CN"/>
        </w:rPr>
        <w:t>: 357-363 [PMID: 16633299 DOI: 10.1016/S0399-8320(06)73188-8]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85 </w:t>
      </w:r>
      <w:r w:rsidRPr="001C12D3">
        <w:rPr>
          <w:rFonts w:ascii="Book Antiqua" w:hAnsi="Book Antiqua" w:cs="宋体"/>
          <w:b/>
          <w:bCs/>
          <w:sz w:val="24"/>
          <w:szCs w:val="24"/>
          <w:lang w:eastAsia="zh-CN"/>
        </w:rPr>
        <w:t>Gebbia V</w:t>
      </w:r>
      <w:r w:rsidRPr="001C12D3">
        <w:rPr>
          <w:rFonts w:ascii="Book Antiqua" w:hAnsi="Book Antiqua" w:cs="宋体"/>
          <w:sz w:val="24"/>
          <w:szCs w:val="24"/>
          <w:lang w:eastAsia="zh-CN"/>
        </w:rPr>
        <w:t xml:space="preserve">, Maiello E, Giuliani F, Borsellino N, Caruso M, Di Maggio G, Ferraù F, Bordonaro R, Verderame F, Tralongo P, Di Cristina L, Agueli R, Russo P, Colucci G. Second-line chemotherapy in advanced pancreatic carcinoma: a multicenter survey of the Gruppo Oncologico Italia Meridionale on the activity and safety of the FOLFOX4 regimen in clinical practice. </w:t>
      </w:r>
      <w:r w:rsidRPr="001C12D3">
        <w:rPr>
          <w:rFonts w:ascii="Book Antiqua" w:hAnsi="Book Antiqua" w:cs="宋体"/>
          <w:i/>
          <w:iCs/>
          <w:sz w:val="24"/>
          <w:szCs w:val="24"/>
          <w:lang w:eastAsia="zh-CN"/>
        </w:rPr>
        <w:t>Ann Oncol</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 xml:space="preserve">18 </w:t>
      </w:r>
      <w:r w:rsidRPr="001C12D3">
        <w:rPr>
          <w:rFonts w:ascii="Book Antiqua" w:hAnsi="Book Antiqua" w:cs="宋体"/>
          <w:bCs/>
          <w:sz w:val="24"/>
          <w:szCs w:val="24"/>
          <w:lang w:eastAsia="zh-CN"/>
        </w:rPr>
        <w:t>Suppl 6</w:t>
      </w:r>
      <w:r w:rsidRPr="001C12D3">
        <w:rPr>
          <w:rFonts w:ascii="Book Antiqua" w:hAnsi="Book Antiqua" w:cs="宋体"/>
          <w:sz w:val="24"/>
          <w:szCs w:val="24"/>
          <w:lang w:eastAsia="zh-CN"/>
        </w:rPr>
        <w:t>: vi124-vi127 [PMID: 17591805 DOI: 10.1093/annonc/mdm240]</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86 </w:t>
      </w:r>
      <w:r w:rsidRPr="001C12D3">
        <w:rPr>
          <w:rFonts w:ascii="Book Antiqua" w:hAnsi="Book Antiqua" w:cs="宋体"/>
          <w:b/>
          <w:bCs/>
          <w:sz w:val="24"/>
          <w:szCs w:val="24"/>
          <w:lang w:eastAsia="zh-CN"/>
        </w:rPr>
        <w:t>Novarino A</w:t>
      </w:r>
      <w:r w:rsidRPr="001C12D3">
        <w:rPr>
          <w:rFonts w:ascii="Book Antiqua" w:hAnsi="Book Antiqua" w:cs="宋体"/>
          <w:sz w:val="24"/>
          <w:szCs w:val="24"/>
          <w:lang w:eastAsia="zh-CN"/>
        </w:rPr>
        <w:t xml:space="preserve">, Satolli MA, Chiappino I, Giacobino A, Bellone G, Rahimi F, Milanesi E, Bertetto O, Ciuffreda L. Oxaliplatin, 5-fluorouracil, and leucovorin as second-line treatment for advanced pancreatic cancer.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32</w:t>
      </w:r>
      <w:r w:rsidRPr="001C12D3">
        <w:rPr>
          <w:rFonts w:ascii="Book Antiqua" w:hAnsi="Book Antiqua" w:cs="宋体"/>
          <w:sz w:val="24"/>
          <w:szCs w:val="24"/>
          <w:lang w:eastAsia="zh-CN"/>
        </w:rPr>
        <w:t>: 44-48 [PMID: 19194124 DOI: 10.1097/COC.0b013e31817be5a9]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87 </w:t>
      </w:r>
      <w:r w:rsidRPr="001C12D3">
        <w:rPr>
          <w:rFonts w:ascii="Book Antiqua" w:hAnsi="Book Antiqua" w:cs="宋体"/>
          <w:b/>
          <w:bCs/>
          <w:sz w:val="24"/>
          <w:szCs w:val="24"/>
          <w:lang w:eastAsia="zh-CN"/>
        </w:rPr>
        <w:t>Pelzer U</w:t>
      </w:r>
      <w:r w:rsidRPr="001C12D3">
        <w:rPr>
          <w:rFonts w:ascii="Book Antiqua" w:hAnsi="Book Antiqua" w:cs="宋体"/>
          <w:sz w:val="24"/>
          <w:szCs w:val="24"/>
          <w:lang w:eastAsia="zh-CN"/>
        </w:rPr>
        <w:t xml:space="preserve">, Stieler J, Roll L, Hilbig A, Dörken B, Riess H, Oettle H. Second-line therapy in refractory pancreatic cancer. results of a phase II study. </w:t>
      </w:r>
      <w:r w:rsidRPr="001C12D3">
        <w:rPr>
          <w:rFonts w:ascii="Book Antiqua" w:hAnsi="Book Antiqua" w:cs="宋体"/>
          <w:i/>
          <w:iCs/>
          <w:sz w:val="24"/>
          <w:szCs w:val="24"/>
          <w:lang w:eastAsia="zh-CN"/>
        </w:rPr>
        <w:t>Onkologie</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32</w:t>
      </w:r>
      <w:r w:rsidRPr="001C12D3">
        <w:rPr>
          <w:rFonts w:ascii="Book Antiqua" w:hAnsi="Book Antiqua" w:cs="宋体"/>
          <w:sz w:val="24"/>
          <w:szCs w:val="24"/>
          <w:lang w:eastAsia="zh-CN"/>
        </w:rPr>
        <w:t>: 99-102 [PMID: 19295247 DOI: 10.1159/000197769]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88 </w:t>
      </w:r>
      <w:r w:rsidRPr="001C12D3">
        <w:rPr>
          <w:rFonts w:ascii="Book Antiqua" w:hAnsi="Book Antiqua" w:cs="宋体"/>
          <w:b/>
          <w:bCs/>
          <w:sz w:val="24"/>
          <w:szCs w:val="24"/>
          <w:lang w:eastAsia="zh-CN"/>
        </w:rPr>
        <w:t>Togawa A</w:t>
      </w:r>
      <w:r w:rsidRPr="001C12D3">
        <w:rPr>
          <w:rFonts w:ascii="Book Antiqua" w:hAnsi="Book Antiqua" w:cs="宋体"/>
          <w:sz w:val="24"/>
          <w:szCs w:val="24"/>
          <w:lang w:eastAsia="zh-CN"/>
        </w:rPr>
        <w:t xml:space="preserve">, Yoshitomi H, Ito H, Kimura F, Shimizu H, Ohtsuka M, Yoshidome H, Kato A, Sawada S, Miyazaki M. Treatment with an oral fluoropyrimidine, S-1, plus cisplatin in patients who failed postoperative gemcitabine treatment for pancreatic cancer: a pilot study. </w:t>
      </w:r>
      <w:r w:rsidRPr="001C12D3">
        <w:rPr>
          <w:rFonts w:ascii="Book Antiqua" w:hAnsi="Book Antiqua" w:cs="宋体"/>
          <w:i/>
          <w:iCs/>
          <w:sz w:val="24"/>
          <w:szCs w:val="24"/>
          <w:lang w:eastAsia="zh-CN"/>
        </w:rPr>
        <w:t>Int J Clin Oncol</w:t>
      </w:r>
      <w:r w:rsidRPr="001C12D3">
        <w:rPr>
          <w:rFonts w:ascii="Book Antiqua" w:hAnsi="Book Antiqua" w:cs="宋体"/>
          <w:sz w:val="24"/>
          <w:szCs w:val="24"/>
          <w:lang w:eastAsia="zh-CN"/>
        </w:rPr>
        <w:t xml:space="preserve"> 2007; </w:t>
      </w:r>
      <w:r w:rsidRPr="001C12D3">
        <w:rPr>
          <w:rFonts w:ascii="Book Antiqua" w:hAnsi="Book Antiqua" w:cs="宋体"/>
          <w:b/>
          <w:bCs/>
          <w:sz w:val="24"/>
          <w:szCs w:val="24"/>
          <w:lang w:eastAsia="zh-CN"/>
        </w:rPr>
        <w:t>12</w:t>
      </w:r>
      <w:r w:rsidRPr="001C12D3">
        <w:rPr>
          <w:rFonts w:ascii="Book Antiqua" w:hAnsi="Book Antiqua" w:cs="宋体"/>
          <w:sz w:val="24"/>
          <w:szCs w:val="24"/>
          <w:lang w:eastAsia="zh-CN"/>
        </w:rPr>
        <w:t>: 268-273 [PMID: 17701005 DOI: 10.1007/s10147-007-0674-x]</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89 </w:t>
      </w:r>
      <w:r w:rsidRPr="0074751D">
        <w:rPr>
          <w:rFonts w:ascii="Book Antiqua" w:hAnsi="Book Antiqua"/>
          <w:b/>
          <w:bCs/>
          <w:sz w:val="24"/>
          <w:szCs w:val="24"/>
        </w:rPr>
        <w:t>Kim HJ</w:t>
      </w:r>
      <w:r w:rsidRPr="0074751D">
        <w:rPr>
          <w:rFonts w:ascii="Book Antiqua" w:hAnsi="Book Antiqua"/>
          <w:sz w:val="24"/>
          <w:szCs w:val="24"/>
        </w:rPr>
        <w:t>, Yun J, Kim HJ, Kim KH, Kim SH, Lee TH, Lee SC, Bae SB, Kim CK, Lee NS, Moon JH, Park SH, Lee KT, Park SK, Won JH, Park HS, Hong DS</w:t>
      </w:r>
      <w:r w:rsidRPr="001C12D3">
        <w:rPr>
          <w:rFonts w:ascii="Book Antiqua" w:hAnsi="Book Antiqua" w:cs="宋体"/>
          <w:sz w:val="24"/>
          <w:szCs w:val="24"/>
          <w:lang w:eastAsia="zh-CN"/>
        </w:rPr>
        <w:t xml:space="preserve">. Phase II study of palliative S-1 in combination with cisplatin as second-line chemotherapy for gemcitabine-refractory pancreatic cancer patients. </w:t>
      </w:r>
      <w:r w:rsidRPr="001C12D3">
        <w:rPr>
          <w:rFonts w:ascii="Book Antiqua" w:hAnsi="Book Antiqua" w:cs="宋体"/>
          <w:i/>
          <w:iCs/>
          <w:sz w:val="24"/>
          <w:szCs w:val="24"/>
          <w:lang w:eastAsia="zh-CN"/>
        </w:rPr>
        <w:t>Oncol Lett</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3</w:t>
      </w:r>
      <w:r w:rsidRPr="001C12D3">
        <w:rPr>
          <w:rFonts w:ascii="Book Antiqua" w:hAnsi="Book Antiqua" w:cs="宋体"/>
          <w:sz w:val="24"/>
          <w:szCs w:val="24"/>
          <w:lang w:eastAsia="zh-CN"/>
        </w:rPr>
        <w:t>: 1314-1318 [PMID: 22783441 DOI: 10.3892/ol.2012.637]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lastRenderedPageBreak/>
        <w:t xml:space="preserve">90 </w:t>
      </w:r>
      <w:r w:rsidRPr="001C12D3">
        <w:rPr>
          <w:rFonts w:ascii="Book Antiqua" w:hAnsi="Book Antiqua" w:cs="宋体"/>
          <w:b/>
          <w:bCs/>
          <w:sz w:val="24"/>
          <w:szCs w:val="24"/>
          <w:lang w:eastAsia="zh-CN"/>
        </w:rPr>
        <w:t>Takahara N</w:t>
      </w:r>
      <w:r w:rsidRPr="001C12D3">
        <w:rPr>
          <w:rFonts w:ascii="Book Antiqua" w:hAnsi="Book Antiqua" w:cs="宋体"/>
          <w:sz w:val="24"/>
          <w:szCs w:val="24"/>
          <w:lang w:eastAsia="zh-CN"/>
        </w:rPr>
        <w:t xml:space="preserve">, Isayama H, Nakai Y, Sasaki T, Hamada T, Uchino R, Mizuno S, Miyabayashi K, Kogure H, Yamamoto N, Sasahira N, Hirano K, Ijichi H, Tateishi K, Tada M, Koike K. A retrospective study of S-1 and oxaliplatin combination chemotherapy in patients with refractory pancreatic cancer. </w:t>
      </w:r>
      <w:r w:rsidRPr="001C12D3">
        <w:rPr>
          <w:rFonts w:ascii="Book Antiqua" w:hAnsi="Book Antiqua" w:cs="宋体"/>
          <w:i/>
          <w:iCs/>
          <w:sz w:val="24"/>
          <w:szCs w:val="24"/>
          <w:lang w:eastAsia="zh-CN"/>
        </w:rPr>
        <w:t>Cancer Chemother Pharmacol</w:t>
      </w:r>
      <w:r w:rsidRPr="001C12D3">
        <w:rPr>
          <w:rFonts w:ascii="Book Antiqua" w:hAnsi="Book Antiqua" w:cs="宋体"/>
          <w:sz w:val="24"/>
          <w:szCs w:val="24"/>
          <w:lang w:eastAsia="zh-CN"/>
        </w:rPr>
        <w:t xml:space="preserve"> 2013; </w:t>
      </w:r>
      <w:r w:rsidRPr="001C12D3">
        <w:rPr>
          <w:rFonts w:ascii="Book Antiqua" w:hAnsi="Book Antiqua" w:cs="宋体"/>
          <w:b/>
          <w:bCs/>
          <w:sz w:val="24"/>
          <w:szCs w:val="24"/>
          <w:lang w:eastAsia="zh-CN"/>
        </w:rPr>
        <w:t>72</w:t>
      </w:r>
      <w:r w:rsidRPr="001C12D3">
        <w:rPr>
          <w:rFonts w:ascii="Book Antiqua" w:hAnsi="Book Antiqua" w:cs="宋体"/>
          <w:sz w:val="24"/>
          <w:szCs w:val="24"/>
          <w:lang w:eastAsia="zh-CN"/>
        </w:rPr>
        <w:t>: 985-990 [PMID: 23995699 DOI: 10.1007/s00280-013-2278-7]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91 </w:t>
      </w:r>
      <w:r w:rsidRPr="001C12D3">
        <w:rPr>
          <w:rFonts w:ascii="Book Antiqua" w:hAnsi="Book Antiqua" w:cs="宋体"/>
          <w:b/>
          <w:bCs/>
          <w:sz w:val="24"/>
          <w:szCs w:val="24"/>
          <w:lang w:eastAsia="zh-CN"/>
        </w:rPr>
        <w:t>Cereda S</w:t>
      </w:r>
      <w:r w:rsidRPr="001C12D3">
        <w:rPr>
          <w:rFonts w:ascii="Book Antiqua" w:hAnsi="Book Antiqua" w:cs="宋体"/>
          <w:sz w:val="24"/>
          <w:szCs w:val="24"/>
          <w:lang w:eastAsia="zh-CN"/>
        </w:rPr>
        <w:t xml:space="preserve">, Reni M, Rognone A, Ghidini M, Belli C, Longoni S, Fugazza C, Brioschi M, Nicoletti R, Balzano G, Passoni P, Villa E. XELIRI or FOLFIRI as salvage therapy in advanced pancreatic cancer. </w:t>
      </w:r>
      <w:r w:rsidRPr="001C12D3">
        <w:rPr>
          <w:rFonts w:ascii="Book Antiqua" w:hAnsi="Book Antiqua" w:cs="宋体"/>
          <w:i/>
          <w:iCs/>
          <w:sz w:val="24"/>
          <w:szCs w:val="24"/>
          <w:lang w:eastAsia="zh-CN"/>
        </w:rPr>
        <w:t>Anticancer Res</w:t>
      </w:r>
      <w:r w:rsidRPr="001C12D3">
        <w:rPr>
          <w:rFonts w:ascii="Book Antiqua" w:hAnsi="Book Antiqua" w:cs="宋体"/>
          <w:sz w:val="24"/>
          <w:szCs w:val="24"/>
          <w:lang w:eastAsia="zh-CN"/>
        </w:rPr>
        <w:t xml:space="preserve"> 2010; </w:t>
      </w:r>
      <w:r w:rsidRPr="001C12D3">
        <w:rPr>
          <w:rFonts w:ascii="Book Antiqua" w:hAnsi="Book Antiqua" w:cs="宋体"/>
          <w:b/>
          <w:bCs/>
          <w:sz w:val="24"/>
          <w:szCs w:val="24"/>
          <w:lang w:eastAsia="zh-CN"/>
        </w:rPr>
        <w:t>30</w:t>
      </w:r>
      <w:r w:rsidRPr="001C12D3">
        <w:rPr>
          <w:rFonts w:ascii="Book Antiqua" w:hAnsi="Book Antiqua" w:cs="宋体"/>
          <w:sz w:val="24"/>
          <w:szCs w:val="24"/>
          <w:lang w:eastAsia="zh-CN"/>
        </w:rPr>
        <w:t>: 4785-4790 [PMID: 21115942]</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92 </w:t>
      </w:r>
      <w:r w:rsidRPr="001C12D3">
        <w:rPr>
          <w:rFonts w:ascii="Book Antiqua" w:hAnsi="Book Antiqua" w:cs="宋体"/>
          <w:b/>
          <w:bCs/>
          <w:sz w:val="24"/>
          <w:szCs w:val="24"/>
          <w:lang w:eastAsia="zh-CN"/>
        </w:rPr>
        <w:t>Lee S</w:t>
      </w:r>
      <w:r w:rsidRPr="001C12D3">
        <w:rPr>
          <w:rFonts w:ascii="Book Antiqua" w:hAnsi="Book Antiqua" w:cs="宋体"/>
          <w:sz w:val="24"/>
          <w:szCs w:val="24"/>
          <w:lang w:eastAsia="zh-CN"/>
        </w:rPr>
        <w:t xml:space="preserve">, Oh SY, Kim BG, Kwon HC, Kim SH, Rho MH, Kim YH, Rho MS, Jeong JS, Kim HJ. Second-line treatment with a combination of continuous 5-fluorouracil, doxorubicin, and mitomycin-C (conti-FAM) in gemcitabine-pretreated pancreatic and biliary tract cancer.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32</w:t>
      </w:r>
      <w:r w:rsidRPr="001C12D3">
        <w:rPr>
          <w:rFonts w:ascii="Book Antiqua" w:hAnsi="Book Antiqua" w:cs="宋体"/>
          <w:sz w:val="24"/>
          <w:szCs w:val="24"/>
          <w:lang w:eastAsia="zh-CN"/>
        </w:rPr>
        <w:t>: 348-352 [PMID: 19363436 DOI: 10.1097/COC.0b013e31818c08ff]</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93 </w:t>
      </w:r>
      <w:r w:rsidRPr="001C12D3">
        <w:rPr>
          <w:rFonts w:ascii="Book Antiqua" w:hAnsi="Book Antiqua" w:cs="宋体"/>
          <w:b/>
          <w:bCs/>
          <w:sz w:val="24"/>
          <w:szCs w:val="24"/>
          <w:lang w:eastAsia="zh-CN"/>
        </w:rPr>
        <w:t>Shi SB</w:t>
      </w:r>
      <w:r w:rsidRPr="001C12D3">
        <w:rPr>
          <w:rFonts w:ascii="Book Antiqua" w:hAnsi="Book Antiqua" w:cs="宋体"/>
          <w:sz w:val="24"/>
          <w:szCs w:val="24"/>
          <w:lang w:eastAsia="zh-CN"/>
        </w:rPr>
        <w:t xml:space="preserve">, Wang M, Niu ZX, Tang XY, Liu QY. Phase II trial of capecitabine combined with thalidomide in second-line treatment of advanced pancreatic cancer. </w:t>
      </w:r>
      <w:r w:rsidRPr="001C12D3">
        <w:rPr>
          <w:rFonts w:ascii="Book Antiqua" w:hAnsi="Book Antiqua" w:cs="宋体"/>
          <w:i/>
          <w:iCs/>
          <w:sz w:val="24"/>
          <w:szCs w:val="24"/>
          <w:lang w:eastAsia="zh-CN"/>
        </w:rPr>
        <w:t>Pancreatology</w:t>
      </w:r>
      <w:r w:rsidRPr="001C12D3">
        <w:rPr>
          <w:rFonts w:ascii="Book Antiqua" w:hAnsi="Book Antiqua" w:cs="宋体"/>
          <w:sz w:val="24"/>
          <w:szCs w:val="24"/>
          <w:lang w:eastAsia="zh-CN"/>
        </w:rPr>
        <w:t xml:space="preserve"> </w:t>
      </w:r>
      <w:r>
        <w:rPr>
          <w:rFonts w:ascii="Book Antiqua" w:hAnsi="Book Antiqua" w:cs="宋体"/>
          <w:sz w:val="24"/>
          <w:szCs w:val="24"/>
          <w:lang w:eastAsia="zh-CN"/>
        </w:rPr>
        <w:t>2012</w:t>
      </w:r>
      <w:r w:rsidRPr="001C12D3">
        <w:rPr>
          <w:rFonts w:ascii="Book Antiqua" w:hAnsi="Book Antiqua" w:cs="宋体"/>
          <w:sz w:val="24"/>
          <w:szCs w:val="24"/>
          <w:lang w:eastAsia="zh-CN"/>
        </w:rPr>
        <w:t xml:space="preserve">; </w:t>
      </w:r>
      <w:r w:rsidRPr="001C12D3">
        <w:rPr>
          <w:rFonts w:ascii="Book Antiqua" w:hAnsi="Book Antiqua" w:cs="宋体"/>
          <w:b/>
          <w:bCs/>
          <w:sz w:val="24"/>
          <w:szCs w:val="24"/>
          <w:lang w:eastAsia="zh-CN"/>
        </w:rPr>
        <w:t>12</w:t>
      </w:r>
      <w:r w:rsidRPr="001C12D3">
        <w:rPr>
          <w:rFonts w:ascii="Book Antiqua" w:hAnsi="Book Antiqua" w:cs="宋体"/>
          <w:sz w:val="24"/>
          <w:szCs w:val="24"/>
          <w:lang w:eastAsia="zh-CN"/>
        </w:rPr>
        <w:t>: 475-479 [PMID: 23217281 DOI: 10.1016/j.pan.2012.09.007]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94 </w:t>
      </w:r>
      <w:r w:rsidRPr="001C12D3">
        <w:rPr>
          <w:rFonts w:ascii="Book Antiqua" w:hAnsi="Book Antiqua" w:cs="宋体"/>
          <w:b/>
          <w:sz w:val="24"/>
          <w:szCs w:val="24"/>
          <w:lang w:eastAsia="zh-CN"/>
        </w:rPr>
        <w:t>Saif MW</w:t>
      </w:r>
      <w:r w:rsidRPr="001C12D3">
        <w:rPr>
          <w:rFonts w:ascii="Book Antiqua" w:hAnsi="Book Antiqua" w:cs="宋体"/>
          <w:sz w:val="24"/>
          <w:szCs w:val="24"/>
          <w:lang w:eastAsia="zh-CN"/>
        </w:rPr>
        <w:t>, Li J, Lamb L, Rosenberg A, Elligers K, Ruta S, Mezes M, Grant N, Liu SH, Chu E, Cheng Y. A phase II study of capecitabine (CAP) plus PHY906 in patients (pts) with advanced pancreatic cancer (APC).</w:t>
      </w:r>
      <w:r w:rsidRPr="001C12D3">
        <w:rPr>
          <w:rFonts w:ascii="Book Antiqua" w:hAnsi="Book Antiqua" w:cs="宋体"/>
          <w:i/>
          <w:sz w:val="24"/>
          <w:szCs w:val="24"/>
          <w:lang w:eastAsia="zh-CN"/>
        </w:rPr>
        <w:t xml:space="preserve"> J Clin Oncol </w:t>
      </w:r>
      <w:r w:rsidRPr="001C12D3">
        <w:rPr>
          <w:rFonts w:ascii="Book Antiqua" w:hAnsi="Book Antiqua" w:cs="宋体"/>
          <w:sz w:val="24"/>
          <w:szCs w:val="24"/>
          <w:lang w:eastAsia="zh-CN"/>
        </w:rPr>
        <w:t xml:space="preserve">2009; </w:t>
      </w:r>
      <w:r w:rsidRPr="001C12D3">
        <w:rPr>
          <w:rFonts w:ascii="Book Antiqua" w:hAnsi="Book Antiqua" w:cs="宋体"/>
          <w:b/>
          <w:sz w:val="24"/>
          <w:szCs w:val="24"/>
          <w:lang w:eastAsia="zh-CN"/>
        </w:rPr>
        <w:t>27</w:t>
      </w:r>
      <w:r w:rsidRPr="001C12D3">
        <w:rPr>
          <w:rFonts w:ascii="Book Antiqua" w:hAnsi="Book Antiqua" w:cs="宋体"/>
          <w:sz w:val="24"/>
          <w:szCs w:val="24"/>
          <w:lang w:eastAsia="zh-CN"/>
        </w:rPr>
        <w:t xml:space="preserve"> Suppl 15: abstract e15508</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95 </w:t>
      </w:r>
      <w:r w:rsidRPr="001C12D3">
        <w:rPr>
          <w:rFonts w:ascii="Book Antiqua" w:hAnsi="Book Antiqua" w:cs="宋体"/>
          <w:b/>
          <w:bCs/>
          <w:sz w:val="24"/>
          <w:szCs w:val="24"/>
          <w:lang w:eastAsia="zh-CN"/>
        </w:rPr>
        <w:t>Reni M</w:t>
      </w:r>
      <w:r w:rsidRPr="001C12D3">
        <w:rPr>
          <w:rFonts w:ascii="Book Antiqua" w:hAnsi="Book Antiqua" w:cs="宋体"/>
          <w:sz w:val="24"/>
          <w:szCs w:val="24"/>
          <w:lang w:eastAsia="zh-CN"/>
        </w:rPr>
        <w:t xml:space="preserve">, Panucci MG, Passoni P, Bonetto E, Nicoletti R, Ronzoni M, Zerbi A, Staudacher C, Di Carlo V, Villa E. Salvage chemotherapy with mitomycin, docetaxel, and irinotecan (MDI regimen) in metastatic pancreatic adenocarcinoma: a phase I and II trial. </w:t>
      </w:r>
      <w:r w:rsidRPr="001C12D3">
        <w:rPr>
          <w:rFonts w:ascii="Book Antiqua" w:hAnsi="Book Antiqua" w:cs="宋体"/>
          <w:i/>
          <w:iCs/>
          <w:sz w:val="24"/>
          <w:szCs w:val="24"/>
          <w:lang w:eastAsia="zh-CN"/>
        </w:rPr>
        <w:t>Cancer Invest</w:t>
      </w:r>
      <w:r w:rsidRPr="001C12D3">
        <w:rPr>
          <w:rFonts w:ascii="Book Antiqua" w:hAnsi="Book Antiqua" w:cs="宋体"/>
          <w:sz w:val="24"/>
          <w:szCs w:val="24"/>
          <w:lang w:eastAsia="zh-CN"/>
        </w:rPr>
        <w:t xml:space="preserve"> 2004; </w:t>
      </w:r>
      <w:r w:rsidRPr="001C12D3">
        <w:rPr>
          <w:rFonts w:ascii="Book Antiqua" w:hAnsi="Book Antiqua" w:cs="宋体"/>
          <w:b/>
          <w:bCs/>
          <w:sz w:val="24"/>
          <w:szCs w:val="24"/>
          <w:lang w:eastAsia="zh-CN"/>
        </w:rPr>
        <w:t>22</w:t>
      </w:r>
      <w:r w:rsidRPr="001C12D3">
        <w:rPr>
          <w:rFonts w:ascii="Book Antiqua" w:hAnsi="Book Antiqua" w:cs="宋体"/>
          <w:sz w:val="24"/>
          <w:szCs w:val="24"/>
          <w:lang w:eastAsia="zh-CN"/>
        </w:rPr>
        <w:t>: 688-696 [PMID: 15581049 DOI: 10.1081/CNV-200032929]</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96 </w:t>
      </w:r>
      <w:r w:rsidRPr="001C12D3">
        <w:rPr>
          <w:rFonts w:ascii="Book Antiqua" w:hAnsi="Book Antiqua" w:cs="宋体"/>
          <w:b/>
          <w:bCs/>
          <w:sz w:val="24"/>
          <w:szCs w:val="24"/>
          <w:lang w:eastAsia="zh-CN"/>
        </w:rPr>
        <w:t>Cereda S</w:t>
      </w:r>
      <w:r w:rsidRPr="001C12D3">
        <w:rPr>
          <w:rFonts w:ascii="Book Antiqua" w:hAnsi="Book Antiqua" w:cs="宋体"/>
          <w:sz w:val="24"/>
          <w:szCs w:val="24"/>
          <w:lang w:eastAsia="zh-CN"/>
        </w:rPr>
        <w:t xml:space="preserve">, Reni M, Rognone A, Fugazza C, Ghidini M, Ceraulo D, Brioschi M, Nicoletti R, Villa E. Salvage therapy with mitomycin and ifosfamide in patients with gemcitabine-resistant metastatic pancreatic cancer: a phase II trial. </w:t>
      </w:r>
      <w:r w:rsidRPr="001C12D3">
        <w:rPr>
          <w:rFonts w:ascii="Book Antiqua" w:hAnsi="Book Antiqua" w:cs="宋体"/>
          <w:i/>
          <w:iCs/>
          <w:sz w:val="24"/>
          <w:szCs w:val="24"/>
          <w:lang w:eastAsia="zh-CN"/>
        </w:rPr>
        <w:t>Chemotherapy</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57</w:t>
      </w:r>
      <w:r w:rsidRPr="001C12D3">
        <w:rPr>
          <w:rFonts w:ascii="Book Antiqua" w:hAnsi="Book Antiqua" w:cs="宋体"/>
          <w:sz w:val="24"/>
          <w:szCs w:val="24"/>
          <w:lang w:eastAsia="zh-CN"/>
        </w:rPr>
        <w:t>: 156-161 [PMID: 21454973 DOI: 10.1159/000324865]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97 </w:t>
      </w:r>
      <w:r w:rsidRPr="001C12D3">
        <w:rPr>
          <w:rFonts w:ascii="Book Antiqua" w:hAnsi="Book Antiqua" w:cs="宋体"/>
          <w:b/>
          <w:bCs/>
          <w:sz w:val="24"/>
          <w:szCs w:val="24"/>
          <w:lang w:eastAsia="zh-CN"/>
        </w:rPr>
        <w:t>Ignatiadis M</w:t>
      </w:r>
      <w:r w:rsidRPr="001C12D3">
        <w:rPr>
          <w:rFonts w:ascii="Book Antiqua" w:hAnsi="Book Antiqua" w:cs="宋体"/>
          <w:sz w:val="24"/>
          <w:szCs w:val="24"/>
          <w:lang w:eastAsia="zh-CN"/>
        </w:rPr>
        <w:t xml:space="preserve">, Polyzos A, Stathopoulos GP, Tselepatiotis E, Christophylakis C, Kalbakis K, Vamvakas L, Kotsakis A, Potamianou A, Georgoulias V. A multicenter </w:t>
      </w:r>
      <w:r w:rsidRPr="001C12D3">
        <w:rPr>
          <w:rFonts w:ascii="Book Antiqua" w:hAnsi="Book Antiqua" w:cs="宋体"/>
          <w:sz w:val="24"/>
          <w:szCs w:val="24"/>
          <w:lang w:eastAsia="zh-CN"/>
        </w:rPr>
        <w:lastRenderedPageBreak/>
        <w:t xml:space="preserve">phase II study of docetaxel in combination with gefitinib in gemcitabine-pretreated patients with advanced/metastatic pancreatic cancer.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2006; </w:t>
      </w:r>
      <w:r w:rsidRPr="001C12D3">
        <w:rPr>
          <w:rFonts w:ascii="Book Antiqua" w:hAnsi="Book Antiqua" w:cs="宋体"/>
          <w:b/>
          <w:bCs/>
          <w:sz w:val="24"/>
          <w:szCs w:val="24"/>
          <w:lang w:eastAsia="zh-CN"/>
        </w:rPr>
        <w:t>71</w:t>
      </w:r>
      <w:r w:rsidRPr="001C12D3">
        <w:rPr>
          <w:rFonts w:ascii="Book Antiqua" w:hAnsi="Book Antiqua" w:cs="宋体"/>
          <w:sz w:val="24"/>
          <w:szCs w:val="24"/>
          <w:lang w:eastAsia="zh-CN"/>
        </w:rPr>
        <w:t>: 159-163 [PMID: 17646699 DOI: 10.1159/000106064]</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98 </w:t>
      </w:r>
      <w:r w:rsidRPr="001C12D3">
        <w:rPr>
          <w:rFonts w:ascii="Book Antiqua" w:hAnsi="Book Antiqua" w:cs="宋体"/>
          <w:b/>
          <w:bCs/>
          <w:sz w:val="24"/>
          <w:szCs w:val="24"/>
          <w:lang w:eastAsia="zh-CN"/>
        </w:rPr>
        <w:t>Brell JM</w:t>
      </w:r>
      <w:r w:rsidRPr="001C12D3">
        <w:rPr>
          <w:rFonts w:ascii="Book Antiqua" w:hAnsi="Book Antiqua" w:cs="宋体"/>
          <w:sz w:val="24"/>
          <w:szCs w:val="24"/>
          <w:lang w:eastAsia="zh-CN"/>
        </w:rPr>
        <w:t xml:space="preserve">, Matin K, Evans T, Volkin RL, Kiefer GJ, Schlesselman JJ, Dranko S, Rath L, Schmotzer A, Lenzner D, Ramanathan RK. Phase II study of docetaxel and gefitinib as second-line therapy in gemcitabine pretreated patients with advanced pancreatic cancer. </w:t>
      </w:r>
      <w:r w:rsidRPr="001C12D3">
        <w:rPr>
          <w:rFonts w:ascii="Book Antiqua" w:hAnsi="Book Antiqua" w:cs="宋体"/>
          <w:i/>
          <w:iCs/>
          <w:sz w:val="24"/>
          <w:szCs w:val="24"/>
          <w:lang w:eastAsia="zh-CN"/>
        </w:rPr>
        <w:t>Oncology</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76</w:t>
      </w:r>
      <w:r w:rsidRPr="001C12D3">
        <w:rPr>
          <w:rFonts w:ascii="Book Antiqua" w:hAnsi="Book Antiqua" w:cs="宋体"/>
          <w:sz w:val="24"/>
          <w:szCs w:val="24"/>
          <w:lang w:eastAsia="zh-CN"/>
        </w:rPr>
        <w:t>: 270-274 [PMID: 19258727 DOI: 10.1159/000206141]</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99 </w:t>
      </w:r>
      <w:r w:rsidRPr="001C12D3">
        <w:rPr>
          <w:rFonts w:ascii="Book Antiqua" w:hAnsi="Book Antiqua" w:cs="宋体"/>
          <w:b/>
          <w:sz w:val="24"/>
          <w:szCs w:val="24"/>
          <w:lang w:eastAsia="zh-CN"/>
        </w:rPr>
        <w:t>Iyer RV</w:t>
      </w:r>
      <w:r w:rsidRPr="001C12D3">
        <w:rPr>
          <w:rFonts w:ascii="Book Antiqua" w:hAnsi="Book Antiqua" w:cs="宋体"/>
          <w:sz w:val="24"/>
          <w:szCs w:val="24"/>
          <w:lang w:eastAsia="zh-CN"/>
        </w:rPr>
        <w:t>, Khushalani NI,Tan W, Litwin A, Starostik P, Levea C, Tucker C, Ma W, Fakih M, Adjei AA. A phase II study of erlotinib in patients (pts) with advanced pancreatic cancer (APC) who are refractory to gemcitabine (G). Presented at: 2010 ASCO Gastrointestinal Cancers Symposium; Orlando, FL, January 22-24, 2010</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100 </w:t>
      </w:r>
      <w:r w:rsidRPr="001C12D3">
        <w:rPr>
          <w:rFonts w:ascii="Book Antiqua" w:hAnsi="Book Antiqua" w:cs="宋体"/>
          <w:b/>
          <w:bCs/>
          <w:sz w:val="24"/>
          <w:szCs w:val="24"/>
          <w:lang w:eastAsia="zh-CN"/>
        </w:rPr>
        <w:t>Astsaturov IA</w:t>
      </w:r>
      <w:r w:rsidRPr="001C12D3">
        <w:rPr>
          <w:rFonts w:ascii="Book Antiqua" w:hAnsi="Book Antiqua" w:cs="宋体"/>
          <w:sz w:val="24"/>
          <w:szCs w:val="24"/>
          <w:lang w:eastAsia="zh-CN"/>
        </w:rPr>
        <w:t xml:space="preserve">, Meropol NJ, Alpaugh RK, Burtness BA, Cheng JD, McLaughlin S, Rogatko A, Xu Z, Watson JC, Weiner LM, Cohen SJ. Phase II and coagulation cascade biomarker study of bevacizumab with or without docetaxel in patients with previously treated metastatic pancreatic adenocarcinoma. </w:t>
      </w:r>
      <w:r w:rsidRPr="001C12D3">
        <w:rPr>
          <w:rFonts w:ascii="Book Antiqua" w:hAnsi="Book Antiqua" w:cs="宋体"/>
          <w:i/>
          <w:iCs/>
          <w:sz w:val="24"/>
          <w:szCs w:val="24"/>
          <w:lang w:eastAsia="zh-CN"/>
        </w:rPr>
        <w:t>Am J Clin Oncol</w:t>
      </w:r>
      <w:r w:rsidRPr="001C12D3">
        <w:rPr>
          <w:rFonts w:ascii="Book Antiqua" w:hAnsi="Book Antiqua" w:cs="宋体"/>
          <w:sz w:val="24"/>
          <w:szCs w:val="24"/>
          <w:lang w:eastAsia="zh-CN"/>
        </w:rPr>
        <w:t xml:space="preserve"> 2011; </w:t>
      </w:r>
      <w:r w:rsidRPr="001C12D3">
        <w:rPr>
          <w:rFonts w:ascii="Book Antiqua" w:hAnsi="Book Antiqua" w:cs="宋体"/>
          <w:b/>
          <w:bCs/>
          <w:sz w:val="24"/>
          <w:szCs w:val="24"/>
          <w:lang w:eastAsia="zh-CN"/>
        </w:rPr>
        <w:t>34</w:t>
      </w:r>
      <w:r w:rsidRPr="001C12D3">
        <w:rPr>
          <w:rFonts w:ascii="Book Antiqua" w:hAnsi="Book Antiqua" w:cs="宋体"/>
          <w:sz w:val="24"/>
          <w:szCs w:val="24"/>
          <w:lang w:eastAsia="zh-CN"/>
        </w:rPr>
        <w:t>: 70-75 [PMID: 20458210 DOI: 10.1097/COC.0b013e3181d2734a]</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101 </w:t>
      </w:r>
      <w:r w:rsidRPr="001C12D3">
        <w:rPr>
          <w:rFonts w:ascii="Book Antiqua" w:hAnsi="Book Antiqua" w:cs="宋体"/>
          <w:b/>
          <w:bCs/>
          <w:sz w:val="24"/>
          <w:szCs w:val="24"/>
          <w:lang w:eastAsia="zh-CN"/>
        </w:rPr>
        <w:t>Starling N</w:t>
      </w:r>
      <w:r w:rsidRPr="001C12D3">
        <w:rPr>
          <w:rFonts w:ascii="Book Antiqua" w:hAnsi="Book Antiqua" w:cs="宋体"/>
          <w:sz w:val="24"/>
          <w:szCs w:val="24"/>
          <w:lang w:eastAsia="zh-CN"/>
        </w:rPr>
        <w:t xml:space="preserve">, Hawkes EA, Chau I, Watkins D, Thomas J, Webb J, Brown G, Thomas K, Barbachano Y, Oates J, Cunningham D. A dose escalation study of gemcitabine plus oxaliplatin in combination with imatinib for gemcitabine-refractory advanced pancreatic adenocarcinoma. </w:t>
      </w:r>
      <w:r w:rsidRPr="001C12D3">
        <w:rPr>
          <w:rFonts w:ascii="Book Antiqua" w:hAnsi="Book Antiqua" w:cs="宋体"/>
          <w:i/>
          <w:iCs/>
          <w:sz w:val="24"/>
          <w:szCs w:val="24"/>
          <w:lang w:eastAsia="zh-CN"/>
        </w:rPr>
        <w:t>Ann Oncol</w:t>
      </w:r>
      <w:r w:rsidRPr="001C12D3">
        <w:rPr>
          <w:rFonts w:ascii="Book Antiqua" w:hAnsi="Book Antiqua" w:cs="宋体"/>
          <w:sz w:val="24"/>
          <w:szCs w:val="24"/>
          <w:lang w:eastAsia="zh-CN"/>
        </w:rPr>
        <w:t xml:space="preserve"> 2012; </w:t>
      </w:r>
      <w:r w:rsidRPr="001C12D3">
        <w:rPr>
          <w:rFonts w:ascii="Book Antiqua" w:hAnsi="Book Antiqua" w:cs="宋体"/>
          <w:b/>
          <w:bCs/>
          <w:sz w:val="24"/>
          <w:szCs w:val="24"/>
          <w:lang w:eastAsia="zh-CN"/>
        </w:rPr>
        <w:t>23</w:t>
      </w:r>
      <w:r w:rsidRPr="001C12D3">
        <w:rPr>
          <w:rFonts w:ascii="Book Antiqua" w:hAnsi="Book Antiqua" w:cs="宋体"/>
          <w:sz w:val="24"/>
          <w:szCs w:val="24"/>
          <w:lang w:eastAsia="zh-CN"/>
        </w:rPr>
        <w:t>: 942-947 [PMID: 21750117 DOI: 10.1093/annonc/mdr317]</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102 </w:t>
      </w:r>
      <w:r w:rsidRPr="001C12D3">
        <w:rPr>
          <w:rFonts w:ascii="Book Antiqua" w:hAnsi="Book Antiqua" w:cs="宋体"/>
          <w:b/>
          <w:bCs/>
          <w:sz w:val="24"/>
          <w:szCs w:val="24"/>
          <w:lang w:eastAsia="zh-CN"/>
        </w:rPr>
        <w:t>Carvajal RD</w:t>
      </w:r>
      <w:r w:rsidRPr="001C12D3">
        <w:rPr>
          <w:rFonts w:ascii="Book Antiqua" w:hAnsi="Book Antiqua" w:cs="宋体"/>
          <w:sz w:val="24"/>
          <w:szCs w:val="24"/>
          <w:lang w:eastAsia="zh-CN"/>
        </w:rPr>
        <w:t xml:space="preserve">, Tse A, Shah MA, Lefkowitz RA, Gonen M, Gilman-Rosen L, Kortmansky J, Kelsen DP, Schwartz GK, O'Reilly EM. A phase II study of flavopiridol (Alvocidib) in combination with docetaxel in refractory, metastatic pancreatic cancer. </w:t>
      </w:r>
      <w:r w:rsidRPr="001C12D3">
        <w:rPr>
          <w:rFonts w:ascii="Book Antiqua" w:hAnsi="Book Antiqua" w:cs="宋体"/>
          <w:i/>
          <w:iCs/>
          <w:sz w:val="24"/>
          <w:szCs w:val="24"/>
          <w:lang w:eastAsia="zh-CN"/>
        </w:rPr>
        <w:t>Pancreatology</w:t>
      </w:r>
      <w:r w:rsidRPr="001C12D3">
        <w:rPr>
          <w:rFonts w:ascii="Book Antiqua" w:hAnsi="Book Antiqua" w:cs="宋体"/>
          <w:sz w:val="24"/>
          <w:szCs w:val="24"/>
          <w:lang w:eastAsia="zh-CN"/>
        </w:rPr>
        <w:t xml:space="preserve"> 2009; </w:t>
      </w:r>
      <w:r w:rsidRPr="001C12D3">
        <w:rPr>
          <w:rFonts w:ascii="Book Antiqua" w:hAnsi="Book Antiqua" w:cs="宋体"/>
          <w:b/>
          <w:bCs/>
          <w:sz w:val="24"/>
          <w:szCs w:val="24"/>
          <w:lang w:eastAsia="zh-CN"/>
        </w:rPr>
        <w:t>9</w:t>
      </w:r>
      <w:r w:rsidRPr="001C12D3">
        <w:rPr>
          <w:rFonts w:ascii="Book Antiqua" w:hAnsi="Book Antiqua" w:cs="宋体"/>
          <w:sz w:val="24"/>
          <w:szCs w:val="24"/>
          <w:lang w:eastAsia="zh-CN"/>
        </w:rPr>
        <w:t>: 404-409 [PMID: 19451750 DOI: 10.1159/000187135]</w:t>
      </w:r>
    </w:p>
    <w:p w:rsidR="002E23EC" w:rsidRPr="001C12D3" w:rsidRDefault="002E23EC" w:rsidP="00756517">
      <w:pPr>
        <w:spacing w:after="0" w:line="360" w:lineRule="auto"/>
        <w:jc w:val="both"/>
        <w:rPr>
          <w:rFonts w:ascii="Book Antiqua" w:hAnsi="Book Antiqua" w:cs="宋体"/>
          <w:sz w:val="24"/>
          <w:szCs w:val="24"/>
          <w:lang w:eastAsia="zh-CN"/>
        </w:rPr>
      </w:pPr>
      <w:r w:rsidRPr="001C12D3">
        <w:rPr>
          <w:rFonts w:ascii="Book Antiqua" w:hAnsi="Book Antiqua" w:cs="宋体"/>
          <w:sz w:val="24"/>
          <w:szCs w:val="24"/>
          <w:lang w:eastAsia="zh-CN"/>
        </w:rPr>
        <w:t xml:space="preserve">103 </w:t>
      </w:r>
      <w:r w:rsidRPr="001C12D3">
        <w:rPr>
          <w:rFonts w:ascii="Book Antiqua" w:hAnsi="Book Antiqua" w:cs="宋体"/>
          <w:b/>
          <w:sz w:val="24"/>
          <w:szCs w:val="24"/>
          <w:lang w:eastAsia="zh-CN"/>
        </w:rPr>
        <w:t>Nallapareddy S</w:t>
      </w:r>
      <w:r w:rsidRPr="001C12D3">
        <w:rPr>
          <w:rFonts w:ascii="Book Antiqua" w:hAnsi="Book Antiqua" w:cs="宋体"/>
          <w:sz w:val="24"/>
          <w:szCs w:val="24"/>
          <w:lang w:eastAsia="zh-CN"/>
        </w:rPr>
        <w:t xml:space="preserve">, Arcaroli J, Touban B, Tan A, Foster NR, Erlichman C, Wright JJ, Picus J, Hidalgo M, Messersmith WA. A phase II trial of saracatinib (AZD0530), an oral Src inhibitor, in previously treated metastatic pancreatic cancer. </w:t>
      </w:r>
      <w:r w:rsidRPr="001C12D3">
        <w:rPr>
          <w:rFonts w:ascii="Book Antiqua" w:hAnsi="Book Antiqua" w:cs="宋体"/>
          <w:i/>
          <w:sz w:val="24"/>
          <w:szCs w:val="24"/>
          <w:lang w:eastAsia="zh-CN"/>
        </w:rPr>
        <w:t>J Clin Oncol</w:t>
      </w:r>
      <w:r w:rsidRPr="001C12D3">
        <w:rPr>
          <w:rFonts w:ascii="Book Antiqua" w:hAnsi="Book Antiqua" w:cs="宋体"/>
          <w:sz w:val="24"/>
          <w:szCs w:val="24"/>
          <w:lang w:eastAsia="zh-CN"/>
        </w:rPr>
        <w:t xml:space="preserve"> 2010; </w:t>
      </w:r>
      <w:r w:rsidRPr="001C12D3">
        <w:rPr>
          <w:rFonts w:ascii="Book Antiqua" w:hAnsi="Book Antiqua" w:cs="宋体"/>
          <w:b/>
          <w:sz w:val="24"/>
          <w:szCs w:val="24"/>
          <w:lang w:eastAsia="zh-CN"/>
        </w:rPr>
        <w:t>28</w:t>
      </w:r>
      <w:r w:rsidRPr="001C12D3">
        <w:rPr>
          <w:rFonts w:ascii="Book Antiqua" w:hAnsi="Book Antiqua" w:cs="宋体"/>
          <w:sz w:val="24"/>
          <w:szCs w:val="24"/>
          <w:lang w:eastAsia="zh-CN"/>
        </w:rPr>
        <w:t xml:space="preserve"> Suppl: abstract e14515</w:t>
      </w:r>
    </w:p>
    <w:p w:rsidR="002E23EC" w:rsidRDefault="002E23EC" w:rsidP="006A3E84">
      <w:pPr>
        <w:pStyle w:val="ad"/>
        <w:tabs>
          <w:tab w:val="left" w:pos="2895"/>
        </w:tabs>
        <w:spacing w:line="360" w:lineRule="auto"/>
        <w:jc w:val="right"/>
        <w:rPr>
          <w:rFonts w:ascii="Book Antiqua" w:hAnsi="Book Antiqua"/>
          <w:b/>
          <w:sz w:val="24"/>
          <w:lang w:eastAsia="zh-CN"/>
        </w:rPr>
      </w:pPr>
      <w:r w:rsidRPr="00027A17">
        <w:rPr>
          <w:rFonts w:ascii="Book Antiqua" w:hAnsi="Book Antiqua"/>
          <w:b/>
          <w:sz w:val="24"/>
        </w:rPr>
        <w:lastRenderedPageBreak/>
        <w:t xml:space="preserve">P-Reviewers: </w:t>
      </w:r>
      <w:r w:rsidRPr="006A3E84">
        <w:rPr>
          <w:rFonts w:ascii="Book Antiqua" w:hAnsi="Book Antiqua"/>
          <w:sz w:val="24"/>
        </w:rPr>
        <w:t xml:space="preserve">Chiaro MD, O'Reilly EM, Yokoyama Y </w:t>
      </w:r>
      <w:r>
        <w:rPr>
          <w:rFonts w:ascii="Book Antiqua" w:hAnsi="Book Antiqua"/>
          <w:sz w:val="24"/>
          <w:lang w:eastAsia="zh-CN"/>
        </w:rPr>
        <w:t xml:space="preserve">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2E23EC" w:rsidRDefault="002E23EC" w:rsidP="006A3E84">
      <w:pPr>
        <w:pStyle w:val="ad"/>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2E23EC" w:rsidRPr="006A3E84" w:rsidRDefault="002E23EC" w:rsidP="00756517">
      <w:pPr>
        <w:spacing w:after="0" w:line="360" w:lineRule="auto"/>
        <w:jc w:val="both"/>
        <w:rPr>
          <w:rFonts w:ascii="Book Antiqua" w:hAnsi="Book Antiqua"/>
          <w:b/>
          <w:sz w:val="24"/>
          <w:szCs w:val="24"/>
          <w:lang w:eastAsia="zh-CN"/>
        </w:rPr>
      </w:pPr>
    </w:p>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br w:type="page"/>
      </w: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b/>
          <w:sz w:val="24"/>
          <w:szCs w:val="24"/>
        </w:rPr>
        <w:t>Table 1 Clinical studies of second-line gemcitabine-containing regimens</w:t>
      </w:r>
    </w:p>
    <w:tbl>
      <w:tblPr>
        <w:tblW w:w="10536" w:type="dxa"/>
        <w:tblInd w:w="-702" w:type="dxa"/>
        <w:tblLayout w:type="fixed"/>
        <w:tblLook w:val="00A0" w:firstRow="1" w:lastRow="0" w:firstColumn="1" w:lastColumn="0" w:noHBand="0" w:noVBand="0"/>
      </w:tblPr>
      <w:tblGrid>
        <w:gridCol w:w="2520"/>
        <w:gridCol w:w="2610"/>
        <w:gridCol w:w="990"/>
        <w:gridCol w:w="630"/>
        <w:gridCol w:w="1170"/>
        <w:gridCol w:w="1170"/>
        <w:gridCol w:w="1446"/>
      </w:tblGrid>
      <w:tr w:rsidR="002E23EC" w:rsidRPr="00044FF3" w:rsidTr="00044FF3">
        <w:tc>
          <w:tcPr>
            <w:tcW w:w="252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Regimen</w:t>
            </w:r>
          </w:p>
        </w:tc>
        <w:tc>
          <w:tcPr>
            <w:tcW w:w="261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Reference</w:t>
            </w:r>
          </w:p>
        </w:tc>
        <w:tc>
          <w:tcPr>
            <w:tcW w:w="99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Sample Size</w:t>
            </w:r>
          </w:p>
        </w:tc>
        <w:tc>
          <w:tcPr>
            <w:tcW w:w="6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RR (%)</w:t>
            </w:r>
            <w:r>
              <w:rPr>
                <w:rFonts w:ascii="Book Antiqua" w:hAnsi="Book Antiqua"/>
                <w:b/>
                <w:sz w:val="21"/>
                <w:szCs w:val="21"/>
                <w:vertAlign w:val="superscript"/>
              </w:rPr>
              <w:t>1</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PFS/TTP (mo)</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Med OS (mo)</w:t>
            </w:r>
          </w:p>
        </w:tc>
        <w:tc>
          <w:tcPr>
            <w:tcW w:w="1446"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 xml:space="preserve">1 yr survival </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G-FLIP</w:t>
            </w:r>
          </w:p>
        </w:tc>
        <w:tc>
          <w:tcPr>
            <w:tcW w:w="261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Kozuch </w:t>
            </w:r>
            <w:r w:rsidRPr="00044FF3">
              <w:rPr>
                <w:rFonts w:ascii="Book Antiqua" w:hAnsi="Book Antiqua"/>
                <w:i/>
                <w:sz w:val="21"/>
                <w:szCs w:val="21"/>
              </w:rPr>
              <w:t>et al</w:t>
            </w:r>
            <w:r w:rsidRPr="00044FF3">
              <w:rPr>
                <w:rFonts w:ascii="Book Antiqua" w:hAnsi="Book Antiqua"/>
                <w:sz w:val="21"/>
                <w:szCs w:val="21"/>
                <w:vertAlign w:val="superscript"/>
              </w:rPr>
              <w:t>[4]</w:t>
            </w:r>
            <w:r w:rsidRPr="00044FF3">
              <w:rPr>
                <w:rFonts w:ascii="Book Antiqua" w:hAnsi="Book Antiqua"/>
                <w:sz w:val="21"/>
                <w:szCs w:val="21"/>
              </w:rPr>
              <w:t>, 2001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34</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10.3</w:t>
            </w:r>
          </w:p>
        </w:tc>
        <w:tc>
          <w:tcPr>
            <w:tcW w:w="1446" w:type="dxa"/>
          </w:tcPr>
          <w:p w:rsidR="002E23EC" w:rsidRPr="00044FF3" w:rsidRDefault="002E23EC" w:rsidP="00044FF3">
            <w:pPr>
              <w:spacing w:after="0" w:line="360" w:lineRule="auto"/>
              <w:jc w:val="both"/>
              <w:rPr>
                <w:rFonts w:ascii="Book Antiqua" w:hAnsi="Book Antiqua"/>
                <w:sz w:val="21"/>
                <w:szCs w:val="21"/>
                <w:lang w:eastAsia="zh-CN"/>
              </w:rPr>
            </w:pPr>
            <w:r w:rsidRPr="00044FF3">
              <w:rPr>
                <w:rFonts w:ascii="Book Antiqua" w:hAnsi="Book Antiqua"/>
                <w:sz w:val="21"/>
                <w:szCs w:val="21"/>
              </w:rPr>
              <w:t>47</w:t>
            </w:r>
            <w:r w:rsidRPr="00044FF3">
              <w:rPr>
                <w:rFonts w:ascii="Book Antiqua" w:hAnsi="Book Antiqua"/>
                <w:sz w:val="21"/>
                <w:szCs w:val="21"/>
                <w:lang w:eastAsia="zh-CN"/>
              </w:rPr>
              <w:t>%</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PEFG</w:t>
            </w:r>
          </w:p>
        </w:tc>
        <w:tc>
          <w:tcPr>
            <w:tcW w:w="261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Reni </w:t>
            </w:r>
            <w:r w:rsidRPr="00044FF3">
              <w:rPr>
                <w:rFonts w:ascii="Book Antiqua" w:hAnsi="Book Antiqua"/>
                <w:i/>
                <w:sz w:val="21"/>
                <w:szCs w:val="21"/>
              </w:rPr>
              <w:t>et al</w:t>
            </w:r>
            <w:r w:rsidRPr="00044FF3">
              <w:rPr>
                <w:rFonts w:ascii="Book Antiqua" w:hAnsi="Book Antiqua"/>
                <w:sz w:val="21"/>
                <w:szCs w:val="21"/>
                <w:vertAlign w:val="superscript"/>
              </w:rPr>
              <w:t>[6]</w:t>
            </w:r>
            <w:r w:rsidRPr="00044FF3">
              <w:rPr>
                <w:rFonts w:ascii="Book Antiqua" w:hAnsi="Book Antiqua"/>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8.3</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r w:rsidRPr="00044FF3">
              <w:rPr>
                <w:rFonts w:ascii="Book Antiqua" w:hAnsi="Book Antiqua"/>
                <w:sz w:val="21"/>
                <w:szCs w:val="21"/>
                <w:lang w:eastAsia="zh-CN"/>
              </w:rPr>
              <w:t>%</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GEMOX</w:t>
            </w:r>
          </w:p>
        </w:tc>
        <w:tc>
          <w:tcPr>
            <w:tcW w:w="2610" w:type="dxa"/>
          </w:tcPr>
          <w:p w:rsidR="002E23EC" w:rsidRPr="00044FF3" w:rsidRDefault="002E23EC" w:rsidP="00044FF3">
            <w:pPr>
              <w:tabs>
                <w:tab w:val="right" w:pos="2214"/>
              </w:tabs>
              <w:spacing w:after="0" w:line="360" w:lineRule="auto"/>
              <w:jc w:val="both"/>
              <w:rPr>
                <w:rFonts w:ascii="Book Antiqua" w:hAnsi="Book Antiqua"/>
                <w:sz w:val="21"/>
                <w:szCs w:val="21"/>
              </w:rPr>
            </w:pPr>
            <w:r w:rsidRPr="00044FF3">
              <w:rPr>
                <w:rFonts w:ascii="Book Antiqua" w:hAnsi="Book Antiqua"/>
                <w:sz w:val="21"/>
                <w:szCs w:val="21"/>
              </w:rPr>
              <w:t xml:space="preserve">Demols </w:t>
            </w:r>
            <w:r w:rsidRPr="00044FF3">
              <w:rPr>
                <w:rFonts w:ascii="Book Antiqua" w:hAnsi="Book Antiqua"/>
                <w:i/>
                <w:sz w:val="21"/>
                <w:szCs w:val="21"/>
              </w:rPr>
              <w:t>et al</w:t>
            </w:r>
            <w:r w:rsidRPr="00044FF3">
              <w:rPr>
                <w:rFonts w:ascii="Book Antiqua" w:hAnsi="Book Antiqua"/>
                <w:sz w:val="21"/>
                <w:szCs w:val="21"/>
                <w:vertAlign w:val="superscript"/>
              </w:rPr>
              <w:t>[9]</w:t>
            </w:r>
            <w:r w:rsidRPr="00044FF3">
              <w:rPr>
                <w:rFonts w:ascii="Book Antiqua" w:hAnsi="Book Antiqua"/>
                <w:sz w:val="21"/>
                <w:szCs w:val="21"/>
              </w:rPr>
              <w:t>, 2006</w:t>
            </w:r>
            <w:r w:rsidRPr="00044FF3">
              <w:rPr>
                <w:rFonts w:ascii="Book Antiqua" w:hAnsi="Book Antiqua"/>
                <w:sz w:val="21"/>
                <w:szCs w:val="21"/>
              </w:rPr>
              <w:tab/>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33</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GEMOX</w:t>
            </w:r>
          </w:p>
        </w:tc>
        <w:tc>
          <w:tcPr>
            <w:tcW w:w="261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Fortune </w:t>
            </w:r>
            <w:r w:rsidRPr="00044FF3">
              <w:rPr>
                <w:rFonts w:ascii="Book Antiqua" w:hAnsi="Book Antiqua"/>
                <w:i/>
                <w:sz w:val="21"/>
                <w:szCs w:val="21"/>
              </w:rPr>
              <w:t>et al</w:t>
            </w:r>
            <w:r w:rsidRPr="00044FF3">
              <w:rPr>
                <w:rFonts w:ascii="Book Antiqua" w:hAnsi="Book Antiqua"/>
                <w:sz w:val="21"/>
                <w:szCs w:val="21"/>
                <w:vertAlign w:val="superscript"/>
              </w:rPr>
              <w:t>[76]</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6.4</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29</w:t>
            </w:r>
            <w:r w:rsidRPr="00044FF3">
              <w:rPr>
                <w:rFonts w:ascii="Book Antiqua" w:hAnsi="Book Antiqua"/>
                <w:sz w:val="21"/>
                <w:szCs w:val="21"/>
                <w:lang w:eastAsia="zh-CN"/>
              </w:rPr>
              <w:t>%</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 Lipoplatin</w:t>
            </w:r>
          </w:p>
        </w:tc>
        <w:tc>
          <w:tcPr>
            <w:tcW w:w="261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Stathopoulos </w:t>
            </w:r>
            <w:r w:rsidRPr="00044FF3">
              <w:rPr>
                <w:rFonts w:ascii="Book Antiqua" w:hAnsi="Book Antiqua"/>
                <w:i/>
                <w:sz w:val="21"/>
                <w:szCs w:val="21"/>
              </w:rPr>
              <w:t>et al</w:t>
            </w:r>
            <w:r w:rsidRPr="00044FF3">
              <w:rPr>
                <w:rFonts w:ascii="Book Antiqua" w:hAnsi="Book Antiqua"/>
                <w:sz w:val="21"/>
                <w:szCs w:val="21"/>
                <w:vertAlign w:val="superscript"/>
              </w:rPr>
              <w:t>[77]</w:t>
            </w:r>
            <w:r w:rsidRPr="00044FF3">
              <w:rPr>
                <w:rFonts w:ascii="Book Antiqua" w:hAnsi="Book Antiqua"/>
                <w:sz w:val="21"/>
                <w:szCs w:val="21"/>
              </w:rPr>
              <w:t>, 2006</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5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 Cisplatin, RHT</w:t>
            </w:r>
          </w:p>
        </w:tc>
        <w:tc>
          <w:tcPr>
            <w:tcW w:w="261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Tschoep </w:t>
            </w:r>
            <w:r w:rsidRPr="00044FF3">
              <w:rPr>
                <w:rFonts w:ascii="Book Antiqua" w:hAnsi="Book Antiqua"/>
                <w:i/>
                <w:sz w:val="21"/>
                <w:szCs w:val="21"/>
              </w:rPr>
              <w:t>et al</w:t>
            </w:r>
            <w:r w:rsidRPr="00044FF3">
              <w:rPr>
                <w:rFonts w:ascii="Book Antiqua" w:hAnsi="Book Antiqua"/>
                <w:sz w:val="21"/>
                <w:szCs w:val="21"/>
                <w:vertAlign w:val="superscript"/>
              </w:rPr>
              <w:t>[11]</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52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 S1</w:t>
            </w:r>
          </w:p>
        </w:tc>
        <w:tc>
          <w:tcPr>
            <w:tcW w:w="261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Morizane </w:t>
            </w:r>
            <w:r w:rsidRPr="00044FF3">
              <w:rPr>
                <w:rFonts w:ascii="Book Antiqua" w:hAnsi="Book Antiqua"/>
                <w:i/>
                <w:sz w:val="21"/>
                <w:szCs w:val="21"/>
              </w:rPr>
              <w:t>et al</w:t>
            </w:r>
            <w:r w:rsidRPr="00044FF3">
              <w:rPr>
                <w:rFonts w:ascii="Book Antiqua" w:hAnsi="Book Antiqua"/>
                <w:sz w:val="21"/>
                <w:szCs w:val="21"/>
                <w:vertAlign w:val="superscript"/>
              </w:rPr>
              <w:t>[12]</w:t>
            </w:r>
            <w:r w:rsidRPr="00044FF3">
              <w:rPr>
                <w:rFonts w:ascii="Book Antiqua" w:hAnsi="Book Antiqua"/>
                <w:sz w:val="21"/>
                <w:szCs w:val="21"/>
              </w:rPr>
              <w:t>, 2012</w:t>
            </w:r>
          </w:p>
        </w:tc>
        <w:tc>
          <w:tcPr>
            <w:tcW w:w="99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63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2.8</w:t>
            </w:r>
          </w:p>
        </w:tc>
        <w:tc>
          <w:tcPr>
            <w:tcW w:w="117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7.0</w:t>
            </w:r>
          </w:p>
        </w:tc>
        <w:tc>
          <w:tcPr>
            <w:tcW w:w="1446"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r w:rsidRPr="00044FF3">
              <w:rPr>
                <w:rFonts w:ascii="Book Antiqua" w:hAnsi="Book Antiqua"/>
                <w:sz w:val="21"/>
                <w:szCs w:val="21"/>
                <w:lang w:eastAsia="zh-CN"/>
              </w:rPr>
              <w:t>%</w:t>
            </w:r>
          </w:p>
        </w:tc>
      </w:tr>
      <w:tr w:rsidR="002E23EC" w:rsidRPr="00044FF3" w:rsidTr="00044FF3">
        <w:tc>
          <w:tcPr>
            <w:tcW w:w="252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 nab-Paclitaxel</w:t>
            </w:r>
          </w:p>
        </w:tc>
        <w:tc>
          <w:tcPr>
            <w:tcW w:w="261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vertAlign w:val="superscript"/>
              </w:rPr>
            </w:pPr>
            <w:r w:rsidRPr="00044FF3">
              <w:rPr>
                <w:rFonts w:ascii="Book Antiqua" w:hAnsi="Book Antiqua"/>
                <w:sz w:val="21"/>
                <w:szCs w:val="21"/>
              </w:rPr>
              <w:t xml:space="preserve">Ernani </w:t>
            </w:r>
            <w:r w:rsidRPr="00044FF3">
              <w:rPr>
                <w:rFonts w:ascii="Book Antiqua" w:hAnsi="Book Antiqua"/>
                <w:i/>
                <w:sz w:val="21"/>
                <w:szCs w:val="21"/>
              </w:rPr>
              <w:t>et al</w:t>
            </w:r>
            <w:r w:rsidRPr="00044FF3">
              <w:rPr>
                <w:rFonts w:ascii="Book Antiqua" w:hAnsi="Book Antiqua"/>
                <w:sz w:val="21"/>
                <w:szCs w:val="21"/>
                <w:vertAlign w:val="superscript"/>
              </w:rPr>
              <w:t>[13]</w:t>
            </w:r>
            <w:r w:rsidRPr="00044FF3">
              <w:rPr>
                <w:rFonts w:ascii="Book Antiqua" w:hAnsi="Book Antiqua"/>
                <w:sz w:val="21"/>
                <w:szCs w:val="21"/>
              </w:rPr>
              <w:t>, 2012</w:t>
            </w:r>
          </w:p>
        </w:tc>
        <w:tc>
          <w:tcPr>
            <w:tcW w:w="99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63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20</w:t>
            </w:r>
          </w:p>
        </w:tc>
        <w:tc>
          <w:tcPr>
            <w:tcW w:w="117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3.2</w:t>
            </w:r>
          </w:p>
        </w:tc>
        <w:tc>
          <w:tcPr>
            <w:tcW w:w="117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bl>
    <w:p w:rsidR="002E23EC" w:rsidRPr="0074751D" w:rsidRDefault="002E23EC" w:rsidP="0074751D">
      <w:pPr>
        <w:spacing w:after="0" w:line="360" w:lineRule="auto"/>
        <w:jc w:val="both"/>
        <w:rPr>
          <w:rFonts w:ascii="Book Antiqua" w:hAnsi="Book Antiqua"/>
          <w:sz w:val="24"/>
          <w:szCs w:val="24"/>
        </w:rPr>
      </w:pPr>
      <w:r>
        <w:rPr>
          <w:rFonts w:ascii="Book Antiqua" w:hAnsi="Book Antiqua"/>
          <w:sz w:val="24"/>
          <w:szCs w:val="24"/>
          <w:vertAlign w:val="superscript"/>
        </w:rPr>
        <w:t>1</w:t>
      </w:r>
      <w:r w:rsidRPr="0074751D">
        <w:rPr>
          <w:rFonts w:ascii="Book Antiqua" w:hAnsi="Book Antiqua"/>
          <w:sz w:val="24"/>
          <w:szCs w:val="24"/>
        </w:rPr>
        <w:t xml:space="preserve">Intent-to-treat analysis. G-FLIP: </w:t>
      </w:r>
      <w:r>
        <w:rPr>
          <w:rFonts w:ascii="Book Antiqua" w:hAnsi="Book Antiqua"/>
          <w:sz w:val="24"/>
          <w:szCs w:val="24"/>
          <w:lang w:eastAsia="zh-CN"/>
        </w:rPr>
        <w:t>G</w:t>
      </w:r>
      <w:r w:rsidRPr="0074751D">
        <w:rPr>
          <w:rFonts w:ascii="Book Antiqua" w:hAnsi="Book Antiqua"/>
          <w:sz w:val="24"/>
          <w:szCs w:val="24"/>
        </w:rPr>
        <w:t>emcitabine, 5-fluorouracil, leucovorin, cisplatin</w:t>
      </w:r>
      <w:r>
        <w:rPr>
          <w:rFonts w:ascii="Book Antiqua" w:hAnsi="Book Antiqua"/>
          <w:sz w:val="24"/>
          <w:szCs w:val="24"/>
          <w:lang w:eastAsia="zh-CN"/>
        </w:rPr>
        <w:t>;</w:t>
      </w:r>
      <w:r w:rsidRPr="0074751D">
        <w:rPr>
          <w:rFonts w:ascii="Book Antiqua" w:hAnsi="Book Antiqua"/>
          <w:sz w:val="24"/>
          <w:szCs w:val="24"/>
        </w:rPr>
        <w:t xml:space="preserve"> PEFG: </w:t>
      </w:r>
      <w:r>
        <w:rPr>
          <w:rFonts w:ascii="Book Antiqua" w:hAnsi="Book Antiqua"/>
          <w:sz w:val="24"/>
          <w:szCs w:val="24"/>
          <w:lang w:eastAsia="zh-CN"/>
        </w:rPr>
        <w:t>C</w:t>
      </w:r>
      <w:r w:rsidRPr="0074751D">
        <w:rPr>
          <w:rFonts w:ascii="Book Antiqua" w:hAnsi="Book Antiqua"/>
          <w:sz w:val="24"/>
          <w:szCs w:val="24"/>
        </w:rPr>
        <w:t>isplatin, epirubicin, 5-fluorouracil, gemcitabine</w:t>
      </w:r>
      <w:r>
        <w:rPr>
          <w:rFonts w:ascii="Book Antiqua" w:hAnsi="Book Antiqua"/>
          <w:sz w:val="24"/>
          <w:szCs w:val="24"/>
          <w:lang w:eastAsia="zh-CN"/>
        </w:rPr>
        <w:t>;</w:t>
      </w:r>
      <w:r w:rsidRPr="0074751D">
        <w:rPr>
          <w:rFonts w:ascii="Book Antiqua" w:hAnsi="Book Antiqua"/>
          <w:sz w:val="24"/>
          <w:szCs w:val="24"/>
        </w:rPr>
        <w:t xml:space="preserve"> </w:t>
      </w:r>
      <w:r>
        <w:rPr>
          <w:rFonts w:ascii="Book Antiqua" w:hAnsi="Book Antiqua"/>
          <w:sz w:val="24"/>
          <w:szCs w:val="24"/>
        </w:rPr>
        <w:t xml:space="preserve">GEMOX: </w:t>
      </w:r>
      <w:r>
        <w:rPr>
          <w:rFonts w:ascii="Book Antiqua" w:hAnsi="Book Antiqua"/>
          <w:sz w:val="24"/>
          <w:szCs w:val="24"/>
          <w:lang w:eastAsia="zh-CN"/>
        </w:rPr>
        <w:t>G</w:t>
      </w:r>
      <w:r w:rsidRPr="0074751D">
        <w:rPr>
          <w:rFonts w:ascii="Book Antiqua" w:hAnsi="Book Antiqua"/>
          <w:sz w:val="24"/>
          <w:szCs w:val="24"/>
        </w:rPr>
        <w:t>emcitabine, oxaliplatin</w:t>
      </w:r>
      <w:r>
        <w:rPr>
          <w:rFonts w:ascii="Book Antiqua" w:hAnsi="Book Antiqua"/>
          <w:sz w:val="24"/>
          <w:szCs w:val="24"/>
          <w:lang w:eastAsia="zh-CN"/>
        </w:rPr>
        <w:t>;</w:t>
      </w:r>
      <w:r w:rsidRPr="0074751D">
        <w:rPr>
          <w:rFonts w:ascii="Book Antiqua" w:hAnsi="Book Antiqua"/>
          <w:sz w:val="24"/>
          <w:szCs w:val="24"/>
        </w:rPr>
        <w:t xml:space="preserve"> Gem: </w:t>
      </w:r>
      <w:r>
        <w:rPr>
          <w:rFonts w:ascii="Book Antiqua" w:hAnsi="Book Antiqua"/>
          <w:sz w:val="24"/>
          <w:szCs w:val="24"/>
          <w:lang w:eastAsia="zh-CN"/>
        </w:rPr>
        <w:t>G</w:t>
      </w:r>
      <w:r w:rsidRPr="0074751D">
        <w:rPr>
          <w:rFonts w:ascii="Book Antiqua" w:hAnsi="Book Antiqua"/>
          <w:sz w:val="24"/>
          <w:szCs w:val="24"/>
        </w:rPr>
        <w:t>emcitabine</w:t>
      </w:r>
      <w:r>
        <w:rPr>
          <w:rFonts w:ascii="Book Antiqua" w:hAnsi="Book Antiqua"/>
          <w:sz w:val="24"/>
          <w:szCs w:val="24"/>
          <w:lang w:eastAsia="zh-CN"/>
        </w:rPr>
        <w:t>;</w:t>
      </w:r>
      <w:r w:rsidRPr="0074751D">
        <w:rPr>
          <w:rFonts w:ascii="Book Antiqua" w:hAnsi="Book Antiqua"/>
          <w:sz w:val="24"/>
          <w:szCs w:val="24"/>
        </w:rPr>
        <w:t xml:space="preserve"> RHT: </w:t>
      </w:r>
      <w:r>
        <w:rPr>
          <w:rFonts w:ascii="Book Antiqua" w:hAnsi="Book Antiqua"/>
          <w:sz w:val="24"/>
          <w:szCs w:val="24"/>
          <w:lang w:eastAsia="zh-CN"/>
        </w:rPr>
        <w:t>R</w:t>
      </w:r>
      <w:r w:rsidRPr="0074751D">
        <w:rPr>
          <w:rFonts w:ascii="Book Antiqua" w:hAnsi="Book Antiqua"/>
          <w:sz w:val="24"/>
          <w:szCs w:val="24"/>
        </w:rPr>
        <w:t>egional hyperthermia</w:t>
      </w:r>
      <w:r>
        <w:rPr>
          <w:rFonts w:ascii="Book Antiqua" w:hAnsi="Book Antiqua"/>
          <w:sz w:val="24"/>
          <w:szCs w:val="24"/>
          <w:lang w:eastAsia="zh-CN"/>
        </w:rPr>
        <w:t>;</w:t>
      </w:r>
      <w:r w:rsidRPr="0074751D">
        <w:rPr>
          <w:rFonts w:ascii="Book Antiqua" w:hAnsi="Book Antiqua"/>
          <w:sz w:val="24"/>
          <w:szCs w:val="24"/>
        </w:rPr>
        <w:t xml:space="preserve"> </w:t>
      </w:r>
      <w:r w:rsidRPr="00391228">
        <w:rPr>
          <w:rFonts w:ascii="Book Antiqua" w:hAnsi="Book Antiqua"/>
          <w:sz w:val="24"/>
          <w:szCs w:val="24"/>
        </w:rPr>
        <w:t>Nab</w:t>
      </w:r>
      <w:r w:rsidRPr="0074751D">
        <w:rPr>
          <w:rFonts w:ascii="Book Antiqua" w:hAnsi="Book Antiqua"/>
          <w:sz w:val="24"/>
          <w:szCs w:val="24"/>
        </w:rPr>
        <w:t xml:space="preserve">-paclitaxel: </w:t>
      </w:r>
      <w:r>
        <w:rPr>
          <w:rFonts w:ascii="Book Antiqua" w:hAnsi="Book Antiqua"/>
          <w:sz w:val="24"/>
          <w:szCs w:val="24"/>
          <w:lang w:eastAsia="zh-CN"/>
        </w:rPr>
        <w:t>A</w:t>
      </w:r>
      <w:r w:rsidRPr="0074751D">
        <w:rPr>
          <w:rFonts w:ascii="Book Antiqua" w:hAnsi="Book Antiqua"/>
          <w:sz w:val="24"/>
          <w:szCs w:val="24"/>
        </w:rPr>
        <w:t>lbumin-bound nanoparticle paclitaxel</w:t>
      </w:r>
      <w:r>
        <w:rPr>
          <w:rFonts w:ascii="Book Antiqua" w:hAnsi="Book Antiqua"/>
          <w:sz w:val="24"/>
          <w:szCs w:val="24"/>
          <w:lang w:eastAsia="zh-CN"/>
        </w:rPr>
        <w:t>;</w:t>
      </w:r>
      <w:r w:rsidRPr="0074751D">
        <w:rPr>
          <w:rFonts w:ascii="Book Antiqua" w:hAnsi="Book Antiqua"/>
          <w:sz w:val="24"/>
          <w:szCs w:val="24"/>
        </w:rPr>
        <w:t xml:space="preserve"> NR: </w:t>
      </w:r>
      <w:r>
        <w:rPr>
          <w:rFonts w:ascii="Book Antiqua" w:hAnsi="Book Antiqua"/>
          <w:sz w:val="24"/>
          <w:szCs w:val="24"/>
          <w:lang w:eastAsia="zh-CN"/>
        </w:rPr>
        <w:t>N</w:t>
      </w:r>
      <w:r w:rsidRPr="0074751D">
        <w:rPr>
          <w:rFonts w:ascii="Book Antiqua" w:hAnsi="Book Antiqua"/>
          <w:sz w:val="24"/>
          <w:szCs w:val="24"/>
        </w:rPr>
        <w:t>ot reported.</w:t>
      </w: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br w:type="page"/>
      </w: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b/>
          <w:sz w:val="24"/>
          <w:szCs w:val="24"/>
        </w:rPr>
        <w:t>Table 2 Clinical studies of second</w:t>
      </w:r>
      <w:r>
        <w:rPr>
          <w:rFonts w:ascii="Book Antiqua" w:hAnsi="Book Antiqua"/>
          <w:b/>
          <w:sz w:val="24"/>
          <w:szCs w:val="24"/>
        </w:rPr>
        <w:t>-line monotherapeutic regimens</w:t>
      </w:r>
    </w:p>
    <w:tbl>
      <w:tblPr>
        <w:tblW w:w="10620" w:type="dxa"/>
        <w:tblInd w:w="-702" w:type="dxa"/>
        <w:tblLayout w:type="fixed"/>
        <w:tblLook w:val="00A0" w:firstRow="1" w:lastRow="0" w:firstColumn="1" w:lastColumn="0" w:noHBand="0" w:noVBand="0"/>
      </w:tblPr>
      <w:tblGrid>
        <w:gridCol w:w="2700"/>
        <w:gridCol w:w="2430"/>
        <w:gridCol w:w="990"/>
        <w:gridCol w:w="630"/>
        <w:gridCol w:w="1170"/>
        <w:gridCol w:w="1170"/>
        <w:gridCol w:w="1530"/>
      </w:tblGrid>
      <w:tr w:rsidR="002E23EC" w:rsidRPr="00044FF3" w:rsidTr="00044FF3">
        <w:tc>
          <w:tcPr>
            <w:tcW w:w="270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Regimen</w:t>
            </w:r>
          </w:p>
        </w:tc>
        <w:tc>
          <w:tcPr>
            <w:tcW w:w="24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Reference</w:t>
            </w:r>
          </w:p>
        </w:tc>
        <w:tc>
          <w:tcPr>
            <w:tcW w:w="99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Sample Size</w:t>
            </w:r>
          </w:p>
        </w:tc>
        <w:tc>
          <w:tcPr>
            <w:tcW w:w="6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RR (%)</w:t>
            </w:r>
            <w:r>
              <w:rPr>
                <w:rFonts w:ascii="Book Antiqua" w:hAnsi="Book Antiqua"/>
                <w:b/>
                <w:sz w:val="21"/>
                <w:szCs w:val="21"/>
                <w:vertAlign w:val="superscript"/>
              </w:rPr>
              <w:t>1</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PFS/TTP (mo)</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Med OS (mo)</w:t>
            </w:r>
          </w:p>
        </w:tc>
        <w:tc>
          <w:tcPr>
            <w:tcW w:w="15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 xml:space="preserve">1 yr survival </w:t>
            </w:r>
          </w:p>
        </w:tc>
      </w:tr>
      <w:tr w:rsidR="002E23EC" w:rsidRPr="00044FF3" w:rsidTr="00044FF3">
        <w:tc>
          <w:tcPr>
            <w:tcW w:w="270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Rubitecan</w:t>
            </w:r>
          </w:p>
        </w:tc>
        <w:tc>
          <w:tcPr>
            <w:tcW w:w="243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Jacobs</w:t>
            </w:r>
            <w:r w:rsidRPr="00044FF3">
              <w:rPr>
                <w:rFonts w:ascii="Book Antiqua" w:hAnsi="Book Antiqua"/>
                <w:i/>
                <w:sz w:val="21"/>
                <w:szCs w:val="21"/>
                <w:lang w:eastAsia="zh-CN"/>
              </w:rPr>
              <w:t xml:space="preserve"> et al</w:t>
            </w:r>
            <w:r w:rsidRPr="00044FF3">
              <w:rPr>
                <w:rFonts w:ascii="Book Antiqua" w:hAnsi="Book Antiqua"/>
                <w:sz w:val="21"/>
                <w:szCs w:val="21"/>
                <w:vertAlign w:val="superscript"/>
              </w:rPr>
              <w:t>[16]</w:t>
            </w:r>
            <w:r w:rsidRPr="00044FF3">
              <w:rPr>
                <w:rFonts w:ascii="Book Antiqua" w:hAnsi="Book Antiqua"/>
                <w:sz w:val="21"/>
                <w:szCs w:val="21"/>
              </w:rPr>
              <w:t>, 2004</w:t>
            </w:r>
          </w:p>
        </w:tc>
        <w:tc>
          <w:tcPr>
            <w:tcW w:w="99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198</w:t>
            </w:r>
          </w:p>
        </w:tc>
        <w:tc>
          <w:tcPr>
            <w:tcW w:w="63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11</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3.5</w:t>
            </w:r>
          </w:p>
        </w:tc>
        <w:tc>
          <w:tcPr>
            <w:tcW w:w="153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Rubitecan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Burris</w:t>
            </w:r>
            <w:r w:rsidRPr="00044FF3">
              <w:rPr>
                <w:rFonts w:ascii="Book Antiqua" w:hAnsi="Book Antiqua"/>
                <w:sz w:val="21"/>
                <w:szCs w:val="21"/>
                <w:lang w:eastAsia="zh-CN"/>
              </w:rPr>
              <w:t xml:space="preserve"> </w:t>
            </w:r>
            <w:r w:rsidRPr="00044FF3">
              <w:rPr>
                <w:rFonts w:ascii="Book Antiqua" w:hAnsi="Book Antiqua"/>
                <w:i/>
                <w:sz w:val="21"/>
                <w:szCs w:val="21"/>
                <w:lang w:eastAsia="zh-CN"/>
              </w:rPr>
              <w:t>et al</w:t>
            </w:r>
            <w:r w:rsidRPr="00044FF3">
              <w:rPr>
                <w:rFonts w:ascii="Book Antiqua" w:hAnsi="Book Antiqua"/>
                <w:sz w:val="21"/>
                <w:szCs w:val="21"/>
                <w:vertAlign w:val="superscript"/>
              </w:rPr>
              <w:t>[15]</w:t>
            </w:r>
            <w:r w:rsidRPr="00044FF3">
              <w:rPr>
                <w:rFonts w:ascii="Book Antiqua" w:hAnsi="Book Antiqua"/>
                <w:sz w:val="21"/>
                <w:szCs w:val="21"/>
              </w:rPr>
              <w:t>, 2005</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58</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1530" w:type="dxa"/>
          </w:tcPr>
          <w:p w:rsidR="002E23EC" w:rsidRPr="00044FF3" w:rsidRDefault="002E23EC" w:rsidP="00044FF3">
            <w:pPr>
              <w:spacing w:after="0" w:line="360" w:lineRule="auto"/>
              <w:jc w:val="both"/>
              <w:rPr>
                <w:rFonts w:ascii="Book Antiqua" w:hAnsi="Book Antiqua"/>
                <w:sz w:val="21"/>
                <w:szCs w:val="21"/>
                <w:lang w:eastAsia="zh-CN"/>
              </w:rPr>
            </w:pPr>
            <w:r w:rsidRPr="00044FF3">
              <w:rPr>
                <w:rFonts w:ascii="Book Antiqua" w:hAnsi="Book Antiqua"/>
                <w:sz w:val="21"/>
                <w:szCs w:val="21"/>
              </w:rPr>
              <w:t>9</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Irinotecan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Yi</w:t>
            </w:r>
            <w:r w:rsidRPr="00044FF3">
              <w:rPr>
                <w:rFonts w:ascii="Book Antiqua" w:hAnsi="Book Antiqua"/>
                <w:sz w:val="21"/>
                <w:szCs w:val="21"/>
                <w:lang w:eastAsia="zh-CN"/>
              </w:rPr>
              <w:t xml:space="preserve"> </w:t>
            </w:r>
            <w:r w:rsidRPr="00044FF3">
              <w:rPr>
                <w:rFonts w:ascii="Book Antiqua" w:hAnsi="Book Antiqua"/>
                <w:i/>
                <w:sz w:val="21"/>
                <w:szCs w:val="21"/>
                <w:lang w:eastAsia="zh-CN"/>
              </w:rPr>
              <w:t>et al</w:t>
            </w:r>
            <w:r w:rsidRPr="00044FF3">
              <w:rPr>
                <w:rFonts w:ascii="Book Antiqua" w:hAnsi="Book Antiqua"/>
                <w:sz w:val="21"/>
                <w:szCs w:val="21"/>
                <w:vertAlign w:val="superscript"/>
              </w:rPr>
              <w:t>[78]</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33</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6.6</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Irinotecan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Takahara </w:t>
            </w:r>
            <w:r w:rsidRPr="00044FF3">
              <w:rPr>
                <w:rFonts w:ascii="Book Antiqua" w:hAnsi="Book Antiqua"/>
                <w:i/>
                <w:sz w:val="21"/>
                <w:szCs w:val="21"/>
              </w:rPr>
              <w:t>et al</w:t>
            </w:r>
            <w:r w:rsidRPr="00044FF3">
              <w:rPr>
                <w:rFonts w:ascii="Book Antiqua" w:hAnsi="Book Antiqua"/>
                <w:sz w:val="21"/>
                <w:szCs w:val="21"/>
                <w:vertAlign w:val="superscript"/>
              </w:rPr>
              <w:t>[79]</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5.3</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88"/>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Nanoliposomal Irinotecan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Ko </w:t>
            </w:r>
            <w:r w:rsidRPr="00044FF3">
              <w:rPr>
                <w:rFonts w:ascii="Book Antiqua" w:hAnsi="Book Antiqua"/>
                <w:i/>
                <w:sz w:val="21"/>
                <w:szCs w:val="21"/>
              </w:rPr>
              <w:t>et al</w:t>
            </w:r>
            <w:r w:rsidRPr="00044FF3">
              <w:rPr>
                <w:rFonts w:ascii="Book Antiqua" w:hAnsi="Book Antiqua"/>
                <w:sz w:val="21"/>
                <w:szCs w:val="21"/>
                <w:vertAlign w:val="superscript"/>
              </w:rPr>
              <w:t>[17]</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5.2</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25</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Paclitaxel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Oettle </w:t>
            </w:r>
            <w:r w:rsidRPr="00044FF3">
              <w:rPr>
                <w:rFonts w:ascii="Book Antiqua" w:hAnsi="Book Antiqua"/>
                <w:i/>
                <w:sz w:val="21"/>
                <w:szCs w:val="21"/>
              </w:rPr>
              <w:t>et al</w:t>
            </w:r>
            <w:r w:rsidRPr="00044FF3">
              <w:rPr>
                <w:rFonts w:ascii="Book Antiqua" w:hAnsi="Book Antiqua"/>
                <w:sz w:val="21"/>
                <w:szCs w:val="21"/>
                <w:vertAlign w:val="superscript"/>
              </w:rPr>
              <w:t>[18]</w:t>
            </w:r>
            <w:r w:rsidRPr="00044FF3">
              <w:rPr>
                <w:rFonts w:ascii="Book Antiqua" w:hAnsi="Book Antiqua"/>
                <w:sz w:val="21"/>
                <w:szCs w:val="21"/>
              </w:rPr>
              <w:t>, 2000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Paclitaxel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Maeda </w:t>
            </w:r>
            <w:r w:rsidRPr="00044FF3">
              <w:rPr>
                <w:rFonts w:ascii="Book Antiqua" w:hAnsi="Book Antiqua"/>
                <w:i/>
                <w:sz w:val="21"/>
                <w:szCs w:val="21"/>
              </w:rPr>
              <w:t>et al</w:t>
            </w:r>
            <w:r w:rsidRPr="00044FF3">
              <w:rPr>
                <w:rFonts w:ascii="Book Antiqua" w:hAnsi="Book Antiqua"/>
                <w:sz w:val="21"/>
                <w:szCs w:val="21"/>
                <w:vertAlign w:val="superscript"/>
              </w:rPr>
              <w:t>[19]</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Docetaxel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Cereda </w:t>
            </w:r>
            <w:r w:rsidRPr="00044FF3">
              <w:rPr>
                <w:rFonts w:ascii="Book Antiqua" w:hAnsi="Book Antiqua"/>
                <w:i/>
                <w:sz w:val="21"/>
                <w:szCs w:val="21"/>
              </w:rPr>
              <w:t>et al</w:t>
            </w:r>
            <w:r w:rsidRPr="00044FF3">
              <w:rPr>
                <w:rFonts w:ascii="Book Antiqua" w:hAnsi="Book Antiqua"/>
                <w:sz w:val="21"/>
                <w:szCs w:val="21"/>
                <w:vertAlign w:val="superscript"/>
              </w:rPr>
              <w:t>[20]</w:t>
            </w:r>
            <w:r w:rsidRPr="00044FF3">
              <w:rPr>
                <w:rFonts w:ascii="Book Antiqua" w:hAnsi="Book Antiqua"/>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530" w:type="dxa"/>
          </w:tcPr>
          <w:p w:rsidR="002E23EC" w:rsidRPr="00044FF3" w:rsidRDefault="002E23EC" w:rsidP="00044FF3">
            <w:pPr>
              <w:spacing w:after="0" w:line="360" w:lineRule="auto"/>
              <w:jc w:val="both"/>
              <w:rPr>
                <w:rFonts w:ascii="Book Antiqua" w:hAnsi="Book Antiqua"/>
                <w:sz w:val="21"/>
                <w:szCs w:val="21"/>
                <w:lang w:eastAsia="zh-CN"/>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rPr>
          <w:trHeight w:val="297"/>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Nab-Paclitaxel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Hosein </w:t>
            </w:r>
            <w:r w:rsidRPr="00044FF3">
              <w:rPr>
                <w:rFonts w:ascii="Book Antiqua" w:hAnsi="Book Antiqua"/>
                <w:i/>
                <w:sz w:val="21"/>
                <w:szCs w:val="21"/>
              </w:rPr>
              <w:t>et al</w:t>
            </w:r>
            <w:r w:rsidRPr="00044FF3">
              <w:rPr>
                <w:rFonts w:ascii="Book Antiqua" w:hAnsi="Book Antiqua"/>
                <w:sz w:val="21"/>
                <w:szCs w:val="21"/>
                <w:vertAlign w:val="superscript"/>
              </w:rPr>
              <w:t>[22]</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7.3</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Boeck </w:t>
            </w:r>
            <w:r w:rsidRPr="00044FF3">
              <w:rPr>
                <w:rFonts w:ascii="Book Antiqua" w:hAnsi="Book Antiqua"/>
                <w:i/>
                <w:sz w:val="21"/>
                <w:szCs w:val="21"/>
              </w:rPr>
              <w:t>et al</w:t>
            </w:r>
            <w:r w:rsidRPr="00044FF3">
              <w:rPr>
                <w:rFonts w:ascii="Book Antiqua" w:hAnsi="Book Antiqua"/>
                <w:sz w:val="21"/>
                <w:szCs w:val="21"/>
                <w:vertAlign w:val="superscript"/>
              </w:rPr>
              <w:t>[24]</w:t>
            </w:r>
            <w:r w:rsidRPr="00044FF3">
              <w:rPr>
                <w:rFonts w:ascii="Book Antiqua" w:hAnsi="Book Antiqua"/>
                <w:sz w:val="21"/>
                <w:szCs w:val="21"/>
              </w:rPr>
              <w:t>, 2007</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39</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7.6</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Bodoky </w:t>
            </w:r>
            <w:r w:rsidRPr="00044FF3">
              <w:rPr>
                <w:rFonts w:ascii="Book Antiqua" w:hAnsi="Book Antiqua"/>
                <w:i/>
                <w:sz w:val="21"/>
                <w:szCs w:val="21"/>
              </w:rPr>
              <w:t>et al</w:t>
            </w:r>
            <w:r w:rsidRPr="00044FF3">
              <w:rPr>
                <w:rFonts w:ascii="Book Antiqua" w:hAnsi="Book Antiqua"/>
                <w:sz w:val="21"/>
                <w:szCs w:val="21"/>
                <w:vertAlign w:val="superscript"/>
              </w:rPr>
              <w:t>[59]</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38</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S-1</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Morizane </w:t>
            </w:r>
            <w:r w:rsidRPr="00044FF3">
              <w:rPr>
                <w:rFonts w:ascii="Book Antiqua" w:hAnsi="Book Antiqua"/>
                <w:i/>
                <w:sz w:val="21"/>
                <w:szCs w:val="21"/>
              </w:rPr>
              <w:t>et al</w:t>
            </w:r>
            <w:r w:rsidRPr="00044FF3">
              <w:rPr>
                <w:rFonts w:ascii="Book Antiqua" w:hAnsi="Book Antiqua"/>
                <w:sz w:val="21"/>
                <w:szCs w:val="21"/>
                <w:vertAlign w:val="superscript"/>
              </w:rPr>
              <w:t>[25]</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4.5</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S-1</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Todaka </w:t>
            </w:r>
            <w:r w:rsidRPr="00044FF3">
              <w:rPr>
                <w:rFonts w:ascii="Book Antiqua" w:hAnsi="Book Antiqua"/>
                <w:i/>
                <w:sz w:val="21"/>
                <w:szCs w:val="21"/>
              </w:rPr>
              <w:t>et al</w:t>
            </w:r>
            <w:r w:rsidRPr="00044FF3">
              <w:rPr>
                <w:rFonts w:ascii="Book Antiqua" w:hAnsi="Book Antiqua"/>
                <w:sz w:val="21"/>
                <w:szCs w:val="21"/>
                <w:vertAlign w:val="superscript"/>
              </w:rPr>
              <w:t>[26]</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52</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5.8</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12</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S-1</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Mizuno </w:t>
            </w:r>
            <w:r w:rsidRPr="00044FF3">
              <w:rPr>
                <w:rFonts w:ascii="Book Antiqua" w:hAnsi="Book Antiqua"/>
                <w:i/>
                <w:sz w:val="21"/>
                <w:szCs w:val="21"/>
              </w:rPr>
              <w:t>et al</w:t>
            </w:r>
            <w:r w:rsidRPr="00044FF3">
              <w:rPr>
                <w:rFonts w:ascii="Book Antiqua" w:hAnsi="Book Antiqua"/>
                <w:sz w:val="21"/>
                <w:szCs w:val="21"/>
                <w:vertAlign w:val="superscript"/>
              </w:rPr>
              <w:t>[28]</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5.9</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52"/>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Best Fluoropyrimidine</w:t>
            </w:r>
            <w:r w:rsidRPr="00044FF3">
              <w:rPr>
                <w:rFonts w:ascii="Book Antiqua" w:hAnsi="Book Antiqua"/>
                <w:sz w:val="21"/>
                <w:szCs w:val="21"/>
                <w:vertAlign w:val="superscript"/>
              </w:rPr>
              <w:t>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Ioka </w:t>
            </w:r>
            <w:r w:rsidRPr="00044FF3">
              <w:rPr>
                <w:rFonts w:ascii="Book Antiqua" w:hAnsi="Book Antiqua"/>
                <w:i/>
                <w:sz w:val="21"/>
                <w:szCs w:val="21"/>
              </w:rPr>
              <w:t>et al</w:t>
            </w:r>
            <w:r w:rsidRPr="00044FF3">
              <w:rPr>
                <w:rFonts w:ascii="Book Antiqua" w:hAnsi="Book Antiqua"/>
                <w:sz w:val="21"/>
                <w:szCs w:val="21"/>
                <w:vertAlign w:val="superscript"/>
              </w:rPr>
              <w:t>[27]</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7.5</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Gemcitabine</w:t>
            </w:r>
            <w:r w:rsidRPr="00044FF3">
              <w:rPr>
                <w:rFonts w:ascii="Book Antiqua" w:hAnsi="Book Antiqua"/>
                <w:sz w:val="21"/>
                <w:szCs w:val="21"/>
                <w:vertAlign w:val="superscript"/>
              </w:rPr>
              <w:t>c</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Fukahori </w:t>
            </w:r>
            <w:r w:rsidRPr="00044FF3">
              <w:rPr>
                <w:rFonts w:ascii="Book Antiqua" w:hAnsi="Book Antiqua"/>
                <w:i/>
                <w:sz w:val="21"/>
                <w:szCs w:val="21"/>
              </w:rPr>
              <w:t>et al</w:t>
            </w:r>
            <w:r w:rsidRPr="00044FF3">
              <w:rPr>
                <w:rFonts w:ascii="Book Antiqua" w:hAnsi="Book Antiqua"/>
                <w:sz w:val="21"/>
                <w:szCs w:val="21"/>
                <w:vertAlign w:val="superscript"/>
              </w:rPr>
              <w:t>[80]</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8.0</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Androulakis </w:t>
            </w:r>
            <w:r w:rsidRPr="00044FF3">
              <w:rPr>
                <w:rFonts w:ascii="Book Antiqua" w:hAnsi="Book Antiqua"/>
                <w:i/>
                <w:sz w:val="21"/>
                <w:szCs w:val="21"/>
              </w:rPr>
              <w:t>et al</w:t>
            </w:r>
            <w:r w:rsidRPr="00044FF3">
              <w:rPr>
                <w:rFonts w:ascii="Book Antiqua" w:hAnsi="Book Antiqua"/>
                <w:sz w:val="21"/>
                <w:szCs w:val="21"/>
                <w:vertAlign w:val="superscript"/>
              </w:rPr>
              <w:t>[81]</w:t>
            </w:r>
            <w:r w:rsidRPr="00044FF3">
              <w:rPr>
                <w:rFonts w:ascii="Book Antiqua" w:hAnsi="Book Antiqua"/>
                <w:sz w:val="21"/>
                <w:szCs w:val="21"/>
              </w:rPr>
              <w:t>, 2005</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3.5</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Pemetrexed</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Boeck </w:t>
            </w:r>
            <w:r w:rsidRPr="00044FF3">
              <w:rPr>
                <w:rFonts w:ascii="Book Antiqua" w:hAnsi="Book Antiqua"/>
                <w:i/>
                <w:sz w:val="21"/>
                <w:szCs w:val="21"/>
              </w:rPr>
              <w:t>et al</w:t>
            </w:r>
            <w:r w:rsidRPr="00044FF3">
              <w:rPr>
                <w:rFonts w:ascii="Book Antiqua" w:hAnsi="Book Antiqua"/>
                <w:sz w:val="21"/>
                <w:szCs w:val="21"/>
                <w:vertAlign w:val="superscript"/>
              </w:rPr>
              <w:t>[82]</w:t>
            </w:r>
            <w:r w:rsidRPr="00044FF3">
              <w:rPr>
                <w:rFonts w:ascii="Book Antiqua" w:hAnsi="Book Antiqua"/>
                <w:sz w:val="21"/>
                <w:szCs w:val="21"/>
              </w:rPr>
              <w:t>, 2007</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52</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4.7</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Raltitrexed</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Ulrich-Pur </w:t>
            </w:r>
            <w:r w:rsidRPr="00044FF3">
              <w:rPr>
                <w:rFonts w:ascii="Book Antiqua" w:hAnsi="Book Antiqua"/>
                <w:i/>
                <w:sz w:val="21"/>
                <w:szCs w:val="21"/>
              </w:rPr>
              <w:t>et al</w:t>
            </w:r>
            <w:r w:rsidRPr="00044FF3">
              <w:rPr>
                <w:rFonts w:ascii="Book Antiqua" w:hAnsi="Book Antiqua"/>
                <w:sz w:val="21"/>
                <w:szCs w:val="21"/>
                <w:vertAlign w:val="superscript"/>
              </w:rPr>
              <w:t>[48]</w:t>
            </w:r>
            <w:r w:rsidRPr="00044FF3">
              <w:rPr>
                <w:rFonts w:ascii="Book Antiqua" w:hAnsi="Book Antiqua"/>
                <w:sz w:val="21"/>
                <w:szCs w:val="21"/>
              </w:rPr>
              <w:t>, 2003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4.3</w:t>
            </w:r>
          </w:p>
        </w:tc>
        <w:tc>
          <w:tcPr>
            <w:tcW w:w="15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c>
          <w:tcPr>
            <w:tcW w:w="270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Arsenic Trioxide</w:t>
            </w:r>
          </w:p>
        </w:tc>
        <w:tc>
          <w:tcPr>
            <w:tcW w:w="243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Kindler </w:t>
            </w:r>
            <w:r w:rsidRPr="00044FF3">
              <w:rPr>
                <w:rFonts w:ascii="Book Antiqua" w:hAnsi="Book Antiqua"/>
                <w:i/>
                <w:sz w:val="21"/>
                <w:szCs w:val="21"/>
              </w:rPr>
              <w:t>et al</w:t>
            </w:r>
            <w:r w:rsidRPr="00044FF3">
              <w:rPr>
                <w:rFonts w:ascii="Book Antiqua" w:hAnsi="Book Antiqua"/>
                <w:sz w:val="21"/>
                <w:szCs w:val="21"/>
                <w:vertAlign w:val="superscript"/>
              </w:rPr>
              <w:t>[83]</w:t>
            </w:r>
            <w:r w:rsidRPr="00044FF3">
              <w:rPr>
                <w:rFonts w:ascii="Book Antiqua" w:hAnsi="Book Antiqua"/>
                <w:sz w:val="21"/>
                <w:szCs w:val="21"/>
              </w:rPr>
              <w:t>, 2008</w:t>
            </w:r>
          </w:p>
        </w:tc>
        <w:tc>
          <w:tcPr>
            <w:tcW w:w="99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13</w:t>
            </w:r>
          </w:p>
        </w:tc>
        <w:tc>
          <w:tcPr>
            <w:tcW w:w="63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3.8</w:t>
            </w:r>
          </w:p>
        </w:tc>
        <w:tc>
          <w:tcPr>
            <w:tcW w:w="153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r w:rsidRPr="00044FF3">
              <w:rPr>
                <w:rFonts w:ascii="Book Antiqua" w:hAnsi="Book Antiqua"/>
                <w:sz w:val="21"/>
                <w:szCs w:val="21"/>
                <w:lang w:eastAsia="zh-CN"/>
              </w:rPr>
              <w:t>%</w:t>
            </w:r>
          </w:p>
        </w:tc>
      </w:tr>
    </w:tbl>
    <w:p w:rsidR="002E23EC" w:rsidRPr="0074751D" w:rsidRDefault="002E23EC" w:rsidP="0074751D">
      <w:pPr>
        <w:spacing w:after="0" w:line="360" w:lineRule="auto"/>
        <w:jc w:val="both"/>
        <w:rPr>
          <w:rFonts w:ascii="Book Antiqua" w:hAnsi="Book Antiqua"/>
          <w:sz w:val="24"/>
          <w:szCs w:val="24"/>
        </w:rPr>
      </w:pPr>
      <w:r>
        <w:rPr>
          <w:rFonts w:ascii="Book Antiqua" w:hAnsi="Book Antiqua"/>
          <w:sz w:val="24"/>
          <w:szCs w:val="24"/>
          <w:vertAlign w:val="superscript"/>
        </w:rPr>
        <w:t>1</w:t>
      </w:r>
      <w:r w:rsidRPr="0074751D">
        <w:rPr>
          <w:rFonts w:ascii="Book Antiqua" w:hAnsi="Book Antiqua"/>
          <w:sz w:val="24"/>
          <w:szCs w:val="24"/>
        </w:rPr>
        <w:t>Intent-to-treat analysis</w:t>
      </w:r>
      <w:r>
        <w:rPr>
          <w:rFonts w:ascii="Book Antiqua" w:hAnsi="Book Antiqua"/>
          <w:sz w:val="24"/>
          <w:szCs w:val="24"/>
          <w:lang w:eastAsia="zh-CN"/>
        </w:rPr>
        <w:t>;</w:t>
      </w:r>
      <w:r w:rsidRPr="0074751D">
        <w:rPr>
          <w:rFonts w:ascii="Book Antiqua" w:hAnsi="Book Antiqua"/>
          <w:sz w:val="24"/>
          <w:szCs w:val="24"/>
        </w:rPr>
        <w:t xml:space="preserve"> </w:t>
      </w:r>
      <w:r w:rsidRPr="0074751D">
        <w:rPr>
          <w:rFonts w:ascii="Book Antiqua" w:hAnsi="Book Antiqua"/>
          <w:sz w:val="24"/>
          <w:szCs w:val="24"/>
          <w:vertAlign w:val="superscript"/>
        </w:rPr>
        <w:t>b</w:t>
      </w:r>
      <w:r w:rsidRPr="0074751D">
        <w:rPr>
          <w:rFonts w:ascii="Book Antiqua" w:hAnsi="Book Antiqua"/>
          <w:sz w:val="24"/>
          <w:szCs w:val="24"/>
        </w:rPr>
        <w:t>S-1 (67.5%), uracil-tegafur (20%), or 5-fluorouracil (12.5%)</w:t>
      </w:r>
      <w:r>
        <w:rPr>
          <w:rFonts w:ascii="Book Antiqua" w:hAnsi="Book Antiqua"/>
          <w:sz w:val="24"/>
          <w:szCs w:val="24"/>
          <w:lang w:eastAsia="zh-CN"/>
        </w:rPr>
        <w:t>;</w:t>
      </w:r>
      <w:r w:rsidRPr="0074751D">
        <w:rPr>
          <w:rFonts w:ascii="Book Antiqua" w:hAnsi="Book Antiqua"/>
          <w:sz w:val="24"/>
          <w:szCs w:val="24"/>
        </w:rPr>
        <w:t xml:space="preserve"> </w:t>
      </w:r>
      <w:r w:rsidRPr="0074751D">
        <w:rPr>
          <w:rFonts w:ascii="Book Antiqua" w:hAnsi="Book Antiqua"/>
          <w:sz w:val="24"/>
          <w:szCs w:val="24"/>
          <w:vertAlign w:val="superscript"/>
        </w:rPr>
        <w:t>c</w:t>
      </w:r>
      <w:r w:rsidRPr="0074751D">
        <w:rPr>
          <w:rFonts w:ascii="Book Antiqua" w:hAnsi="Book Antiqua"/>
          <w:sz w:val="24"/>
          <w:szCs w:val="24"/>
        </w:rPr>
        <w:t>S-1</w:t>
      </w:r>
      <w:r>
        <w:rPr>
          <w:rFonts w:ascii="Book Antiqua" w:hAnsi="Book Antiqua"/>
          <w:sz w:val="24"/>
          <w:szCs w:val="24"/>
        </w:rPr>
        <w:t xml:space="preserve"> refractory disease.</w:t>
      </w:r>
      <w:r w:rsidRPr="0074751D">
        <w:rPr>
          <w:rFonts w:ascii="Book Antiqua" w:hAnsi="Book Antiqua"/>
          <w:sz w:val="24"/>
          <w:szCs w:val="24"/>
        </w:rPr>
        <w:t xml:space="preserve"> </w:t>
      </w:r>
      <w:r w:rsidRPr="00C216CC">
        <w:rPr>
          <w:rFonts w:ascii="Book Antiqua" w:hAnsi="Book Antiqua"/>
          <w:sz w:val="24"/>
          <w:szCs w:val="24"/>
        </w:rPr>
        <w:t>Nab</w:t>
      </w:r>
      <w:r w:rsidRPr="0074751D">
        <w:rPr>
          <w:rFonts w:ascii="Book Antiqua" w:hAnsi="Book Antiqua"/>
          <w:sz w:val="24"/>
          <w:szCs w:val="24"/>
        </w:rPr>
        <w:t xml:space="preserve">-paclitaxel: </w:t>
      </w:r>
      <w:r>
        <w:rPr>
          <w:rFonts w:ascii="Book Antiqua" w:hAnsi="Book Antiqua"/>
          <w:sz w:val="24"/>
          <w:szCs w:val="24"/>
          <w:lang w:eastAsia="zh-CN"/>
        </w:rPr>
        <w:t>A</w:t>
      </w:r>
      <w:r w:rsidRPr="0074751D">
        <w:rPr>
          <w:rFonts w:ascii="Book Antiqua" w:hAnsi="Book Antiqua"/>
          <w:sz w:val="24"/>
          <w:szCs w:val="24"/>
        </w:rPr>
        <w:t>lbumin-bound nanoparticle paclitaxel</w:t>
      </w:r>
      <w:r>
        <w:rPr>
          <w:rFonts w:ascii="Book Antiqua" w:hAnsi="Book Antiqua"/>
          <w:sz w:val="24"/>
          <w:szCs w:val="24"/>
          <w:lang w:eastAsia="zh-CN"/>
        </w:rPr>
        <w:t>;</w:t>
      </w:r>
      <w:r w:rsidRPr="0074751D">
        <w:rPr>
          <w:rFonts w:ascii="Book Antiqua" w:hAnsi="Book Antiqua"/>
          <w:sz w:val="24"/>
          <w:szCs w:val="24"/>
        </w:rPr>
        <w:t xml:space="preserve"> NR: </w:t>
      </w:r>
      <w:r>
        <w:rPr>
          <w:rFonts w:ascii="Book Antiqua" w:hAnsi="Book Antiqua"/>
          <w:sz w:val="24"/>
          <w:szCs w:val="24"/>
          <w:lang w:eastAsia="zh-CN"/>
        </w:rPr>
        <w:t>N</w:t>
      </w:r>
      <w:r w:rsidRPr="0074751D">
        <w:rPr>
          <w:rFonts w:ascii="Book Antiqua" w:hAnsi="Book Antiqua"/>
          <w:sz w:val="24"/>
          <w:szCs w:val="24"/>
        </w:rPr>
        <w:t>ot reported.</w:t>
      </w:r>
    </w:p>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br w:type="page"/>
      </w: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b/>
          <w:sz w:val="24"/>
          <w:szCs w:val="24"/>
        </w:rPr>
        <w:t xml:space="preserve">Table 3 Clinical studies of second-line </w:t>
      </w:r>
      <w:r>
        <w:rPr>
          <w:rFonts w:ascii="Book Antiqua" w:hAnsi="Book Antiqua"/>
          <w:b/>
          <w:sz w:val="24"/>
          <w:szCs w:val="24"/>
        </w:rPr>
        <w:t>cytotoxic combination regimens</w:t>
      </w:r>
    </w:p>
    <w:tbl>
      <w:tblPr>
        <w:tblW w:w="10536" w:type="dxa"/>
        <w:tblInd w:w="-702" w:type="dxa"/>
        <w:tblLayout w:type="fixed"/>
        <w:tblLook w:val="00A0" w:firstRow="1" w:lastRow="0" w:firstColumn="1" w:lastColumn="0" w:noHBand="0" w:noVBand="0"/>
      </w:tblPr>
      <w:tblGrid>
        <w:gridCol w:w="2790"/>
        <w:gridCol w:w="2250"/>
        <w:gridCol w:w="990"/>
        <w:gridCol w:w="720"/>
        <w:gridCol w:w="1170"/>
        <w:gridCol w:w="1170"/>
        <w:gridCol w:w="1446"/>
      </w:tblGrid>
      <w:tr w:rsidR="002E23EC" w:rsidRPr="00044FF3" w:rsidTr="00044FF3">
        <w:tc>
          <w:tcPr>
            <w:tcW w:w="279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Regimen</w:t>
            </w:r>
          </w:p>
        </w:tc>
        <w:tc>
          <w:tcPr>
            <w:tcW w:w="225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Reference</w:t>
            </w:r>
          </w:p>
        </w:tc>
        <w:tc>
          <w:tcPr>
            <w:tcW w:w="99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Sample Size</w:t>
            </w:r>
          </w:p>
        </w:tc>
        <w:tc>
          <w:tcPr>
            <w:tcW w:w="72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RR (%)</w:t>
            </w:r>
            <w:r>
              <w:rPr>
                <w:rFonts w:ascii="Book Antiqua" w:hAnsi="Book Antiqua"/>
                <w:b/>
                <w:sz w:val="21"/>
                <w:szCs w:val="21"/>
                <w:vertAlign w:val="superscript"/>
              </w:rPr>
              <w:t>1</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PFS/TTP (mo)</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Med OS (mo)</w:t>
            </w:r>
          </w:p>
        </w:tc>
        <w:tc>
          <w:tcPr>
            <w:tcW w:w="1446"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 xml:space="preserve">1 yr survival </w:t>
            </w:r>
          </w:p>
        </w:tc>
      </w:tr>
      <w:tr w:rsidR="002E23EC" w:rsidRPr="00044FF3" w:rsidTr="00044FF3">
        <w:trPr>
          <w:trHeight w:val="413"/>
        </w:trPr>
        <w:tc>
          <w:tcPr>
            <w:tcW w:w="10536" w:type="dxa"/>
            <w:gridSpan w:val="7"/>
            <w:tcBorders>
              <w:top w:val="single" w:sz="4" w:space="0" w:color="auto"/>
              <w:left w:val="nil"/>
              <w:bottom w:val="single" w:sz="4" w:space="0" w:color="auto"/>
              <w:right w:val="nil"/>
            </w:tcBorders>
            <w:vAlign w:val="bottom"/>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Platinum </w:t>
            </w:r>
            <w:r w:rsidRPr="00044FF3">
              <w:rPr>
                <w:rFonts w:ascii="Book Antiqua" w:hAnsi="Book Antiqua"/>
                <w:sz w:val="21"/>
                <w:szCs w:val="21"/>
                <w:lang w:eastAsia="zh-CN"/>
              </w:rPr>
              <w:t>b</w:t>
            </w:r>
            <w:r w:rsidRPr="00044FF3">
              <w:rPr>
                <w:rFonts w:ascii="Book Antiqua" w:hAnsi="Book Antiqua"/>
                <w:sz w:val="21"/>
                <w:szCs w:val="21"/>
              </w:rPr>
              <w:t xml:space="preserve">ased </w:t>
            </w:r>
            <w:r w:rsidRPr="00044FF3">
              <w:rPr>
                <w:rFonts w:ascii="Book Antiqua" w:hAnsi="Book Antiqua"/>
                <w:sz w:val="21"/>
                <w:szCs w:val="21"/>
                <w:lang w:eastAsia="zh-CN"/>
              </w:rPr>
              <w:t>r</w:t>
            </w:r>
            <w:r w:rsidRPr="00044FF3">
              <w:rPr>
                <w:rFonts w:ascii="Book Antiqua" w:hAnsi="Book Antiqua"/>
                <w:sz w:val="21"/>
                <w:szCs w:val="21"/>
              </w:rPr>
              <w:t>egimens</w:t>
            </w:r>
          </w:p>
        </w:tc>
      </w:tr>
      <w:tr w:rsidR="002E23EC" w:rsidRPr="00044FF3" w:rsidTr="00044FF3">
        <w:tc>
          <w:tcPr>
            <w:tcW w:w="279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Tsavaris </w:t>
            </w:r>
            <w:r w:rsidRPr="00044FF3">
              <w:rPr>
                <w:rFonts w:ascii="Book Antiqua" w:hAnsi="Book Antiqua"/>
                <w:i/>
                <w:sz w:val="21"/>
                <w:szCs w:val="21"/>
              </w:rPr>
              <w:t>et al</w:t>
            </w:r>
            <w:r w:rsidRPr="00044FF3">
              <w:rPr>
                <w:rFonts w:ascii="Book Antiqua" w:hAnsi="Book Antiqua"/>
                <w:sz w:val="21"/>
                <w:szCs w:val="21"/>
                <w:vertAlign w:val="superscript"/>
              </w:rPr>
              <w:t>[29]</w:t>
            </w:r>
            <w:r w:rsidRPr="00044FF3">
              <w:rPr>
                <w:rFonts w:ascii="Book Antiqua" w:hAnsi="Book Antiqua"/>
                <w:sz w:val="21"/>
                <w:szCs w:val="21"/>
              </w:rPr>
              <w:t>, 2005</w:t>
            </w:r>
          </w:p>
        </w:tc>
        <w:tc>
          <w:tcPr>
            <w:tcW w:w="99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72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5.1</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5.8</w:t>
            </w:r>
          </w:p>
        </w:tc>
        <w:tc>
          <w:tcPr>
            <w:tcW w:w="1446"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Mitry </w:t>
            </w:r>
            <w:r w:rsidRPr="00044FF3">
              <w:rPr>
                <w:rFonts w:ascii="Book Antiqua" w:hAnsi="Book Antiqua"/>
                <w:i/>
                <w:sz w:val="21"/>
                <w:szCs w:val="21"/>
              </w:rPr>
              <w:t>et al</w:t>
            </w:r>
            <w:r w:rsidRPr="00044FF3">
              <w:rPr>
                <w:rFonts w:ascii="Book Antiqua" w:hAnsi="Book Antiqua"/>
                <w:sz w:val="21"/>
                <w:szCs w:val="21"/>
                <w:vertAlign w:val="superscript"/>
              </w:rPr>
              <w:t>[84]</w:t>
            </w:r>
            <w:r w:rsidRPr="00044FF3">
              <w:rPr>
                <w:rFonts w:ascii="Book Antiqua" w:hAnsi="Book Antiqua"/>
                <w:sz w:val="21"/>
                <w:szCs w:val="21"/>
              </w:rPr>
              <w:t>, 2006</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1.3</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Gebbia </w:t>
            </w:r>
            <w:r w:rsidRPr="00044FF3">
              <w:rPr>
                <w:rFonts w:ascii="Book Antiqua" w:hAnsi="Book Antiqua"/>
                <w:i/>
                <w:sz w:val="21"/>
                <w:szCs w:val="21"/>
              </w:rPr>
              <w:t>et al</w:t>
            </w:r>
            <w:r w:rsidRPr="00044FF3">
              <w:rPr>
                <w:rFonts w:ascii="Book Antiqua" w:hAnsi="Book Antiqua"/>
                <w:sz w:val="21"/>
                <w:szCs w:val="21"/>
                <w:vertAlign w:val="superscript"/>
              </w:rPr>
              <w:t>[85]</w:t>
            </w:r>
            <w:r w:rsidRPr="00044FF3">
              <w:rPr>
                <w:rFonts w:ascii="Book Antiqua" w:hAnsi="Book Antiqua"/>
                <w:sz w:val="21"/>
                <w:szCs w:val="21"/>
              </w:rPr>
              <w:t>, 2007</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42</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Novarino </w:t>
            </w:r>
            <w:r w:rsidRPr="00044FF3">
              <w:rPr>
                <w:rFonts w:ascii="Book Antiqua" w:hAnsi="Book Antiqua"/>
                <w:i/>
                <w:sz w:val="21"/>
                <w:szCs w:val="21"/>
              </w:rPr>
              <w:t>et al</w:t>
            </w:r>
            <w:r w:rsidRPr="00044FF3">
              <w:rPr>
                <w:rFonts w:ascii="Book Antiqua" w:hAnsi="Book Antiqua"/>
                <w:sz w:val="21"/>
                <w:szCs w:val="21"/>
                <w:vertAlign w:val="superscript"/>
              </w:rPr>
              <w:t>[86]</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Yoo </w:t>
            </w:r>
            <w:r w:rsidRPr="00044FF3">
              <w:rPr>
                <w:rFonts w:ascii="Book Antiqua" w:hAnsi="Book Antiqua"/>
                <w:i/>
                <w:sz w:val="21"/>
                <w:szCs w:val="21"/>
              </w:rPr>
              <w:t>et al</w:t>
            </w:r>
            <w:r w:rsidRPr="00044FF3">
              <w:rPr>
                <w:rFonts w:ascii="Book Antiqua" w:hAnsi="Book Antiqua"/>
                <w:sz w:val="21"/>
                <w:szCs w:val="21"/>
                <w:vertAlign w:val="superscript"/>
              </w:rPr>
              <w:t>[30]</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34"/>
        </w:trPr>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Chung </w:t>
            </w:r>
            <w:r w:rsidRPr="00044FF3">
              <w:rPr>
                <w:rFonts w:ascii="Book Antiqua" w:hAnsi="Book Antiqua"/>
                <w:i/>
                <w:sz w:val="21"/>
                <w:szCs w:val="21"/>
              </w:rPr>
              <w:t>et al</w:t>
            </w:r>
            <w:r w:rsidRPr="00044FF3">
              <w:rPr>
                <w:rFonts w:ascii="Book Antiqua" w:hAnsi="Book Antiqua"/>
                <w:sz w:val="21"/>
                <w:szCs w:val="21"/>
                <w:vertAlign w:val="superscript"/>
              </w:rPr>
              <w:t>[31]</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44</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7.3</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Berk </w:t>
            </w:r>
            <w:r w:rsidRPr="00044FF3">
              <w:rPr>
                <w:rFonts w:ascii="Book Antiqua" w:hAnsi="Book Antiqua"/>
                <w:i/>
                <w:sz w:val="21"/>
                <w:szCs w:val="21"/>
              </w:rPr>
              <w:t>et al</w:t>
            </w:r>
            <w:r w:rsidRPr="00044FF3">
              <w:rPr>
                <w:rFonts w:ascii="Book Antiqua" w:hAnsi="Book Antiqua"/>
                <w:sz w:val="21"/>
                <w:szCs w:val="21"/>
                <w:vertAlign w:val="superscript"/>
              </w:rPr>
              <w:t>[35]</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46</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5.8</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vertAlign w:val="superscript"/>
              </w:rPr>
            </w:pPr>
            <w:r w:rsidRPr="00044FF3">
              <w:rPr>
                <w:rFonts w:ascii="Book Antiqua" w:hAnsi="Book Antiqua"/>
                <w:sz w:val="21"/>
                <w:szCs w:val="21"/>
              </w:rPr>
              <w:t>CapOx</w:t>
            </w:r>
            <w:r>
              <w:rPr>
                <w:rFonts w:ascii="Book Antiqua" w:hAnsi="Book Antiqua"/>
                <w:sz w:val="21"/>
                <w:szCs w:val="21"/>
                <w:vertAlign w:val="superscript"/>
              </w:rPr>
              <w:t>2</w:t>
            </w:r>
          </w:p>
        </w:tc>
        <w:tc>
          <w:tcPr>
            <w:tcW w:w="2250" w:type="dxa"/>
            <w:vAlign w:val="center"/>
          </w:tcPr>
          <w:p w:rsidR="002E23EC" w:rsidRPr="00044FF3" w:rsidRDefault="002E23EC" w:rsidP="00044FF3">
            <w:pPr>
              <w:spacing w:after="0" w:line="360" w:lineRule="auto"/>
              <w:jc w:val="both"/>
              <w:rPr>
                <w:rFonts w:ascii="Book Antiqua" w:hAnsi="Book Antiqua"/>
                <w:sz w:val="21"/>
                <w:szCs w:val="21"/>
                <w:vertAlign w:val="superscript"/>
              </w:rPr>
            </w:pPr>
            <w:r w:rsidRPr="00044FF3">
              <w:rPr>
                <w:rFonts w:ascii="Book Antiqua" w:hAnsi="Book Antiqua"/>
                <w:color w:val="000000"/>
                <w:sz w:val="21"/>
                <w:szCs w:val="21"/>
              </w:rPr>
              <w:t>Sancho</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[32]</w:t>
            </w:r>
            <w:r w:rsidRPr="00044FF3">
              <w:rPr>
                <w:rFonts w:ascii="Book Antiqua" w:hAnsi="Book Antiqua"/>
                <w:color w:val="000000"/>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5.8</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CapOx</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rPr>
            </w:pPr>
            <w:r w:rsidRPr="00044FF3">
              <w:rPr>
                <w:rFonts w:ascii="Book Antiqua" w:hAnsi="Book Antiqua"/>
                <w:color w:val="000000"/>
                <w:sz w:val="21"/>
                <w:szCs w:val="21"/>
              </w:rPr>
              <w:t>Xiong</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[33]</w:t>
            </w:r>
            <w:r w:rsidRPr="00044FF3">
              <w:rPr>
                <w:rFonts w:ascii="Book Antiqua" w:hAnsi="Book Antiqua"/>
                <w:color w:val="000000"/>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5.4</w:t>
            </w:r>
          </w:p>
        </w:tc>
        <w:tc>
          <w:tcPr>
            <w:tcW w:w="1446" w:type="dxa"/>
          </w:tcPr>
          <w:p w:rsidR="002E23EC" w:rsidRPr="00044FF3" w:rsidRDefault="002E23EC" w:rsidP="00044FF3">
            <w:pPr>
              <w:spacing w:after="0" w:line="360" w:lineRule="auto"/>
              <w:jc w:val="both"/>
              <w:rPr>
                <w:rFonts w:ascii="Book Antiqua" w:hAnsi="Book Antiqua"/>
                <w:sz w:val="21"/>
                <w:szCs w:val="21"/>
                <w:lang w:eastAsia="zh-CN"/>
              </w:rPr>
            </w:pPr>
            <w:r w:rsidRPr="00044FF3">
              <w:rPr>
                <w:rFonts w:ascii="Book Antiqua" w:hAnsi="Book Antiqua"/>
                <w:sz w:val="21"/>
                <w:szCs w:val="21"/>
              </w:rPr>
              <w:t>21</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CapOx</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rPr>
            </w:pPr>
            <w:r w:rsidRPr="00044FF3">
              <w:rPr>
                <w:rFonts w:ascii="Book Antiqua" w:hAnsi="Book Antiqua"/>
                <w:color w:val="000000"/>
                <w:sz w:val="21"/>
                <w:szCs w:val="21"/>
              </w:rPr>
              <w:t>Gasent-Blesa</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[34]</w:t>
            </w:r>
            <w:r w:rsidRPr="00044FF3">
              <w:rPr>
                <w:rFonts w:ascii="Book Antiqua" w:hAnsi="Book Antiqua"/>
                <w:color w:val="000000"/>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5.3</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CapOx</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rPr>
            </w:pPr>
            <w:r w:rsidRPr="00044FF3">
              <w:rPr>
                <w:rFonts w:ascii="Book Antiqua" w:hAnsi="Book Antiqua"/>
                <w:color w:val="000000"/>
                <w:sz w:val="21"/>
                <w:szCs w:val="21"/>
              </w:rPr>
              <w:t>Berk</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[35]</w:t>
            </w:r>
            <w:r w:rsidRPr="00044FF3">
              <w:rPr>
                <w:rFonts w:ascii="Book Antiqua" w:hAnsi="Book Antiqua"/>
                <w:color w:val="000000"/>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39</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4.9</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OFF</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Pelzer </w:t>
            </w:r>
            <w:r w:rsidRPr="00044FF3">
              <w:rPr>
                <w:rFonts w:ascii="Book Antiqua" w:hAnsi="Book Antiqua"/>
                <w:i/>
                <w:sz w:val="21"/>
                <w:szCs w:val="21"/>
              </w:rPr>
              <w:t>et al</w:t>
            </w:r>
            <w:r w:rsidRPr="00044FF3">
              <w:rPr>
                <w:rFonts w:ascii="Book Antiqua" w:hAnsi="Book Antiqua"/>
                <w:sz w:val="21"/>
                <w:szCs w:val="21"/>
                <w:vertAlign w:val="superscript"/>
              </w:rPr>
              <w:t>[87]</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OFF</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Pelzer </w:t>
            </w:r>
            <w:r w:rsidRPr="00044FF3">
              <w:rPr>
                <w:rFonts w:ascii="Book Antiqua" w:hAnsi="Book Antiqua"/>
                <w:i/>
                <w:sz w:val="21"/>
                <w:szCs w:val="21"/>
              </w:rPr>
              <w:t>et al</w:t>
            </w:r>
            <w:r w:rsidRPr="00044FF3">
              <w:rPr>
                <w:rFonts w:ascii="Book Antiqua" w:hAnsi="Book Antiqua"/>
                <w:sz w:val="21"/>
                <w:szCs w:val="21"/>
                <w:vertAlign w:val="superscript"/>
              </w:rPr>
              <w:t>[37]</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4.8</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OFF</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Pelzer </w:t>
            </w:r>
            <w:r w:rsidRPr="00044FF3">
              <w:rPr>
                <w:rFonts w:ascii="Book Antiqua" w:hAnsi="Book Antiqua"/>
                <w:i/>
                <w:sz w:val="21"/>
                <w:szCs w:val="21"/>
              </w:rPr>
              <w:t>et al</w:t>
            </w:r>
            <w:r w:rsidRPr="00044FF3">
              <w:rPr>
                <w:rFonts w:ascii="Book Antiqua" w:hAnsi="Book Antiqua"/>
                <w:sz w:val="21"/>
                <w:szCs w:val="21"/>
                <w:vertAlign w:val="superscript"/>
              </w:rPr>
              <w:t>[38]</w:t>
            </w:r>
            <w:r w:rsidRPr="00044FF3">
              <w:rPr>
                <w:rFonts w:ascii="Book Antiqua" w:hAnsi="Book Antiqua"/>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76</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FOLFIRINOX</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Assaf </w:t>
            </w:r>
            <w:r w:rsidRPr="00044FF3">
              <w:rPr>
                <w:rFonts w:ascii="Book Antiqua" w:hAnsi="Book Antiqua"/>
                <w:i/>
                <w:sz w:val="21"/>
                <w:szCs w:val="21"/>
              </w:rPr>
              <w:t>et al</w:t>
            </w:r>
            <w:r w:rsidRPr="00044FF3">
              <w:rPr>
                <w:rFonts w:ascii="Book Antiqua" w:hAnsi="Book Antiqua"/>
                <w:sz w:val="21"/>
                <w:szCs w:val="21"/>
                <w:vertAlign w:val="superscript"/>
              </w:rPr>
              <w:t>[40]</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Cisplatin, S-1</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rPr>
            </w:pPr>
            <w:r w:rsidRPr="00044FF3">
              <w:rPr>
                <w:rFonts w:ascii="Book Antiqua" w:hAnsi="Book Antiqua"/>
                <w:color w:val="000000"/>
                <w:sz w:val="21"/>
                <w:szCs w:val="21"/>
              </w:rPr>
              <w:t>Togawa</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[88]</w:t>
            </w:r>
            <w:r w:rsidRPr="00044FF3">
              <w:rPr>
                <w:rFonts w:ascii="Book Antiqua" w:hAnsi="Book Antiqua"/>
                <w:color w:val="000000"/>
                <w:sz w:val="21"/>
                <w:szCs w:val="21"/>
              </w:rPr>
              <w:t>, 2007</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32</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Cisplatin, S-1</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rPr>
            </w:pPr>
            <w:r w:rsidRPr="00044FF3">
              <w:rPr>
                <w:rFonts w:ascii="Book Antiqua" w:hAnsi="Book Antiqua"/>
                <w:color w:val="000000"/>
                <w:sz w:val="21"/>
                <w:szCs w:val="21"/>
              </w:rPr>
              <w:t>Kim</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sz w:val="21"/>
                <w:szCs w:val="21"/>
                <w:vertAlign w:val="superscript"/>
              </w:rPr>
              <w:t>[89]</w:t>
            </w:r>
            <w:r w:rsidRPr="00044FF3">
              <w:rPr>
                <w:rFonts w:ascii="Book Antiqua" w:hAnsi="Book Antiqua"/>
                <w:color w:val="000000"/>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 S-1</w:t>
            </w:r>
          </w:p>
        </w:tc>
        <w:tc>
          <w:tcPr>
            <w:tcW w:w="2250" w:type="dxa"/>
            <w:vAlign w:val="center"/>
          </w:tcPr>
          <w:p w:rsidR="002E23EC" w:rsidRPr="00044FF3" w:rsidRDefault="002E23EC" w:rsidP="00044FF3">
            <w:pPr>
              <w:spacing w:after="0" w:line="360" w:lineRule="auto"/>
              <w:jc w:val="both"/>
              <w:rPr>
                <w:rFonts w:ascii="Book Antiqua" w:hAnsi="Book Antiqua"/>
                <w:color w:val="000000"/>
                <w:sz w:val="21"/>
                <w:szCs w:val="21"/>
                <w:vertAlign w:val="superscript"/>
              </w:rPr>
            </w:pPr>
            <w:r w:rsidRPr="00044FF3">
              <w:rPr>
                <w:rFonts w:ascii="Book Antiqua" w:hAnsi="Book Antiqua"/>
                <w:color w:val="000000"/>
                <w:sz w:val="21"/>
                <w:szCs w:val="21"/>
              </w:rPr>
              <w:t>Takahara</w:t>
            </w:r>
            <w:r w:rsidRPr="00044FF3">
              <w:rPr>
                <w:rFonts w:ascii="Book Antiqua" w:hAnsi="Book Antiqua"/>
                <w:sz w:val="21"/>
                <w:szCs w:val="21"/>
              </w:rPr>
              <w:t xml:space="preserve"> </w:t>
            </w:r>
            <w:r w:rsidRPr="00044FF3">
              <w:rPr>
                <w:rFonts w:ascii="Book Antiqua" w:hAnsi="Book Antiqua"/>
                <w:i/>
                <w:sz w:val="21"/>
                <w:szCs w:val="21"/>
              </w:rPr>
              <w:t>et al</w:t>
            </w:r>
            <w:r w:rsidRPr="00044FF3">
              <w:rPr>
                <w:rFonts w:ascii="Book Antiqua" w:hAnsi="Book Antiqua"/>
                <w:color w:val="000000"/>
                <w:sz w:val="21"/>
                <w:szCs w:val="21"/>
                <w:vertAlign w:val="superscript"/>
              </w:rPr>
              <w:t>[</w:t>
            </w:r>
            <w:r w:rsidRPr="00044FF3">
              <w:rPr>
                <w:rFonts w:ascii="Book Antiqua" w:hAnsi="Book Antiqua"/>
                <w:sz w:val="21"/>
                <w:szCs w:val="21"/>
                <w:vertAlign w:val="superscript"/>
              </w:rPr>
              <w:t>90</w:t>
            </w:r>
            <w:r w:rsidRPr="00044FF3">
              <w:rPr>
                <w:rFonts w:ascii="Book Antiqua" w:hAnsi="Book Antiqua"/>
                <w:color w:val="000000"/>
                <w:sz w:val="21"/>
                <w:szCs w:val="21"/>
                <w:vertAlign w:val="superscript"/>
              </w:rPr>
              <w:t>]</w:t>
            </w:r>
            <w:r w:rsidRPr="00044FF3">
              <w:rPr>
                <w:rFonts w:ascii="Book Antiqua" w:hAnsi="Book Antiqua"/>
                <w:color w:val="000000"/>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 Irinotecan</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Cantore </w:t>
            </w:r>
            <w:r w:rsidRPr="00044FF3">
              <w:rPr>
                <w:rFonts w:ascii="Book Antiqua" w:hAnsi="Book Antiqua"/>
                <w:i/>
                <w:sz w:val="21"/>
                <w:szCs w:val="21"/>
              </w:rPr>
              <w:t>et al</w:t>
            </w:r>
            <w:r w:rsidRPr="00044FF3">
              <w:rPr>
                <w:rFonts w:ascii="Book Antiqua" w:hAnsi="Book Antiqua"/>
                <w:sz w:val="21"/>
                <w:szCs w:val="21"/>
                <w:vertAlign w:val="superscript"/>
              </w:rPr>
              <w:t>[41]</w:t>
            </w:r>
            <w:r w:rsidRPr="00044FF3">
              <w:rPr>
                <w:rFonts w:ascii="Book Antiqua" w:hAnsi="Book Antiqua"/>
                <w:sz w:val="21"/>
                <w:szCs w:val="21"/>
              </w:rPr>
              <w:t>, 2004</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5.9</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 Irinotecan</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Oh </w:t>
            </w:r>
            <w:r w:rsidRPr="00044FF3">
              <w:rPr>
                <w:rFonts w:ascii="Book Antiqua" w:hAnsi="Book Antiqua"/>
                <w:i/>
                <w:sz w:val="21"/>
                <w:szCs w:val="21"/>
              </w:rPr>
              <w:t>et al</w:t>
            </w:r>
            <w:r w:rsidRPr="00044FF3">
              <w:rPr>
                <w:rFonts w:ascii="Book Antiqua" w:hAnsi="Book Antiqua"/>
                <w:sz w:val="21"/>
                <w:szCs w:val="21"/>
                <w:vertAlign w:val="superscript"/>
              </w:rPr>
              <w:t>[42]</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7.1</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 Raltitrexed</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Reni </w:t>
            </w:r>
            <w:r w:rsidRPr="00044FF3">
              <w:rPr>
                <w:rFonts w:ascii="Book Antiqua" w:hAnsi="Book Antiqua"/>
                <w:i/>
                <w:sz w:val="21"/>
                <w:szCs w:val="21"/>
              </w:rPr>
              <w:t>et al</w:t>
            </w:r>
            <w:r w:rsidRPr="00044FF3">
              <w:rPr>
                <w:rFonts w:ascii="Book Antiqua" w:hAnsi="Book Antiqua"/>
                <w:sz w:val="21"/>
                <w:szCs w:val="21"/>
                <w:vertAlign w:val="superscript"/>
              </w:rPr>
              <w:t>[43]</w:t>
            </w:r>
            <w:r w:rsidRPr="00044FF3">
              <w:rPr>
                <w:rFonts w:ascii="Book Antiqua" w:hAnsi="Book Antiqua"/>
                <w:sz w:val="21"/>
                <w:szCs w:val="21"/>
              </w:rPr>
              <w:t>, 2006</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5.2</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12</w:t>
            </w:r>
            <w:r w:rsidRPr="00044FF3">
              <w:rPr>
                <w:rFonts w:ascii="Book Antiqua" w:hAnsi="Book Antiqua"/>
                <w:sz w:val="21"/>
                <w:szCs w:val="21"/>
                <w:lang w:eastAsia="zh-CN"/>
              </w:rPr>
              <w:t>%</w:t>
            </w:r>
          </w:p>
        </w:tc>
      </w:tr>
      <w:tr w:rsidR="002E23EC" w:rsidRPr="00044FF3" w:rsidTr="00044FF3">
        <w:tc>
          <w:tcPr>
            <w:tcW w:w="279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Oxaliplatin, Pemetrexed</w:t>
            </w:r>
          </w:p>
        </w:tc>
        <w:tc>
          <w:tcPr>
            <w:tcW w:w="225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Mazzer </w:t>
            </w:r>
            <w:r w:rsidRPr="00044FF3">
              <w:rPr>
                <w:rFonts w:ascii="Book Antiqua" w:hAnsi="Book Antiqua"/>
                <w:i/>
                <w:sz w:val="21"/>
                <w:szCs w:val="21"/>
              </w:rPr>
              <w:t>et al</w:t>
            </w:r>
            <w:r w:rsidRPr="00044FF3">
              <w:rPr>
                <w:rFonts w:ascii="Book Antiqua" w:hAnsi="Book Antiqua"/>
                <w:sz w:val="21"/>
                <w:szCs w:val="21"/>
                <w:vertAlign w:val="superscript"/>
              </w:rPr>
              <w:t>[44]</w:t>
            </w:r>
            <w:r w:rsidRPr="00044FF3">
              <w:rPr>
                <w:rFonts w:ascii="Book Antiqua" w:hAnsi="Book Antiqua"/>
                <w:sz w:val="21"/>
                <w:szCs w:val="21"/>
              </w:rPr>
              <w:t>, 2009</w:t>
            </w:r>
          </w:p>
        </w:tc>
        <w:tc>
          <w:tcPr>
            <w:tcW w:w="99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72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3.3</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359"/>
        </w:trPr>
        <w:tc>
          <w:tcPr>
            <w:tcW w:w="10536" w:type="dxa"/>
            <w:gridSpan w:val="7"/>
            <w:tcBorders>
              <w:top w:val="single" w:sz="4" w:space="0" w:color="auto"/>
              <w:left w:val="nil"/>
              <w:bottom w:val="single" w:sz="4" w:space="0" w:color="auto"/>
              <w:right w:val="nil"/>
            </w:tcBorders>
            <w:vAlign w:val="bottom"/>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Non-</w:t>
            </w:r>
            <w:r w:rsidRPr="00044FF3">
              <w:rPr>
                <w:rFonts w:ascii="Book Antiqua" w:hAnsi="Book Antiqua"/>
                <w:sz w:val="21"/>
                <w:szCs w:val="21"/>
                <w:lang w:eastAsia="zh-CN"/>
              </w:rPr>
              <w:t>p</w:t>
            </w:r>
            <w:r w:rsidRPr="00044FF3">
              <w:rPr>
                <w:rFonts w:ascii="Book Antiqua" w:hAnsi="Book Antiqua"/>
                <w:sz w:val="21"/>
                <w:szCs w:val="21"/>
              </w:rPr>
              <w:t xml:space="preserve">latinum </w:t>
            </w:r>
            <w:r w:rsidRPr="00044FF3">
              <w:rPr>
                <w:rFonts w:ascii="Book Antiqua" w:hAnsi="Book Antiqua"/>
                <w:sz w:val="21"/>
                <w:szCs w:val="21"/>
                <w:lang w:eastAsia="zh-CN"/>
              </w:rPr>
              <w:t>b</w:t>
            </w:r>
            <w:r w:rsidRPr="00044FF3">
              <w:rPr>
                <w:rFonts w:ascii="Book Antiqua" w:hAnsi="Book Antiqua"/>
                <w:sz w:val="21"/>
                <w:szCs w:val="21"/>
              </w:rPr>
              <w:t xml:space="preserve">ased </w:t>
            </w:r>
            <w:r w:rsidRPr="00044FF3">
              <w:rPr>
                <w:rFonts w:ascii="Book Antiqua" w:hAnsi="Book Antiqua"/>
                <w:sz w:val="21"/>
                <w:szCs w:val="21"/>
                <w:lang w:eastAsia="zh-CN"/>
              </w:rPr>
              <w:t>r</w:t>
            </w:r>
            <w:r w:rsidRPr="00044FF3">
              <w:rPr>
                <w:rFonts w:ascii="Book Antiqua" w:hAnsi="Book Antiqua"/>
                <w:sz w:val="21"/>
                <w:szCs w:val="21"/>
              </w:rPr>
              <w:t>egimens</w:t>
            </w:r>
          </w:p>
        </w:tc>
      </w:tr>
      <w:tr w:rsidR="002E23EC" w:rsidRPr="00044FF3" w:rsidTr="00044FF3">
        <w:tc>
          <w:tcPr>
            <w:tcW w:w="279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FOLFIRI</w:t>
            </w:r>
          </w:p>
        </w:tc>
        <w:tc>
          <w:tcPr>
            <w:tcW w:w="225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Yoo </w:t>
            </w:r>
            <w:r w:rsidRPr="00044FF3">
              <w:rPr>
                <w:rFonts w:ascii="Book Antiqua" w:hAnsi="Book Antiqua"/>
                <w:i/>
                <w:sz w:val="21"/>
                <w:szCs w:val="21"/>
              </w:rPr>
              <w:t>et al</w:t>
            </w:r>
            <w:r w:rsidRPr="00044FF3">
              <w:rPr>
                <w:rFonts w:ascii="Book Antiqua" w:hAnsi="Book Antiqua"/>
                <w:sz w:val="21"/>
                <w:szCs w:val="21"/>
                <w:vertAlign w:val="superscript"/>
              </w:rPr>
              <w:t>[30]</w:t>
            </w:r>
            <w:r w:rsidRPr="00044FF3">
              <w:rPr>
                <w:rFonts w:ascii="Book Antiqua" w:hAnsi="Book Antiqua"/>
                <w:sz w:val="21"/>
                <w:szCs w:val="21"/>
              </w:rPr>
              <w:t>, 2009</w:t>
            </w:r>
          </w:p>
        </w:tc>
        <w:tc>
          <w:tcPr>
            <w:tcW w:w="99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72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3.9</w:t>
            </w:r>
          </w:p>
        </w:tc>
        <w:tc>
          <w:tcPr>
            <w:tcW w:w="1446" w:type="dxa"/>
            <w:tcBorders>
              <w:top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FOLFIRI</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Gebbia </w:t>
            </w:r>
            <w:r w:rsidRPr="00044FF3">
              <w:rPr>
                <w:rFonts w:ascii="Book Antiqua" w:hAnsi="Book Antiqua"/>
                <w:i/>
                <w:sz w:val="21"/>
                <w:szCs w:val="21"/>
              </w:rPr>
              <w:t>et al</w:t>
            </w:r>
            <w:r w:rsidRPr="00044FF3">
              <w:rPr>
                <w:rFonts w:ascii="Book Antiqua" w:hAnsi="Book Antiqua"/>
                <w:sz w:val="21"/>
                <w:szCs w:val="21"/>
                <w:vertAlign w:val="superscript"/>
              </w:rPr>
              <w:t>[45]</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rPr>
          <w:trHeight w:val="216"/>
        </w:trPr>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lastRenderedPageBreak/>
              <w:t>FOLFIRI or XELIRI</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Cereda </w:t>
            </w:r>
            <w:r w:rsidRPr="00044FF3">
              <w:rPr>
                <w:rFonts w:ascii="Book Antiqua" w:hAnsi="Book Antiqua"/>
                <w:i/>
                <w:sz w:val="21"/>
                <w:szCs w:val="21"/>
              </w:rPr>
              <w:t>et al</w:t>
            </w:r>
            <w:r w:rsidRPr="00044FF3">
              <w:rPr>
                <w:rFonts w:ascii="Book Antiqua" w:hAnsi="Book Antiqua"/>
                <w:sz w:val="21"/>
                <w:szCs w:val="21"/>
                <w:vertAlign w:val="superscript"/>
              </w:rPr>
              <w:t>[91]</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34</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4.2</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FOLFIRI</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Zaniboni </w:t>
            </w:r>
            <w:r w:rsidRPr="00044FF3">
              <w:rPr>
                <w:rFonts w:ascii="Book Antiqua" w:hAnsi="Book Antiqua"/>
                <w:i/>
                <w:sz w:val="21"/>
                <w:szCs w:val="21"/>
              </w:rPr>
              <w:t>et al</w:t>
            </w:r>
            <w:r w:rsidRPr="00044FF3">
              <w:rPr>
                <w:rFonts w:ascii="Book Antiqua" w:hAnsi="Book Antiqua"/>
                <w:sz w:val="21"/>
                <w:szCs w:val="21"/>
                <w:vertAlign w:val="superscript"/>
              </w:rPr>
              <w:t>[46]</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79"/>
        </w:trPr>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FOLFIRI</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Neuzillet </w:t>
            </w:r>
            <w:r w:rsidRPr="00044FF3">
              <w:rPr>
                <w:rFonts w:ascii="Book Antiqua" w:hAnsi="Book Antiqua"/>
                <w:i/>
                <w:sz w:val="21"/>
                <w:szCs w:val="21"/>
              </w:rPr>
              <w:t>et al</w:t>
            </w:r>
            <w:r w:rsidRPr="00044FF3">
              <w:rPr>
                <w:rFonts w:ascii="Book Antiqua" w:hAnsi="Book Antiqua"/>
                <w:sz w:val="21"/>
                <w:szCs w:val="21"/>
              </w:rPr>
              <w:t>2012</w:t>
            </w:r>
            <w:r w:rsidRPr="00044FF3">
              <w:rPr>
                <w:rFonts w:ascii="Book Antiqua" w:hAnsi="Book Antiqua"/>
                <w:sz w:val="21"/>
                <w:szCs w:val="21"/>
                <w:vertAlign w:val="superscript"/>
              </w:rPr>
              <w:t>[47]</w:t>
            </w:r>
            <w:r w:rsidRPr="00044FF3">
              <w:rPr>
                <w:rFonts w:ascii="Book Antiqua" w:hAnsi="Book Antiqua"/>
                <w:sz w:val="21"/>
                <w:szCs w:val="21"/>
              </w:rPr>
              <w:t xml:space="preserve">, </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63</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6.6</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198"/>
        </w:trPr>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S-1, Irinotecan</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Mizuno </w:t>
            </w:r>
            <w:r w:rsidRPr="00044FF3">
              <w:rPr>
                <w:rFonts w:ascii="Book Antiqua" w:hAnsi="Book Antiqua"/>
                <w:i/>
                <w:sz w:val="21"/>
                <w:szCs w:val="21"/>
              </w:rPr>
              <w:t>et al</w:t>
            </w:r>
            <w:r w:rsidRPr="00044FF3">
              <w:rPr>
                <w:rFonts w:ascii="Book Antiqua" w:hAnsi="Book Antiqua"/>
                <w:sz w:val="21"/>
                <w:szCs w:val="21"/>
                <w:vertAlign w:val="superscript"/>
              </w:rPr>
              <w:t>[28]</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60</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6.9</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 Docetaxel</w:t>
            </w:r>
          </w:p>
        </w:tc>
        <w:tc>
          <w:tcPr>
            <w:tcW w:w="225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Blaya </w:t>
            </w:r>
            <w:r w:rsidRPr="00044FF3">
              <w:rPr>
                <w:rFonts w:ascii="Book Antiqua" w:hAnsi="Book Antiqua"/>
                <w:i/>
                <w:sz w:val="21"/>
                <w:szCs w:val="21"/>
              </w:rPr>
              <w:t>et al</w:t>
            </w:r>
            <w:r w:rsidRPr="00044FF3">
              <w:rPr>
                <w:rFonts w:ascii="Book Antiqua" w:hAnsi="Book Antiqua"/>
                <w:sz w:val="21"/>
                <w:szCs w:val="21"/>
                <w:vertAlign w:val="superscript"/>
              </w:rPr>
              <w:t>[49]</w:t>
            </w:r>
            <w:r w:rsidRPr="00044FF3">
              <w:rPr>
                <w:rFonts w:ascii="Book Antiqua" w:hAnsi="Book Antiqua"/>
                <w:sz w:val="21"/>
                <w:szCs w:val="21"/>
              </w:rPr>
              <w:t>, 2007</w:t>
            </w:r>
          </w:p>
        </w:tc>
        <w:tc>
          <w:tcPr>
            <w:tcW w:w="99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72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13</w:t>
            </w:r>
          </w:p>
        </w:tc>
        <w:tc>
          <w:tcPr>
            <w:tcW w:w="117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Borders>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 Docetaxel</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Katopodis </w:t>
            </w:r>
            <w:r w:rsidRPr="00044FF3">
              <w:rPr>
                <w:rFonts w:ascii="Book Antiqua" w:hAnsi="Book Antiqua"/>
                <w:i/>
                <w:sz w:val="21"/>
                <w:szCs w:val="21"/>
              </w:rPr>
              <w:t>et al</w:t>
            </w:r>
            <w:r w:rsidRPr="00044FF3">
              <w:rPr>
                <w:rFonts w:ascii="Book Antiqua" w:hAnsi="Book Antiqua"/>
                <w:sz w:val="21"/>
                <w:szCs w:val="21"/>
                <w:vertAlign w:val="superscript"/>
              </w:rPr>
              <w:t>[50]</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9.7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6.4</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r w:rsidRPr="00044FF3">
              <w:rPr>
                <w:rFonts w:ascii="Book Antiqua" w:hAnsi="Book Antiqua"/>
                <w:sz w:val="21"/>
                <w:szCs w:val="21"/>
                <w:lang w:eastAsia="zh-CN"/>
              </w:rPr>
              <w:t>%</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5-FU, Paclitaxel</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Kim </w:t>
            </w:r>
            <w:r w:rsidRPr="00044FF3">
              <w:rPr>
                <w:rFonts w:ascii="Book Antiqua" w:hAnsi="Book Antiqua"/>
                <w:i/>
                <w:sz w:val="21"/>
                <w:szCs w:val="21"/>
              </w:rPr>
              <w:t>et al</w:t>
            </w:r>
            <w:r w:rsidRPr="00044FF3">
              <w:rPr>
                <w:rFonts w:ascii="Book Antiqua" w:hAnsi="Book Antiqua"/>
                <w:sz w:val="21"/>
                <w:szCs w:val="21"/>
                <w:vertAlign w:val="superscript"/>
              </w:rPr>
              <w:t>[51]</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28</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7.6</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Conti-FAM</w:t>
            </w:r>
            <w:r>
              <w:rPr>
                <w:rFonts w:ascii="Book Antiqua" w:hAnsi="Book Antiqua"/>
                <w:sz w:val="21"/>
                <w:szCs w:val="21"/>
                <w:vertAlign w:val="superscript"/>
              </w:rPr>
              <w:t>3</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Lee </w:t>
            </w:r>
            <w:r w:rsidRPr="00044FF3">
              <w:rPr>
                <w:rFonts w:ascii="Book Antiqua" w:hAnsi="Book Antiqua"/>
                <w:i/>
                <w:sz w:val="21"/>
                <w:szCs w:val="21"/>
              </w:rPr>
              <w:t>et al</w:t>
            </w:r>
            <w:r w:rsidRPr="00044FF3">
              <w:rPr>
                <w:rFonts w:ascii="Book Antiqua" w:hAnsi="Book Antiqua"/>
                <w:sz w:val="21"/>
                <w:szCs w:val="21"/>
                <w:vertAlign w:val="superscript"/>
              </w:rPr>
              <w:t>[92]</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6.7</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 Thalidomide</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Shi </w:t>
            </w:r>
            <w:r w:rsidRPr="00044FF3">
              <w:rPr>
                <w:rFonts w:ascii="Book Antiqua" w:hAnsi="Book Antiqua"/>
                <w:i/>
                <w:sz w:val="21"/>
                <w:szCs w:val="21"/>
              </w:rPr>
              <w:t>et al</w:t>
            </w:r>
            <w:r w:rsidRPr="00044FF3">
              <w:rPr>
                <w:rFonts w:ascii="Book Antiqua" w:hAnsi="Book Antiqua"/>
                <w:sz w:val="21"/>
                <w:szCs w:val="21"/>
                <w:vertAlign w:val="superscript"/>
              </w:rPr>
              <w:t>[93]</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6.5</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Capecitabine, PHY906</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Saif </w:t>
            </w:r>
            <w:r w:rsidRPr="00044FF3">
              <w:rPr>
                <w:rFonts w:ascii="Book Antiqua" w:hAnsi="Book Antiqua"/>
                <w:i/>
                <w:sz w:val="21"/>
                <w:szCs w:val="21"/>
              </w:rPr>
              <w:t>et al</w:t>
            </w:r>
            <w:r w:rsidRPr="00044FF3">
              <w:rPr>
                <w:rFonts w:ascii="Book Antiqua" w:hAnsi="Book Antiqua"/>
                <w:sz w:val="21"/>
                <w:szCs w:val="21"/>
                <w:vertAlign w:val="superscript"/>
              </w:rPr>
              <w:t>[94]</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25</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Irinotecan, Raltitrexed</w:t>
            </w:r>
          </w:p>
        </w:tc>
        <w:tc>
          <w:tcPr>
            <w:tcW w:w="225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Ulrich-Pur </w:t>
            </w:r>
            <w:r w:rsidRPr="00044FF3">
              <w:rPr>
                <w:rFonts w:ascii="Book Antiqua" w:hAnsi="Book Antiqua"/>
                <w:i/>
                <w:sz w:val="21"/>
                <w:szCs w:val="21"/>
              </w:rPr>
              <w:t>et al</w:t>
            </w:r>
            <w:r w:rsidRPr="00044FF3">
              <w:rPr>
                <w:rFonts w:ascii="Book Antiqua" w:hAnsi="Book Antiqua"/>
                <w:sz w:val="21"/>
                <w:szCs w:val="21"/>
                <w:vertAlign w:val="superscript"/>
              </w:rPr>
              <w:t>[48]</w:t>
            </w:r>
            <w:r w:rsidRPr="00044FF3">
              <w:rPr>
                <w:rFonts w:ascii="Book Antiqua" w:hAnsi="Book Antiqua"/>
                <w:sz w:val="21"/>
                <w:szCs w:val="21"/>
              </w:rPr>
              <w:t>, 2003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72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9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MDI</w:t>
            </w:r>
          </w:p>
        </w:tc>
        <w:tc>
          <w:tcPr>
            <w:tcW w:w="225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Reni </w:t>
            </w:r>
            <w:r w:rsidRPr="00044FF3">
              <w:rPr>
                <w:rFonts w:ascii="Book Antiqua" w:hAnsi="Book Antiqua"/>
                <w:i/>
                <w:sz w:val="21"/>
                <w:szCs w:val="21"/>
              </w:rPr>
              <w:t>et al</w:t>
            </w:r>
            <w:r w:rsidRPr="00044FF3">
              <w:rPr>
                <w:rFonts w:ascii="Book Antiqua" w:hAnsi="Book Antiqua"/>
                <w:sz w:val="21"/>
                <w:szCs w:val="21"/>
                <w:vertAlign w:val="superscript"/>
              </w:rPr>
              <w:t>[95]</w:t>
            </w:r>
            <w:r w:rsidRPr="00044FF3">
              <w:rPr>
                <w:rFonts w:ascii="Book Antiqua" w:hAnsi="Book Antiqua"/>
                <w:sz w:val="21"/>
                <w:szCs w:val="21"/>
              </w:rPr>
              <w:t>, 2004</w:t>
            </w:r>
          </w:p>
        </w:tc>
        <w:tc>
          <w:tcPr>
            <w:tcW w:w="99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72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1170"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6.1</w:t>
            </w:r>
          </w:p>
        </w:tc>
        <w:tc>
          <w:tcPr>
            <w:tcW w:w="1446" w:type="dxa"/>
            <w:tcBorders>
              <w:top w:val="nil"/>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c>
          <w:tcPr>
            <w:tcW w:w="279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Mitomycin, Ifosfamide</w:t>
            </w:r>
          </w:p>
        </w:tc>
        <w:tc>
          <w:tcPr>
            <w:tcW w:w="225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Cereda </w:t>
            </w:r>
            <w:r w:rsidRPr="00044FF3">
              <w:rPr>
                <w:rFonts w:ascii="Book Antiqua" w:hAnsi="Book Antiqua"/>
                <w:i/>
                <w:sz w:val="21"/>
                <w:szCs w:val="21"/>
              </w:rPr>
              <w:t>et al</w:t>
            </w:r>
            <w:r w:rsidRPr="00044FF3">
              <w:rPr>
                <w:rFonts w:ascii="Book Antiqua" w:hAnsi="Book Antiqua"/>
                <w:sz w:val="21"/>
                <w:szCs w:val="21"/>
                <w:vertAlign w:val="superscript"/>
              </w:rPr>
              <w:t>[96]</w:t>
            </w:r>
            <w:r w:rsidRPr="00044FF3">
              <w:rPr>
                <w:rFonts w:ascii="Book Antiqua" w:hAnsi="Book Antiqua"/>
                <w:sz w:val="21"/>
                <w:szCs w:val="21"/>
              </w:rPr>
              <w:t>, 2011</w:t>
            </w:r>
          </w:p>
        </w:tc>
        <w:tc>
          <w:tcPr>
            <w:tcW w:w="99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72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4.8</w:t>
            </w:r>
          </w:p>
        </w:tc>
        <w:tc>
          <w:tcPr>
            <w:tcW w:w="117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1170"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1446" w:type="dxa"/>
            <w:tcBorders>
              <w:left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9.5</w:t>
            </w:r>
            <w:r w:rsidRPr="00044FF3">
              <w:rPr>
                <w:rFonts w:ascii="Book Antiqua" w:hAnsi="Book Antiqua"/>
                <w:sz w:val="21"/>
                <w:szCs w:val="21"/>
                <w:lang w:eastAsia="zh-CN"/>
              </w:rPr>
              <w:t>%</w:t>
            </w:r>
          </w:p>
        </w:tc>
      </w:tr>
      <w:tr w:rsidR="002E23EC" w:rsidRPr="00044FF3" w:rsidTr="00044FF3">
        <w:tc>
          <w:tcPr>
            <w:tcW w:w="279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Irinotecan, Docetaxel</w:t>
            </w:r>
          </w:p>
        </w:tc>
        <w:tc>
          <w:tcPr>
            <w:tcW w:w="225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Ko </w:t>
            </w:r>
            <w:r w:rsidRPr="00044FF3">
              <w:rPr>
                <w:rFonts w:ascii="Book Antiqua" w:hAnsi="Book Antiqua"/>
                <w:i/>
                <w:sz w:val="21"/>
                <w:szCs w:val="21"/>
              </w:rPr>
              <w:t>et al</w:t>
            </w:r>
            <w:r w:rsidRPr="00044FF3">
              <w:rPr>
                <w:rFonts w:ascii="Book Antiqua" w:hAnsi="Book Antiqua"/>
                <w:sz w:val="21"/>
                <w:szCs w:val="21"/>
                <w:vertAlign w:val="superscript"/>
              </w:rPr>
              <w:t>[52]</w:t>
            </w:r>
            <w:r w:rsidRPr="00044FF3">
              <w:rPr>
                <w:rFonts w:ascii="Book Antiqua" w:hAnsi="Book Antiqua"/>
                <w:sz w:val="21"/>
                <w:szCs w:val="21"/>
              </w:rPr>
              <w:t>, 2008</w:t>
            </w:r>
          </w:p>
        </w:tc>
        <w:tc>
          <w:tcPr>
            <w:tcW w:w="99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72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1.2</w:t>
            </w:r>
          </w:p>
        </w:tc>
        <w:tc>
          <w:tcPr>
            <w:tcW w:w="1170"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4.5</w:t>
            </w:r>
          </w:p>
        </w:tc>
        <w:tc>
          <w:tcPr>
            <w:tcW w:w="1446" w:type="dxa"/>
            <w:tcBorders>
              <w:bottom w:val="single" w:sz="4" w:space="0" w:color="auto"/>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r w:rsidRPr="00044FF3">
              <w:rPr>
                <w:rFonts w:ascii="Book Antiqua" w:hAnsi="Book Antiqua"/>
                <w:sz w:val="21"/>
                <w:szCs w:val="21"/>
                <w:lang w:eastAsia="zh-CN"/>
              </w:rPr>
              <w:t>%</w:t>
            </w:r>
          </w:p>
        </w:tc>
      </w:tr>
    </w:tbl>
    <w:p w:rsidR="002E23EC" w:rsidRPr="0074751D" w:rsidRDefault="002E23EC" w:rsidP="0074751D">
      <w:pPr>
        <w:spacing w:after="0" w:line="360" w:lineRule="auto"/>
        <w:jc w:val="both"/>
        <w:rPr>
          <w:rFonts w:ascii="Book Antiqua" w:hAnsi="Book Antiqua"/>
          <w:sz w:val="24"/>
          <w:szCs w:val="24"/>
        </w:rPr>
      </w:pPr>
      <w:r>
        <w:rPr>
          <w:rFonts w:ascii="Book Antiqua" w:hAnsi="Book Antiqua"/>
          <w:sz w:val="24"/>
          <w:szCs w:val="24"/>
          <w:vertAlign w:val="superscript"/>
        </w:rPr>
        <w:t>1</w:t>
      </w:r>
      <w:r w:rsidRPr="0074751D">
        <w:rPr>
          <w:rFonts w:ascii="Book Antiqua" w:hAnsi="Book Antiqua"/>
          <w:sz w:val="24"/>
          <w:szCs w:val="24"/>
        </w:rPr>
        <w:t>Intent-to-treat analysis</w:t>
      </w:r>
      <w:r>
        <w:rPr>
          <w:rFonts w:ascii="Book Antiqua" w:hAnsi="Book Antiqua"/>
          <w:sz w:val="24"/>
          <w:szCs w:val="24"/>
          <w:lang w:eastAsia="zh-CN"/>
        </w:rPr>
        <w:t>;</w:t>
      </w:r>
      <w:r>
        <w:rPr>
          <w:rFonts w:ascii="Book Antiqua" w:hAnsi="Book Antiqua"/>
          <w:sz w:val="24"/>
          <w:szCs w:val="24"/>
        </w:rPr>
        <w:t xml:space="preserve"> </w:t>
      </w:r>
      <w:r>
        <w:rPr>
          <w:rFonts w:ascii="Book Antiqua" w:hAnsi="Book Antiqua"/>
          <w:sz w:val="24"/>
          <w:szCs w:val="24"/>
          <w:vertAlign w:val="superscript"/>
        </w:rPr>
        <w:t>2</w:t>
      </w:r>
      <w:r w:rsidRPr="0074751D">
        <w:rPr>
          <w:rFonts w:ascii="Book Antiqua" w:hAnsi="Book Antiqua"/>
          <w:sz w:val="24"/>
          <w:szCs w:val="24"/>
        </w:rPr>
        <w:t>Pooled analysis of pancreatic (50%), biliary (22%), gallbladder (22%) and ampullary (6%) cancer</w:t>
      </w:r>
      <w:r>
        <w:rPr>
          <w:rFonts w:ascii="Book Antiqua" w:hAnsi="Book Antiqua"/>
          <w:sz w:val="24"/>
          <w:szCs w:val="24"/>
          <w:lang w:eastAsia="zh-CN"/>
        </w:rPr>
        <w:t>;</w:t>
      </w:r>
      <w:r w:rsidRPr="0074751D">
        <w:rPr>
          <w:rFonts w:ascii="Book Antiqua" w:hAnsi="Book Antiqua"/>
          <w:sz w:val="24"/>
          <w:szCs w:val="24"/>
        </w:rPr>
        <w:t xml:space="preserve"> </w:t>
      </w:r>
      <w:r>
        <w:rPr>
          <w:rFonts w:ascii="Book Antiqua" w:hAnsi="Book Antiqua"/>
          <w:sz w:val="24"/>
          <w:szCs w:val="24"/>
          <w:vertAlign w:val="superscript"/>
        </w:rPr>
        <w:t>3</w:t>
      </w:r>
      <w:r w:rsidRPr="0074751D">
        <w:rPr>
          <w:rFonts w:ascii="Book Antiqua" w:hAnsi="Book Antiqua"/>
          <w:sz w:val="24"/>
          <w:szCs w:val="24"/>
        </w:rPr>
        <w:t xml:space="preserve">Pooled analysis of pancreatic (48%), biliary (35%) and gallbladder (16%) cancer. FOLFOX: </w:t>
      </w:r>
      <w:r>
        <w:rPr>
          <w:rFonts w:ascii="Book Antiqua" w:hAnsi="Book Antiqua"/>
          <w:sz w:val="24"/>
          <w:szCs w:val="24"/>
          <w:lang w:eastAsia="zh-CN"/>
        </w:rPr>
        <w:t>O</w:t>
      </w:r>
      <w:r w:rsidRPr="0074751D">
        <w:rPr>
          <w:rFonts w:ascii="Book Antiqua" w:hAnsi="Book Antiqua"/>
          <w:sz w:val="24"/>
          <w:szCs w:val="24"/>
        </w:rPr>
        <w:t>xaliplatin, 5-fluorouracil, folinic acid, biweekly</w:t>
      </w:r>
      <w:r>
        <w:rPr>
          <w:rFonts w:ascii="Book Antiqua" w:hAnsi="Book Antiqua"/>
          <w:sz w:val="24"/>
          <w:szCs w:val="24"/>
          <w:lang w:eastAsia="zh-CN"/>
        </w:rPr>
        <w:t>;</w:t>
      </w:r>
      <w:r w:rsidRPr="0074751D">
        <w:rPr>
          <w:rFonts w:ascii="Book Antiqua" w:hAnsi="Book Antiqua"/>
          <w:sz w:val="24"/>
          <w:szCs w:val="24"/>
        </w:rPr>
        <w:t xml:space="preserve"> CapOx: </w:t>
      </w:r>
      <w:r>
        <w:rPr>
          <w:rFonts w:ascii="Book Antiqua" w:hAnsi="Book Antiqua"/>
          <w:sz w:val="24"/>
          <w:szCs w:val="24"/>
          <w:lang w:eastAsia="zh-CN"/>
        </w:rPr>
        <w:t>C</w:t>
      </w:r>
      <w:r w:rsidRPr="0074751D">
        <w:rPr>
          <w:rFonts w:ascii="Book Antiqua" w:hAnsi="Book Antiqua"/>
          <w:sz w:val="24"/>
          <w:szCs w:val="24"/>
        </w:rPr>
        <w:t>apecitabine, oxaliplatin</w:t>
      </w:r>
      <w:r>
        <w:rPr>
          <w:rFonts w:ascii="Book Antiqua" w:hAnsi="Book Antiqua"/>
          <w:sz w:val="24"/>
          <w:szCs w:val="24"/>
          <w:lang w:eastAsia="zh-CN"/>
        </w:rPr>
        <w:t>;</w:t>
      </w:r>
      <w:r w:rsidRPr="0074751D">
        <w:rPr>
          <w:rFonts w:ascii="Book Antiqua" w:hAnsi="Book Antiqua"/>
          <w:sz w:val="24"/>
          <w:szCs w:val="24"/>
        </w:rPr>
        <w:t xml:space="preserve"> OFF: </w:t>
      </w:r>
      <w:r>
        <w:rPr>
          <w:rFonts w:ascii="Book Antiqua" w:hAnsi="Book Antiqua"/>
          <w:sz w:val="24"/>
          <w:szCs w:val="24"/>
          <w:lang w:eastAsia="zh-CN"/>
        </w:rPr>
        <w:t>O</w:t>
      </w:r>
      <w:r w:rsidRPr="0074751D">
        <w:rPr>
          <w:rFonts w:ascii="Book Antiqua" w:hAnsi="Book Antiqua"/>
          <w:sz w:val="24"/>
          <w:szCs w:val="24"/>
        </w:rPr>
        <w:t>xaliplatin, 5-fluorouracil, leucovorin, in 6-wk cycles</w:t>
      </w:r>
      <w:r>
        <w:rPr>
          <w:rFonts w:ascii="Book Antiqua" w:hAnsi="Book Antiqua"/>
          <w:sz w:val="24"/>
          <w:szCs w:val="24"/>
          <w:lang w:eastAsia="zh-CN"/>
        </w:rPr>
        <w:t>;</w:t>
      </w:r>
      <w:r w:rsidRPr="0074751D">
        <w:rPr>
          <w:rFonts w:ascii="Book Antiqua" w:hAnsi="Book Antiqua"/>
          <w:sz w:val="24"/>
          <w:szCs w:val="24"/>
        </w:rPr>
        <w:t xml:space="preserve"> FOLFIRINOX: </w:t>
      </w:r>
      <w:r>
        <w:rPr>
          <w:rFonts w:ascii="Book Antiqua" w:hAnsi="Book Antiqua"/>
          <w:sz w:val="24"/>
          <w:szCs w:val="24"/>
          <w:lang w:eastAsia="zh-CN"/>
        </w:rPr>
        <w:t>O</w:t>
      </w:r>
      <w:r w:rsidRPr="0074751D">
        <w:rPr>
          <w:rFonts w:ascii="Book Antiqua" w:hAnsi="Book Antiqua"/>
          <w:sz w:val="24"/>
          <w:szCs w:val="24"/>
        </w:rPr>
        <w:t>xaliplatin, leucovorin, 5-fluorouracil, irinotecan</w:t>
      </w:r>
      <w:r>
        <w:rPr>
          <w:rFonts w:ascii="Book Antiqua" w:hAnsi="Book Antiqua"/>
          <w:sz w:val="24"/>
          <w:szCs w:val="24"/>
          <w:lang w:eastAsia="zh-CN"/>
        </w:rPr>
        <w:t>;</w:t>
      </w:r>
      <w:r w:rsidRPr="0074751D">
        <w:rPr>
          <w:rFonts w:ascii="Book Antiqua" w:hAnsi="Book Antiqua"/>
          <w:sz w:val="24"/>
          <w:szCs w:val="24"/>
        </w:rPr>
        <w:t xml:space="preserve"> FOLFIRI: 5-</w:t>
      </w:r>
      <w:r>
        <w:rPr>
          <w:rFonts w:ascii="Book Antiqua" w:hAnsi="Book Antiqua"/>
          <w:sz w:val="24"/>
          <w:szCs w:val="24"/>
          <w:lang w:eastAsia="zh-CN"/>
        </w:rPr>
        <w:t>F</w:t>
      </w:r>
      <w:r w:rsidRPr="0074751D">
        <w:rPr>
          <w:rFonts w:ascii="Book Antiqua" w:hAnsi="Book Antiqua"/>
          <w:sz w:val="24"/>
          <w:szCs w:val="24"/>
        </w:rPr>
        <w:t>luorouracil, leucovorin, irinotecan</w:t>
      </w:r>
      <w:r>
        <w:rPr>
          <w:rFonts w:ascii="Book Antiqua" w:hAnsi="Book Antiqua"/>
          <w:sz w:val="24"/>
          <w:szCs w:val="24"/>
          <w:lang w:eastAsia="zh-CN"/>
        </w:rPr>
        <w:t>;</w:t>
      </w:r>
      <w:r>
        <w:rPr>
          <w:rFonts w:ascii="Book Antiqua" w:hAnsi="Book Antiqua"/>
          <w:sz w:val="24"/>
          <w:szCs w:val="24"/>
        </w:rPr>
        <w:t xml:space="preserve"> </w:t>
      </w:r>
      <w:r w:rsidRPr="0074751D">
        <w:rPr>
          <w:rFonts w:ascii="Book Antiqua" w:hAnsi="Book Antiqua"/>
          <w:sz w:val="24"/>
          <w:szCs w:val="24"/>
        </w:rPr>
        <w:t xml:space="preserve">XELIRI: </w:t>
      </w:r>
      <w:r>
        <w:rPr>
          <w:rFonts w:ascii="Book Antiqua" w:hAnsi="Book Antiqua"/>
          <w:sz w:val="24"/>
          <w:szCs w:val="24"/>
          <w:lang w:eastAsia="zh-CN"/>
        </w:rPr>
        <w:t>C</w:t>
      </w:r>
      <w:r w:rsidRPr="0074751D">
        <w:rPr>
          <w:rFonts w:ascii="Book Antiqua" w:hAnsi="Book Antiqua"/>
          <w:sz w:val="24"/>
          <w:szCs w:val="24"/>
        </w:rPr>
        <w:t>apecitabine, irinotecan</w:t>
      </w:r>
      <w:r>
        <w:rPr>
          <w:rFonts w:ascii="Book Antiqua" w:hAnsi="Book Antiqua"/>
          <w:sz w:val="24"/>
          <w:szCs w:val="24"/>
          <w:lang w:eastAsia="zh-CN"/>
        </w:rPr>
        <w:t>;</w:t>
      </w:r>
      <w:r>
        <w:rPr>
          <w:rFonts w:ascii="Book Antiqua" w:hAnsi="Book Antiqua"/>
          <w:sz w:val="24"/>
          <w:szCs w:val="24"/>
        </w:rPr>
        <w:t xml:space="preserve"> </w:t>
      </w:r>
      <w:r w:rsidRPr="0074751D">
        <w:rPr>
          <w:rFonts w:ascii="Book Antiqua" w:hAnsi="Book Antiqua"/>
          <w:sz w:val="24"/>
          <w:szCs w:val="24"/>
        </w:rPr>
        <w:t>5-FU: 5-</w:t>
      </w:r>
      <w:r>
        <w:rPr>
          <w:rFonts w:ascii="Book Antiqua" w:hAnsi="Book Antiqua"/>
          <w:sz w:val="24"/>
          <w:szCs w:val="24"/>
          <w:lang w:eastAsia="zh-CN"/>
        </w:rPr>
        <w:t>F</w:t>
      </w:r>
      <w:r w:rsidRPr="0074751D">
        <w:rPr>
          <w:rFonts w:ascii="Book Antiqua" w:hAnsi="Book Antiqua"/>
          <w:sz w:val="24"/>
          <w:szCs w:val="24"/>
        </w:rPr>
        <w:t>luorouracil</w:t>
      </w:r>
      <w:r>
        <w:rPr>
          <w:rFonts w:ascii="Book Antiqua" w:hAnsi="Book Antiqua"/>
          <w:sz w:val="24"/>
          <w:szCs w:val="24"/>
          <w:lang w:eastAsia="zh-CN"/>
        </w:rPr>
        <w:t>;</w:t>
      </w:r>
      <w:r w:rsidRPr="0074751D">
        <w:rPr>
          <w:rFonts w:ascii="Book Antiqua" w:hAnsi="Book Antiqua"/>
          <w:sz w:val="24"/>
          <w:szCs w:val="24"/>
        </w:rPr>
        <w:t xml:space="preserve"> Conti-FAM: 5-</w:t>
      </w:r>
      <w:r>
        <w:rPr>
          <w:rFonts w:ascii="Book Antiqua" w:hAnsi="Book Antiqua"/>
          <w:sz w:val="24"/>
          <w:szCs w:val="24"/>
          <w:lang w:eastAsia="zh-CN"/>
        </w:rPr>
        <w:t>F</w:t>
      </w:r>
      <w:r w:rsidRPr="0074751D">
        <w:rPr>
          <w:rFonts w:ascii="Book Antiqua" w:hAnsi="Book Antiqua"/>
          <w:sz w:val="24"/>
          <w:szCs w:val="24"/>
        </w:rPr>
        <w:t>luorouracil, doxorubicin, mitomycin-c</w:t>
      </w:r>
      <w:r>
        <w:rPr>
          <w:rFonts w:ascii="Book Antiqua" w:hAnsi="Book Antiqua"/>
          <w:sz w:val="24"/>
          <w:szCs w:val="24"/>
          <w:lang w:eastAsia="zh-CN"/>
        </w:rPr>
        <w:t>;</w:t>
      </w:r>
      <w:r w:rsidRPr="0074751D">
        <w:rPr>
          <w:rFonts w:ascii="Book Antiqua" w:hAnsi="Book Antiqua"/>
          <w:sz w:val="24"/>
          <w:szCs w:val="24"/>
        </w:rPr>
        <w:t xml:space="preserve"> MDI: </w:t>
      </w:r>
      <w:r>
        <w:rPr>
          <w:rFonts w:ascii="Book Antiqua" w:hAnsi="Book Antiqua"/>
          <w:sz w:val="24"/>
          <w:szCs w:val="24"/>
          <w:lang w:eastAsia="zh-CN"/>
        </w:rPr>
        <w:t>M</w:t>
      </w:r>
      <w:r w:rsidRPr="0074751D">
        <w:rPr>
          <w:rFonts w:ascii="Book Antiqua" w:hAnsi="Book Antiqua"/>
          <w:sz w:val="24"/>
          <w:szCs w:val="24"/>
        </w:rPr>
        <w:t>itomycin, docetaxel, irinotecan</w:t>
      </w:r>
      <w:r>
        <w:rPr>
          <w:rFonts w:ascii="Book Antiqua" w:hAnsi="Book Antiqua"/>
          <w:sz w:val="24"/>
          <w:szCs w:val="24"/>
          <w:lang w:eastAsia="zh-CN"/>
        </w:rPr>
        <w:t>;</w:t>
      </w:r>
      <w:r w:rsidRPr="0074751D">
        <w:rPr>
          <w:rFonts w:ascii="Book Antiqua" w:hAnsi="Book Antiqua"/>
          <w:sz w:val="24"/>
          <w:szCs w:val="24"/>
        </w:rPr>
        <w:t xml:space="preserve"> NR: </w:t>
      </w:r>
      <w:r>
        <w:rPr>
          <w:rFonts w:ascii="Book Antiqua" w:hAnsi="Book Antiqua"/>
          <w:sz w:val="24"/>
          <w:szCs w:val="24"/>
          <w:lang w:eastAsia="zh-CN"/>
        </w:rPr>
        <w:t>N</w:t>
      </w:r>
      <w:r w:rsidRPr="0074751D">
        <w:rPr>
          <w:rFonts w:ascii="Book Antiqua" w:hAnsi="Book Antiqua"/>
          <w:sz w:val="24"/>
          <w:szCs w:val="24"/>
        </w:rPr>
        <w:t>ot reported.</w:t>
      </w: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lang w:eastAsia="zh-CN"/>
        </w:rPr>
      </w:pPr>
      <w:r w:rsidRPr="0074751D">
        <w:rPr>
          <w:rFonts w:ascii="Book Antiqua" w:hAnsi="Book Antiqua"/>
          <w:b/>
          <w:sz w:val="24"/>
          <w:szCs w:val="24"/>
        </w:rPr>
        <w:t xml:space="preserve">Table 4 Clinical studies of </w:t>
      </w:r>
      <w:r>
        <w:rPr>
          <w:rFonts w:ascii="Book Antiqua" w:hAnsi="Book Antiqua"/>
          <w:b/>
          <w:sz w:val="24"/>
          <w:szCs w:val="24"/>
        </w:rPr>
        <w:t>second-line targeted therapies</w:t>
      </w:r>
    </w:p>
    <w:tbl>
      <w:tblPr>
        <w:tblW w:w="10536" w:type="dxa"/>
        <w:tblInd w:w="-702" w:type="dxa"/>
        <w:tblLayout w:type="fixed"/>
        <w:tblLook w:val="00A0" w:firstRow="1" w:lastRow="0" w:firstColumn="1" w:lastColumn="0" w:noHBand="0" w:noVBand="0"/>
      </w:tblPr>
      <w:tblGrid>
        <w:gridCol w:w="2700"/>
        <w:gridCol w:w="2430"/>
        <w:gridCol w:w="990"/>
        <w:gridCol w:w="630"/>
        <w:gridCol w:w="1170"/>
        <w:gridCol w:w="1170"/>
        <w:gridCol w:w="1446"/>
      </w:tblGrid>
      <w:tr w:rsidR="002E23EC" w:rsidRPr="00044FF3" w:rsidTr="00044FF3">
        <w:tc>
          <w:tcPr>
            <w:tcW w:w="270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Regimen</w:t>
            </w:r>
          </w:p>
        </w:tc>
        <w:tc>
          <w:tcPr>
            <w:tcW w:w="24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Reference</w:t>
            </w:r>
          </w:p>
        </w:tc>
        <w:tc>
          <w:tcPr>
            <w:tcW w:w="99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Sample Size</w:t>
            </w:r>
          </w:p>
        </w:tc>
        <w:tc>
          <w:tcPr>
            <w:tcW w:w="63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RR (%)</w:t>
            </w:r>
            <w:r>
              <w:rPr>
                <w:rFonts w:ascii="Book Antiqua" w:hAnsi="Book Antiqua"/>
                <w:b/>
                <w:sz w:val="21"/>
                <w:szCs w:val="21"/>
                <w:vertAlign w:val="superscript"/>
              </w:rPr>
              <w:t>1</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PFS/TTP (mo)</w:t>
            </w:r>
          </w:p>
        </w:tc>
        <w:tc>
          <w:tcPr>
            <w:tcW w:w="1170"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Med OS (mo)</w:t>
            </w:r>
          </w:p>
        </w:tc>
        <w:tc>
          <w:tcPr>
            <w:tcW w:w="1446" w:type="dxa"/>
            <w:tcBorders>
              <w:top w:val="single" w:sz="4" w:space="0" w:color="auto"/>
              <w:left w:val="nil"/>
              <w:bottom w:val="single" w:sz="4" w:space="0" w:color="auto"/>
              <w:right w:val="nil"/>
            </w:tcBorders>
            <w:vAlign w:val="center"/>
          </w:tcPr>
          <w:p w:rsidR="002E23EC" w:rsidRPr="00044FF3" w:rsidRDefault="002E23EC" w:rsidP="00044FF3">
            <w:pPr>
              <w:spacing w:after="0" w:line="360" w:lineRule="auto"/>
              <w:jc w:val="both"/>
              <w:rPr>
                <w:rFonts w:ascii="Book Antiqua" w:hAnsi="Book Antiqua"/>
                <w:b/>
                <w:sz w:val="21"/>
                <w:szCs w:val="21"/>
              </w:rPr>
            </w:pPr>
            <w:r w:rsidRPr="00044FF3">
              <w:rPr>
                <w:rFonts w:ascii="Book Antiqua" w:hAnsi="Book Antiqua"/>
                <w:b/>
                <w:sz w:val="21"/>
                <w:szCs w:val="21"/>
              </w:rPr>
              <w:t xml:space="preserve">1 yr survival </w:t>
            </w:r>
          </w:p>
        </w:tc>
      </w:tr>
      <w:tr w:rsidR="002E23EC" w:rsidRPr="00044FF3" w:rsidTr="00044FF3">
        <w:tc>
          <w:tcPr>
            <w:tcW w:w="270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Gefitinib, Docetaxel</w:t>
            </w:r>
          </w:p>
        </w:tc>
        <w:tc>
          <w:tcPr>
            <w:tcW w:w="243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Ignatiadis </w:t>
            </w:r>
            <w:r w:rsidRPr="00044FF3">
              <w:rPr>
                <w:rFonts w:ascii="Book Antiqua" w:hAnsi="Book Antiqua"/>
                <w:i/>
                <w:sz w:val="21"/>
                <w:szCs w:val="21"/>
              </w:rPr>
              <w:t>et al</w:t>
            </w:r>
            <w:r w:rsidRPr="00044FF3">
              <w:rPr>
                <w:rFonts w:ascii="Book Antiqua" w:hAnsi="Book Antiqua"/>
                <w:sz w:val="21"/>
                <w:szCs w:val="21"/>
                <w:vertAlign w:val="superscript"/>
              </w:rPr>
              <w:t>[97]</w:t>
            </w:r>
            <w:r w:rsidRPr="00044FF3">
              <w:rPr>
                <w:rFonts w:ascii="Book Antiqua" w:hAnsi="Book Antiqua"/>
                <w:sz w:val="21"/>
                <w:szCs w:val="21"/>
              </w:rPr>
              <w:t>, 2006</w:t>
            </w:r>
          </w:p>
        </w:tc>
        <w:tc>
          <w:tcPr>
            <w:tcW w:w="99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p>
        </w:tc>
        <w:tc>
          <w:tcPr>
            <w:tcW w:w="63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1170"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2.9</w:t>
            </w:r>
          </w:p>
        </w:tc>
        <w:tc>
          <w:tcPr>
            <w:tcW w:w="1446" w:type="dxa"/>
            <w:tcBorders>
              <w:top w:val="single" w:sz="4" w:space="0" w:color="auto"/>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Gefitinib, Docetaxel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Brell </w:t>
            </w:r>
            <w:r w:rsidRPr="00044FF3">
              <w:rPr>
                <w:rFonts w:ascii="Book Antiqua" w:hAnsi="Book Antiqua"/>
                <w:i/>
                <w:sz w:val="21"/>
                <w:szCs w:val="21"/>
              </w:rPr>
              <w:t>et al</w:t>
            </w:r>
            <w:r w:rsidRPr="00044FF3">
              <w:rPr>
                <w:rFonts w:ascii="Book Antiqua" w:hAnsi="Book Antiqua"/>
                <w:sz w:val="21"/>
                <w:szCs w:val="21"/>
                <w:vertAlign w:val="superscript"/>
              </w:rPr>
              <w:t>[98]</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4.5</w:t>
            </w:r>
          </w:p>
        </w:tc>
        <w:tc>
          <w:tcPr>
            <w:tcW w:w="1446" w:type="dxa"/>
          </w:tcPr>
          <w:p w:rsidR="002E23EC" w:rsidRPr="00044FF3" w:rsidRDefault="002E23EC" w:rsidP="00044FF3">
            <w:pPr>
              <w:spacing w:after="0" w:line="360" w:lineRule="auto"/>
              <w:jc w:val="both"/>
              <w:rPr>
                <w:rFonts w:ascii="Book Antiqua" w:hAnsi="Book Antiqua"/>
                <w:sz w:val="21"/>
                <w:szCs w:val="21"/>
                <w:lang w:eastAsia="zh-CN"/>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lastRenderedPageBreak/>
              <w:t>Erlotinib, Capecitabine</w:t>
            </w:r>
          </w:p>
        </w:tc>
        <w:tc>
          <w:tcPr>
            <w:tcW w:w="2430" w:type="dxa"/>
          </w:tcPr>
          <w:p w:rsidR="002E23EC" w:rsidRPr="00044FF3" w:rsidRDefault="002E23EC" w:rsidP="00044FF3">
            <w:pPr>
              <w:tabs>
                <w:tab w:val="right" w:pos="2214"/>
              </w:tabs>
              <w:spacing w:after="0" w:line="360" w:lineRule="auto"/>
              <w:jc w:val="both"/>
              <w:rPr>
                <w:rFonts w:ascii="Book Antiqua" w:hAnsi="Book Antiqua"/>
                <w:sz w:val="21"/>
                <w:szCs w:val="21"/>
              </w:rPr>
            </w:pPr>
            <w:r w:rsidRPr="00044FF3">
              <w:rPr>
                <w:rFonts w:ascii="Book Antiqua" w:hAnsi="Book Antiqua"/>
                <w:sz w:val="21"/>
                <w:szCs w:val="21"/>
              </w:rPr>
              <w:t xml:space="preserve">Kulke </w:t>
            </w:r>
            <w:r w:rsidRPr="00044FF3">
              <w:rPr>
                <w:rFonts w:ascii="Book Antiqua" w:hAnsi="Book Antiqua"/>
                <w:i/>
                <w:sz w:val="21"/>
                <w:szCs w:val="21"/>
              </w:rPr>
              <w:t>et al</w:t>
            </w:r>
            <w:r w:rsidRPr="00044FF3">
              <w:rPr>
                <w:rFonts w:ascii="Book Antiqua" w:hAnsi="Book Antiqua"/>
                <w:sz w:val="21"/>
                <w:szCs w:val="21"/>
                <w:vertAlign w:val="superscript"/>
              </w:rPr>
              <w:t>[55]</w:t>
            </w:r>
            <w:r w:rsidRPr="00044FF3">
              <w:rPr>
                <w:rFonts w:ascii="Book Antiqua" w:hAnsi="Book Antiqua"/>
                <w:sz w:val="21"/>
                <w:szCs w:val="21"/>
              </w:rPr>
              <w:t>, 2007</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r w:rsidRPr="00044FF3">
              <w:rPr>
                <w:rFonts w:ascii="Book Antiqua" w:hAnsi="Book Antiqua"/>
                <w:sz w:val="21"/>
                <w:szCs w:val="21"/>
                <w:lang w:eastAsia="zh-CN"/>
              </w:rPr>
              <w:t>%</w:t>
            </w:r>
          </w:p>
        </w:tc>
      </w:tr>
      <w:tr w:rsidR="002E23EC" w:rsidRPr="00044FF3" w:rsidTr="00044FF3">
        <w:trPr>
          <w:trHeight w:val="288"/>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Erlotinib</w:t>
            </w:r>
          </w:p>
        </w:tc>
        <w:tc>
          <w:tcPr>
            <w:tcW w:w="2430" w:type="dxa"/>
          </w:tcPr>
          <w:p w:rsidR="002E23EC" w:rsidRPr="00044FF3" w:rsidRDefault="002E23EC" w:rsidP="00044FF3">
            <w:pPr>
              <w:tabs>
                <w:tab w:val="right" w:pos="2214"/>
              </w:tabs>
              <w:spacing w:after="0" w:line="360" w:lineRule="auto"/>
              <w:jc w:val="both"/>
              <w:rPr>
                <w:rFonts w:ascii="Book Antiqua" w:hAnsi="Book Antiqua"/>
                <w:sz w:val="21"/>
                <w:szCs w:val="21"/>
              </w:rPr>
            </w:pPr>
            <w:r w:rsidRPr="00044FF3">
              <w:rPr>
                <w:rFonts w:ascii="Book Antiqua" w:hAnsi="Book Antiqua"/>
                <w:sz w:val="21"/>
                <w:szCs w:val="21"/>
              </w:rPr>
              <w:t xml:space="preserve">Tang </w:t>
            </w:r>
            <w:r w:rsidRPr="00044FF3">
              <w:rPr>
                <w:rFonts w:ascii="Book Antiqua" w:hAnsi="Book Antiqua"/>
                <w:i/>
                <w:sz w:val="21"/>
                <w:szCs w:val="21"/>
              </w:rPr>
              <w:t>et al</w:t>
            </w:r>
            <w:r w:rsidRPr="00044FF3">
              <w:rPr>
                <w:rFonts w:ascii="Book Antiqua" w:hAnsi="Book Antiqua"/>
                <w:sz w:val="21"/>
                <w:szCs w:val="21"/>
                <w:vertAlign w:val="superscript"/>
              </w:rPr>
              <w:t>[54]</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50</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6m=39%</w:t>
            </w:r>
          </w:p>
        </w:tc>
      </w:tr>
      <w:tr w:rsidR="002E23EC" w:rsidRPr="00044FF3" w:rsidTr="00044FF3">
        <w:trPr>
          <w:trHeight w:val="288"/>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Erlotinib</w:t>
            </w:r>
          </w:p>
        </w:tc>
        <w:tc>
          <w:tcPr>
            <w:tcW w:w="2430" w:type="dxa"/>
          </w:tcPr>
          <w:p w:rsidR="002E23EC" w:rsidRPr="00044FF3" w:rsidRDefault="002E23EC" w:rsidP="00044FF3">
            <w:pPr>
              <w:tabs>
                <w:tab w:val="right" w:pos="2214"/>
              </w:tabs>
              <w:spacing w:after="0" w:line="360" w:lineRule="auto"/>
              <w:jc w:val="both"/>
              <w:rPr>
                <w:rFonts w:ascii="Book Antiqua" w:hAnsi="Book Antiqua"/>
                <w:sz w:val="21"/>
                <w:szCs w:val="21"/>
              </w:rPr>
            </w:pPr>
            <w:r w:rsidRPr="00044FF3">
              <w:rPr>
                <w:rFonts w:ascii="Book Antiqua" w:hAnsi="Book Antiqua"/>
                <w:sz w:val="21"/>
                <w:szCs w:val="21"/>
              </w:rPr>
              <w:t xml:space="preserve">Iyer </w:t>
            </w:r>
            <w:r w:rsidRPr="00044FF3">
              <w:rPr>
                <w:rFonts w:ascii="Book Antiqua" w:hAnsi="Book Antiqua"/>
                <w:i/>
                <w:sz w:val="21"/>
                <w:szCs w:val="21"/>
              </w:rPr>
              <w:t>et al</w:t>
            </w:r>
            <w:r w:rsidRPr="00044FF3">
              <w:rPr>
                <w:rFonts w:ascii="Book Antiqua" w:hAnsi="Book Antiqua"/>
                <w:sz w:val="21"/>
                <w:szCs w:val="21"/>
                <w:vertAlign w:val="superscript"/>
              </w:rPr>
              <w:t>[99]</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Selumetinib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Bodoky </w:t>
            </w:r>
            <w:r w:rsidRPr="00044FF3">
              <w:rPr>
                <w:rFonts w:ascii="Book Antiqua" w:hAnsi="Book Antiqua"/>
                <w:i/>
                <w:sz w:val="21"/>
                <w:szCs w:val="21"/>
              </w:rPr>
              <w:t>et al</w:t>
            </w:r>
            <w:r w:rsidRPr="00044FF3">
              <w:rPr>
                <w:rFonts w:ascii="Book Antiqua" w:hAnsi="Book Antiqua"/>
                <w:sz w:val="21"/>
                <w:szCs w:val="21"/>
                <w:vertAlign w:val="superscript"/>
              </w:rPr>
              <w:t>[59]</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32</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2.1</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5.4</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43"/>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Selumetinib, Erlotinib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Ko </w:t>
            </w:r>
            <w:r w:rsidRPr="00044FF3">
              <w:rPr>
                <w:rFonts w:ascii="Book Antiqua" w:hAnsi="Book Antiqua"/>
                <w:i/>
                <w:sz w:val="21"/>
                <w:szCs w:val="21"/>
              </w:rPr>
              <w:t>et al</w:t>
            </w:r>
            <w:r w:rsidRPr="00044FF3">
              <w:rPr>
                <w:rFonts w:ascii="Book Antiqua" w:hAnsi="Book Antiqua"/>
                <w:sz w:val="21"/>
                <w:szCs w:val="21"/>
                <w:vertAlign w:val="superscript"/>
              </w:rPr>
              <w:t>[61]</w:t>
            </w:r>
            <w:r w:rsidRPr="00044FF3">
              <w:rPr>
                <w:rFonts w:ascii="Book Antiqua" w:hAnsi="Book Antiqua"/>
                <w:sz w:val="21"/>
                <w:szCs w:val="21"/>
              </w:rPr>
              <w:t>, 2013</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Everolimus</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Wolpin </w:t>
            </w:r>
            <w:r w:rsidRPr="00044FF3">
              <w:rPr>
                <w:rFonts w:ascii="Book Antiqua" w:hAnsi="Book Antiqua"/>
                <w:i/>
                <w:sz w:val="21"/>
                <w:szCs w:val="21"/>
              </w:rPr>
              <w:t>et al</w:t>
            </w:r>
            <w:r w:rsidRPr="00044FF3">
              <w:rPr>
                <w:rFonts w:ascii="Book Antiqua" w:hAnsi="Book Antiqua"/>
                <w:sz w:val="21"/>
                <w:szCs w:val="21"/>
                <w:vertAlign w:val="superscript"/>
              </w:rPr>
              <w:t>[62]</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33</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Sirolimus</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Garrido-Laguna </w:t>
            </w:r>
            <w:r w:rsidRPr="00044FF3">
              <w:rPr>
                <w:rFonts w:ascii="Book Antiqua" w:hAnsi="Book Antiqua"/>
                <w:i/>
                <w:sz w:val="21"/>
                <w:szCs w:val="21"/>
              </w:rPr>
              <w:t>et al</w:t>
            </w:r>
            <w:r w:rsidRPr="00044FF3">
              <w:rPr>
                <w:rFonts w:ascii="Book Antiqua" w:hAnsi="Book Antiqua"/>
                <w:sz w:val="21"/>
                <w:szCs w:val="21"/>
                <w:vertAlign w:val="superscript"/>
              </w:rPr>
              <w:t>[63]</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31</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6m=26%</w:t>
            </w:r>
          </w:p>
        </w:tc>
      </w:tr>
      <w:tr w:rsidR="002E23EC" w:rsidRPr="00044FF3" w:rsidTr="00044FF3">
        <w:trPr>
          <w:trHeight w:val="270"/>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Everolimus, Erlotinib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Javle </w:t>
            </w:r>
            <w:r w:rsidRPr="00044FF3">
              <w:rPr>
                <w:rFonts w:ascii="Book Antiqua" w:hAnsi="Book Antiqua"/>
                <w:i/>
                <w:sz w:val="21"/>
                <w:szCs w:val="21"/>
              </w:rPr>
              <w:t>et al</w:t>
            </w:r>
            <w:r w:rsidRPr="00044FF3">
              <w:rPr>
                <w:rFonts w:ascii="Book Antiqua" w:hAnsi="Book Antiqua"/>
                <w:sz w:val="21"/>
                <w:szCs w:val="21"/>
                <w:vertAlign w:val="superscript"/>
              </w:rPr>
              <w:t>[64]</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2.9</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70"/>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Temsirolimus</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Javle </w:t>
            </w:r>
            <w:r w:rsidRPr="00044FF3">
              <w:rPr>
                <w:rFonts w:ascii="Book Antiqua" w:hAnsi="Book Antiqua"/>
                <w:i/>
                <w:sz w:val="21"/>
                <w:szCs w:val="21"/>
              </w:rPr>
              <w:t>et al</w:t>
            </w:r>
            <w:r w:rsidRPr="00044FF3">
              <w:rPr>
                <w:rFonts w:ascii="Book Antiqua" w:hAnsi="Book Antiqua"/>
                <w:sz w:val="21"/>
                <w:szCs w:val="21"/>
                <w:vertAlign w:val="superscript"/>
              </w:rPr>
              <w:t>[64]</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Vatalinib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Dragovich </w:t>
            </w:r>
            <w:r w:rsidRPr="00044FF3">
              <w:rPr>
                <w:rFonts w:ascii="Book Antiqua" w:hAnsi="Book Antiqua"/>
                <w:i/>
                <w:sz w:val="21"/>
                <w:szCs w:val="21"/>
              </w:rPr>
              <w:t>et al</w:t>
            </w:r>
            <w:r w:rsidRPr="00044FF3">
              <w:rPr>
                <w:rFonts w:ascii="Book Antiqua" w:hAnsi="Book Antiqua"/>
                <w:sz w:val="21"/>
                <w:szCs w:val="21"/>
                <w:vertAlign w:val="superscript"/>
              </w:rPr>
              <w:t>[68]</w:t>
            </w:r>
            <w:r w:rsidRPr="00044FF3">
              <w:rPr>
                <w:rFonts w:ascii="Book Antiqua" w:hAnsi="Book Antiqua"/>
                <w:sz w:val="21"/>
                <w:szCs w:val="21"/>
              </w:rPr>
              <w:t>, 2008</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65</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6m=14%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6m=31%</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Sunitinib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O’Reilly </w:t>
            </w:r>
            <w:r w:rsidRPr="00044FF3">
              <w:rPr>
                <w:rFonts w:ascii="Book Antiqua" w:hAnsi="Book Antiqua"/>
                <w:i/>
                <w:sz w:val="21"/>
                <w:szCs w:val="21"/>
              </w:rPr>
              <w:t>et al</w:t>
            </w:r>
            <w:r w:rsidRPr="00044FF3">
              <w:rPr>
                <w:rFonts w:ascii="Book Antiqua" w:hAnsi="Book Antiqua"/>
                <w:sz w:val="21"/>
                <w:szCs w:val="21"/>
                <w:vertAlign w:val="superscript"/>
              </w:rPr>
              <w:t>[69]</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3.7</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Bevacizumab, Erlotinib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Ko </w:t>
            </w:r>
            <w:r w:rsidRPr="00044FF3">
              <w:rPr>
                <w:rFonts w:ascii="Book Antiqua" w:hAnsi="Book Antiqua"/>
                <w:i/>
                <w:sz w:val="21"/>
                <w:szCs w:val="21"/>
              </w:rPr>
              <w:t>et al</w:t>
            </w:r>
            <w:r w:rsidRPr="00044FF3">
              <w:rPr>
                <w:rFonts w:ascii="Book Antiqua" w:hAnsi="Book Antiqua"/>
                <w:sz w:val="21"/>
                <w:szCs w:val="21"/>
                <w:vertAlign w:val="superscript"/>
              </w:rPr>
              <w:t>[67]</w:t>
            </w:r>
            <w:r w:rsidRPr="00044FF3">
              <w:rPr>
                <w:rFonts w:ascii="Book Antiqua" w:hAnsi="Book Antiqua"/>
                <w:sz w:val="21"/>
                <w:szCs w:val="21"/>
              </w:rPr>
              <w:t>, 2010</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2.8</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1.3</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3.4</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6m=22%</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Bevacizumab</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Astsaturov </w:t>
            </w:r>
            <w:r w:rsidRPr="00044FF3">
              <w:rPr>
                <w:rFonts w:ascii="Book Antiqua" w:hAnsi="Book Antiqua"/>
                <w:i/>
                <w:sz w:val="21"/>
                <w:szCs w:val="21"/>
              </w:rPr>
              <w:t>et al</w:t>
            </w:r>
            <w:r w:rsidRPr="00044FF3">
              <w:rPr>
                <w:rFonts w:ascii="Book Antiqua" w:hAnsi="Book Antiqua"/>
                <w:sz w:val="21"/>
                <w:szCs w:val="21"/>
                <w:vertAlign w:val="superscript"/>
              </w:rPr>
              <w:t>[100]</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rPr>
          <w:trHeight w:val="234"/>
        </w:trPr>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Bevacizumab, Docetaxel</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Astsaturov </w:t>
            </w:r>
            <w:r w:rsidRPr="00044FF3">
              <w:rPr>
                <w:rFonts w:ascii="Book Antiqua" w:hAnsi="Book Antiqua"/>
                <w:i/>
                <w:sz w:val="21"/>
                <w:szCs w:val="21"/>
              </w:rPr>
              <w:t>et al</w:t>
            </w:r>
            <w:r w:rsidRPr="00044FF3">
              <w:rPr>
                <w:rFonts w:ascii="Book Antiqua" w:hAnsi="Book Antiqua"/>
                <w:sz w:val="21"/>
                <w:szCs w:val="21"/>
                <w:vertAlign w:val="superscript"/>
              </w:rPr>
              <w:t>[100]</w:t>
            </w:r>
            <w:r w:rsidRPr="00044FF3">
              <w:rPr>
                <w:rFonts w:ascii="Book Antiqua" w:hAnsi="Book Antiqua"/>
                <w:sz w:val="21"/>
                <w:szCs w:val="21"/>
              </w:rPr>
              <w:t>, 2011</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4.2</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Celecoxib, 5-FU</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Milella </w:t>
            </w:r>
            <w:r w:rsidRPr="00044FF3">
              <w:rPr>
                <w:rFonts w:ascii="Book Antiqua" w:hAnsi="Book Antiqua"/>
                <w:i/>
                <w:sz w:val="21"/>
                <w:szCs w:val="21"/>
              </w:rPr>
              <w:t>et al</w:t>
            </w:r>
            <w:r w:rsidRPr="00044FF3">
              <w:rPr>
                <w:rFonts w:ascii="Book Antiqua" w:hAnsi="Book Antiqua"/>
                <w:sz w:val="21"/>
                <w:szCs w:val="21"/>
                <w:vertAlign w:val="superscript"/>
              </w:rPr>
              <w:t>[73]</w:t>
            </w:r>
            <w:r w:rsidRPr="00044FF3">
              <w:rPr>
                <w:rFonts w:ascii="Book Antiqua" w:hAnsi="Book Antiqua"/>
                <w:sz w:val="21"/>
                <w:szCs w:val="21"/>
              </w:rPr>
              <w:t>, 2004</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12</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3.5</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vertAlign w:val="superscript"/>
              </w:rPr>
            </w:pPr>
            <w:r w:rsidRPr="00044FF3">
              <w:rPr>
                <w:rFonts w:ascii="Book Antiqua" w:hAnsi="Book Antiqua"/>
                <w:sz w:val="21"/>
                <w:szCs w:val="21"/>
              </w:rPr>
              <w:t>Celecoxib, Capecitabine</w:t>
            </w:r>
            <w:r>
              <w:rPr>
                <w:rFonts w:ascii="Book Antiqua" w:hAnsi="Book Antiqua"/>
                <w:sz w:val="21"/>
                <w:szCs w:val="21"/>
                <w:vertAlign w:val="superscript"/>
              </w:rPr>
              <w:t>2</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Pino </w:t>
            </w:r>
            <w:r w:rsidRPr="00044FF3">
              <w:rPr>
                <w:rFonts w:ascii="Book Antiqua" w:hAnsi="Book Antiqua"/>
                <w:i/>
                <w:sz w:val="21"/>
                <w:szCs w:val="21"/>
              </w:rPr>
              <w:t>et al</w:t>
            </w:r>
            <w:r w:rsidRPr="00044FF3">
              <w:rPr>
                <w:rFonts w:ascii="Book Antiqua" w:hAnsi="Book Antiqua"/>
                <w:sz w:val="21"/>
                <w:szCs w:val="21"/>
                <w:vertAlign w:val="superscript"/>
              </w:rPr>
              <w:t>[74]</w:t>
            </w:r>
            <w:r w:rsidRPr="00044FF3">
              <w:rPr>
                <w:rFonts w:ascii="Book Antiqua" w:hAnsi="Book Antiqua"/>
                <w:sz w:val="21"/>
                <w:szCs w:val="21"/>
              </w:rPr>
              <w:t>, 2009</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35</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8.6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4.0</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4.4</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r w:rsidR="002E23EC" w:rsidRPr="00044FF3" w:rsidTr="00044FF3">
        <w:tc>
          <w:tcPr>
            <w:tcW w:w="270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Imatinib, Gem, Oxaliplatin</w:t>
            </w:r>
          </w:p>
        </w:tc>
        <w:tc>
          <w:tcPr>
            <w:tcW w:w="24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Starling </w:t>
            </w:r>
            <w:r w:rsidRPr="00044FF3">
              <w:rPr>
                <w:rFonts w:ascii="Book Antiqua" w:hAnsi="Book Antiqua"/>
                <w:i/>
                <w:sz w:val="21"/>
                <w:szCs w:val="21"/>
              </w:rPr>
              <w:t>et al</w:t>
            </w:r>
            <w:r w:rsidRPr="00044FF3">
              <w:rPr>
                <w:rFonts w:ascii="Book Antiqua" w:hAnsi="Book Antiqua"/>
                <w:sz w:val="21"/>
                <w:szCs w:val="21"/>
                <w:vertAlign w:val="superscript"/>
              </w:rPr>
              <w:t>[101]</w:t>
            </w:r>
            <w:r w:rsidRPr="00044FF3">
              <w:rPr>
                <w:rFonts w:ascii="Book Antiqua" w:hAnsi="Book Antiqua"/>
                <w:sz w:val="21"/>
                <w:szCs w:val="21"/>
              </w:rPr>
              <w:t>, 2012</w:t>
            </w:r>
          </w:p>
        </w:tc>
        <w:tc>
          <w:tcPr>
            <w:tcW w:w="99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27</w:t>
            </w:r>
          </w:p>
        </w:tc>
        <w:tc>
          <w:tcPr>
            <w:tcW w:w="63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7.4</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4.6</w:t>
            </w:r>
          </w:p>
        </w:tc>
        <w:tc>
          <w:tcPr>
            <w:tcW w:w="1170"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5.6</w:t>
            </w:r>
          </w:p>
        </w:tc>
        <w:tc>
          <w:tcPr>
            <w:tcW w:w="1446" w:type="dxa"/>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28</w:t>
            </w:r>
            <w:r w:rsidRPr="00044FF3">
              <w:rPr>
                <w:rFonts w:ascii="Book Antiqua" w:hAnsi="Book Antiqua"/>
                <w:sz w:val="21"/>
                <w:szCs w:val="21"/>
                <w:lang w:eastAsia="zh-CN"/>
              </w:rPr>
              <w:t>%</w:t>
            </w:r>
          </w:p>
        </w:tc>
      </w:tr>
      <w:tr w:rsidR="002E23EC" w:rsidRPr="00044FF3" w:rsidTr="00044FF3">
        <w:tc>
          <w:tcPr>
            <w:tcW w:w="270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Flavopiridol, Docetaxel</w:t>
            </w:r>
          </w:p>
        </w:tc>
        <w:tc>
          <w:tcPr>
            <w:tcW w:w="243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Carvajal </w:t>
            </w:r>
            <w:r w:rsidRPr="00044FF3">
              <w:rPr>
                <w:rFonts w:ascii="Book Antiqua" w:hAnsi="Book Antiqua"/>
                <w:i/>
                <w:sz w:val="21"/>
                <w:szCs w:val="21"/>
              </w:rPr>
              <w:t>et al</w:t>
            </w:r>
            <w:r w:rsidRPr="00044FF3">
              <w:rPr>
                <w:rFonts w:ascii="Book Antiqua" w:hAnsi="Book Antiqua"/>
                <w:sz w:val="21"/>
                <w:szCs w:val="21"/>
                <w:vertAlign w:val="superscript"/>
              </w:rPr>
              <w:t>[102]</w:t>
            </w:r>
            <w:r w:rsidRPr="00044FF3">
              <w:rPr>
                <w:rFonts w:ascii="Book Antiqua" w:hAnsi="Book Antiqua"/>
                <w:sz w:val="21"/>
                <w:szCs w:val="21"/>
              </w:rPr>
              <w:t>, 2009</w:t>
            </w:r>
          </w:p>
        </w:tc>
        <w:tc>
          <w:tcPr>
            <w:tcW w:w="99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10</w:t>
            </w:r>
          </w:p>
        </w:tc>
        <w:tc>
          <w:tcPr>
            <w:tcW w:w="63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1170"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4.2</w:t>
            </w:r>
          </w:p>
        </w:tc>
        <w:tc>
          <w:tcPr>
            <w:tcW w:w="1446" w:type="dxa"/>
            <w:tcBorders>
              <w:top w:val="nil"/>
              <w:left w:val="nil"/>
              <w:bottom w:val="nil"/>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r w:rsidRPr="00044FF3">
              <w:rPr>
                <w:rFonts w:ascii="Book Antiqua" w:hAnsi="Book Antiqua"/>
                <w:sz w:val="21"/>
                <w:szCs w:val="21"/>
                <w:lang w:eastAsia="zh-CN"/>
              </w:rPr>
              <w:t>%</w:t>
            </w:r>
          </w:p>
        </w:tc>
      </w:tr>
      <w:tr w:rsidR="002E23EC" w:rsidRPr="00044FF3" w:rsidTr="00044FF3">
        <w:tc>
          <w:tcPr>
            <w:tcW w:w="270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Sarcatinib</w:t>
            </w:r>
          </w:p>
        </w:tc>
        <w:tc>
          <w:tcPr>
            <w:tcW w:w="243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 xml:space="preserve">Nallapareddy </w:t>
            </w:r>
            <w:r w:rsidRPr="00044FF3">
              <w:rPr>
                <w:rFonts w:ascii="Book Antiqua" w:hAnsi="Book Antiqua"/>
                <w:i/>
                <w:sz w:val="21"/>
                <w:szCs w:val="21"/>
              </w:rPr>
              <w:t>et al</w:t>
            </w:r>
            <w:r w:rsidRPr="00044FF3">
              <w:rPr>
                <w:rFonts w:ascii="Book Antiqua" w:hAnsi="Book Antiqua"/>
                <w:sz w:val="21"/>
                <w:szCs w:val="21"/>
                <w:vertAlign w:val="superscript"/>
              </w:rPr>
              <w:t>[103]</w:t>
            </w:r>
            <w:r w:rsidRPr="00044FF3">
              <w:rPr>
                <w:rFonts w:ascii="Book Antiqua" w:hAnsi="Book Antiqua"/>
                <w:sz w:val="21"/>
                <w:szCs w:val="21"/>
              </w:rPr>
              <w:t>, 2010</w:t>
            </w:r>
          </w:p>
        </w:tc>
        <w:tc>
          <w:tcPr>
            <w:tcW w:w="99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19</w:t>
            </w:r>
          </w:p>
        </w:tc>
        <w:tc>
          <w:tcPr>
            <w:tcW w:w="63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0</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1.6</w:t>
            </w:r>
          </w:p>
        </w:tc>
        <w:tc>
          <w:tcPr>
            <w:tcW w:w="1170"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2.5</w:t>
            </w:r>
          </w:p>
        </w:tc>
        <w:tc>
          <w:tcPr>
            <w:tcW w:w="1446" w:type="dxa"/>
            <w:tcBorders>
              <w:top w:val="nil"/>
              <w:left w:val="nil"/>
              <w:bottom w:val="single" w:sz="4" w:space="0" w:color="auto"/>
              <w:right w:val="nil"/>
            </w:tcBorders>
          </w:tcPr>
          <w:p w:rsidR="002E23EC" w:rsidRPr="00044FF3" w:rsidRDefault="002E23EC" w:rsidP="00044FF3">
            <w:pPr>
              <w:spacing w:after="0" w:line="360" w:lineRule="auto"/>
              <w:jc w:val="both"/>
              <w:rPr>
                <w:rFonts w:ascii="Book Antiqua" w:hAnsi="Book Antiqua"/>
                <w:sz w:val="21"/>
                <w:szCs w:val="21"/>
              </w:rPr>
            </w:pPr>
            <w:r w:rsidRPr="00044FF3">
              <w:rPr>
                <w:rFonts w:ascii="Book Antiqua" w:hAnsi="Book Antiqua"/>
                <w:sz w:val="21"/>
                <w:szCs w:val="21"/>
              </w:rPr>
              <w:t>NR</w:t>
            </w:r>
          </w:p>
        </w:tc>
      </w:tr>
    </w:tbl>
    <w:p w:rsidR="002E23EC" w:rsidRPr="0074751D" w:rsidRDefault="002E23EC" w:rsidP="0074751D">
      <w:pPr>
        <w:spacing w:after="0" w:line="360" w:lineRule="auto"/>
        <w:jc w:val="both"/>
        <w:rPr>
          <w:rFonts w:ascii="Book Antiqua" w:hAnsi="Book Antiqua"/>
          <w:sz w:val="24"/>
          <w:szCs w:val="24"/>
        </w:rPr>
      </w:pPr>
      <w:r>
        <w:rPr>
          <w:rFonts w:ascii="Book Antiqua" w:hAnsi="Book Antiqua"/>
          <w:sz w:val="24"/>
          <w:szCs w:val="24"/>
          <w:vertAlign w:val="superscript"/>
        </w:rPr>
        <w:t>1</w:t>
      </w:r>
      <w:r w:rsidRPr="0074751D">
        <w:rPr>
          <w:rFonts w:ascii="Book Antiqua" w:hAnsi="Book Antiqua"/>
          <w:sz w:val="24"/>
          <w:szCs w:val="24"/>
        </w:rPr>
        <w:t>Intent-to-treat analysis</w:t>
      </w:r>
      <w:r>
        <w:rPr>
          <w:rFonts w:ascii="Book Antiqua" w:hAnsi="Book Antiqua"/>
          <w:sz w:val="24"/>
          <w:szCs w:val="24"/>
          <w:lang w:eastAsia="zh-CN"/>
        </w:rPr>
        <w:t>;</w:t>
      </w:r>
      <w:r w:rsidRPr="0074751D">
        <w:rPr>
          <w:rFonts w:ascii="Book Antiqua" w:hAnsi="Book Antiqua"/>
          <w:sz w:val="24"/>
          <w:szCs w:val="24"/>
        </w:rPr>
        <w:t xml:space="preserve"> </w:t>
      </w:r>
      <w:r>
        <w:rPr>
          <w:rFonts w:ascii="Book Antiqua" w:hAnsi="Book Antiqua"/>
          <w:sz w:val="24"/>
          <w:szCs w:val="24"/>
          <w:vertAlign w:val="superscript"/>
        </w:rPr>
        <w:t>2</w:t>
      </w:r>
      <w:r w:rsidRPr="0074751D">
        <w:rPr>
          <w:rFonts w:ascii="Book Antiqua" w:hAnsi="Book Antiqua"/>
          <w:sz w:val="24"/>
          <w:szCs w:val="24"/>
        </w:rPr>
        <w:t>Pooled analysis of pancreatic (86%) and biliary (14%) cancer. 5-FU: 5-</w:t>
      </w:r>
      <w:r>
        <w:rPr>
          <w:rFonts w:ascii="Book Antiqua" w:hAnsi="Book Antiqua"/>
          <w:sz w:val="24"/>
          <w:szCs w:val="24"/>
          <w:lang w:eastAsia="zh-CN"/>
        </w:rPr>
        <w:t>F</w:t>
      </w:r>
      <w:r w:rsidRPr="0074751D">
        <w:rPr>
          <w:rFonts w:ascii="Book Antiqua" w:hAnsi="Book Antiqua"/>
          <w:sz w:val="24"/>
          <w:szCs w:val="24"/>
        </w:rPr>
        <w:t>luorouracil</w:t>
      </w:r>
      <w:r>
        <w:rPr>
          <w:rFonts w:ascii="Book Antiqua" w:hAnsi="Book Antiqua"/>
          <w:sz w:val="24"/>
          <w:szCs w:val="24"/>
          <w:lang w:eastAsia="zh-CN"/>
        </w:rPr>
        <w:t>;</w:t>
      </w:r>
      <w:r w:rsidRPr="0074751D">
        <w:rPr>
          <w:rFonts w:ascii="Book Antiqua" w:hAnsi="Book Antiqua"/>
          <w:sz w:val="24"/>
          <w:szCs w:val="24"/>
        </w:rPr>
        <w:t xml:space="preserve"> Gem: </w:t>
      </w:r>
      <w:r>
        <w:rPr>
          <w:rFonts w:ascii="Book Antiqua" w:hAnsi="Book Antiqua"/>
          <w:sz w:val="24"/>
          <w:szCs w:val="24"/>
          <w:lang w:eastAsia="zh-CN"/>
        </w:rPr>
        <w:t>G</w:t>
      </w:r>
      <w:r w:rsidRPr="0074751D">
        <w:rPr>
          <w:rFonts w:ascii="Book Antiqua" w:hAnsi="Book Antiqua"/>
          <w:sz w:val="24"/>
          <w:szCs w:val="24"/>
        </w:rPr>
        <w:t>emcitabine</w:t>
      </w:r>
      <w:r>
        <w:rPr>
          <w:rFonts w:ascii="Book Antiqua" w:hAnsi="Book Antiqua"/>
          <w:sz w:val="24"/>
          <w:szCs w:val="24"/>
          <w:lang w:eastAsia="zh-CN"/>
        </w:rPr>
        <w:t>;</w:t>
      </w:r>
      <w:r w:rsidRPr="0074751D">
        <w:rPr>
          <w:rFonts w:ascii="Book Antiqua" w:hAnsi="Book Antiqua"/>
          <w:sz w:val="24"/>
          <w:szCs w:val="24"/>
        </w:rPr>
        <w:t xml:space="preserve"> 6</w:t>
      </w:r>
      <w:r>
        <w:rPr>
          <w:rFonts w:ascii="Book Antiqua" w:hAnsi="Book Antiqua"/>
          <w:sz w:val="24"/>
          <w:szCs w:val="24"/>
          <w:lang w:eastAsia="zh-CN"/>
        </w:rPr>
        <w:t xml:space="preserve"> </w:t>
      </w:r>
      <w:r w:rsidRPr="0074751D">
        <w:rPr>
          <w:rFonts w:ascii="Book Antiqua" w:hAnsi="Book Antiqua"/>
          <w:sz w:val="24"/>
          <w:szCs w:val="24"/>
        </w:rPr>
        <w:t>m: 6 mo survival rate</w:t>
      </w:r>
      <w:r>
        <w:rPr>
          <w:rFonts w:ascii="Book Antiqua" w:hAnsi="Book Antiqua"/>
          <w:sz w:val="24"/>
          <w:szCs w:val="24"/>
          <w:lang w:eastAsia="zh-CN"/>
        </w:rPr>
        <w:t>;</w:t>
      </w:r>
      <w:r w:rsidRPr="0074751D">
        <w:rPr>
          <w:rFonts w:ascii="Book Antiqua" w:hAnsi="Book Antiqua"/>
          <w:sz w:val="24"/>
          <w:szCs w:val="24"/>
        </w:rPr>
        <w:t xml:space="preserve"> NR: </w:t>
      </w:r>
      <w:r>
        <w:rPr>
          <w:rFonts w:ascii="Book Antiqua" w:hAnsi="Book Antiqua"/>
          <w:sz w:val="24"/>
          <w:szCs w:val="24"/>
          <w:lang w:eastAsia="zh-CN"/>
        </w:rPr>
        <w:t>N</w:t>
      </w:r>
      <w:r w:rsidRPr="0074751D">
        <w:rPr>
          <w:rFonts w:ascii="Book Antiqua" w:hAnsi="Book Antiqua"/>
          <w:sz w:val="24"/>
          <w:szCs w:val="24"/>
        </w:rPr>
        <w:t>ot reported.</w:t>
      </w: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sz w:val="24"/>
          <w:szCs w:val="24"/>
        </w:rPr>
      </w:pPr>
    </w:p>
    <w:p w:rsidR="002E23EC" w:rsidRPr="0074751D" w:rsidRDefault="002E23EC" w:rsidP="0074751D">
      <w:pPr>
        <w:spacing w:after="0" w:line="360" w:lineRule="auto"/>
        <w:jc w:val="both"/>
        <w:rPr>
          <w:rFonts w:ascii="Book Antiqua" w:hAnsi="Book Antiqua"/>
          <w:b/>
          <w:sz w:val="24"/>
          <w:szCs w:val="24"/>
        </w:rPr>
      </w:pPr>
      <w:r w:rsidRPr="0074751D">
        <w:rPr>
          <w:rFonts w:ascii="Book Antiqua" w:hAnsi="Book Antiqua"/>
          <w:b/>
          <w:sz w:val="24"/>
          <w:szCs w:val="24"/>
        </w:rPr>
        <w:br w:type="page"/>
      </w:r>
    </w:p>
    <w:p w:rsidR="002E23EC" w:rsidRPr="0074751D" w:rsidRDefault="002E23EC" w:rsidP="0074751D">
      <w:pPr>
        <w:spacing w:after="0" w:line="360" w:lineRule="auto"/>
        <w:jc w:val="both"/>
        <w:rPr>
          <w:rFonts w:ascii="Book Antiqua" w:hAnsi="Book Antiqua"/>
          <w:b/>
          <w:sz w:val="24"/>
          <w:szCs w:val="24"/>
          <w:lang w:eastAsia="zh-CN"/>
        </w:rPr>
      </w:pPr>
      <w:r w:rsidRPr="009F6A97">
        <w:rPr>
          <w:rFonts w:ascii="Book Antiqua" w:hAnsi="Book Antiqua"/>
          <w:b/>
          <w:sz w:val="24"/>
          <w:szCs w:val="24"/>
        </w:rPr>
        <w:t>Table 5 Ongoing randomized phase II/III trials of refractory</w:t>
      </w:r>
      <w:r>
        <w:rPr>
          <w:rFonts w:ascii="Book Antiqua" w:hAnsi="Book Antiqua"/>
          <w:b/>
          <w:sz w:val="24"/>
          <w:szCs w:val="24"/>
        </w:rPr>
        <w:t xml:space="preserve"> pancreatic cancer chemotherapy</w:t>
      </w:r>
    </w:p>
    <w:tbl>
      <w:tblPr>
        <w:tblW w:w="11070" w:type="dxa"/>
        <w:tblInd w:w="-522" w:type="dxa"/>
        <w:tblLayout w:type="fixed"/>
        <w:tblLook w:val="00A0" w:firstRow="1" w:lastRow="0" w:firstColumn="1" w:lastColumn="0" w:noHBand="0" w:noVBand="0"/>
      </w:tblPr>
      <w:tblGrid>
        <w:gridCol w:w="1728"/>
        <w:gridCol w:w="1170"/>
        <w:gridCol w:w="2340"/>
        <w:gridCol w:w="1440"/>
        <w:gridCol w:w="1440"/>
        <w:gridCol w:w="1620"/>
        <w:gridCol w:w="1332"/>
      </w:tblGrid>
      <w:tr w:rsidR="002E23EC" w:rsidRPr="00044FF3" w:rsidTr="00044FF3">
        <w:tc>
          <w:tcPr>
            <w:tcW w:w="1728"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Clinical </w:t>
            </w:r>
            <w:r w:rsidRPr="00044FF3">
              <w:rPr>
                <w:rFonts w:ascii="Book Antiqua" w:hAnsi="Book Antiqua"/>
                <w:sz w:val="18"/>
                <w:szCs w:val="18"/>
                <w:lang w:eastAsia="zh-CN"/>
              </w:rPr>
              <w:t>t</w:t>
            </w:r>
            <w:r w:rsidRPr="00044FF3">
              <w:rPr>
                <w:rFonts w:ascii="Book Antiqua" w:hAnsi="Book Antiqua"/>
                <w:sz w:val="18"/>
                <w:szCs w:val="18"/>
              </w:rPr>
              <w:t>rial</w:t>
            </w:r>
          </w:p>
        </w:tc>
        <w:tc>
          <w:tcPr>
            <w:tcW w:w="1170"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Design</w:t>
            </w:r>
          </w:p>
        </w:tc>
        <w:tc>
          <w:tcPr>
            <w:tcW w:w="2340"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Study Arms</w:t>
            </w:r>
          </w:p>
        </w:tc>
        <w:tc>
          <w:tcPr>
            <w:tcW w:w="1440"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Goal Enrollment</w:t>
            </w:r>
          </w:p>
        </w:tc>
        <w:tc>
          <w:tcPr>
            <w:tcW w:w="1440"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Primary Measure</w:t>
            </w:r>
          </w:p>
        </w:tc>
        <w:tc>
          <w:tcPr>
            <w:tcW w:w="1620"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Previous Therapy</w:t>
            </w:r>
          </w:p>
        </w:tc>
        <w:tc>
          <w:tcPr>
            <w:tcW w:w="1332" w:type="dxa"/>
            <w:tcBorders>
              <w:top w:val="single" w:sz="4" w:space="0" w:color="auto"/>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Status</w:t>
            </w:r>
          </w:p>
        </w:tc>
      </w:tr>
      <w:tr w:rsidR="002E23EC" w:rsidRPr="00044FF3" w:rsidTr="00044FF3">
        <w:trPr>
          <w:trHeight w:val="512"/>
        </w:trPr>
        <w:tc>
          <w:tcPr>
            <w:tcW w:w="1728"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NCT00674973</w:t>
            </w:r>
          </w:p>
        </w:tc>
        <w:tc>
          <w:tcPr>
            <w:tcW w:w="1170"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Erlotinib </w:t>
            </w:r>
            <w:r w:rsidRPr="00044FF3">
              <w:rPr>
                <w:rFonts w:ascii="Book Antiqua" w:hAnsi="Book Antiqua"/>
                <w:i/>
                <w:sz w:val="18"/>
                <w:szCs w:val="18"/>
              </w:rPr>
              <w:t>vs</w:t>
            </w:r>
            <w:r w:rsidRPr="00044FF3">
              <w:rPr>
                <w:rFonts w:ascii="Book Antiqua" w:hAnsi="Book Antiqua"/>
                <w:sz w:val="18"/>
                <w:szCs w:val="18"/>
              </w:rPr>
              <w:t xml:space="preserve"> placebo</w:t>
            </w:r>
          </w:p>
        </w:tc>
        <w:tc>
          <w:tcPr>
            <w:tcW w:w="1440"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207</w:t>
            </w:r>
          </w:p>
        </w:tc>
        <w:tc>
          <w:tcPr>
            <w:tcW w:w="1440"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PFS, biomarkers</w:t>
            </w:r>
          </w:p>
        </w:tc>
        <w:tc>
          <w:tcPr>
            <w:tcW w:w="1620"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1 prior CT regimen</w:t>
            </w:r>
          </w:p>
        </w:tc>
        <w:tc>
          <w:tcPr>
            <w:tcW w:w="1332" w:type="dxa"/>
            <w:tcBorders>
              <w:top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512"/>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NCT01074996</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S-1 </w:t>
            </w:r>
            <w:r w:rsidRPr="00044FF3">
              <w:rPr>
                <w:rFonts w:ascii="Book Antiqua" w:hAnsi="Book Antiqua"/>
                <w:i/>
                <w:sz w:val="18"/>
                <w:szCs w:val="18"/>
              </w:rPr>
              <w:t>vs</w:t>
            </w:r>
            <w:r w:rsidRPr="00044FF3">
              <w:rPr>
                <w:rFonts w:ascii="Book Antiqua" w:hAnsi="Book Antiqua"/>
                <w:sz w:val="18"/>
                <w:szCs w:val="18"/>
              </w:rPr>
              <w:t xml:space="preserve"> S-1, leucovorin</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96</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Recruiting</w:t>
            </w:r>
          </w:p>
        </w:tc>
      </w:tr>
      <w:tr w:rsidR="002E23EC" w:rsidRPr="00044FF3" w:rsidTr="00044FF3">
        <w:trPr>
          <w:trHeight w:val="990"/>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NCT01417000</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GVAX pancreas, cyclophosphamide, CRS-207 </w:t>
            </w:r>
            <w:r w:rsidRPr="00044FF3">
              <w:rPr>
                <w:rFonts w:ascii="Book Antiqua" w:hAnsi="Book Antiqua"/>
                <w:i/>
                <w:sz w:val="18"/>
                <w:szCs w:val="18"/>
              </w:rPr>
              <w:t>vs</w:t>
            </w:r>
            <w:r w:rsidRPr="00044FF3">
              <w:rPr>
                <w:rFonts w:ascii="Book Antiqua" w:hAnsi="Book Antiqua"/>
                <w:sz w:val="18"/>
                <w:szCs w:val="18"/>
              </w:rPr>
              <w:t xml:space="preserve"> GVAX pancreas, cyclophosphamide</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90</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w:t>
            </w:r>
            <w:r w:rsidRPr="00044FF3">
              <w:rPr>
                <w:rFonts w:ascii="Book Antiqua" w:hAnsi="Book Antiqua"/>
                <w:sz w:val="18"/>
                <w:szCs w:val="18"/>
                <w:lang w:eastAsia="zh-CN"/>
              </w:rPr>
              <w:t xml:space="preserve"> </w:t>
            </w:r>
            <w:r w:rsidRPr="00044FF3">
              <w:rPr>
                <w:rFonts w:ascii="Book Antiqua" w:hAnsi="Book Antiqua"/>
                <w:sz w:val="18"/>
                <w:szCs w:val="18"/>
              </w:rPr>
              <w:t>1 prior CT regimen</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990"/>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NCT01423604</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Capecitabine, ruxolitinib </w:t>
            </w:r>
            <w:r w:rsidRPr="00044FF3">
              <w:rPr>
                <w:rFonts w:ascii="Book Antiqua" w:hAnsi="Book Antiqua"/>
                <w:i/>
                <w:sz w:val="18"/>
                <w:szCs w:val="18"/>
              </w:rPr>
              <w:t>vs</w:t>
            </w:r>
            <w:r w:rsidRPr="00044FF3">
              <w:rPr>
                <w:rFonts w:ascii="Book Antiqua" w:hAnsi="Book Antiqua"/>
                <w:sz w:val="18"/>
                <w:szCs w:val="18"/>
              </w:rPr>
              <w:t xml:space="preserve"> capecitabine, placebo</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138</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621"/>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NCT01658943</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Selumetinib, MK2206 </w:t>
            </w:r>
            <w:r w:rsidRPr="00044FF3">
              <w:rPr>
                <w:rFonts w:ascii="Book Antiqua" w:hAnsi="Book Antiqua"/>
                <w:i/>
                <w:sz w:val="18"/>
                <w:szCs w:val="18"/>
              </w:rPr>
              <w:t>vs</w:t>
            </w:r>
            <w:r w:rsidRPr="00044FF3">
              <w:rPr>
                <w:rFonts w:ascii="Book Antiqua" w:hAnsi="Book Antiqua"/>
                <w:sz w:val="18"/>
                <w:szCs w:val="18"/>
              </w:rPr>
              <w:t xml:space="preserve"> FOLFOX</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133</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 PFS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Recruiting</w:t>
            </w:r>
          </w:p>
        </w:tc>
      </w:tr>
      <w:tr w:rsidR="002E23EC" w:rsidRPr="00044FF3" w:rsidTr="00044FF3">
        <w:trPr>
          <w:trHeight w:val="990"/>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NCT01796782</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QYHJ granules </w:t>
            </w:r>
            <w:r w:rsidRPr="00044FF3">
              <w:rPr>
                <w:rFonts w:ascii="Book Antiqua" w:hAnsi="Book Antiqua"/>
                <w:i/>
                <w:sz w:val="18"/>
                <w:szCs w:val="18"/>
              </w:rPr>
              <w:t>vs</w:t>
            </w:r>
            <w:r w:rsidRPr="00044FF3">
              <w:rPr>
                <w:rFonts w:ascii="Book Antiqua" w:hAnsi="Book Antiqua"/>
                <w:sz w:val="18"/>
                <w:szCs w:val="18"/>
              </w:rPr>
              <w:t xml:space="preserve"> Capecitabine</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60</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Non-capecitabine containing CT</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711"/>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NCT01121848</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Capecitabine or 5-FU, leucovorin </w:t>
            </w:r>
            <w:r w:rsidRPr="00044FF3">
              <w:rPr>
                <w:rFonts w:ascii="Book Antiqua" w:hAnsi="Book Antiqua"/>
                <w:i/>
                <w:sz w:val="18"/>
                <w:szCs w:val="18"/>
              </w:rPr>
              <w:t>vs</w:t>
            </w:r>
            <w:r w:rsidRPr="00044FF3">
              <w:rPr>
                <w:rFonts w:ascii="Book Antiqua" w:hAnsi="Book Antiqua"/>
                <w:sz w:val="18"/>
                <w:szCs w:val="18"/>
              </w:rPr>
              <w:t xml:space="preserve"> XELOX or mFOLFOX-6</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128</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PFS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1008"/>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NCT01494506</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MM-398 </w:t>
            </w:r>
            <w:r w:rsidRPr="00044FF3">
              <w:rPr>
                <w:rFonts w:ascii="Book Antiqua" w:hAnsi="Book Antiqua"/>
                <w:i/>
                <w:sz w:val="18"/>
                <w:szCs w:val="18"/>
              </w:rPr>
              <w:t>vs</w:t>
            </w:r>
            <w:r w:rsidRPr="00044FF3">
              <w:rPr>
                <w:rFonts w:ascii="Book Antiqua" w:hAnsi="Book Antiqua"/>
                <w:sz w:val="18"/>
                <w:szCs w:val="18"/>
              </w:rPr>
              <w:t xml:space="preserve"> MM-398, 5-FU, leucovorin vs. 5-FU, leucovorin</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405</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Active, not recruiting</w:t>
            </w:r>
          </w:p>
        </w:tc>
      </w:tr>
      <w:tr w:rsidR="002E23EC" w:rsidRPr="00044FF3" w:rsidTr="00044FF3">
        <w:trPr>
          <w:trHeight w:val="576"/>
        </w:trPr>
        <w:tc>
          <w:tcPr>
            <w:tcW w:w="1728"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NCT01954992</w:t>
            </w:r>
          </w:p>
        </w:tc>
        <w:tc>
          <w:tcPr>
            <w:tcW w:w="117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III</w:t>
            </w:r>
          </w:p>
        </w:tc>
        <w:tc>
          <w:tcPr>
            <w:tcW w:w="23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Glufosfamide </w:t>
            </w:r>
            <w:r w:rsidRPr="00044FF3">
              <w:rPr>
                <w:rFonts w:ascii="Book Antiqua" w:hAnsi="Book Antiqua"/>
                <w:i/>
                <w:sz w:val="18"/>
                <w:szCs w:val="18"/>
              </w:rPr>
              <w:t>vs</w:t>
            </w:r>
            <w:r w:rsidRPr="00044FF3">
              <w:rPr>
                <w:rFonts w:ascii="Book Antiqua" w:hAnsi="Book Antiqua"/>
                <w:sz w:val="18"/>
                <w:szCs w:val="18"/>
              </w:rPr>
              <w:t xml:space="preserve"> 5-FU</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480</w:t>
            </w:r>
          </w:p>
        </w:tc>
        <w:tc>
          <w:tcPr>
            <w:tcW w:w="144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Gem-based</w:t>
            </w:r>
          </w:p>
        </w:tc>
        <w:tc>
          <w:tcPr>
            <w:tcW w:w="1332" w:type="dxa"/>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Recruiting</w:t>
            </w:r>
          </w:p>
        </w:tc>
      </w:tr>
      <w:tr w:rsidR="002E23EC" w:rsidRPr="00044FF3" w:rsidTr="00044FF3">
        <w:trPr>
          <w:trHeight w:val="1008"/>
        </w:trPr>
        <w:tc>
          <w:tcPr>
            <w:tcW w:w="1728"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NCT01956812</w:t>
            </w:r>
          </w:p>
        </w:tc>
        <w:tc>
          <w:tcPr>
            <w:tcW w:w="1170"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Phase III</w:t>
            </w:r>
          </w:p>
        </w:tc>
        <w:tc>
          <w:tcPr>
            <w:tcW w:w="2340"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 xml:space="preserve">Gemcitabine, IMMU-107 </w:t>
            </w:r>
            <w:r w:rsidRPr="00044FF3">
              <w:rPr>
                <w:rFonts w:ascii="Book Antiqua" w:hAnsi="Book Antiqua"/>
                <w:i/>
                <w:sz w:val="18"/>
                <w:szCs w:val="18"/>
              </w:rPr>
              <w:t>vs</w:t>
            </w:r>
            <w:r w:rsidRPr="00044FF3">
              <w:rPr>
                <w:rFonts w:ascii="Book Antiqua" w:hAnsi="Book Antiqua"/>
                <w:sz w:val="18"/>
                <w:szCs w:val="18"/>
              </w:rPr>
              <w:t xml:space="preserve"> Gemcitabine, placebo</w:t>
            </w:r>
          </w:p>
        </w:tc>
        <w:tc>
          <w:tcPr>
            <w:tcW w:w="1440"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440</w:t>
            </w:r>
          </w:p>
        </w:tc>
        <w:tc>
          <w:tcPr>
            <w:tcW w:w="1440"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OS</w:t>
            </w:r>
          </w:p>
        </w:tc>
        <w:tc>
          <w:tcPr>
            <w:tcW w:w="1620"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2 prior CT regimens, ≥</w:t>
            </w:r>
            <w:r w:rsidRPr="00044FF3">
              <w:rPr>
                <w:rFonts w:ascii="Book Antiqua" w:hAnsi="Book Antiqua"/>
                <w:sz w:val="18"/>
                <w:szCs w:val="18"/>
                <w:lang w:eastAsia="zh-CN"/>
              </w:rPr>
              <w:t xml:space="preserve"> </w:t>
            </w:r>
            <w:r w:rsidRPr="00044FF3">
              <w:rPr>
                <w:rFonts w:ascii="Book Antiqua" w:hAnsi="Book Antiqua"/>
                <w:sz w:val="18"/>
                <w:szCs w:val="18"/>
              </w:rPr>
              <w:t>1 Gem-based</w:t>
            </w:r>
          </w:p>
        </w:tc>
        <w:tc>
          <w:tcPr>
            <w:tcW w:w="1332" w:type="dxa"/>
            <w:tcBorders>
              <w:bottom w:val="single" w:sz="4" w:space="0" w:color="auto"/>
            </w:tcBorders>
            <w:vAlign w:val="center"/>
          </w:tcPr>
          <w:p w:rsidR="002E23EC" w:rsidRPr="00044FF3" w:rsidRDefault="002E23EC" w:rsidP="00044FF3">
            <w:pPr>
              <w:spacing w:after="0" w:line="360" w:lineRule="auto"/>
              <w:jc w:val="both"/>
              <w:rPr>
                <w:rFonts w:ascii="Book Antiqua" w:hAnsi="Book Antiqua"/>
                <w:sz w:val="18"/>
                <w:szCs w:val="18"/>
              </w:rPr>
            </w:pPr>
            <w:r w:rsidRPr="00044FF3">
              <w:rPr>
                <w:rFonts w:ascii="Book Antiqua" w:hAnsi="Book Antiqua"/>
                <w:sz w:val="18"/>
                <w:szCs w:val="18"/>
              </w:rPr>
              <w:t>Not yet open for recruitment</w:t>
            </w:r>
          </w:p>
        </w:tc>
      </w:tr>
    </w:tbl>
    <w:p w:rsidR="002E23EC" w:rsidRPr="0074751D" w:rsidRDefault="002E23EC" w:rsidP="0074751D">
      <w:pPr>
        <w:spacing w:after="0" w:line="360" w:lineRule="auto"/>
        <w:jc w:val="both"/>
        <w:rPr>
          <w:rFonts w:ascii="Book Antiqua" w:hAnsi="Book Antiqua"/>
          <w:sz w:val="24"/>
          <w:szCs w:val="24"/>
        </w:rPr>
      </w:pPr>
      <w:r w:rsidRPr="0074751D">
        <w:rPr>
          <w:rFonts w:ascii="Book Antiqua" w:hAnsi="Book Antiqua"/>
          <w:sz w:val="24"/>
          <w:szCs w:val="24"/>
        </w:rPr>
        <w:t xml:space="preserve">GVAX pancreas: </w:t>
      </w:r>
      <w:r>
        <w:rPr>
          <w:rFonts w:ascii="Book Antiqua" w:hAnsi="Book Antiqua"/>
          <w:sz w:val="24"/>
          <w:szCs w:val="24"/>
          <w:lang w:eastAsia="zh-CN"/>
        </w:rPr>
        <w:t>A</w:t>
      </w:r>
      <w:r w:rsidRPr="0074751D">
        <w:rPr>
          <w:rFonts w:ascii="Book Antiqua" w:hAnsi="Book Antiqua"/>
          <w:sz w:val="24"/>
          <w:szCs w:val="24"/>
        </w:rPr>
        <w:t>llogeneic pancreatic cancer cell vaccine, induces GM-CSF production</w:t>
      </w:r>
      <w:r>
        <w:rPr>
          <w:rFonts w:ascii="Book Antiqua" w:hAnsi="Book Antiqua"/>
          <w:sz w:val="24"/>
          <w:szCs w:val="24"/>
          <w:lang w:eastAsia="zh-CN"/>
        </w:rPr>
        <w:t>;</w:t>
      </w:r>
      <w:r w:rsidRPr="0074751D">
        <w:rPr>
          <w:rFonts w:ascii="Book Antiqua" w:hAnsi="Book Antiqua"/>
          <w:sz w:val="24"/>
          <w:szCs w:val="24"/>
        </w:rPr>
        <w:t xml:space="preserve"> CRS-207: </w:t>
      </w:r>
      <w:r>
        <w:rPr>
          <w:rFonts w:ascii="Book Antiqua" w:hAnsi="Book Antiqua"/>
          <w:sz w:val="24"/>
          <w:szCs w:val="24"/>
          <w:lang w:eastAsia="zh-CN"/>
        </w:rPr>
        <w:t>A</w:t>
      </w:r>
      <w:r w:rsidRPr="0074751D">
        <w:rPr>
          <w:rFonts w:ascii="Book Antiqua" w:hAnsi="Book Antiqua"/>
          <w:sz w:val="24"/>
          <w:szCs w:val="24"/>
        </w:rPr>
        <w:t xml:space="preserve">ttenuated </w:t>
      </w:r>
      <w:r>
        <w:rPr>
          <w:rFonts w:ascii="Book Antiqua" w:hAnsi="Book Antiqua"/>
          <w:sz w:val="24"/>
          <w:szCs w:val="24"/>
          <w:lang w:eastAsia="zh-CN"/>
        </w:rPr>
        <w:t>l</w:t>
      </w:r>
      <w:r w:rsidRPr="0074751D">
        <w:rPr>
          <w:rFonts w:ascii="Book Antiqua" w:hAnsi="Book Antiqua"/>
          <w:sz w:val="24"/>
          <w:szCs w:val="24"/>
        </w:rPr>
        <w:t>isteria monocytogenes vaccine, induces immune response to mesothelin</w:t>
      </w:r>
      <w:r>
        <w:rPr>
          <w:rFonts w:ascii="Book Antiqua" w:hAnsi="Book Antiqua"/>
          <w:sz w:val="24"/>
          <w:szCs w:val="24"/>
          <w:lang w:eastAsia="zh-CN"/>
        </w:rPr>
        <w:t>;</w:t>
      </w:r>
      <w:r w:rsidRPr="0074751D">
        <w:rPr>
          <w:rFonts w:ascii="Book Antiqua" w:hAnsi="Book Antiqua"/>
          <w:sz w:val="24"/>
          <w:szCs w:val="24"/>
        </w:rPr>
        <w:t xml:space="preserve"> MK2206: Akt inhibitor</w:t>
      </w:r>
      <w:r>
        <w:rPr>
          <w:rFonts w:ascii="Book Antiqua" w:hAnsi="Book Antiqua"/>
          <w:sz w:val="24"/>
          <w:szCs w:val="24"/>
          <w:lang w:eastAsia="zh-CN"/>
        </w:rPr>
        <w:t>;</w:t>
      </w:r>
      <w:r w:rsidRPr="0074751D">
        <w:rPr>
          <w:rFonts w:ascii="Book Antiqua" w:hAnsi="Book Antiqua"/>
          <w:sz w:val="24"/>
          <w:szCs w:val="24"/>
        </w:rPr>
        <w:t xml:space="preserve"> FOLFOX: 5-</w:t>
      </w:r>
      <w:r>
        <w:rPr>
          <w:rFonts w:ascii="Book Antiqua" w:hAnsi="Book Antiqua"/>
          <w:sz w:val="24"/>
          <w:szCs w:val="24"/>
          <w:lang w:eastAsia="zh-CN"/>
        </w:rPr>
        <w:t>F</w:t>
      </w:r>
      <w:r w:rsidRPr="0074751D">
        <w:rPr>
          <w:rFonts w:ascii="Book Antiqua" w:hAnsi="Book Antiqua"/>
          <w:sz w:val="24"/>
          <w:szCs w:val="24"/>
        </w:rPr>
        <w:t>luorouracil, leucovorin, oxaliplatin</w:t>
      </w:r>
      <w:r>
        <w:rPr>
          <w:rFonts w:ascii="Book Antiqua" w:hAnsi="Book Antiqua"/>
          <w:sz w:val="24"/>
          <w:szCs w:val="24"/>
          <w:lang w:eastAsia="zh-CN"/>
        </w:rPr>
        <w:t>;</w:t>
      </w:r>
      <w:r w:rsidRPr="0074751D">
        <w:rPr>
          <w:rFonts w:ascii="Book Antiqua" w:hAnsi="Book Antiqua"/>
          <w:sz w:val="24"/>
          <w:szCs w:val="24"/>
        </w:rPr>
        <w:t xml:space="preserve"> QYHJ: Qingyihuaji formulation</w:t>
      </w:r>
      <w:r>
        <w:rPr>
          <w:rFonts w:ascii="Book Antiqua" w:hAnsi="Book Antiqua"/>
          <w:sz w:val="24"/>
          <w:szCs w:val="24"/>
          <w:lang w:eastAsia="zh-CN"/>
        </w:rPr>
        <w:t>;</w:t>
      </w:r>
      <w:r w:rsidRPr="0074751D">
        <w:rPr>
          <w:rFonts w:ascii="Book Antiqua" w:hAnsi="Book Antiqua"/>
          <w:sz w:val="24"/>
          <w:szCs w:val="24"/>
        </w:rPr>
        <w:t xml:space="preserve"> 5-FU: 5-</w:t>
      </w:r>
      <w:r>
        <w:rPr>
          <w:rFonts w:ascii="Book Antiqua" w:hAnsi="Book Antiqua"/>
          <w:sz w:val="24"/>
          <w:szCs w:val="24"/>
          <w:lang w:eastAsia="zh-CN"/>
        </w:rPr>
        <w:t>F</w:t>
      </w:r>
      <w:r w:rsidRPr="0074751D">
        <w:rPr>
          <w:rFonts w:ascii="Book Antiqua" w:hAnsi="Book Antiqua"/>
          <w:sz w:val="24"/>
          <w:szCs w:val="24"/>
        </w:rPr>
        <w:t>luorouracil</w:t>
      </w:r>
      <w:r>
        <w:rPr>
          <w:rFonts w:ascii="Book Antiqua" w:hAnsi="Book Antiqua"/>
          <w:sz w:val="24"/>
          <w:szCs w:val="24"/>
          <w:lang w:eastAsia="zh-CN"/>
        </w:rPr>
        <w:t>;</w:t>
      </w:r>
      <w:r w:rsidRPr="0074751D">
        <w:rPr>
          <w:rFonts w:ascii="Book Antiqua" w:hAnsi="Book Antiqua"/>
          <w:sz w:val="24"/>
          <w:szCs w:val="24"/>
        </w:rPr>
        <w:t xml:space="preserve"> XELOX: </w:t>
      </w:r>
      <w:r>
        <w:rPr>
          <w:rFonts w:ascii="Book Antiqua" w:hAnsi="Book Antiqua"/>
          <w:sz w:val="24"/>
          <w:szCs w:val="24"/>
          <w:lang w:eastAsia="zh-CN"/>
        </w:rPr>
        <w:t>C</w:t>
      </w:r>
      <w:r w:rsidRPr="0074751D">
        <w:rPr>
          <w:rFonts w:ascii="Book Antiqua" w:hAnsi="Book Antiqua"/>
          <w:sz w:val="24"/>
          <w:szCs w:val="24"/>
        </w:rPr>
        <w:t>apecitabine, oxaliplatin</w:t>
      </w:r>
      <w:r>
        <w:rPr>
          <w:rFonts w:ascii="Book Antiqua" w:hAnsi="Book Antiqua"/>
          <w:sz w:val="24"/>
          <w:szCs w:val="24"/>
          <w:lang w:eastAsia="zh-CN"/>
        </w:rPr>
        <w:t>;</w:t>
      </w:r>
      <w:r w:rsidRPr="0074751D">
        <w:rPr>
          <w:rFonts w:ascii="Book Antiqua" w:hAnsi="Book Antiqua"/>
          <w:sz w:val="24"/>
          <w:szCs w:val="24"/>
        </w:rPr>
        <w:t xml:space="preserve"> mFOLFOX-6: </w:t>
      </w:r>
      <w:r>
        <w:rPr>
          <w:rFonts w:ascii="Book Antiqua" w:hAnsi="Book Antiqua"/>
          <w:sz w:val="24"/>
          <w:szCs w:val="24"/>
          <w:lang w:eastAsia="zh-CN"/>
        </w:rPr>
        <w:t>M</w:t>
      </w:r>
      <w:r w:rsidRPr="0074751D">
        <w:rPr>
          <w:rFonts w:ascii="Book Antiqua" w:hAnsi="Book Antiqua"/>
          <w:sz w:val="24"/>
          <w:szCs w:val="24"/>
        </w:rPr>
        <w:t>odified schedule 5-fluorouracil, leucovorin, oxaliplatin</w:t>
      </w:r>
      <w:r>
        <w:rPr>
          <w:rFonts w:ascii="Book Antiqua" w:hAnsi="Book Antiqua"/>
          <w:sz w:val="24"/>
          <w:szCs w:val="24"/>
          <w:lang w:eastAsia="zh-CN"/>
        </w:rPr>
        <w:t>;</w:t>
      </w:r>
      <w:r w:rsidRPr="0074751D">
        <w:rPr>
          <w:rFonts w:ascii="Book Antiqua" w:hAnsi="Book Antiqua"/>
          <w:sz w:val="24"/>
          <w:szCs w:val="24"/>
        </w:rPr>
        <w:t xml:space="preserve"> MM-398: </w:t>
      </w:r>
      <w:r>
        <w:rPr>
          <w:rFonts w:ascii="Book Antiqua" w:hAnsi="Book Antiqua"/>
          <w:sz w:val="24"/>
          <w:szCs w:val="24"/>
          <w:lang w:eastAsia="zh-CN"/>
        </w:rPr>
        <w:lastRenderedPageBreak/>
        <w:t>L</w:t>
      </w:r>
      <w:r w:rsidRPr="0074751D">
        <w:rPr>
          <w:rFonts w:ascii="Book Antiqua" w:hAnsi="Book Antiqua"/>
          <w:sz w:val="24"/>
          <w:szCs w:val="24"/>
        </w:rPr>
        <w:t>iposomal irinotecan</w:t>
      </w:r>
      <w:r>
        <w:rPr>
          <w:rFonts w:ascii="Book Antiqua" w:hAnsi="Book Antiqua"/>
          <w:sz w:val="24"/>
          <w:szCs w:val="24"/>
          <w:lang w:eastAsia="zh-CN"/>
        </w:rPr>
        <w:t>;</w:t>
      </w:r>
      <w:r w:rsidRPr="0074751D">
        <w:rPr>
          <w:rFonts w:ascii="Book Antiqua" w:hAnsi="Book Antiqua"/>
          <w:sz w:val="24"/>
          <w:szCs w:val="24"/>
        </w:rPr>
        <w:t xml:space="preserve"> IMMU-07: Yttrium-90 radiolabeled humanized monoclonal antibody against mucin1 (CD227)</w:t>
      </w:r>
      <w:r>
        <w:rPr>
          <w:rFonts w:ascii="Book Antiqua" w:hAnsi="Book Antiqua"/>
          <w:sz w:val="24"/>
          <w:szCs w:val="24"/>
          <w:lang w:eastAsia="zh-CN"/>
        </w:rPr>
        <w:t>;</w:t>
      </w:r>
      <w:r w:rsidRPr="0074751D">
        <w:rPr>
          <w:rFonts w:ascii="Book Antiqua" w:hAnsi="Book Antiqua"/>
          <w:sz w:val="24"/>
          <w:szCs w:val="24"/>
        </w:rPr>
        <w:t xml:space="preserve"> PFS: </w:t>
      </w:r>
      <w:r>
        <w:rPr>
          <w:rFonts w:ascii="Book Antiqua" w:hAnsi="Book Antiqua"/>
          <w:sz w:val="24"/>
          <w:szCs w:val="24"/>
          <w:lang w:eastAsia="zh-CN"/>
        </w:rPr>
        <w:t>P</w:t>
      </w:r>
      <w:r w:rsidRPr="0074751D">
        <w:rPr>
          <w:rFonts w:ascii="Book Antiqua" w:hAnsi="Book Antiqua"/>
          <w:sz w:val="24"/>
          <w:szCs w:val="24"/>
        </w:rPr>
        <w:t>rogression free survival</w:t>
      </w:r>
      <w:r>
        <w:rPr>
          <w:rFonts w:ascii="Book Antiqua" w:hAnsi="Book Antiqua"/>
          <w:sz w:val="24"/>
          <w:szCs w:val="24"/>
          <w:lang w:eastAsia="zh-CN"/>
        </w:rPr>
        <w:t>;</w:t>
      </w:r>
      <w:r w:rsidRPr="0074751D">
        <w:rPr>
          <w:rFonts w:ascii="Book Antiqua" w:hAnsi="Book Antiqua"/>
          <w:sz w:val="24"/>
          <w:szCs w:val="24"/>
        </w:rPr>
        <w:t xml:space="preserve"> OS: </w:t>
      </w:r>
      <w:r>
        <w:rPr>
          <w:rFonts w:ascii="Book Antiqua" w:hAnsi="Book Antiqua"/>
          <w:sz w:val="24"/>
          <w:szCs w:val="24"/>
          <w:lang w:eastAsia="zh-CN"/>
        </w:rPr>
        <w:t>O</w:t>
      </w:r>
      <w:r w:rsidRPr="0074751D">
        <w:rPr>
          <w:rFonts w:ascii="Book Antiqua" w:hAnsi="Book Antiqua"/>
          <w:sz w:val="24"/>
          <w:szCs w:val="24"/>
        </w:rPr>
        <w:t>verall survival</w:t>
      </w:r>
      <w:r>
        <w:rPr>
          <w:rFonts w:ascii="Book Antiqua" w:hAnsi="Book Antiqua"/>
          <w:sz w:val="24"/>
          <w:szCs w:val="24"/>
          <w:lang w:eastAsia="zh-CN"/>
        </w:rPr>
        <w:t>;</w:t>
      </w:r>
      <w:r w:rsidRPr="0074751D">
        <w:rPr>
          <w:rFonts w:ascii="Book Antiqua" w:hAnsi="Book Antiqua"/>
          <w:sz w:val="24"/>
          <w:szCs w:val="24"/>
        </w:rPr>
        <w:t xml:space="preserve"> CT: </w:t>
      </w:r>
      <w:r>
        <w:rPr>
          <w:rFonts w:ascii="Book Antiqua" w:hAnsi="Book Antiqua"/>
          <w:sz w:val="24"/>
          <w:szCs w:val="24"/>
          <w:lang w:eastAsia="zh-CN"/>
        </w:rPr>
        <w:t>C</w:t>
      </w:r>
      <w:r w:rsidRPr="0074751D">
        <w:rPr>
          <w:rFonts w:ascii="Book Antiqua" w:hAnsi="Book Antiqua"/>
          <w:sz w:val="24"/>
          <w:szCs w:val="24"/>
        </w:rPr>
        <w:t>hemotherapy</w:t>
      </w:r>
      <w:r>
        <w:rPr>
          <w:rFonts w:ascii="Book Antiqua" w:hAnsi="Book Antiqua"/>
          <w:sz w:val="24"/>
          <w:szCs w:val="24"/>
          <w:lang w:eastAsia="zh-CN"/>
        </w:rPr>
        <w:t>;</w:t>
      </w:r>
      <w:r w:rsidRPr="0074751D">
        <w:rPr>
          <w:rFonts w:ascii="Book Antiqua" w:hAnsi="Book Antiqua"/>
          <w:sz w:val="24"/>
          <w:szCs w:val="24"/>
        </w:rPr>
        <w:t xml:space="preserve"> Gem-based: </w:t>
      </w:r>
      <w:r>
        <w:rPr>
          <w:rFonts w:ascii="Book Antiqua" w:hAnsi="Book Antiqua"/>
          <w:sz w:val="24"/>
          <w:szCs w:val="24"/>
          <w:lang w:eastAsia="zh-CN"/>
        </w:rPr>
        <w:t>G</w:t>
      </w:r>
      <w:r w:rsidRPr="0074751D">
        <w:rPr>
          <w:rFonts w:ascii="Book Antiqua" w:hAnsi="Book Antiqua"/>
          <w:sz w:val="24"/>
          <w:szCs w:val="24"/>
        </w:rPr>
        <w:t>emcitabine-containing chemotherapy regimen.</w:t>
      </w:r>
    </w:p>
    <w:p w:rsidR="002E23EC" w:rsidRPr="00C51726" w:rsidRDefault="002E23EC" w:rsidP="00C51726">
      <w:pPr>
        <w:spacing w:after="0" w:line="360" w:lineRule="auto"/>
        <w:jc w:val="both"/>
        <w:rPr>
          <w:rFonts w:ascii="Book Antiqua" w:hAnsi="Book Antiqua"/>
          <w:b/>
          <w:sz w:val="24"/>
          <w:szCs w:val="24"/>
          <w:lang w:eastAsia="zh-CN"/>
        </w:rPr>
      </w:pPr>
    </w:p>
    <w:sectPr w:rsidR="002E23EC" w:rsidRPr="00C51726" w:rsidSect="004643EB">
      <w:footerReference w:type="default" r:id="rId7"/>
      <w:pgSz w:w="12240" w:h="15840"/>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F5" w:rsidRDefault="001063F5" w:rsidP="00141DF0">
      <w:pPr>
        <w:spacing w:after="0" w:line="240" w:lineRule="auto"/>
      </w:pPr>
      <w:r>
        <w:separator/>
      </w:r>
    </w:p>
  </w:endnote>
  <w:endnote w:type="continuationSeparator" w:id="0">
    <w:p w:rsidR="001063F5" w:rsidRDefault="001063F5" w:rsidP="001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EC" w:rsidRPr="001E732D" w:rsidRDefault="002E23EC">
    <w:pPr>
      <w:pStyle w:val="a5"/>
      <w:jc w:val="right"/>
      <w:rPr>
        <w:rFonts w:ascii="Book Antiqua" w:hAnsi="Book Antiqua"/>
        <w:sz w:val="24"/>
      </w:rPr>
    </w:pPr>
    <w:r w:rsidRPr="001E732D">
      <w:rPr>
        <w:rFonts w:ascii="Book Antiqua" w:hAnsi="Book Antiqua"/>
        <w:sz w:val="24"/>
      </w:rPr>
      <w:fldChar w:fldCharType="begin"/>
    </w:r>
    <w:r w:rsidRPr="001E732D">
      <w:rPr>
        <w:rFonts w:ascii="Book Antiqua" w:hAnsi="Book Antiqua"/>
        <w:sz w:val="24"/>
      </w:rPr>
      <w:instrText xml:space="preserve"> PAGE   \* MERGEFORMAT </w:instrText>
    </w:r>
    <w:r w:rsidRPr="001E732D">
      <w:rPr>
        <w:rFonts w:ascii="Book Antiqua" w:hAnsi="Book Antiqua"/>
        <w:sz w:val="24"/>
      </w:rPr>
      <w:fldChar w:fldCharType="separate"/>
    </w:r>
    <w:r w:rsidR="007E6F8D">
      <w:rPr>
        <w:rFonts w:ascii="Book Antiqua" w:hAnsi="Book Antiqua"/>
        <w:noProof/>
        <w:sz w:val="24"/>
      </w:rPr>
      <w:t>39</w:t>
    </w:r>
    <w:r w:rsidRPr="001E732D">
      <w:rPr>
        <w:rFonts w:ascii="Book Antiqua" w:hAnsi="Book Antiqua"/>
        <w:sz w:val="24"/>
      </w:rPr>
      <w:fldChar w:fldCharType="end"/>
    </w:r>
  </w:p>
  <w:p w:rsidR="002E23EC" w:rsidRDefault="002E23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F5" w:rsidRDefault="001063F5" w:rsidP="00141DF0">
      <w:pPr>
        <w:spacing w:after="0" w:line="240" w:lineRule="auto"/>
      </w:pPr>
      <w:r>
        <w:separator/>
      </w:r>
    </w:p>
  </w:footnote>
  <w:footnote w:type="continuationSeparator" w:id="0">
    <w:p w:rsidR="001063F5" w:rsidRDefault="001063F5" w:rsidP="0014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FC"/>
    <w:rsid w:val="00000595"/>
    <w:rsid w:val="0000117B"/>
    <w:rsid w:val="00001A8C"/>
    <w:rsid w:val="00001C7C"/>
    <w:rsid w:val="00002052"/>
    <w:rsid w:val="000033AF"/>
    <w:rsid w:val="000033BC"/>
    <w:rsid w:val="00003603"/>
    <w:rsid w:val="0000475B"/>
    <w:rsid w:val="00006F6B"/>
    <w:rsid w:val="00007214"/>
    <w:rsid w:val="0000761D"/>
    <w:rsid w:val="00014B40"/>
    <w:rsid w:val="00014D60"/>
    <w:rsid w:val="00017A6F"/>
    <w:rsid w:val="00017D1D"/>
    <w:rsid w:val="00021E94"/>
    <w:rsid w:val="00022598"/>
    <w:rsid w:val="00022C71"/>
    <w:rsid w:val="000232CB"/>
    <w:rsid w:val="000234DE"/>
    <w:rsid w:val="00023F60"/>
    <w:rsid w:val="00027060"/>
    <w:rsid w:val="0002766F"/>
    <w:rsid w:val="00027A17"/>
    <w:rsid w:val="00027D54"/>
    <w:rsid w:val="00027E3E"/>
    <w:rsid w:val="00030C90"/>
    <w:rsid w:val="00031183"/>
    <w:rsid w:val="0003153D"/>
    <w:rsid w:val="0003184F"/>
    <w:rsid w:val="00032376"/>
    <w:rsid w:val="00034251"/>
    <w:rsid w:val="00034D84"/>
    <w:rsid w:val="0003744F"/>
    <w:rsid w:val="00040287"/>
    <w:rsid w:val="0004043A"/>
    <w:rsid w:val="0004438C"/>
    <w:rsid w:val="0004470B"/>
    <w:rsid w:val="00044F92"/>
    <w:rsid w:val="00044FF3"/>
    <w:rsid w:val="00045270"/>
    <w:rsid w:val="000460C4"/>
    <w:rsid w:val="00046545"/>
    <w:rsid w:val="00046E00"/>
    <w:rsid w:val="0004779D"/>
    <w:rsid w:val="00047C33"/>
    <w:rsid w:val="00050874"/>
    <w:rsid w:val="00051A74"/>
    <w:rsid w:val="00052B06"/>
    <w:rsid w:val="000530C7"/>
    <w:rsid w:val="00053CD8"/>
    <w:rsid w:val="00054DE2"/>
    <w:rsid w:val="00055701"/>
    <w:rsid w:val="000559DB"/>
    <w:rsid w:val="00062801"/>
    <w:rsid w:val="000639EE"/>
    <w:rsid w:val="00063F56"/>
    <w:rsid w:val="0006423C"/>
    <w:rsid w:val="000646A3"/>
    <w:rsid w:val="00066A58"/>
    <w:rsid w:val="000707F1"/>
    <w:rsid w:val="00071274"/>
    <w:rsid w:val="000715CB"/>
    <w:rsid w:val="00073399"/>
    <w:rsid w:val="000733CE"/>
    <w:rsid w:val="000743AB"/>
    <w:rsid w:val="000746CA"/>
    <w:rsid w:val="000757DE"/>
    <w:rsid w:val="000763C5"/>
    <w:rsid w:val="00076ED2"/>
    <w:rsid w:val="000801B3"/>
    <w:rsid w:val="0008167D"/>
    <w:rsid w:val="00081B12"/>
    <w:rsid w:val="000822B9"/>
    <w:rsid w:val="00082BC3"/>
    <w:rsid w:val="00082DE9"/>
    <w:rsid w:val="00084033"/>
    <w:rsid w:val="0008437C"/>
    <w:rsid w:val="0008443A"/>
    <w:rsid w:val="0008471A"/>
    <w:rsid w:val="0008534F"/>
    <w:rsid w:val="00085B18"/>
    <w:rsid w:val="00085CEB"/>
    <w:rsid w:val="000866B0"/>
    <w:rsid w:val="00086A2E"/>
    <w:rsid w:val="000870C7"/>
    <w:rsid w:val="00087E4F"/>
    <w:rsid w:val="000901EA"/>
    <w:rsid w:val="00090C62"/>
    <w:rsid w:val="00091B42"/>
    <w:rsid w:val="000926F9"/>
    <w:rsid w:val="000941F0"/>
    <w:rsid w:val="000946B7"/>
    <w:rsid w:val="00095552"/>
    <w:rsid w:val="00096169"/>
    <w:rsid w:val="00096854"/>
    <w:rsid w:val="00097DB5"/>
    <w:rsid w:val="000A08CC"/>
    <w:rsid w:val="000A2627"/>
    <w:rsid w:val="000A2DD4"/>
    <w:rsid w:val="000A3EDA"/>
    <w:rsid w:val="000B0B5E"/>
    <w:rsid w:val="000B1F8E"/>
    <w:rsid w:val="000B4B33"/>
    <w:rsid w:val="000B4CE7"/>
    <w:rsid w:val="000B4F9A"/>
    <w:rsid w:val="000B5048"/>
    <w:rsid w:val="000B521B"/>
    <w:rsid w:val="000B5A8D"/>
    <w:rsid w:val="000B76DE"/>
    <w:rsid w:val="000B7DAA"/>
    <w:rsid w:val="000C1EAB"/>
    <w:rsid w:val="000C209F"/>
    <w:rsid w:val="000C399B"/>
    <w:rsid w:val="000C3DF4"/>
    <w:rsid w:val="000C3F8F"/>
    <w:rsid w:val="000C405F"/>
    <w:rsid w:val="000C5941"/>
    <w:rsid w:val="000D3957"/>
    <w:rsid w:val="000D40BC"/>
    <w:rsid w:val="000D4155"/>
    <w:rsid w:val="000D5395"/>
    <w:rsid w:val="000D797E"/>
    <w:rsid w:val="000D79C8"/>
    <w:rsid w:val="000D7C9D"/>
    <w:rsid w:val="000E1498"/>
    <w:rsid w:val="000E1E35"/>
    <w:rsid w:val="000E31B0"/>
    <w:rsid w:val="000E4594"/>
    <w:rsid w:val="000E54FB"/>
    <w:rsid w:val="000E59AA"/>
    <w:rsid w:val="000E672A"/>
    <w:rsid w:val="000E79B6"/>
    <w:rsid w:val="000F11A3"/>
    <w:rsid w:val="000F2021"/>
    <w:rsid w:val="000F3290"/>
    <w:rsid w:val="000F4B77"/>
    <w:rsid w:val="000F7256"/>
    <w:rsid w:val="000F788C"/>
    <w:rsid w:val="001004B1"/>
    <w:rsid w:val="00100839"/>
    <w:rsid w:val="00100B7F"/>
    <w:rsid w:val="00100CFE"/>
    <w:rsid w:val="0010187E"/>
    <w:rsid w:val="0010237D"/>
    <w:rsid w:val="00102A49"/>
    <w:rsid w:val="00103183"/>
    <w:rsid w:val="00103D9F"/>
    <w:rsid w:val="00105537"/>
    <w:rsid w:val="001063F5"/>
    <w:rsid w:val="001066D4"/>
    <w:rsid w:val="001069FB"/>
    <w:rsid w:val="00107B4A"/>
    <w:rsid w:val="001109EB"/>
    <w:rsid w:val="00111CAD"/>
    <w:rsid w:val="00112A22"/>
    <w:rsid w:val="00112D44"/>
    <w:rsid w:val="00112EAD"/>
    <w:rsid w:val="00112F91"/>
    <w:rsid w:val="00113E12"/>
    <w:rsid w:val="00113F8D"/>
    <w:rsid w:val="00115425"/>
    <w:rsid w:val="0012072E"/>
    <w:rsid w:val="00120C6C"/>
    <w:rsid w:val="00122616"/>
    <w:rsid w:val="00124203"/>
    <w:rsid w:val="001265CA"/>
    <w:rsid w:val="00126EF1"/>
    <w:rsid w:val="001316BE"/>
    <w:rsid w:val="001323A6"/>
    <w:rsid w:val="001335FB"/>
    <w:rsid w:val="00133DC6"/>
    <w:rsid w:val="00134DEA"/>
    <w:rsid w:val="00135FB4"/>
    <w:rsid w:val="001362A3"/>
    <w:rsid w:val="00136C8D"/>
    <w:rsid w:val="001400CD"/>
    <w:rsid w:val="00140B23"/>
    <w:rsid w:val="00141DF0"/>
    <w:rsid w:val="00144011"/>
    <w:rsid w:val="00145A06"/>
    <w:rsid w:val="00145B92"/>
    <w:rsid w:val="001505E3"/>
    <w:rsid w:val="00150C46"/>
    <w:rsid w:val="00151108"/>
    <w:rsid w:val="00151CEC"/>
    <w:rsid w:val="00151E3D"/>
    <w:rsid w:val="001539A2"/>
    <w:rsid w:val="00153AEB"/>
    <w:rsid w:val="0015409A"/>
    <w:rsid w:val="00154DC7"/>
    <w:rsid w:val="00156219"/>
    <w:rsid w:val="0016317F"/>
    <w:rsid w:val="00163755"/>
    <w:rsid w:val="00163CFA"/>
    <w:rsid w:val="001640F4"/>
    <w:rsid w:val="0016584C"/>
    <w:rsid w:val="00166B90"/>
    <w:rsid w:val="00172565"/>
    <w:rsid w:val="001725C2"/>
    <w:rsid w:val="001725EF"/>
    <w:rsid w:val="00173922"/>
    <w:rsid w:val="00175D3C"/>
    <w:rsid w:val="00176D53"/>
    <w:rsid w:val="00176FC7"/>
    <w:rsid w:val="00177B74"/>
    <w:rsid w:val="00177BDD"/>
    <w:rsid w:val="00180195"/>
    <w:rsid w:val="001806EE"/>
    <w:rsid w:val="0018292C"/>
    <w:rsid w:val="00182C9F"/>
    <w:rsid w:val="001837E5"/>
    <w:rsid w:val="00185799"/>
    <w:rsid w:val="00186778"/>
    <w:rsid w:val="00186DBD"/>
    <w:rsid w:val="0018751F"/>
    <w:rsid w:val="00187570"/>
    <w:rsid w:val="0019077E"/>
    <w:rsid w:val="00191272"/>
    <w:rsid w:val="00194547"/>
    <w:rsid w:val="00194B55"/>
    <w:rsid w:val="00194BE6"/>
    <w:rsid w:val="00195966"/>
    <w:rsid w:val="00197053"/>
    <w:rsid w:val="00197BCB"/>
    <w:rsid w:val="001A028B"/>
    <w:rsid w:val="001A15FB"/>
    <w:rsid w:val="001A184A"/>
    <w:rsid w:val="001A1A06"/>
    <w:rsid w:val="001A2D9C"/>
    <w:rsid w:val="001A5679"/>
    <w:rsid w:val="001A6A84"/>
    <w:rsid w:val="001A6B19"/>
    <w:rsid w:val="001B233D"/>
    <w:rsid w:val="001B24B8"/>
    <w:rsid w:val="001B498F"/>
    <w:rsid w:val="001B7068"/>
    <w:rsid w:val="001B7323"/>
    <w:rsid w:val="001C12D3"/>
    <w:rsid w:val="001C1386"/>
    <w:rsid w:val="001C2735"/>
    <w:rsid w:val="001C330B"/>
    <w:rsid w:val="001C4440"/>
    <w:rsid w:val="001C5DFC"/>
    <w:rsid w:val="001C64A0"/>
    <w:rsid w:val="001D0ED1"/>
    <w:rsid w:val="001D133D"/>
    <w:rsid w:val="001D1F32"/>
    <w:rsid w:val="001D2F5C"/>
    <w:rsid w:val="001D6DF3"/>
    <w:rsid w:val="001E10C2"/>
    <w:rsid w:val="001E285F"/>
    <w:rsid w:val="001E2B50"/>
    <w:rsid w:val="001E2D8F"/>
    <w:rsid w:val="001E3483"/>
    <w:rsid w:val="001E369F"/>
    <w:rsid w:val="001E4AA4"/>
    <w:rsid w:val="001E5FB3"/>
    <w:rsid w:val="001E732D"/>
    <w:rsid w:val="001E763A"/>
    <w:rsid w:val="001F074B"/>
    <w:rsid w:val="001F2744"/>
    <w:rsid w:val="001F2AC2"/>
    <w:rsid w:val="001F4A61"/>
    <w:rsid w:val="001F73AC"/>
    <w:rsid w:val="001F76FC"/>
    <w:rsid w:val="00200303"/>
    <w:rsid w:val="0020043D"/>
    <w:rsid w:val="00201FCA"/>
    <w:rsid w:val="002047CA"/>
    <w:rsid w:val="00206751"/>
    <w:rsid w:val="00207DFC"/>
    <w:rsid w:val="00207F9B"/>
    <w:rsid w:val="00210824"/>
    <w:rsid w:val="0021137C"/>
    <w:rsid w:val="0021187E"/>
    <w:rsid w:val="00212A43"/>
    <w:rsid w:val="0021396E"/>
    <w:rsid w:val="00214578"/>
    <w:rsid w:val="00214728"/>
    <w:rsid w:val="00215285"/>
    <w:rsid w:val="00215CBF"/>
    <w:rsid w:val="00215F01"/>
    <w:rsid w:val="00217029"/>
    <w:rsid w:val="0021761F"/>
    <w:rsid w:val="00217928"/>
    <w:rsid w:val="00217FF7"/>
    <w:rsid w:val="002266FA"/>
    <w:rsid w:val="00226F62"/>
    <w:rsid w:val="00230682"/>
    <w:rsid w:val="00231EA1"/>
    <w:rsid w:val="00232BCF"/>
    <w:rsid w:val="00236874"/>
    <w:rsid w:val="00236970"/>
    <w:rsid w:val="00237091"/>
    <w:rsid w:val="0024001B"/>
    <w:rsid w:val="00240885"/>
    <w:rsid w:val="00240EC1"/>
    <w:rsid w:val="00241D0C"/>
    <w:rsid w:val="002421F2"/>
    <w:rsid w:val="00243B8A"/>
    <w:rsid w:val="00244723"/>
    <w:rsid w:val="002448AF"/>
    <w:rsid w:val="00244A3F"/>
    <w:rsid w:val="00246E53"/>
    <w:rsid w:val="0024757B"/>
    <w:rsid w:val="00247F59"/>
    <w:rsid w:val="002505F3"/>
    <w:rsid w:val="00251C5F"/>
    <w:rsid w:val="00251C78"/>
    <w:rsid w:val="002528FE"/>
    <w:rsid w:val="00252CCF"/>
    <w:rsid w:val="00253318"/>
    <w:rsid w:val="002533D8"/>
    <w:rsid w:val="002549B0"/>
    <w:rsid w:val="00255CA7"/>
    <w:rsid w:val="00255DDE"/>
    <w:rsid w:val="00256641"/>
    <w:rsid w:val="0025703A"/>
    <w:rsid w:val="00257F4A"/>
    <w:rsid w:val="0026271B"/>
    <w:rsid w:val="0026565F"/>
    <w:rsid w:val="00265B0C"/>
    <w:rsid w:val="00265CC0"/>
    <w:rsid w:val="00267263"/>
    <w:rsid w:val="002717CC"/>
    <w:rsid w:val="002736B7"/>
    <w:rsid w:val="002745A5"/>
    <w:rsid w:val="002748BA"/>
    <w:rsid w:val="00275457"/>
    <w:rsid w:val="00275783"/>
    <w:rsid w:val="00276133"/>
    <w:rsid w:val="002776C3"/>
    <w:rsid w:val="00277BB2"/>
    <w:rsid w:val="00282009"/>
    <w:rsid w:val="00282C55"/>
    <w:rsid w:val="00282F7D"/>
    <w:rsid w:val="00283187"/>
    <w:rsid w:val="0028394A"/>
    <w:rsid w:val="00285EC0"/>
    <w:rsid w:val="00286B63"/>
    <w:rsid w:val="00286D90"/>
    <w:rsid w:val="00287584"/>
    <w:rsid w:val="002877DA"/>
    <w:rsid w:val="00290284"/>
    <w:rsid w:val="00290406"/>
    <w:rsid w:val="00290D19"/>
    <w:rsid w:val="00291383"/>
    <w:rsid w:val="00292ABF"/>
    <w:rsid w:val="00293930"/>
    <w:rsid w:val="002953F9"/>
    <w:rsid w:val="002A0198"/>
    <w:rsid w:val="002A0688"/>
    <w:rsid w:val="002A1184"/>
    <w:rsid w:val="002A1666"/>
    <w:rsid w:val="002A1FB0"/>
    <w:rsid w:val="002A207D"/>
    <w:rsid w:val="002A3FBF"/>
    <w:rsid w:val="002A45ED"/>
    <w:rsid w:val="002A5453"/>
    <w:rsid w:val="002A6593"/>
    <w:rsid w:val="002A66BE"/>
    <w:rsid w:val="002A676E"/>
    <w:rsid w:val="002A78A3"/>
    <w:rsid w:val="002B01FB"/>
    <w:rsid w:val="002B07CE"/>
    <w:rsid w:val="002B115C"/>
    <w:rsid w:val="002B1DBF"/>
    <w:rsid w:val="002B1DDF"/>
    <w:rsid w:val="002B209A"/>
    <w:rsid w:val="002B245C"/>
    <w:rsid w:val="002B6498"/>
    <w:rsid w:val="002C0AAD"/>
    <w:rsid w:val="002C0C1E"/>
    <w:rsid w:val="002C137A"/>
    <w:rsid w:val="002C2113"/>
    <w:rsid w:val="002C2151"/>
    <w:rsid w:val="002C26AE"/>
    <w:rsid w:val="002C334A"/>
    <w:rsid w:val="002C50CE"/>
    <w:rsid w:val="002C5E55"/>
    <w:rsid w:val="002C744F"/>
    <w:rsid w:val="002C7ABA"/>
    <w:rsid w:val="002D07EE"/>
    <w:rsid w:val="002D2E87"/>
    <w:rsid w:val="002D34EA"/>
    <w:rsid w:val="002D3582"/>
    <w:rsid w:val="002D4488"/>
    <w:rsid w:val="002D46D9"/>
    <w:rsid w:val="002D6459"/>
    <w:rsid w:val="002D76BA"/>
    <w:rsid w:val="002E1128"/>
    <w:rsid w:val="002E12BC"/>
    <w:rsid w:val="002E23EC"/>
    <w:rsid w:val="002E2626"/>
    <w:rsid w:val="002E2AFB"/>
    <w:rsid w:val="002E376C"/>
    <w:rsid w:val="002E3FD7"/>
    <w:rsid w:val="002E4042"/>
    <w:rsid w:val="002E49DE"/>
    <w:rsid w:val="002E4C0C"/>
    <w:rsid w:val="002E76DC"/>
    <w:rsid w:val="002F1398"/>
    <w:rsid w:val="002F153B"/>
    <w:rsid w:val="002F2590"/>
    <w:rsid w:val="002F445D"/>
    <w:rsid w:val="002F457D"/>
    <w:rsid w:val="002F6C74"/>
    <w:rsid w:val="00301438"/>
    <w:rsid w:val="00301833"/>
    <w:rsid w:val="00302437"/>
    <w:rsid w:val="00302CE4"/>
    <w:rsid w:val="003032E7"/>
    <w:rsid w:val="00303A37"/>
    <w:rsid w:val="00303CF8"/>
    <w:rsid w:val="00305276"/>
    <w:rsid w:val="00305BF4"/>
    <w:rsid w:val="00307046"/>
    <w:rsid w:val="003072A9"/>
    <w:rsid w:val="00310D15"/>
    <w:rsid w:val="0031215B"/>
    <w:rsid w:val="00317960"/>
    <w:rsid w:val="00321AA2"/>
    <w:rsid w:val="00322703"/>
    <w:rsid w:val="003234C9"/>
    <w:rsid w:val="00324675"/>
    <w:rsid w:val="00324744"/>
    <w:rsid w:val="00324DBC"/>
    <w:rsid w:val="00325588"/>
    <w:rsid w:val="00325982"/>
    <w:rsid w:val="00325FC8"/>
    <w:rsid w:val="00326DA0"/>
    <w:rsid w:val="00327210"/>
    <w:rsid w:val="00330423"/>
    <w:rsid w:val="003306D4"/>
    <w:rsid w:val="003328F1"/>
    <w:rsid w:val="003338B8"/>
    <w:rsid w:val="00335A36"/>
    <w:rsid w:val="00337360"/>
    <w:rsid w:val="00340DC0"/>
    <w:rsid w:val="003413D2"/>
    <w:rsid w:val="00343A34"/>
    <w:rsid w:val="00344F06"/>
    <w:rsid w:val="0034575C"/>
    <w:rsid w:val="00345866"/>
    <w:rsid w:val="00346666"/>
    <w:rsid w:val="00346750"/>
    <w:rsid w:val="003470D6"/>
    <w:rsid w:val="00347CE2"/>
    <w:rsid w:val="0035082C"/>
    <w:rsid w:val="00351ECE"/>
    <w:rsid w:val="0035388C"/>
    <w:rsid w:val="00353E5E"/>
    <w:rsid w:val="003540E5"/>
    <w:rsid w:val="00354310"/>
    <w:rsid w:val="0035584A"/>
    <w:rsid w:val="00356896"/>
    <w:rsid w:val="00356E76"/>
    <w:rsid w:val="003579E2"/>
    <w:rsid w:val="00357A22"/>
    <w:rsid w:val="00360922"/>
    <w:rsid w:val="0036202E"/>
    <w:rsid w:val="00362B44"/>
    <w:rsid w:val="00363786"/>
    <w:rsid w:val="00363A2A"/>
    <w:rsid w:val="00364B10"/>
    <w:rsid w:val="0036653B"/>
    <w:rsid w:val="003673D7"/>
    <w:rsid w:val="003706BC"/>
    <w:rsid w:val="003709A1"/>
    <w:rsid w:val="00370F5F"/>
    <w:rsid w:val="003714A3"/>
    <w:rsid w:val="00374B67"/>
    <w:rsid w:val="00376007"/>
    <w:rsid w:val="0037749D"/>
    <w:rsid w:val="00377C82"/>
    <w:rsid w:val="003802C3"/>
    <w:rsid w:val="0038185C"/>
    <w:rsid w:val="00382207"/>
    <w:rsid w:val="00382562"/>
    <w:rsid w:val="00382DC4"/>
    <w:rsid w:val="00383618"/>
    <w:rsid w:val="00383791"/>
    <w:rsid w:val="00383B88"/>
    <w:rsid w:val="00384169"/>
    <w:rsid w:val="00384E35"/>
    <w:rsid w:val="00385A84"/>
    <w:rsid w:val="00385CA9"/>
    <w:rsid w:val="00386604"/>
    <w:rsid w:val="0038711D"/>
    <w:rsid w:val="003873FE"/>
    <w:rsid w:val="00391228"/>
    <w:rsid w:val="00391DA9"/>
    <w:rsid w:val="003955FF"/>
    <w:rsid w:val="00396B3A"/>
    <w:rsid w:val="00396ECD"/>
    <w:rsid w:val="00397FB3"/>
    <w:rsid w:val="003A0A95"/>
    <w:rsid w:val="003A0EFC"/>
    <w:rsid w:val="003A12DB"/>
    <w:rsid w:val="003A2D6E"/>
    <w:rsid w:val="003A52B0"/>
    <w:rsid w:val="003A56D9"/>
    <w:rsid w:val="003A61E0"/>
    <w:rsid w:val="003A63E1"/>
    <w:rsid w:val="003A641E"/>
    <w:rsid w:val="003A66D8"/>
    <w:rsid w:val="003A6924"/>
    <w:rsid w:val="003A6D39"/>
    <w:rsid w:val="003A6E3A"/>
    <w:rsid w:val="003A7940"/>
    <w:rsid w:val="003B1117"/>
    <w:rsid w:val="003B116D"/>
    <w:rsid w:val="003B12CB"/>
    <w:rsid w:val="003B2F0D"/>
    <w:rsid w:val="003B55CC"/>
    <w:rsid w:val="003B5B0F"/>
    <w:rsid w:val="003B6B15"/>
    <w:rsid w:val="003C015F"/>
    <w:rsid w:val="003C1562"/>
    <w:rsid w:val="003C22A2"/>
    <w:rsid w:val="003C23A4"/>
    <w:rsid w:val="003C25FB"/>
    <w:rsid w:val="003C3E31"/>
    <w:rsid w:val="003C59F5"/>
    <w:rsid w:val="003C5FBA"/>
    <w:rsid w:val="003C7747"/>
    <w:rsid w:val="003C7EAC"/>
    <w:rsid w:val="003D0FA9"/>
    <w:rsid w:val="003D34EF"/>
    <w:rsid w:val="003D386B"/>
    <w:rsid w:val="003D3997"/>
    <w:rsid w:val="003D40C8"/>
    <w:rsid w:val="003D5D62"/>
    <w:rsid w:val="003D61DE"/>
    <w:rsid w:val="003E1A35"/>
    <w:rsid w:val="003E2B5C"/>
    <w:rsid w:val="003E4F20"/>
    <w:rsid w:val="003E4F4C"/>
    <w:rsid w:val="003E5B4F"/>
    <w:rsid w:val="003E753A"/>
    <w:rsid w:val="003F0345"/>
    <w:rsid w:val="003F079A"/>
    <w:rsid w:val="003F09AA"/>
    <w:rsid w:val="003F33D0"/>
    <w:rsid w:val="003F36A9"/>
    <w:rsid w:val="003F36E0"/>
    <w:rsid w:val="003F3E53"/>
    <w:rsid w:val="003F424A"/>
    <w:rsid w:val="003F6923"/>
    <w:rsid w:val="003F7210"/>
    <w:rsid w:val="004007C1"/>
    <w:rsid w:val="004019D9"/>
    <w:rsid w:val="00402B5E"/>
    <w:rsid w:val="0040778B"/>
    <w:rsid w:val="004077BD"/>
    <w:rsid w:val="00410B92"/>
    <w:rsid w:val="00410FE8"/>
    <w:rsid w:val="004112E5"/>
    <w:rsid w:val="0041216F"/>
    <w:rsid w:val="004125AB"/>
    <w:rsid w:val="0041267E"/>
    <w:rsid w:val="004129FA"/>
    <w:rsid w:val="00414916"/>
    <w:rsid w:val="00415603"/>
    <w:rsid w:val="00416793"/>
    <w:rsid w:val="00416964"/>
    <w:rsid w:val="00417504"/>
    <w:rsid w:val="004220CD"/>
    <w:rsid w:val="0042319A"/>
    <w:rsid w:val="0042328B"/>
    <w:rsid w:val="00424CE2"/>
    <w:rsid w:val="00425C53"/>
    <w:rsid w:val="0042646E"/>
    <w:rsid w:val="00426BD8"/>
    <w:rsid w:val="004311B3"/>
    <w:rsid w:val="00432F6A"/>
    <w:rsid w:val="004331B7"/>
    <w:rsid w:val="00434519"/>
    <w:rsid w:val="00436007"/>
    <w:rsid w:val="00436C6F"/>
    <w:rsid w:val="004372AE"/>
    <w:rsid w:val="00437D11"/>
    <w:rsid w:val="00440AC7"/>
    <w:rsid w:val="00441776"/>
    <w:rsid w:val="004419A2"/>
    <w:rsid w:val="00442E93"/>
    <w:rsid w:val="00444487"/>
    <w:rsid w:val="00445CCE"/>
    <w:rsid w:val="00451067"/>
    <w:rsid w:val="00452D48"/>
    <w:rsid w:val="00453AC3"/>
    <w:rsid w:val="00455294"/>
    <w:rsid w:val="0046019E"/>
    <w:rsid w:val="004609FD"/>
    <w:rsid w:val="00462133"/>
    <w:rsid w:val="004643EB"/>
    <w:rsid w:val="004657A2"/>
    <w:rsid w:val="00465B49"/>
    <w:rsid w:val="00470D8C"/>
    <w:rsid w:val="004735E2"/>
    <w:rsid w:val="004768AF"/>
    <w:rsid w:val="004771CB"/>
    <w:rsid w:val="004774FB"/>
    <w:rsid w:val="00481A99"/>
    <w:rsid w:val="00481BAD"/>
    <w:rsid w:val="0048230F"/>
    <w:rsid w:val="00483E6F"/>
    <w:rsid w:val="0048433B"/>
    <w:rsid w:val="00486B93"/>
    <w:rsid w:val="004904AC"/>
    <w:rsid w:val="004908F2"/>
    <w:rsid w:val="00490907"/>
    <w:rsid w:val="00492D1C"/>
    <w:rsid w:val="004931F8"/>
    <w:rsid w:val="00493B4A"/>
    <w:rsid w:val="00493F76"/>
    <w:rsid w:val="00495D23"/>
    <w:rsid w:val="004961A9"/>
    <w:rsid w:val="0049687C"/>
    <w:rsid w:val="004A4183"/>
    <w:rsid w:val="004A4420"/>
    <w:rsid w:val="004A49C1"/>
    <w:rsid w:val="004A6A53"/>
    <w:rsid w:val="004A6FB2"/>
    <w:rsid w:val="004A722E"/>
    <w:rsid w:val="004B0124"/>
    <w:rsid w:val="004B06B0"/>
    <w:rsid w:val="004B12A0"/>
    <w:rsid w:val="004B2539"/>
    <w:rsid w:val="004B30A5"/>
    <w:rsid w:val="004B32FB"/>
    <w:rsid w:val="004B463D"/>
    <w:rsid w:val="004B47AA"/>
    <w:rsid w:val="004B5182"/>
    <w:rsid w:val="004B6524"/>
    <w:rsid w:val="004B671B"/>
    <w:rsid w:val="004C0223"/>
    <w:rsid w:val="004C053B"/>
    <w:rsid w:val="004C0855"/>
    <w:rsid w:val="004C0F4A"/>
    <w:rsid w:val="004C11E0"/>
    <w:rsid w:val="004C159C"/>
    <w:rsid w:val="004C3AEE"/>
    <w:rsid w:val="004C4DE1"/>
    <w:rsid w:val="004C5F62"/>
    <w:rsid w:val="004C61AC"/>
    <w:rsid w:val="004C6D98"/>
    <w:rsid w:val="004C72EB"/>
    <w:rsid w:val="004C7CA7"/>
    <w:rsid w:val="004C7CDF"/>
    <w:rsid w:val="004D0395"/>
    <w:rsid w:val="004D0F48"/>
    <w:rsid w:val="004D1126"/>
    <w:rsid w:val="004D1A6B"/>
    <w:rsid w:val="004D3446"/>
    <w:rsid w:val="004D4657"/>
    <w:rsid w:val="004D7374"/>
    <w:rsid w:val="004D7565"/>
    <w:rsid w:val="004E00AD"/>
    <w:rsid w:val="004E0EBD"/>
    <w:rsid w:val="004E22B2"/>
    <w:rsid w:val="004E4E3C"/>
    <w:rsid w:val="004F0087"/>
    <w:rsid w:val="004F307B"/>
    <w:rsid w:val="004F3FE8"/>
    <w:rsid w:val="004F4CCD"/>
    <w:rsid w:val="004F5A40"/>
    <w:rsid w:val="004F5D2D"/>
    <w:rsid w:val="004F691A"/>
    <w:rsid w:val="005000B9"/>
    <w:rsid w:val="005001D0"/>
    <w:rsid w:val="0050195C"/>
    <w:rsid w:val="00502B74"/>
    <w:rsid w:val="005041E6"/>
    <w:rsid w:val="00504A1A"/>
    <w:rsid w:val="005102A7"/>
    <w:rsid w:val="0051259C"/>
    <w:rsid w:val="00514D5E"/>
    <w:rsid w:val="00515D9E"/>
    <w:rsid w:val="00516796"/>
    <w:rsid w:val="005170B4"/>
    <w:rsid w:val="00517402"/>
    <w:rsid w:val="0051743C"/>
    <w:rsid w:val="00521067"/>
    <w:rsid w:val="00521635"/>
    <w:rsid w:val="00522CB9"/>
    <w:rsid w:val="00523328"/>
    <w:rsid w:val="00523B18"/>
    <w:rsid w:val="00524066"/>
    <w:rsid w:val="00524A84"/>
    <w:rsid w:val="00525F09"/>
    <w:rsid w:val="00526760"/>
    <w:rsid w:val="00526A19"/>
    <w:rsid w:val="00526C9C"/>
    <w:rsid w:val="00527490"/>
    <w:rsid w:val="0053060E"/>
    <w:rsid w:val="00530C16"/>
    <w:rsid w:val="00531B4A"/>
    <w:rsid w:val="00532FCD"/>
    <w:rsid w:val="0053300A"/>
    <w:rsid w:val="005338D2"/>
    <w:rsid w:val="00534FB5"/>
    <w:rsid w:val="005403F7"/>
    <w:rsid w:val="00540EC5"/>
    <w:rsid w:val="00541459"/>
    <w:rsid w:val="00541663"/>
    <w:rsid w:val="00541A59"/>
    <w:rsid w:val="0054309C"/>
    <w:rsid w:val="0054348A"/>
    <w:rsid w:val="00546876"/>
    <w:rsid w:val="005503AF"/>
    <w:rsid w:val="00550767"/>
    <w:rsid w:val="005509BB"/>
    <w:rsid w:val="0055117A"/>
    <w:rsid w:val="00551873"/>
    <w:rsid w:val="00551F9B"/>
    <w:rsid w:val="00552315"/>
    <w:rsid w:val="005525E9"/>
    <w:rsid w:val="0055291E"/>
    <w:rsid w:val="00552F46"/>
    <w:rsid w:val="00552F5A"/>
    <w:rsid w:val="0055506D"/>
    <w:rsid w:val="00555F02"/>
    <w:rsid w:val="00556A3D"/>
    <w:rsid w:val="00557E9E"/>
    <w:rsid w:val="00557F9E"/>
    <w:rsid w:val="005608C9"/>
    <w:rsid w:val="00560F08"/>
    <w:rsid w:val="0056150D"/>
    <w:rsid w:val="005616E5"/>
    <w:rsid w:val="00564A59"/>
    <w:rsid w:val="0056506D"/>
    <w:rsid w:val="00566267"/>
    <w:rsid w:val="00566B21"/>
    <w:rsid w:val="005670A9"/>
    <w:rsid w:val="0056712A"/>
    <w:rsid w:val="00573719"/>
    <w:rsid w:val="00574284"/>
    <w:rsid w:val="005769E5"/>
    <w:rsid w:val="00576A2B"/>
    <w:rsid w:val="00576D8B"/>
    <w:rsid w:val="0058284F"/>
    <w:rsid w:val="00584AC7"/>
    <w:rsid w:val="00585ED1"/>
    <w:rsid w:val="005861DC"/>
    <w:rsid w:val="00587C57"/>
    <w:rsid w:val="00591ACE"/>
    <w:rsid w:val="00592021"/>
    <w:rsid w:val="0059207F"/>
    <w:rsid w:val="005923B9"/>
    <w:rsid w:val="005A04AD"/>
    <w:rsid w:val="005A094C"/>
    <w:rsid w:val="005A15EA"/>
    <w:rsid w:val="005A1A99"/>
    <w:rsid w:val="005A1C1B"/>
    <w:rsid w:val="005A2E7D"/>
    <w:rsid w:val="005A3032"/>
    <w:rsid w:val="005A31E2"/>
    <w:rsid w:val="005A4238"/>
    <w:rsid w:val="005A46B7"/>
    <w:rsid w:val="005A4C1F"/>
    <w:rsid w:val="005A556A"/>
    <w:rsid w:val="005A69C3"/>
    <w:rsid w:val="005B1AF9"/>
    <w:rsid w:val="005B23C1"/>
    <w:rsid w:val="005B2A31"/>
    <w:rsid w:val="005B35E3"/>
    <w:rsid w:val="005B3FE2"/>
    <w:rsid w:val="005B409E"/>
    <w:rsid w:val="005B4423"/>
    <w:rsid w:val="005B4DFB"/>
    <w:rsid w:val="005B4EF2"/>
    <w:rsid w:val="005B51F4"/>
    <w:rsid w:val="005B53AA"/>
    <w:rsid w:val="005B5D66"/>
    <w:rsid w:val="005B72BD"/>
    <w:rsid w:val="005C151D"/>
    <w:rsid w:val="005C30BB"/>
    <w:rsid w:val="005C3BD7"/>
    <w:rsid w:val="005C546D"/>
    <w:rsid w:val="005C6D8C"/>
    <w:rsid w:val="005C6EDD"/>
    <w:rsid w:val="005D0F8A"/>
    <w:rsid w:val="005D20E7"/>
    <w:rsid w:val="005D2D36"/>
    <w:rsid w:val="005D2DEA"/>
    <w:rsid w:val="005D3590"/>
    <w:rsid w:val="005D408C"/>
    <w:rsid w:val="005D49AE"/>
    <w:rsid w:val="005D6ACC"/>
    <w:rsid w:val="005D6B6B"/>
    <w:rsid w:val="005D7D14"/>
    <w:rsid w:val="005E2019"/>
    <w:rsid w:val="005E2CC2"/>
    <w:rsid w:val="005E3835"/>
    <w:rsid w:val="005E3983"/>
    <w:rsid w:val="005E4CA0"/>
    <w:rsid w:val="005E5160"/>
    <w:rsid w:val="005E5DA2"/>
    <w:rsid w:val="005E73CC"/>
    <w:rsid w:val="005F1A45"/>
    <w:rsid w:val="005F2524"/>
    <w:rsid w:val="005F3A49"/>
    <w:rsid w:val="005F5235"/>
    <w:rsid w:val="005F56F7"/>
    <w:rsid w:val="005F60CF"/>
    <w:rsid w:val="005F6348"/>
    <w:rsid w:val="005F7B54"/>
    <w:rsid w:val="005F7C10"/>
    <w:rsid w:val="00602477"/>
    <w:rsid w:val="006024A1"/>
    <w:rsid w:val="00602F34"/>
    <w:rsid w:val="00603D21"/>
    <w:rsid w:val="00604118"/>
    <w:rsid w:val="00606E55"/>
    <w:rsid w:val="0061079C"/>
    <w:rsid w:val="00610C1D"/>
    <w:rsid w:val="00610E94"/>
    <w:rsid w:val="00610ED4"/>
    <w:rsid w:val="00611A04"/>
    <w:rsid w:val="00612393"/>
    <w:rsid w:val="00612577"/>
    <w:rsid w:val="006126DA"/>
    <w:rsid w:val="00613CAD"/>
    <w:rsid w:val="0061437E"/>
    <w:rsid w:val="00615D8D"/>
    <w:rsid w:val="006174BC"/>
    <w:rsid w:val="00620683"/>
    <w:rsid w:val="00621AE8"/>
    <w:rsid w:val="006225C8"/>
    <w:rsid w:val="006234A5"/>
    <w:rsid w:val="00625909"/>
    <w:rsid w:val="006270F2"/>
    <w:rsid w:val="006300BE"/>
    <w:rsid w:val="00631387"/>
    <w:rsid w:val="00632F4C"/>
    <w:rsid w:val="00634621"/>
    <w:rsid w:val="0063508B"/>
    <w:rsid w:val="00635286"/>
    <w:rsid w:val="00635811"/>
    <w:rsid w:val="006365FB"/>
    <w:rsid w:val="00636657"/>
    <w:rsid w:val="00640983"/>
    <w:rsid w:val="006410BE"/>
    <w:rsid w:val="006422F3"/>
    <w:rsid w:val="00643487"/>
    <w:rsid w:val="00645414"/>
    <w:rsid w:val="006462D1"/>
    <w:rsid w:val="00646C8C"/>
    <w:rsid w:val="0065164E"/>
    <w:rsid w:val="006542E2"/>
    <w:rsid w:val="0065449C"/>
    <w:rsid w:val="006545B0"/>
    <w:rsid w:val="0065488B"/>
    <w:rsid w:val="00656E3F"/>
    <w:rsid w:val="006573AF"/>
    <w:rsid w:val="00660086"/>
    <w:rsid w:val="0066218F"/>
    <w:rsid w:val="006628DF"/>
    <w:rsid w:val="00663B5E"/>
    <w:rsid w:val="006644FB"/>
    <w:rsid w:val="0066459A"/>
    <w:rsid w:val="00667966"/>
    <w:rsid w:val="0067246E"/>
    <w:rsid w:val="00675FBA"/>
    <w:rsid w:val="00677839"/>
    <w:rsid w:val="0068020C"/>
    <w:rsid w:val="00682EE0"/>
    <w:rsid w:val="00683BC4"/>
    <w:rsid w:val="00684585"/>
    <w:rsid w:val="0068478A"/>
    <w:rsid w:val="0068479C"/>
    <w:rsid w:val="006853E6"/>
    <w:rsid w:val="00686A6F"/>
    <w:rsid w:val="00686EA0"/>
    <w:rsid w:val="006870A7"/>
    <w:rsid w:val="00687A71"/>
    <w:rsid w:val="00687E24"/>
    <w:rsid w:val="0069034F"/>
    <w:rsid w:val="00690426"/>
    <w:rsid w:val="00690590"/>
    <w:rsid w:val="00692FB3"/>
    <w:rsid w:val="00694B7E"/>
    <w:rsid w:val="00695532"/>
    <w:rsid w:val="0069613B"/>
    <w:rsid w:val="00696C5E"/>
    <w:rsid w:val="00697796"/>
    <w:rsid w:val="006A253C"/>
    <w:rsid w:val="006A2926"/>
    <w:rsid w:val="006A3CFB"/>
    <w:rsid w:val="006A3D41"/>
    <w:rsid w:val="006A3E84"/>
    <w:rsid w:val="006A4D12"/>
    <w:rsid w:val="006A6327"/>
    <w:rsid w:val="006A7467"/>
    <w:rsid w:val="006A748A"/>
    <w:rsid w:val="006A756F"/>
    <w:rsid w:val="006B17A6"/>
    <w:rsid w:val="006B1BC4"/>
    <w:rsid w:val="006B3248"/>
    <w:rsid w:val="006B4B33"/>
    <w:rsid w:val="006B6794"/>
    <w:rsid w:val="006B698C"/>
    <w:rsid w:val="006B6E58"/>
    <w:rsid w:val="006B7A83"/>
    <w:rsid w:val="006B7D65"/>
    <w:rsid w:val="006C04E4"/>
    <w:rsid w:val="006C1074"/>
    <w:rsid w:val="006C135E"/>
    <w:rsid w:val="006C305C"/>
    <w:rsid w:val="006C4C5D"/>
    <w:rsid w:val="006C4D1E"/>
    <w:rsid w:val="006C538A"/>
    <w:rsid w:val="006C5D31"/>
    <w:rsid w:val="006C6B31"/>
    <w:rsid w:val="006C6B53"/>
    <w:rsid w:val="006C6D95"/>
    <w:rsid w:val="006C7BFD"/>
    <w:rsid w:val="006D0184"/>
    <w:rsid w:val="006D0521"/>
    <w:rsid w:val="006D0E5B"/>
    <w:rsid w:val="006D22A1"/>
    <w:rsid w:val="006D4FFA"/>
    <w:rsid w:val="006D5E66"/>
    <w:rsid w:val="006D5E9C"/>
    <w:rsid w:val="006D60E3"/>
    <w:rsid w:val="006E0452"/>
    <w:rsid w:val="006E1294"/>
    <w:rsid w:val="006E1765"/>
    <w:rsid w:val="006E64AA"/>
    <w:rsid w:val="006E6922"/>
    <w:rsid w:val="006F1309"/>
    <w:rsid w:val="006F1600"/>
    <w:rsid w:val="006F4BC3"/>
    <w:rsid w:val="006F50CC"/>
    <w:rsid w:val="006F5C63"/>
    <w:rsid w:val="006F6F92"/>
    <w:rsid w:val="006F7CB8"/>
    <w:rsid w:val="0070032C"/>
    <w:rsid w:val="007008A2"/>
    <w:rsid w:val="00700983"/>
    <w:rsid w:val="00700A4B"/>
    <w:rsid w:val="00700E75"/>
    <w:rsid w:val="00700EFD"/>
    <w:rsid w:val="00701350"/>
    <w:rsid w:val="00701894"/>
    <w:rsid w:val="0070210F"/>
    <w:rsid w:val="00703B56"/>
    <w:rsid w:val="00704752"/>
    <w:rsid w:val="00704972"/>
    <w:rsid w:val="007055F9"/>
    <w:rsid w:val="0071019D"/>
    <w:rsid w:val="0071165B"/>
    <w:rsid w:val="007144DA"/>
    <w:rsid w:val="007146D1"/>
    <w:rsid w:val="00714B2F"/>
    <w:rsid w:val="00714BDE"/>
    <w:rsid w:val="007159CC"/>
    <w:rsid w:val="00715CDB"/>
    <w:rsid w:val="00717AD4"/>
    <w:rsid w:val="00717B32"/>
    <w:rsid w:val="00720E9E"/>
    <w:rsid w:val="00721B06"/>
    <w:rsid w:val="00721C86"/>
    <w:rsid w:val="00722B4C"/>
    <w:rsid w:val="00724CD0"/>
    <w:rsid w:val="007259A5"/>
    <w:rsid w:val="00725F03"/>
    <w:rsid w:val="00726121"/>
    <w:rsid w:val="00727E01"/>
    <w:rsid w:val="00730A3F"/>
    <w:rsid w:val="007327B8"/>
    <w:rsid w:val="00732889"/>
    <w:rsid w:val="007342A1"/>
    <w:rsid w:val="00736F71"/>
    <w:rsid w:val="0073789B"/>
    <w:rsid w:val="007409E7"/>
    <w:rsid w:val="00742B10"/>
    <w:rsid w:val="0074361A"/>
    <w:rsid w:val="00744940"/>
    <w:rsid w:val="0074647C"/>
    <w:rsid w:val="0074751D"/>
    <w:rsid w:val="00750526"/>
    <w:rsid w:val="00751A69"/>
    <w:rsid w:val="00751C31"/>
    <w:rsid w:val="00752C15"/>
    <w:rsid w:val="00752E7E"/>
    <w:rsid w:val="00752F59"/>
    <w:rsid w:val="00753FA2"/>
    <w:rsid w:val="00755ED4"/>
    <w:rsid w:val="00756517"/>
    <w:rsid w:val="007603B4"/>
    <w:rsid w:val="00760A07"/>
    <w:rsid w:val="00762168"/>
    <w:rsid w:val="0076227F"/>
    <w:rsid w:val="0076534C"/>
    <w:rsid w:val="0076591B"/>
    <w:rsid w:val="00765B6B"/>
    <w:rsid w:val="007670E3"/>
    <w:rsid w:val="007672BE"/>
    <w:rsid w:val="00767F2D"/>
    <w:rsid w:val="00770D3F"/>
    <w:rsid w:val="00771776"/>
    <w:rsid w:val="00772DA5"/>
    <w:rsid w:val="00772EBE"/>
    <w:rsid w:val="0077431E"/>
    <w:rsid w:val="0077534E"/>
    <w:rsid w:val="00776C27"/>
    <w:rsid w:val="007771DD"/>
    <w:rsid w:val="007776FC"/>
    <w:rsid w:val="007801B1"/>
    <w:rsid w:val="00780266"/>
    <w:rsid w:val="0078189A"/>
    <w:rsid w:val="00781C50"/>
    <w:rsid w:val="00782276"/>
    <w:rsid w:val="00782DA1"/>
    <w:rsid w:val="00783ADA"/>
    <w:rsid w:val="00783DC8"/>
    <w:rsid w:val="00784A51"/>
    <w:rsid w:val="00785B36"/>
    <w:rsid w:val="00786ACB"/>
    <w:rsid w:val="00787A97"/>
    <w:rsid w:val="00787B51"/>
    <w:rsid w:val="00787D08"/>
    <w:rsid w:val="00790802"/>
    <w:rsid w:val="0079257A"/>
    <w:rsid w:val="007928F2"/>
    <w:rsid w:val="007947C3"/>
    <w:rsid w:val="007949A5"/>
    <w:rsid w:val="007952ED"/>
    <w:rsid w:val="00795A2C"/>
    <w:rsid w:val="00797A12"/>
    <w:rsid w:val="00797A1E"/>
    <w:rsid w:val="007A0063"/>
    <w:rsid w:val="007A0424"/>
    <w:rsid w:val="007A2206"/>
    <w:rsid w:val="007A3892"/>
    <w:rsid w:val="007A7D39"/>
    <w:rsid w:val="007B0BC0"/>
    <w:rsid w:val="007B1A2B"/>
    <w:rsid w:val="007B1D62"/>
    <w:rsid w:val="007B35F6"/>
    <w:rsid w:val="007B3A5A"/>
    <w:rsid w:val="007B53AA"/>
    <w:rsid w:val="007B5DB6"/>
    <w:rsid w:val="007B668F"/>
    <w:rsid w:val="007B677A"/>
    <w:rsid w:val="007B6DFA"/>
    <w:rsid w:val="007B77AD"/>
    <w:rsid w:val="007C106D"/>
    <w:rsid w:val="007C12CE"/>
    <w:rsid w:val="007C4465"/>
    <w:rsid w:val="007C503D"/>
    <w:rsid w:val="007C5484"/>
    <w:rsid w:val="007C61EA"/>
    <w:rsid w:val="007D00CC"/>
    <w:rsid w:val="007D2336"/>
    <w:rsid w:val="007D45C6"/>
    <w:rsid w:val="007D5095"/>
    <w:rsid w:val="007D5B27"/>
    <w:rsid w:val="007D7305"/>
    <w:rsid w:val="007E15D8"/>
    <w:rsid w:val="007E1BA1"/>
    <w:rsid w:val="007E1F2A"/>
    <w:rsid w:val="007E50A0"/>
    <w:rsid w:val="007E5F9A"/>
    <w:rsid w:val="007E6F8D"/>
    <w:rsid w:val="007E7384"/>
    <w:rsid w:val="007E7E00"/>
    <w:rsid w:val="007F0A69"/>
    <w:rsid w:val="007F13BD"/>
    <w:rsid w:val="007F1866"/>
    <w:rsid w:val="007F37F2"/>
    <w:rsid w:val="007F38DF"/>
    <w:rsid w:val="007F5033"/>
    <w:rsid w:val="007F60E5"/>
    <w:rsid w:val="007F67BA"/>
    <w:rsid w:val="007F7C48"/>
    <w:rsid w:val="008006FC"/>
    <w:rsid w:val="00801D14"/>
    <w:rsid w:val="00801F97"/>
    <w:rsid w:val="00802431"/>
    <w:rsid w:val="00802466"/>
    <w:rsid w:val="008039A1"/>
    <w:rsid w:val="0080488E"/>
    <w:rsid w:val="008050C3"/>
    <w:rsid w:val="008058E2"/>
    <w:rsid w:val="008061B2"/>
    <w:rsid w:val="008071BE"/>
    <w:rsid w:val="00807AE1"/>
    <w:rsid w:val="00807C04"/>
    <w:rsid w:val="008122F7"/>
    <w:rsid w:val="0081411A"/>
    <w:rsid w:val="0081538E"/>
    <w:rsid w:val="00815C77"/>
    <w:rsid w:val="00816A8D"/>
    <w:rsid w:val="00817963"/>
    <w:rsid w:val="00820AF1"/>
    <w:rsid w:val="0082139E"/>
    <w:rsid w:val="0082214C"/>
    <w:rsid w:val="008221CA"/>
    <w:rsid w:val="0082223C"/>
    <w:rsid w:val="00823221"/>
    <w:rsid w:val="00823643"/>
    <w:rsid w:val="00824BE9"/>
    <w:rsid w:val="00826A69"/>
    <w:rsid w:val="00826D12"/>
    <w:rsid w:val="008271CA"/>
    <w:rsid w:val="008306CB"/>
    <w:rsid w:val="00831B13"/>
    <w:rsid w:val="0083220F"/>
    <w:rsid w:val="008425C8"/>
    <w:rsid w:val="008426A9"/>
    <w:rsid w:val="00842E9E"/>
    <w:rsid w:val="00842F16"/>
    <w:rsid w:val="0084423E"/>
    <w:rsid w:val="00845322"/>
    <w:rsid w:val="0084594B"/>
    <w:rsid w:val="00847AEA"/>
    <w:rsid w:val="008500E6"/>
    <w:rsid w:val="00851C90"/>
    <w:rsid w:val="00853ABF"/>
    <w:rsid w:val="00853DA1"/>
    <w:rsid w:val="008543D0"/>
    <w:rsid w:val="008555F5"/>
    <w:rsid w:val="00855DF1"/>
    <w:rsid w:val="00857812"/>
    <w:rsid w:val="0086053E"/>
    <w:rsid w:val="00860852"/>
    <w:rsid w:val="00860B06"/>
    <w:rsid w:val="00860CBF"/>
    <w:rsid w:val="00860CD3"/>
    <w:rsid w:val="008626C2"/>
    <w:rsid w:val="00862EA7"/>
    <w:rsid w:val="008630AF"/>
    <w:rsid w:val="008632A6"/>
    <w:rsid w:val="00865DAC"/>
    <w:rsid w:val="00866065"/>
    <w:rsid w:val="008672E5"/>
    <w:rsid w:val="008675C5"/>
    <w:rsid w:val="008676B2"/>
    <w:rsid w:val="00871492"/>
    <w:rsid w:val="00871711"/>
    <w:rsid w:val="00873873"/>
    <w:rsid w:val="00873B83"/>
    <w:rsid w:val="00875C09"/>
    <w:rsid w:val="008763C2"/>
    <w:rsid w:val="00876C2C"/>
    <w:rsid w:val="00876FEA"/>
    <w:rsid w:val="00877590"/>
    <w:rsid w:val="00877D5E"/>
    <w:rsid w:val="00881638"/>
    <w:rsid w:val="0088251D"/>
    <w:rsid w:val="00882D83"/>
    <w:rsid w:val="00883991"/>
    <w:rsid w:val="00883BDA"/>
    <w:rsid w:val="008852DF"/>
    <w:rsid w:val="00890132"/>
    <w:rsid w:val="008908D1"/>
    <w:rsid w:val="00890B58"/>
    <w:rsid w:val="008911B1"/>
    <w:rsid w:val="008929E5"/>
    <w:rsid w:val="00893A96"/>
    <w:rsid w:val="00895DD7"/>
    <w:rsid w:val="00895F7A"/>
    <w:rsid w:val="008968AA"/>
    <w:rsid w:val="00897BDE"/>
    <w:rsid w:val="00897BE0"/>
    <w:rsid w:val="008A04DC"/>
    <w:rsid w:val="008A0708"/>
    <w:rsid w:val="008A098F"/>
    <w:rsid w:val="008A220C"/>
    <w:rsid w:val="008A25D7"/>
    <w:rsid w:val="008A2F30"/>
    <w:rsid w:val="008A376A"/>
    <w:rsid w:val="008A6426"/>
    <w:rsid w:val="008B17F7"/>
    <w:rsid w:val="008B30A3"/>
    <w:rsid w:val="008B3F2C"/>
    <w:rsid w:val="008B4616"/>
    <w:rsid w:val="008B4C78"/>
    <w:rsid w:val="008B60FB"/>
    <w:rsid w:val="008B6706"/>
    <w:rsid w:val="008B719B"/>
    <w:rsid w:val="008C1D8B"/>
    <w:rsid w:val="008C5A3B"/>
    <w:rsid w:val="008D00E4"/>
    <w:rsid w:val="008D27B5"/>
    <w:rsid w:val="008D3304"/>
    <w:rsid w:val="008D3E5D"/>
    <w:rsid w:val="008E000F"/>
    <w:rsid w:val="008E0318"/>
    <w:rsid w:val="008E0E4F"/>
    <w:rsid w:val="008E2D99"/>
    <w:rsid w:val="008E374C"/>
    <w:rsid w:val="008E3B8D"/>
    <w:rsid w:val="008E5146"/>
    <w:rsid w:val="008E55FB"/>
    <w:rsid w:val="008E7454"/>
    <w:rsid w:val="008E7B81"/>
    <w:rsid w:val="008E7F3A"/>
    <w:rsid w:val="008F006E"/>
    <w:rsid w:val="008F2C28"/>
    <w:rsid w:val="008F5DA6"/>
    <w:rsid w:val="008F70B5"/>
    <w:rsid w:val="008F7485"/>
    <w:rsid w:val="00900A81"/>
    <w:rsid w:val="00901803"/>
    <w:rsid w:val="00901DF2"/>
    <w:rsid w:val="00902352"/>
    <w:rsid w:val="0090275F"/>
    <w:rsid w:val="00904769"/>
    <w:rsid w:val="00904E04"/>
    <w:rsid w:val="00906171"/>
    <w:rsid w:val="00906BFC"/>
    <w:rsid w:val="00907034"/>
    <w:rsid w:val="00907CEC"/>
    <w:rsid w:val="009106D9"/>
    <w:rsid w:val="00911436"/>
    <w:rsid w:val="00911CFF"/>
    <w:rsid w:val="00912F34"/>
    <w:rsid w:val="00914392"/>
    <w:rsid w:val="00914DB2"/>
    <w:rsid w:val="00915DBB"/>
    <w:rsid w:val="00915F3F"/>
    <w:rsid w:val="00916648"/>
    <w:rsid w:val="00917B78"/>
    <w:rsid w:val="00923067"/>
    <w:rsid w:val="0092314F"/>
    <w:rsid w:val="00923A39"/>
    <w:rsid w:val="00924328"/>
    <w:rsid w:val="009243BB"/>
    <w:rsid w:val="00925AE2"/>
    <w:rsid w:val="00925F2E"/>
    <w:rsid w:val="009263FF"/>
    <w:rsid w:val="009274D8"/>
    <w:rsid w:val="00927A35"/>
    <w:rsid w:val="009300E2"/>
    <w:rsid w:val="009311AB"/>
    <w:rsid w:val="00932DB7"/>
    <w:rsid w:val="00933810"/>
    <w:rsid w:val="0093695B"/>
    <w:rsid w:val="00937B2C"/>
    <w:rsid w:val="0094037E"/>
    <w:rsid w:val="00940576"/>
    <w:rsid w:val="0094064B"/>
    <w:rsid w:val="00942941"/>
    <w:rsid w:val="00943416"/>
    <w:rsid w:val="009446DF"/>
    <w:rsid w:val="009448ED"/>
    <w:rsid w:val="00944C40"/>
    <w:rsid w:val="00947911"/>
    <w:rsid w:val="00947FA2"/>
    <w:rsid w:val="00950C38"/>
    <w:rsid w:val="00951536"/>
    <w:rsid w:val="009529D4"/>
    <w:rsid w:val="00952D89"/>
    <w:rsid w:val="00954714"/>
    <w:rsid w:val="00954E52"/>
    <w:rsid w:val="00956966"/>
    <w:rsid w:val="0095740E"/>
    <w:rsid w:val="00957A6A"/>
    <w:rsid w:val="00960CEB"/>
    <w:rsid w:val="0096234B"/>
    <w:rsid w:val="0096490F"/>
    <w:rsid w:val="00965F84"/>
    <w:rsid w:val="009663AD"/>
    <w:rsid w:val="0096776C"/>
    <w:rsid w:val="0097030D"/>
    <w:rsid w:val="0097038C"/>
    <w:rsid w:val="00972671"/>
    <w:rsid w:val="00972AA4"/>
    <w:rsid w:val="00974424"/>
    <w:rsid w:val="00976D13"/>
    <w:rsid w:val="0097742D"/>
    <w:rsid w:val="00980343"/>
    <w:rsid w:val="00982105"/>
    <w:rsid w:val="009823D5"/>
    <w:rsid w:val="00982D27"/>
    <w:rsid w:val="00982EF4"/>
    <w:rsid w:val="009832CB"/>
    <w:rsid w:val="0098368B"/>
    <w:rsid w:val="009841C4"/>
    <w:rsid w:val="0098605E"/>
    <w:rsid w:val="00986A52"/>
    <w:rsid w:val="009876E4"/>
    <w:rsid w:val="009877EA"/>
    <w:rsid w:val="00987915"/>
    <w:rsid w:val="009879C2"/>
    <w:rsid w:val="00987C21"/>
    <w:rsid w:val="00990A0E"/>
    <w:rsid w:val="009918A8"/>
    <w:rsid w:val="0099248E"/>
    <w:rsid w:val="00994A83"/>
    <w:rsid w:val="00994FBB"/>
    <w:rsid w:val="00996985"/>
    <w:rsid w:val="00996ECC"/>
    <w:rsid w:val="009A1C03"/>
    <w:rsid w:val="009A3CBA"/>
    <w:rsid w:val="009A3E30"/>
    <w:rsid w:val="009A49C3"/>
    <w:rsid w:val="009A6439"/>
    <w:rsid w:val="009A6B5C"/>
    <w:rsid w:val="009B1D10"/>
    <w:rsid w:val="009B3EEF"/>
    <w:rsid w:val="009B5980"/>
    <w:rsid w:val="009B60CE"/>
    <w:rsid w:val="009B7169"/>
    <w:rsid w:val="009C1CAD"/>
    <w:rsid w:val="009C1FE2"/>
    <w:rsid w:val="009C26EF"/>
    <w:rsid w:val="009C565C"/>
    <w:rsid w:val="009C5AE9"/>
    <w:rsid w:val="009D02DF"/>
    <w:rsid w:val="009D060E"/>
    <w:rsid w:val="009D0A44"/>
    <w:rsid w:val="009D1492"/>
    <w:rsid w:val="009D197F"/>
    <w:rsid w:val="009D29E8"/>
    <w:rsid w:val="009D3903"/>
    <w:rsid w:val="009D5C23"/>
    <w:rsid w:val="009D632B"/>
    <w:rsid w:val="009D695D"/>
    <w:rsid w:val="009D7A91"/>
    <w:rsid w:val="009E03D0"/>
    <w:rsid w:val="009E0BAB"/>
    <w:rsid w:val="009E1657"/>
    <w:rsid w:val="009E1A94"/>
    <w:rsid w:val="009E31FE"/>
    <w:rsid w:val="009E3796"/>
    <w:rsid w:val="009E5DBF"/>
    <w:rsid w:val="009F0850"/>
    <w:rsid w:val="009F1581"/>
    <w:rsid w:val="009F1633"/>
    <w:rsid w:val="009F255B"/>
    <w:rsid w:val="009F2CF8"/>
    <w:rsid w:val="009F3AB5"/>
    <w:rsid w:val="009F3F4D"/>
    <w:rsid w:val="009F67A5"/>
    <w:rsid w:val="009F6A97"/>
    <w:rsid w:val="009F6E9A"/>
    <w:rsid w:val="00A0057D"/>
    <w:rsid w:val="00A0161B"/>
    <w:rsid w:val="00A024D1"/>
    <w:rsid w:val="00A027EA"/>
    <w:rsid w:val="00A04DF2"/>
    <w:rsid w:val="00A05292"/>
    <w:rsid w:val="00A06EA5"/>
    <w:rsid w:val="00A10419"/>
    <w:rsid w:val="00A10BEF"/>
    <w:rsid w:val="00A111D1"/>
    <w:rsid w:val="00A12E73"/>
    <w:rsid w:val="00A13385"/>
    <w:rsid w:val="00A14A02"/>
    <w:rsid w:val="00A1579E"/>
    <w:rsid w:val="00A1721F"/>
    <w:rsid w:val="00A17344"/>
    <w:rsid w:val="00A17449"/>
    <w:rsid w:val="00A17504"/>
    <w:rsid w:val="00A20DDF"/>
    <w:rsid w:val="00A21010"/>
    <w:rsid w:val="00A22B53"/>
    <w:rsid w:val="00A23044"/>
    <w:rsid w:val="00A242B0"/>
    <w:rsid w:val="00A250D3"/>
    <w:rsid w:val="00A265CE"/>
    <w:rsid w:val="00A26E3A"/>
    <w:rsid w:val="00A27314"/>
    <w:rsid w:val="00A2750F"/>
    <w:rsid w:val="00A27B97"/>
    <w:rsid w:val="00A303CA"/>
    <w:rsid w:val="00A3070F"/>
    <w:rsid w:val="00A31CD0"/>
    <w:rsid w:val="00A33D4B"/>
    <w:rsid w:val="00A3484E"/>
    <w:rsid w:val="00A348F7"/>
    <w:rsid w:val="00A34C30"/>
    <w:rsid w:val="00A365DB"/>
    <w:rsid w:val="00A37D15"/>
    <w:rsid w:val="00A4132F"/>
    <w:rsid w:val="00A41CEC"/>
    <w:rsid w:val="00A41D41"/>
    <w:rsid w:val="00A4265E"/>
    <w:rsid w:val="00A43001"/>
    <w:rsid w:val="00A43912"/>
    <w:rsid w:val="00A43B09"/>
    <w:rsid w:val="00A43CDE"/>
    <w:rsid w:val="00A43EC1"/>
    <w:rsid w:val="00A4404C"/>
    <w:rsid w:val="00A4616B"/>
    <w:rsid w:val="00A4720D"/>
    <w:rsid w:val="00A475A5"/>
    <w:rsid w:val="00A478EA"/>
    <w:rsid w:val="00A47DC1"/>
    <w:rsid w:val="00A510A9"/>
    <w:rsid w:val="00A510B7"/>
    <w:rsid w:val="00A53DBD"/>
    <w:rsid w:val="00A544E2"/>
    <w:rsid w:val="00A54677"/>
    <w:rsid w:val="00A57DCA"/>
    <w:rsid w:val="00A57F07"/>
    <w:rsid w:val="00A60AA7"/>
    <w:rsid w:val="00A62F0E"/>
    <w:rsid w:val="00A65263"/>
    <w:rsid w:val="00A67576"/>
    <w:rsid w:val="00A67D05"/>
    <w:rsid w:val="00A700B3"/>
    <w:rsid w:val="00A72469"/>
    <w:rsid w:val="00A72AC0"/>
    <w:rsid w:val="00A73F3E"/>
    <w:rsid w:val="00A80040"/>
    <w:rsid w:val="00A8045C"/>
    <w:rsid w:val="00A806ED"/>
    <w:rsid w:val="00A81255"/>
    <w:rsid w:val="00A84F7B"/>
    <w:rsid w:val="00A85027"/>
    <w:rsid w:val="00A85DE5"/>
    <w:rsid w:val="00A85F65"/>
    <w:rsid w:val="00A861C9"/>
    <w:rsid w:val="00A866E9"/>
    <w:rsid w:val="00A86D80"/>
    <w:rsid w:val="00A90180"/>
    <w:rsid w:val="00A90887"/>
    <w:rsid w:val="00A90C75"/>
    <w:rsid w:val="00A928E4"/>
    <w:rsid w:val="00A96764"/>
    <w:rsid w:val="00A96DA1"/>
    <w:rsid w:val="00A9720D"/>
    <w:rsid w:val="00A97E0B"/>
    <w:rsid w:val="00A97ED5"/>
    <w:rsid w:val="00AA07D2"/>
    <w:rsid w:val="00AA089C"/>
    <w:rsid w:val="00AA09AE"/>
    <w:rsid w:val="00AA1345"/>
    <w:rsid w:val="00AA19A8"/>
    <w:rsid w:val="00AA276E"/>
    <w:rsid w:val="00AA302F"/>
    <w:rsid w:val="00AA5A8C"/>
    <w:rsid w:val="00AA7CD0"/>
    <w:rsid w:val="00AB0635"/>
    <w:rsid w:val="00AB10DF"/>
    <w:rsid w:val="00AB2C3D"/>
    <w:rsid w:val="00AC0270"/>
    <w:rsid w:val="00AC05E5"/>
    <w:rsid w:val="00AC1911"/>
    <w:rsid w:val="00AC27E4"/>
    <w:rsid w:val="00AC3756"/>
    <w:rsid w:val="00AC55D2"/>
    <w:rsid w:val="00AC7AAC"/>
    <w:rsid w:val="00AC7CFE"/>
    <w:rsid w:val="00AD19E8"/>
    <w:rsid w:val="00AD1F2C"/>
    <w:rsid w:val="00AD27EE"/>
    <w:rsid w:val="00AD2977"/>
    <w:rsid w:val="00AD33D6"/>
    <w:rsid w:val="00AD3687"/>
    <w:rsid w:val="00AD5E49"/>
    <w:rsid w:val="00AD5F57"/>
    <w:rsid w:val="00AD610E"/>
    <w:rsid w:val="00AD6EF3"/>
    <w:rsid w:val="00AD7018"/>
    <w:rsid w:val="00AE0716"/>
    <w:rsid w:val="00AE2974"/>
    <w:rsid w:val="00AE2AA0"/>
    <w:rsid w:val="00AE2DA4"/>
    <w:rsid w:val="00AE3314"/>
    <w:rsid w:val="00AE340C"/>
    <w:rsid w:val="00AE3AA3"/>
    <w:rsid w:val="00AE54FD"/>
    <w:rsid w:val="00AE795D"/>
    <w:rsid w:val="00AF251E"/>
    <w:rsid w:val="00AF4D8B"/>
    <w:rsid w:val="00AF4EB7"/>
    <w:rsid w:val="00AF50B5"/>
    <w:rsid w:val="00AF5EF8"/>
    <w:rsid w:val="00AF6851"/>
    <w:rsid w:val="00AF7519"/>
    <w:rsid w:val="00B00E00"/>
    <w:rsid w:val="00B024B0"/>
    <w:rsid w:val="00B02671"/>
    <w:rsid w:val="00B03774"/>
    <w:rsid w:val="00B0503E"/>
    <w:rsid w:val="00B054DE"/>
    <w:rsid w:val="00B05B5F"/>
    <w:rsid w:val="00B065DE"/>
    <w:rsid w:val="00B0733B"/>
    <w:rsid w:val="00B07402"/>
    <w:rsid w:val="00B079CF"/>
    <w:rsid w:val="00B1113F"/>
    <w:rsid w:val="00B12B32"/>
    <w:rsid w:val="00B12D6D"/>
    <w:rsid w:val="00B1334E"/>
    <w:rsid w:val="00B138E4"/>
    <w:rsid w:val="00B13F46"/>
    <w:rsid w:val="00B15FE0"/>
    <w:rsid w:val="00B16CFC"/>
    <w:rsid w:val="00B17A1D"/>
    <w:rsid w:val="00B20CD0"/>
    <w:rsid w:val="00B2172A"/>
    <w:rsid w:val="00B219D8"/>
    <w:rsid w:val="00B223C2"/>
    <w:rsid w:val="00B23369"/>
    <w:rsid w:val="00B235D0"/>
    <w:rsid w:val="00B24435"/>
    <w:rsid w:val="00B24EA0"/>
    <w:rsid w:val="00B2517D"/>
    <w:rsid w:val="00B25830"/>
    <w:rsid w:val="00B30CFF"/>
    <w:rsid w:val="00B30DE9"/>
    <w:rsid w:val="00B3142A"/>
    <w:rsid w:val="00B31A9F"/>
    <w:rsid w:val="00B31EF7"/>
    <w:rsid w:val="00B32B19"/>
    <w:rsid w:val="00B3592D"/>
    <w:rsid w:val="00B361D5"/>
    <w:rsid w:val="00B4011C"/>
    <w:rsid w:val="00B416D5"/>
    <w:rsid w:val="00B41A67"/>
    <w:rsid w:val="00B41CA6"/>
    <w:rsid w:val="00B41D96"/>
    <w:rsid w:val="00B42A51"/>
    <w:rsid w:val="00B42F92"/>
    <w:rsid w:val="00B50950"/>
    <w:rsid w:val="00B52264"/>
    <w:rsid w:val="00B53ABA"/>
    <w:rsid w:val="00B56A12"/>
    <w:rsid w:val="00B56F9B"/>
    <w:rsid w:val="00B57A2D"/>
    <w:rsid w:val="00B61F46"/>
    <w:rsid w:val="00B6219E"/>
    <w:rsid w:val="00B627EF"/>
    <w:rsid w:val="00B63990"/>
    <w:rsid w:val="00B65580"/>
    <w:rsid w:val="00B656B5"/>
    <w:rsid w:val="00B660D5"/>
    <w:rsid w:val="00B67A39"/>
    <w:rsid w:val="00B71357"/>
    <w:rsid w:val="00B71D2F"/>
    <w:rsid w:val="00B726A5"/>
    <w:rsid w:val="00B74027"/>
    <w:rsid w:val="00B74A1E"/>
    <w:rsid w:val="00B74AF6"/>
    <w:rsid w:val="00B7591E"/>
    <w:rsid w:val="00B77E86"/>
    <w:rsid w:val="00B80A0C"/>
    <w:rsid w:val="00B80F2B"/>
    <w:rsid w:val="00B80F5F"/>
    <w:rsid w:val="00B82C35"/>
    <w:rsid w:val="00B83DE1"/>
    <w:rsid w:val="00B84721"/>
    <w:rsid w:val="00B85EFC"/>
    <w:rsid w:val="00B918F5"/>
    <w:rsid w:val="00B9198D"/>
    <w:rsid w:val="00B920FE"/>
    <w:rsid w:val="00B9307C"/>
    <w:rsid w:val="00B94488"/>
    <w:rsid w:val="00B94CB7"/>
    <w:rsid w:val="00B96DC4"/>
    <w:rsid w:val="00B97DC0"/>
    <w:rsid w:val="00BA25F6"/>
    <w:rsid w:val="00BA3723"/>
    <w:rsid w:val="00BA74B2"/>
    <w:rsid w:val="00BA76C1"/>
    <w:rsid w:val="00BB124A"/>
    <w:rsid w:val="00BB1331"/>
    <w:rsid w:val="00BB1498"/>
    <w:rsid w:val="00BB1FC9"/>
    <w:rsid w:val="00BB2248"/>
    <w:rsid w:val="00BB3727"/>
    <w:rsid w:val="00BB37EF"/>
    <w:rsid w:val="00BB4675"/>
    <w:rsid w:val="00BB4A26"/>
    <w:rsid w:val="00BB5E25"/>
    <w:rsid w:val="00BB5F83"/>
    <w:rsid w:val="00BB637F"/>
    <w:rsid w:val="00BB7162"/>
    <w:rsid w:val="00BC0966"/>
    <w:rsid w:val="00BC1CBB"/>
    <w:rsid w:val="00BC4292"/>
    <w:rsid w:val="00BC4A5C"/>
    <w:rsid w:val="00BC5889"/>
    <w:rsid w:val="00BC5B6C"/>
    <w:rsid w:val="00BC6C85"/>
    <w:rsid w:val="00BC75D3"/>
    <w:rsid w:val="00BD16D1"/>
    <w:rsid w:val="00BD1F61"/>
    <w:rsid w:val="00BD2D0D"/>
    <w:rsid w:val="00BD3CF0"/>
    <w:rsid w:val="00BD5398"/>
    <w:rsid w:val="00BD61E3"/>
    <w:rsid w:val="00BD68D6"/>
    <w:rsid w:val="00BD695A"/>
    <w:rsid w:val="00BD7DDE"/>
    <w:rsid w:val="00BE1862"/>
    <w:rsid w:val="00BE1DE6"/>
    <w:rsid w:val="00BE20A5"/>
    <w:rsid w:val="00BE2329"/>
    <w:rsid w:val="00BE26BD"/>
    <w:rsid w:val="00BE5B73"/>
    <w:rsid w:val="00BE6467"/>
    <w:rsid w:val="00BE659E"/>
    <w:rsid w:val="00BE68BC"/>
    <w:rsid w:val="00BF07DB"/>
    <w:rsid w:val="00BF381A"/>
    <w:rsid w:val="00BF48F9"/>
    <w:rsid w:val="00BF492A"/>
    <w:rsid w:val="00BF4FC8"/>
    <w:rsid w:val="00BF64D0"/>
    <w:rsid w:val="00BF713C"/>
    <w:rsid w:val="00C013F7"/>
    <w:rsid w:val="00C0171D"/>
    <w:rsid w:val="00C02D57"/>
    <w:rsid w:val="00C03A99"/>
    <w:rsid w:val="00C03D28"/>
    <w:rsid w:val="00C0443F"/>
    <w:rsid w:val="00C04945"/>
    <w:rsid w:val="00C05F9F"/>
    <w:rsid w:val="00C07F92"/>
    <w:rsid w:val="00C11432"/>
    <w:rsid w:val="00C11660"/>
    <w:rsid w:val="00C124E1"/>
    <w:rsid w:val="00C158C1"/>
    <w:rsid w:val="00C179A9"/>
    <w:rsid w:val="00C216CC"/>
    <w:rsid w:val="00C21980"/>
    <w:rsid w:val="00C21E30"/>
    <w:rsid w:val="00C2229E"/>
    <w:rsid w:val="00C22692"/>
    <w:rsid w:val="00C228A2"/>
    <w:rsid w:val="00C24E9C"/>
    <w:rsid w:val="00C25ABC"/>
    <w:rsid w:val="00C3019F"/>
    <w:rsid w:val="00C302BC"/>
    <w:rsid w:val="00C32D99"/>
    <w:rsid w:val="00C33C7B"/>
    <w:rsid w:val="00C346B6"/>
    <w:rsid w:val="00C3476E"/>
    <w:rsid w:val="00C353BA"/>
    <w:rsid w:val="00C40D2F"/>
    <w:rsid w:val="00C40D38"/>
    <w:rsid w:val="00C416D4"/>
    <w:rsid w:val="00C420B0"/>
    <w:rsid w:val="00C435F1"/>
    <w:rsid w:val="00C436BF"/>
    <w:rsid w:val="00C444DA"/>
    <w:rsid w:val="00C475EE"/>
    <w:rsid w:val="00C47952"/>
    <w:rsid w:val="00C50314"/>
    <w:rsid w:val="00C51726"/>
    <w:rsid w:val="00C5263E"/>
    <w:rsid w:val="00C52F5D"/>
    <w:rsid w:val="00C53707"/>
    <w:rsid w:val="00C53FD2"/>
    <w:rsid w:val="00C56067"/>
    <w:rsid w:val="00C56FAB"/>
    <w:rsid w:val="00C60F42"/>
    <w:rsid w:val="00C62797"/>
    <w:rsid w:val="00C62E23"/>
    <w:rsid w:val="00C630AD"/>
    <w:rsid w:val="00C6435E"/>
    <w:rsid w:val="00C66771"/>
    <w:rsid w:val="00C67251"/>
    <w:rsid w:val="00C67256"/>
    <w:rsid w:val="00C67D80"/>
    <w:rsid w:val="00C718AA"/>
    <w:rsid w:val="00C728C2"/>
    <w:rsid w:val="00C731FB"/>
    <w:rsid w:val="00C76445"/>
    <w:rsid w:val="00C76BFD"/>
    <w:rsid w:val="00C8016A"/>
    <w:rsid w:val="00C80514"/>
    <w:rsid w:val="00C80AE8"/>
    <w:rsid w:val="00C80C21"/>
    <w:rsid w:val="00C81887"/>
    <w:rsid w:val="00C82A27"/>
    <w:rsid w:val="00C82DB0"/>
    <w:rsid w:val="00C839FE"/>
    <w:rsid w:val="00C86F2A"/>
    <w:rsid w:val="00C90813"/>
    <w:rsid w:val="00C90AAE"/>
    <w:rsid w:val="00C94722"/>
    <w:rsid w:val="00C9477C"/>
    <w:rsid w:val="00C9632D"/>
    <w:rsid w:val="00CA25AA"/>
    <w:rsid w:val="00CA45D1"/>
    <w:rsid w:val="00CA53C1"/>
    <w:rsid w:val="00CA57ED"/>
    <w:rsid w:val="00CA6BEB"/>
    <w:rsid w:val="00CA752E"/>
    <w:rsid w:val="00CB02B8"/>
    <w:rsid w:val="00CB1735"/>
    <w:rsid w:val="00CB29C9"/>
    <w:rsid w:val="00CB2F47"/>
    <w:rsid w:val="00CB475B"/>
    <w:rsid w:val="00CB7968"/>
    <w:rsid w:val="00CB7AE5"/>
    <w:rsid w:val="00CC22CA"/>
    <w:rsid w:val="00CC28CE"/>
    <w:rsid w:val="00CC2DFF"/>
    <w:rsid w:val="00CC3E4C"/>
    <w:rsid w:val="00CC6392"/>
    <w:rsid w:val="00CC6EC4"/>
    <w:rsid w:val="00CC7B1D"/>
    <w:rsid w:val="00CD1EEC"/>
    <w:rsid w:val="00CD2D67"/>
    <w:rsid w:val="00CD3BD8"/>
    <w:rsid w:val="00CD3CB2"/>
    <w:rsid w:val="00CD5E9E"/>
    <w:rsid w:val="00CD6958"/>
    <w:rsid w:val="00CD6CD4"/>
    <w:rsid w:val="00CE2608"/>
    <w:rsid w:val="00CE335D"/>
    <w:rsid w:val="00CE3CC3"/>
    <w:rsid w:val="00CE5907"/>
    <w:rsid w:val="00CE7F9A"/>
    <w:rsid w:val="00CF01CA"/>
    <w:rsid w:val="00CF0F6F"/>
    <w:rsid w:val="00CF3ED2"/>
    <w:rsid w:val="00CF5160"/>
    <w:rsid w:val="00CF52C1"/>
    <w:rsid w:val="00CF5B08"/>
    <w:rsid w:val="00D02832"/>
    <w:rsid w:val="00D0492D"/>
    <w:rsid w:val="00D04C36"/>
    <w:rsid w:val="00D06427"/>
    <w:rsid w:val="00D0762B"/>
    <w:rsid w:val="00D100ED"/>
    <w:rsid w:val="00D13FB0"/>
    <w:rsid w:val="00D15B06"/>
    <w:rsid w:val="00D16769"/>
    <w:rsid w:val="00D16875"/>
    <w:rsid w:val="00D1778E"/>
    <w:rsid w:val="00D20B57"/>
    <w:rsid w:val="00D20B7B"/>
    <w:rsid w:val="00D20F8C"/>
    <w:rsid w:val="00D22F4B"/>
    <w:rsid w:val="00D250B0"/>
    <w:rsid w:val="00D26319"/>
    <w:rsid w:val="00D266F9"/>
    <w:rsid w:val="00D26ACB"/>
    <w:rsid w:val="00D2771E"/>
    <w:rsid w:val="00D317BE"/>
    <w:rsid w:val="00D33739"/>
    <w:rsid w:val="00D34C91"/>
    <w:rsid w:val="00D35CB0"/>
    <w:rsid w:val="00D36361"/>
    <w:rsid w:val="00D36788"/>
    <w:rsid w:val="00D40597"/>
    <w:rsid w:val="00D405CB"/>
    <w:rsid w:val="00D41A71"/>
    <w:rsid w:val="00D42471"/>
    <w:rsid w:val="00D43180"/>
    <w:rsid w:val="00D43DFD"/>
    <w:rsid w:val="00D4479C"/>
    <w:rsid w:val="00D457BD"/>
    <w:rsid w:val="00D45E77"/>
    <w:rsid w:val="00D52C07"/>
    <w:rsid w:val="00D55168"/>
    <w:rsid w:val="00D55F42"/>
    <w:rsid w:val="00D56497"/>
    <w:rsid w:val="00D60623"/>
    <w:rsid w:val="00D63A6E"/>
    <w:rsid w:val="00D64595"/>
    <w:rsid w:val="00D64CF0"/>
    <w:rsid w:val="00D65A2F"/>
    <w:rsid w:val="00D66617"/>
    <w:rsid w:val="00D7135B"/>
    <w:rsid w:val="00D71BC0"/>
    <w:rsid w:val="00D745CB"/>
    <w:rsid w:val="00D760A5"/>
    <w:rsid w:val="00D800FD"/>
    <w:rsid w:val="00D805ED"/>
    <w:rsid w:val="00D811FC"/>
    <w:rsid w:val="00D82168"/>
    <w:rsid w:val="00D828F4"/>
    <w:rsid w:val="00D84BF7"/>
    <w:rsid w:val="00D86516"/>
    <w:rsid w:val="00D87852"/>
    <w:rsid w:val="00D9073F"/>
    <w:rsid w:val="00D9179A"/>
    <w:rsid w:val="00D91D3C"/>
    <w:rsid w:val="00D958A6"/>
    <w:rsid w:val="00D95A38"/>
    <w:rsid w:val="00D976F0"/>
    <w:rsid w:val="00DA0ACD"/>
    <w:rsid w:val="00DA0DA4"/>
    <w:rsid w:val="00DA14EF"/>
    <w:rsid w:val="00DA1FCE"/>
    <w:rsid w:val="00DA2DEC"/>
    <w:rsid w:val="00DA56BD"/>
    <w:rsid w:val="00DA5C8E"/>
    <w:rsid w:val="00DA5FC9"/>
    <w:rsid w:val="00DA6617"/>
    <w:rsid w:val="00DA728A"/>
    <w:rsid w:val="00DA7F3E"/>
    <w:rsid w:val="00DB0A9B"/>
    <w:rsid w:val="00DB1833"/>
    <w:rsid w:val="00DB1841"/>
    <w:rsid w:val="00DB2037"/>
    <w:rsid w:val="00DB2621"/>
    <w:rsid w:val="00DB2765"/>
    <w:rsid w:val="00DB42C3"/>
    <w:rsid w:val="00DB56E4"/>
    <w:rsid w:val="00DB6549"/>
    <w:rsid w:val="00DB6FA5"/>
    <w:rsid w:val="00DC0441"/>
    <w:rsid w:val="00DC04C4"/>
    <w:rsid w:val="00DC07AC"/>
    <w:rsid w:val="00DC1393"/>
    <w:rsid w:val="00DC23B6"/>
    <w:rsid w:val="00DC3066"/>
    <w:rsid w:val="00DC40B3"/>
    <w:rsid w:val="00DC449C"/>
    <w:rsid w:val="00DC5992"/>
    <w:rsid w:val="00DC5E3C"/>
    <w:rsid w:val="00DC5FB1"/>
    <w:rsid w:val="00DC6CDA"/>
    <w:rsid w:val="00DC7024"/>
    <w:rsid w:val="00DC70E0"/>
    <w:rsid w:val="00DC776A"/>
    <w:rsid w:val="00DD129B"/>
    <w:rsid w:val="00DD2770"/>
    <w:rsid w:val="00DD2BC6"/>
    <w:rsid w:val="00DD379C"/>
    <w:rsid w:val="00DD544D"/>
    <w:rsid w:val="00DD54CC"/>
    <w:rsid w:val="00DE0664"/>
    <w:rsid w:val="00DE295E"/>
    <w:rsid w:val="00DE438C"/>
    <w:rsid w:val="00DE4C30"/>
    <w:rsid w:val="00DE5389"/>
    <w:rsid w:val="00DE79E9"/>
    <w:rsid w:val="00DF18BE"/>
    <w:rsid w:val="00DF31BD"/>
    <w:rsid w:val="00DF3EC4"/>
    <w:rsid w:val="00DF3F6E"/>
    <w:rsid w:val="00DF5F2B"/>
    <w:rsid w:val="00DF6612"/>
    <w:rsid w:val="00DF7E91"/>
    <w:rsid w:val="00DF7F56"/>
    <w:rsid w:val="00E018F9"/>
    <w:rsid w:val="00E03304"/>
    <w:rsid w:val="00E068D6"/>
    <w:rsid w:val="00E06C8B"/>
    <w:rsid w:val="00E07877"/>
    <w:rsid w:val="00E10B5F"/>
    <w:rsid w:val="00E129E4"/>
    <w:rsid w:val="00E131CF"/>
    <w:rsid w:val="00E13FEB"/>
    <w:rsid w:val="00E175F6"/>
    <w:rsid w:val="00E21F5A"/>
    <w:rsid w:val="00E22292"/>
    <w:rsid w:val="00E2359D"/>
    <w:rsid w:val="00E23819"/>
    <w:rsid w:val="00E24932"/>
    <w:rsid w:val="00E2513A"/>
    <w:rsid w:val="00E25486"/>
    <w:rsid w:val="00E26756"/>
    <w:rsid w:val="00E275E1"/>
    <w:rsid w:val="00E27C57"/>
    <w:rsid w:val="00E337E4"/>
    <w:rsid w:val="00E34FC5"/>
    <w:rsid w:val="00E3610E"/>
    <w:rsid w:val="00E400DF"/>
    <w:rsid w:val="00E408D0"/>
    <w:rsid w:val="00E40BC0"/>
    <w:rsid w:val="00E411D0"/>
    <w:rsid w:val="00E439C3"/>
    <w:rsid w:val="00E45D97"/>
    <w:rsid w:val="00E463C0"/>
    <w:rsid w:val="00E46C52"/>
    <w:rsid w:val="00E47D1A"/>
    <w:rsid w:val="00E5268E"/>
    <w:rsid w:val="00E52CA5"/>
    <w:rsid w:val="00E53193"/>
    <w:rsid w:val="00E5488E"/>
    <w:rsid w:val="00E548F9"/>
    <w:rsid w:val="00E551B7"/>
    <w:rsid w:val="00E55407"/>
    <w:rsid w:val="00E607AA"/>
    <w:rsid w:val="00E60987"/>
    <w:rsid w:val="00E609E3"/>
    <w:rsid w:val="00E61249"/>
    <w:rsid w:val="00E6130D"/>
    <w:rsid w:val="00E613F2"/>
    <w:rsid w:val="00E615B4"/>
    <w:rsid w:val="00E63887"/>
    <w:rsid w:val="00E63BA7"/>
    <w:rsid w:val="00E63BAF"/>
    <w:rsid w:val="00E709FD"/>
    <w:rsid w:val="00E72C33"/>
    <w:rsid w:val="00E72F49"/>
    <w:rsid w:val="00E7447A"/>
    <w:rsid w:val="00E74669"/>
    <w:rsid w:val="00E74700"/>
    <w:rsid w:val="00E74F98"/>
    <w:rsid w:val="00E76873"/>
    <w:rsid w:val="00E77761"/>
    <w:rsid w:val="00E80782"/>
    <w:rsid w:val="00E8163E"/>
    <w:rsid w:val="00E8216C"/>
    <w:rsid w:val="00E8235C"/>
    <w:rsid w:val="00E82E67"/>
    <w:rsid w:val="00E83051"/>
    <w:rsid w:val="00E840A9"/>
    <w:rsid w:val="00E850E4"/>
    <w:rsid w:val="00E85153"/>
    <w:rsid w:val="00E8519E"/>
    <w:rsid w:val="00E858AA"/>
    <w:rsid w:val="00E85E8B"/>
    <w:rsid w:val="00E8747C"/>
    <w:rsid w:val="00E915A6"/>
    <w:rsid w:val="00E917B7"/>
    <w:rsid w:val="00E948A4"/>
    <w:rsid w:val="00E95340"/>
    <w:rsid w:val="00E9541F"/>
    <w:rsid w:val="00EA14E1"/>
    <w:rsid w:val="00EA2E53"/>
    <w:rsid w:val="00EA3228"/>
    <w:rsid w:val="00EA36C0"/>
    <w:rsid w:val="00EA4B7F"/>
    <w:rsid w:val="00EA4C6A"/>
    <w:rsid w:val="00EB0211"/>
    <w:rsid w:val="00EB0A47"/>
    <w:rsid w:val="00EB1BB6"/>
    <w:rsid w:val="00EB259D"/>
    <w:rsid w:val="00EB2FCA"/>
    <w:rsid w:val="00EB4760"/>
    <w:rsid w:val="00EB4834"/>
    <w:rsid w:val="00EB4D2A"/>
    <w:rsid w:val="00EB61D0"/>
    <w:rsid w:val="00EB6363"/>
    <w:rsid w:val="00EB6C7E"/>
    <w:rsid w:val="00EB77B5"/>
    <w:rsid w:val="00EC11C4"/>
    <w:rsid w:val="00EC11FE"/>
    <w:rsid w:val="00EC1566"/>
    <w:rsid w:val="00EC3670"/>
    <w:rsid w:val="00EC4A2E"/>
    <w:rsid w:val="00EC6C96"/>
    <w:rsid w:val="00EC6DC7"/>
    <w:rsid w:val="00EC750C"/>
    <w:rsid w:val="00EC7D76"/>
    <w:rsid w:val="00ED0DF8"/>
    <w:rsid w:val="00ED227D"/>
    <w:rsid w:val="00ED5FA9"/>
    <w:rsid w:val="00EE1600"/>
    <w:rsid w:val="00EE2584"/>
    <w:rsid w:val="00EE65E7"/>
    <w:rsid w:val="00EE7C5C"/>
    <w:rsid w:val="00EF2701"/>
    <w:rsid w:val="00EF2780"/>
    <w:rsid w:val="00EF341B"/>
    <w:rsid w:val="00EF351D"/>
    <w:rsid w:val="00EF3D0A"/>
    <w:rsid w:val="00EF49DF"/>
    <w:rsid w:val="00EF6C45"/>
    <w:rsid w:val="00EF6DF7"/>
    <w:rsid w:val="00F00535"/>
    <w:rsid w:val="00F009BF"/>
    <w:rsid w:val="00F033BF"/>
    <w:rsid w:val="00F0372B"/>
    <w:rsid w:val="00F04347"/>
    <w:rsid w:val="00F054E3"/>
    <w:rsid w:val="00F07AE3"/>
    <w:rsid w:val="00F11842"/>
    <w:rsid w:val="00F12359"/>
    <w:rsid w:val="00F13E96"/>
    <w:rsid w:val="00F149C9"/>
    <w:rsid w:val="00F14B77"/>
    <w:rsid w:val="00F14D9B"/>
    <w:rsid w:val="00F151AC"/>
    <w:rsid w:val="00F201C9"/>
    <w:rsid w:val="00F21DE1"/>
    <w:rsid w:val="00F24C5F"/>
    <w:rsid w:val="00F25FAB"/>
    <w:rsid w:val="00F26974"/>
    <w:rsid w:val="00F27C94"/>
    <w:rsid w:val="00F30E04"/>
    <w:rsid w:val="00F31246"/>
    <w:rsid w:val="00F31596"/>
    <w:rsid w:val="00F32626"/>
    <w:rsid w:val="00F32853"/>
    <w:rsid w:val="00F33B7D"/>
    <w:rsid w:val="00F34436"/>
    <w:rsid w:val="00F3757D"/>
    <w:rsid w:val="00F37753"/>
    <w:rsid w:val="00F37B3A"/>
    <w:rsid w:val="00F41034"/>
    <w:rsid w:val="00F44668"/>
    <w:rsid w:val="00F44C1A"/>
    <w:rsid w:val="00F50786"/>
    <w:rsid w:val="00F51319"/>
    <w:rsid w:val="00F51479"/>
    <w:rsid w:val="00F53674"/>
    <w:rsid w:val="00F53839"/>
    <w:rsid w:val="00F53B79"/>
    <w:rsid w:val="00F55CD2"/>
    <w:rsid w:val="00F56AC1"/>
    <w:rsid w:val="00F57409"/>
    <w:rsid w:val="00F60895"/>
    <w:rsid w:val="00F61DEE"/>
    <w:rsid w:val="00F62329"/>
    <w:rsid w:val="00F62A35"/>
    <w:rsid w:val="00F635EB"/>
    <w:rsid w:val="00F64292"/>
    <w:rsid w:val="00F65F05"/>
    <w:rsid w:val="00F662A2"/>
    <w:rsid w:val="00F66546"/>
    <w:rsid w:val="00F66B21"/>
    <w:rsid w:val="00F6715B"/>
    <w:rsid w:val="00F67942"/>
    <w:rsid w:val="00F722F7"/>
    <w:rsid w:val="00F7551E"/>
    <w:rsid w:val="00F77769"/>
    <w:rsid w:val="00F77EF1"/>
    <w:rsid w:val="00F80B4D"/>
    <w:rsid w:val="00F80FA8"/>
    <w:rsid w:val="00F812CA"/>
    <w:rsid w:val="00F82692"/>
    <w:rsid w:val="00F826C0"/>
    <w:rsid w:val="00F86499"/>
    <w:rsid w:val="00F872A2"/>
    <w:rsid w:val="00F927B8"/>
    <w:rsid w:val="00F93942"/>
    <w:rsid w:val="00F93C76"/>
    <w:rsid w:val="00F95139"/>
    <w:rsid w:val="00F951FF"/>
    <w:rsid w:val="00F95D14"/>
    <w:rsid w:val="00FA1A49"/>
    <w:rsid w:val="00FA2D82"/>
    <w:rsid w:val="00FA5E5D"/>
    <w:rsid w:val="00FA6FF7"/>
    <w:rsid w:val="00FA7B7D"/>
    <w:rsid w:val="00FB18B8"/>
    <w:rsid w:val="00FB1EB6"/>
    <w:rsid w:val="00FB2185"/>
    <w:rsid w:val="00FB39E4"/>
    <w:rsid w:val="00FB3E48"/>
    <w:rsid w:val="00FB42A1"/>
    <w:rsid w:val="00FB45DE"/>
    <w:rsid w:val="00FB5ECF"/>
    <w:rsid w:val="00FB66B8"/>
    <w:rsid w:val="00FC0743"/>
    <w:rsid w:val="00FC3516"/>
    <w:rsid w:val="00FC3B54"/>
    <w:rsid w:val="00FC618D"/>
    <w:rsid w:val="00FC6237"/>
    <w:rsid w:val="00FC6E0E"/>
    <w:rsid w:val="00FD0234"/>
    <w:rsid w:val="00FD12CC"/>
    <w:rsid w:val="00FD1783"/>
    <w:rsid w:val="00FD1C96"/>
    <w:rsid w:val="00FD1FC4"/>
    <w:rsid w:val="00FD430F"/>
    <w:rsid w:val="00FD4C1A"/>
    <w:rsid w:val="00FD5C5A"/>
    <w:rsid w:val="00FD67E6"/>
    <w:rsid w:val="00FD6D5C"/>
    <w:rsid w:val="00FD763F"/>
    <w:rsid w:val="00FD7C67"/>
    <w:rsid w:val="00FD7CD1"/>
    <w:rsid w:val="00FE028A"/>
    <w:rsid w:val="00FE06B7"/>
    <w:rsid w:val="00FE190F"/>
    <w:rsid w:val="00FE25EB"/>
    <w:rsid w:val="00FE549A"/>
    <w:rsid w:val="00FE57DA"/>
    <w:rsid w:val="00FE5A19"/>
    <w:rsid w:val="00FE6B23"/>
    <w:rsid w:val="00FE7156"/>
    <w:rsid w:val="00FE7454"/>
    <w:rsid w:val="00FF06DF"/>
    <w:rsid w:val="00FF084C"/>
    <w:rsid w:val="00FF0F7D"/>
    <w:rsid w:val="00FF197D"/>
    <w:rsid w:val="00FF20CC"/>
    <w:rsid w:val="00FF2F31"/>
    <w:rsid w:val="00FF362D"/>
    <w:rsid w:val="00FF37F1"/>
    <w:rsid w:val="00FF3C4E"/>
    <w:rsid w:val="00FF55AB"/>
    <w:rsid w:val="00FF61DA"/>
    <w:rsid w:val="00FF66CB"/>
    <w:rsid w:val="00FF6938"/>
    <w:rsid w:val="00FF696B"/>
    <w:rsid w:val="00FF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3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99"/>
    <w:rsid w:val="003B2F0D"/>
    <w:pPr>
      <w:tabs>
        <w:tab w:val="left" w:pos="504"/>
      </w:tabs>
      <w:spacing w:after="0" w:line="240" w:lineRule="auto"/>
      <w:ind w:left="504" w:hanging="504"/>
    </w:pPr>
  </w:style>
  <w:style w:type="paragraph" w:styleId="a4">
    <w:name w:val="header"/>
    <w:basedOn w:val="a"/>
    <w:link w:val="Char"/>
    <w:uiPriority w:val="99"/>
    <w:rsid w:val="00141DF0"/>
    <w:pPr>
      <w:tabs>
        <w:tab w:val="center" w:pos="4680"/>
        <w:tab w:val="right" w:pos="9360"/>
      </w:tabs>
      <w:spacing w:after="0" w:line="240" w:lineRule="auto"/>
    </w:pPr>
  </w:style>
  <w:style w:type="character" w:customStyle="1" w:styleId="Char">
    <w:name w:val="页眉 Char"/>
    <w:basedOn w:val="a0"/>
    <w:link w:val="a4"/>
    <w:uiPriority w:val="99"/>
    <w:locked/>
    <w:rsid w:val="00141DF0"/>
    <w:rPr>
      <w:rFonts w:cs="Times New Roman"/>
    </w:rPr>
  </w:style>
  <w:style w:type="paragraph" w:styleId="a5">
    <w:name w:val="footer"/>
    <w:basedOn w:val="a"/>
    <w:link w:val="Char0"/>
    <w:uiPriority w:val="99"/>
    <w:rsid w:val="00141DF0"/>
    <w:pPr>
      <w:tabs>
        <w:tab w:val="center" w:pos="4680"/>
        <w:tab w:val="right" w:pos="9360"/>
      </w:tabs>
      <w:spacing w:after="0" w:line="240" w:lineRule="auto"/>
    </w:pPr>
  </w:style>
  <w:style w:type="character" w:customStyle="1" w:styleId="Char0">
    <w:name w:val="页脚 Char"/>
    <w:basedOn w:val="a0"/>
    <w:link w:val="a5"/>
    <w:uiPriority w:val="99"/>
    <w:locked/>
    <w:rsid w:val="00141DF0"/>
    <w:rPr>
      <w:rFonts w:cs="Times New Roman"/>
    </w:rPr>
  </w:style>
  <w:style w:type="paragraph" w:styleId="a6">
    <w:name w:val="footnote text"/>
    <w:basedOn w:val="a"/>
    <w:link w:val="Char1"/>
    <w:uiPriority w:val="99"/>
    <w:semiHidden/>
    <w:rsid w:val="00842F16"/>
    <w:pPr>
      <w:spacing w:after="0" w:line="240" w:lineRule="auto"/>
    </w:pPr>
    <w:rPr>
      <w:sz w:val="20"/>
      <w:szCs w:val="20"/>
    </w:rPr>
  </w:style>
  <w:style w:type="character" w:customStyle="1" w:styleId="Char1">
    <w:name w:val="脚注文本 Char"/>
    <w:basedOn w:val="a0"/>
    <w:link w:val="a6"/>
    <w:uiPriority w:val="99"/>
    <w:semiHidden/>
    <w:locked/>
    <w:rsid w:val="00842F16"/>
    <w:rPr>
      <w:rFonts w:cs="Times New Roman"/>
      <w:sz w:val="20"/>
      <w:szCs w:val="20"/>
    </w:rPr>
  </w:style>
  <w:style w:type="character" w:styleId="a7">
    <w:name w:val="footnote reference"/>
    <w:basedOn w:val="a0"/>
    <w:uiPriority w:val="99"/>
    <w:semiHidden/>
    <w:rsid w:val="00842F16"/>
    <w:rPr>
      <w:rFonts w:cs="Times New Roman"/>
      <w:vertAlign w:val="superscript"/>
    </w:rPr>
  </w:style>
  <w:style w:type="table" w:styleId="a8">
    <w:name w:val="Table Grid"/>
    <w:basedOn w:val="a1"/>
    <w:uiPriority w:val="99"/>
    <w:rsid w:val="00A866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D695A"/>
    <w:rPr>
      <w:rFonts w:cs="Times New Roman"/>
      <w:color w:val="0000FF"/>
      <w:u w:val="single"/>
    </w:rPr>
  </w:style>
  <w:style w:type="paragraph" w:styleId="aa">
    <w:name w:val="endnote text"/>
    <w:basedOn w:val="a"/>
    <w:link w:val="Char2"/>
    <w:uiPriority w:val="99"/>
    <w:semiHidden/>
    <w:rsid w:val="00CA25AA"/>
    <w:pPr>
      <w:spacing w:after="0" w:line="240" w:lineRule="auto"/>
    </w:pPr>
    <w:rPr>
      <w:sz w:val="20"/>
      <w:szCs w:val="20"/>
    </w:rPr>
  </w:style>
  <w:style w:type="character" w:customStyle="1" w:styleId="Char2">
    <w:name w:val="尾注文本 Char"/>
    <w:basedOn w:val="a0"/>
    <w:link w:val="aa"/>
    <w:uiPriority w:val="99"/>
    <w:semiHidden/>
    <w:locked/>
    <w:rsid w:val="00CA25AA"/>
    <w:rPr>
      <w:rFonts w:cs="Times New Roman"/>
      <w:sz w:val="20"/>
      <w:szCs w:val="20"/>
    </w:rPr>
  </w:style>
  <w:style w:type="character" w:styleId="ab">
    <w:name w:val="endnote reference"/>
    <w:basedOn w:val="a0"/>
    <w:uiPriority w:val="99"/>
    <w:semiHidden/>
    <w:rsid w:val="00CA25AA"/>
    <w:rPr>
      <w:rFonts w:cs="Times New Roman"/>
      <w:vertAlign w:val="superscript"/>
    </w:rPr>
  </w:style>
  <w:style w:type="paragraph" w:styleId="ac">
    <w:name w:val="Balloon Text"/>
    <w:basedOn w:val="a"/>
    <w:link w:val="Char3"/>
    <w:uiPriority w:val="99"/>
    <w:semiHidden/>
    <w:rsid w:val="003413D2"/>
    <w:pPr>
      <w:spacing w:after="0" w:line="240" w:lineRule="auto"/>
    </w:pPr>
    <w:rPr>
      <w:rFonts w:ascii="Tahoma" w:hAnsi="Tahoma" w:cs="Tahoma"/>
      <w:sz w:val="16"/>
      <w:szCs w:val="16"/>
    </w:rPr>
  </w:style>
  <w:style w:type="character" w:customStyle="1" w:styleId="Char3">
    <w:name w:val="批注框文本 Char"/>
    <w:basedOn w:val="a0"/>
    <w:link w:val="ac"/>
    <w:uiPriority w:val="99"/>
    <w:semiHidden/>
    <w:locked/>
    <w:rsid w:val="003413D2"/>
    <w:rPr>
      <w:rFonts w:ascii="Tahoma" w:hAnsi="Tahoma" w:cs="Tahoma"/>
      <w:sz w:val="16"/>
      <w:szCs w:val="16"/>
    </w:rPr>
  </w:style>
  <w:style w:type="character" w:customStyle="1" w:styleId="st">
    <w:name w:val="st"/>
    <w:basedOn w:val="a0"/>
    <w:uiPriority w:val="99"/>
    <w:rsid w:val="003D34EF"/>
    <w:rPr>
      <w:rFonts w:cs="Times New Roman"/>
    </w:rPr>
  </w:style>
  <w:style w:type="paragraph" w:styleId="ad">
    <w:name w:val="annotation text"/>
    <w:basedOn w:val="a"/>
    <w:link w:val="Char4"/>
    <w:uiPriority w:val="99"/>
    <w:rsid w:val="00102A49"/>
    <w:pPr>
      <w:spacing w:after="0" w:line="240" w:lineRule="auto"/>
    </w:pPr>
    <w:rPr>
      <w:rFonts w:ascii="Times New Roman" w:hAnsi="Times New Roman"/>
      <w:sz w:val="20"/>
      <w:szCs w:val="20"/>
    </w:rPr>
  </w:style>
  <w:style w:type="character" w:customStyle="1" w:styleId="Char4">
    <w:name w:val="批注文字 Char"/>
    <w:basedOn w:val="a0"/>
    <w:link w:val="ad"/>
    <w:uiPriority w:val="99"/>
    <w:locked/>
    <w:rsid w:val="00102A49"/>
    <w:rPr>
      <w:rFonts w:ascii="Times New Roman" w:hAnsi="Times New Roman" w:cs="Times New Roman"/>
      <w:sz w:val="20"/>
      <w:szCs w:val="20"/>
    </w:rPr>
  </w:style>
  <w:style w:type="character" w:styleId="ae">
    <w:name w:val="annotation reference"/>
    <w:basedOn w:val="a0"/>
    <w:uiPriority w:val="99"/>
    <w:semiHidden/>
    <w:rsid w:val="00102A49"/>
    <w:rPr>
      <w:rFonts w:cs="Times New Roman"/>
      <w:sz w:val="16"/>
    </w:rPr>
  </w:style>
  <w:style w:type="paragraph" w:styleId="af">
    <w:name w:val="annotation subject"/>
    <w:basedOn w:val="ad"/>
    <w:next w:val="ad"/>
    <w:link w:val="Char5"/>
    <w:uiPriority w:val="99"/>
    <w:semiHidden/>
    <w:rsid w:val="00327210"/>
    <w:pPr>
      <w:spacing w:after="200"/>
    </w:pPr>
    <w:rPr>
      <w:rFonts w:ascii="Calibri" w:hAnsi="Calibri"/>
      <w:b/>
      <w:bCs/>
    </w:rPr>
  </w:style>
  <w:style w:type="character" w:customStyle="1" w:styleId="Char5">
    <w:name w:val="批注主题 Char"/>
    <w:basedOn w:val="Char4"/>
    <w:link w:val="af"/>
    <w:uiPriority w:val="99"/>
    <w:semiHidden/>
    <w:locked/>
    <w:rsid w:val="00327210"/>
    <w:rPr>
      <w:rFonts w:ascii="Times New Roman" w:hAnsi="Times New Roman" w:cs="Times New Roman"/>
      <w:b/>
      <w:bCs/>
      <w:sz w:val="20"/>
      <w:szCs w:val="20"/>
    </w:rPr>
  </w:style>
  <w:style w:type="character" w:customStyle="1" w:styleId="mb">
    <w:name w:val="mb"/>
    <w:basedOn w:val="a0"/>
    <w:uiPriority w:val="99"/>
    <w:rsid w:val="00291383"/>
    <w:rPr>
      <w:rFonts w:cs="Times New Roman"/>
    </w:rPr>
  </w:style>
  <w:style w:type="character" w:customStyle="1" w:styleId="journal">
    <w:name w:val="journal"/>
    <w:basedOn w:val="a0"/>
    <w:uiPriority w:val="99"/>
    <w:rsid w:val="00291383"/>
    <w:rPr>
      <w:rFonts w:cs="Times New Roman"/>
    </w:rPr>
  </w:style>
  <w:style w:type="character" w:customStyle="1" w:styleId="jnumber">
    <w:name w:val="jnumber"/>
    <w:basedOn w:val="a0"/>
    <w:uiPriority w:val="99"/>
    <w:rsid w:val="00291383"/>
    <w:rPr>
      <w:rFonts w:cs="Times New Roman"/>
    </w:rPr>
  </w:style>
  <w:style w:type="paragraph" w:styleId="af0">
    <w:name w:val="Plain Text"/>
    <w:basedOn w:val="a"/>
    <w:link w:val="Char6"/>
    <w:uiPriority w:val="99"/>
    <w:rsid w:val="00F27C94"/>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uiPriority w:val="99"/>
    <w:locked/>
    <w:rsid w:val="00F27C9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3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99"/>
    <w:rsid w:val="003B2F0D"/>
    <w:pPr>
      <w:tabs>
        <w:tab w:val="left" w:pos="504"/>
      </w:tabs>
      <w:spacing w:after="0" w:line="240" w:lineRule="auto"/>
      <w:ind w:left="504" w:hanging="504"/>
    </w:pPr>
  </w:style>
  <w:style w:type="paragraph" w:styleId="a4">
    <w:name w:val="header"/>
    <w:basedOn w:val="a"/>
    <w:link w:val="Char"/>
    <w:uiPriority w:val="99"/>
    <w:rsid w:val="00141DF0"/>
    <w:pPr>
      <w:tabs>
        <w:tab w:val="center" w:pos="4680"/>
        <w:tab w:val="right" w:pos="9360"/>
      </w:tabs>
      <w:spacing w:after="0" w:line="240" w:lineRule="auto"/>
    </w:pPr>
  </w:style>
  <w:style w:type="character" w:customStyle="1" w:styleId="Char">
    <w:name w:val="页眉 Char"/>
    <w:basedOn w:val="a0"/>
    <w:link w:val="a4"/>
    <w:uiPriority w:val="99"/>
    <w:locked/>
    <w:rsid w:val="00141DF0"/>
    <w:rPr>
      <w:rFonts w:cs="Times New Roman"/>
    </w:rPr>
  </w:style>
  <w:style w:type="paragraph" w:styleId="a5">
    <w:name w:val="footer"/>
    <w:basedOn w:val="a"/>
    <w:link w:val="Char0"/>
    <w:uiPriority w:val="99"/>
    <w:rsid w:val="00141DF0"/>
    <w:pPr>
      <w:tabs>
        <w:tab w:val="center" w:pos="4680"/>
        <w:tab w:val="right" w:pos="9360"/>
      </w:tabs>
      <w:spacing w:after="0" w:line="240" w:lineRule="auto"/>
    </w:pPr>
  </w:style>
  <w:style w:type="character" w:customStyle="1" w:styleId="Char0">
    <w:name w:val="页脚 Char"/>
    <w:basedOn w:val="a0"/>
    <w:link w:val="a5"/>
    <w:uiPriority w:val="99"/>
    <w:locked/>
    <w:rsid w:val="00141DF0"/>
    <w:rPr>
      <w:rFonts w:cs="Times New Roman"/>
    </w:rPr>
  </w:style>
  <w:style w:type="paragraph" w:styleId="a6">
    <w:name w:val="footnote text"/>
    <w:basedOn w:val="a"/>
    <w:link w:val="Char1"/>
    <w:uiPriority w:val="99"/>
    <w:semiHidden/>
    <w:rsid w:val="00842F16"/>
    <w:pPr>
      <w:spacing w:after="0" w:line="240" w:lineRule="auto"/>
    </w:pPr>
    <w:rPr>
      <w:sz w:val="20"/>
      <w:szCs w:val="20"/>
    </w:rPr>
  </w:style>
  <w:style w:type="character" w:customStyle="1" w:styleId="Char1">
    <w:name w:val="脚注文本 Char"/>
    <w:basedOn w:val="a0"/>
    <w:link w:val="a6"/>
    <w:uiPriority w:val="99"/>
    <w:semiHidden/>
    <w:locked/>
    <w:rsid w:val="00842F16"/>
    <w:rPr>
      <w:rFonts w:cs="Times New Roman"/>
      <w:sz w:val="20"/>
      <w:szCs w:val="20"/>
    </w:rPr>
  </w:style>
  <w:style w:type="character" w:styleId="a7">
    <w:name w:val="footnote reference"/>
    <w:basedOn w:val="a0"/>
    <w:uiPriority w:val="99"/>
    <w:semiHidden/>
    <w:rsid w:val="00842F16"/>
    <w:rPr>
      <w:rFonts w:cs="Times New Roman"/>
      <w:vertAlign w:val="superscript"/>
    </w:rPr>
  </w:style>
  <w:style w:type="table" w:styleId="a8">
    <w:name w:val="Table Grid"/>
    <w:basedOn w:val="a1"/>
    <w:uiPriority w:val="99"/>
    <w:rsid w:val="00A866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D695A"/>
    <w:rPr>
      <w:rFonts w:cs="Times New Roman"/>
      <w:color w:val="0000FF"/>
      <w:u w:val="single"/>
    </w:rPr>
  </w:style>
  <w:style w:type="paragraph" w:styleId="aa">
    <w:name w:val="endnote text"/>
    <w:basedOn w:val="a"/>
    <w:link w:val="Char2"/>
    <w:uiPriority w:val="99"/>
    <w:semiHidden/>
    <w:rsid w:val="00CA25AA"/>
    <w:pPr>
      <w:spacing w:after="0" w:line="240" w:lineRule="auto"/>
    </w:pPr>
    <w:rPr>
      <w:sz w:val="20"/>
      <w:szCs w:val="20"/>
    </w:rPr>
  </w:style>
  <w:style w:type="character" w:customStyle="1" w:styleId="Char2">
    <w:name w:val="尾注文本 Char"/>
    <w:basedOn w:val="a0"/>
    <w:link w:val="aa"/>
    <w:uiPriority w:val="99"/>
    <w:semiHidden/>
    <w:locked/>
    <w:rsid w:val="00CA25AA"/>
    <w:rPr>
      <w:rFonts w:cs="Times New Roman"/>
      <w:sz w:val="20"/>
      <w:szCs w:val="20"/>
    </w:rPr>
  </w:style>
  <w:style w:type="character" w:styleId="ab">
    <w:name w:val="endnote reference"/>
    <w:basedOn w:val="a0"/>
    <w:uiPriority w:val="99"/>
    <w:semiHidden/>
    <w:rsid w:val="00CA25AA"/>
    <w:rPr>
      <w:rFonts w:cs="Times New Roman"/>
      <w:vertAlign w:val="superscript"/>
    </w:rPr>
  </w:style>
  <w:style w:type="paragraph" w:styleId="ac">
    <w:name w:val="Balloon Text"/>
    <w:basedOn w:val="a"/>
    <w:link w:val="Char3"/>
    <w:uiPriority w:val="99"/>
    <w:semiHidden/>
    <w:rsid w:val="003413D2"/>
    <w:pPr>
      <w:spacing w:after="0" w:line="240" w:lineRule="auto"/>
    </w:pPr>
    <w:rPr>
      <w:rFonts w:ascii="Tahoma" w:hAnsi="Tahoma" w:cs="Tahoma"/>
      <w:sz w:val="16"/>
      <w:szCs w:val="16"/>
    </w:rPr>
  </w:style>
  <w:style w:type="character" w:customStyle="1" w:styleId="Char3">
    <w:name w:val="批注框文本 Char"/>
    <w:basedOn w:val="a0"/>
    <w:link w:val="ac"/>
    <w:uiPriority w:val="99"/>
    <w:semiHidden/>
    <w:locked/>
    <w:rsid w:val="003413D2"/>
    <w:rPr>
      <w:rFonts w:ascii="Tahoma" w:hAnsi="Tahoma" w:cs="Tahoma"/>
      <w:sz w:val="16"/>
      <w:szCs w:val="16"/>
    </w:rPr>
  </w:style>
  <w:style w:type="character" w:customStyle="1" w:styleId="st">
    <w:name w:val="st"/>
    <w:basedOn w:val="a0"/>
    <w:uiPriority w:val="99"/>
    <w:rsid w:val="003D34EF"/>
    <w:rPr>
      <w:rFonts w:cs="Times New Roman"/>
    </w:rPr>
  </w:style>
  <w:style w:type="paragraph" w:styleId="ad">
    <w:name w:val="annotation text"/>
    <w:basedOn w:val="a"/>
    <w:link w:val="Char4"/>
    <w:uiPriority w:val="99"/>
    <w:rsid w:val="00102A49"/>
    <w:pPr>
      <w:spacing w:after="0" w:line="240" w:lineRule="auto"/>
    </w:pPr>
    <w:rPr>
      <w:rFonts w:ascii="Times New Roman" w:hAnsi="Times New Roman"/>
      <w:sz w:val="20"/>
      <w:szCs w:val="20"/>
    </w:rPr>
  </w:style>
  <w:style w:type="character" w:customStyle="1" w:styleId="Char4">
    <w:name w:val="批注文字 Char"/>
    <w:basedOn w:val="a0"/>
    <w:link w:val="ad"/>
    <w:uiPriority w:val="99"/>
    <w:locked/>
    <w:rsid w:val="00102A49"/>
    <w:rPr>
      <w:rFonts w:ascii="Times New Roman" w:hAnsi="Times New Roman" w:cs="Times New Roman"/>
      <w:sz w:val="20"/>
      <w:szCs w:val="20"/>
    </w:rPr>
  </w:style>
  <w:style w:type="character" w:styleId="ae">
    <w:name w:val="annotation reference"/>
    <w:basedOn w:val="a0"/>
    <w:uiPriority w:val="99"/>
    <w:semiHidden/>
    <w:rsid w:val="00102A49"/>
    <w:rPr>
      <w:rFonts w:cs="Times New Roman"/>
      <w:sz w:val="16"/>
    </w:rPr>
  </w:style>
  <w:style w:type="paragraph" w:styleId="af">
    <w:name w:val="annotation subject"/>
    <w:basedOn w:val="ad"/>
    <w:next w:val="ad"/>
    <w:link w:val="Char5"/>
    <w:uiPriority w:val="99"/>
    <w:semiHidden/>
    <w:rsid w:val="00327210"/>
    <w:pPr>
      <w:spacing w:after="200"/>
    </w:pPr>
    <w:rPr>
      <w:rFonts w:ascii="Calibri" w:hAnsi="Calibri"/>
      <w:b/>
      <w:bCs/>
    </w:rPr>
  </w:style>
  <w:style w:type="character" w:customStyle="1" w:styleId="Char5">
    <w:name w:val="批注主题 Char"/>
    <w:basedOn w:val="Char4"/>
    <w:link w:val="af"/>
    <w:uiPriority w:val="99"/>
    <w:semiHidden/>
    <w:locked/>
    <w:rsid w:val="00327210"/>
    <w:rPr>
      <w:rFonts w:ascii="Times New Roman" w:hAnsi="Times New Roman" w:cs="Times New Roman"/>
      <w:b/>
      <w:bCs/>
      <w:sz w:val="20"/>
      <w:szCs w:val="20"/>
    </w:rPr>
  </w:style>
  <w:style w:type="character" w:customStyle="1" w:styleId="mb">
    <w:name w:val="mb"/>
    <w:basedOn w:val="a0"/>
    <w:uiPriority w:val="99"/>
    <w:rsid w:val="00291383"/>
    <w:rPr>
      <w:rFonts w:cs="Times New Roman"/>
    </w:rPr>
  </w:style>
  <w:style w:type="character" w:customStyle="1" w:styleId="journal">
    <w:name w:val="journal"/>
    <w:basedOn w:val="a0"/>
    <w:uiPriority w:val="99"/>
    <w:rsid w:val="00291383"/>
    <w:rPr>
      <w:rFonts w:cs="Times New Roman"/>
    </w:rPr>
  </w:style>
  <w:style w:type="character" w:customStyle="1" w:styleId="jnumber">
    <w:name w:val="jnumber"/>
    <w:basedOn w:val="a0"/>
    <w:uiPriority w:val="99"/>
    <w:rsid w:val="00291383"/>
    <w:rPr>
      <w:rFonts w:cs="Times New Roman"/>
    </w:rPr>
  </w:style>
  <w:style w:type="paragraph" w:styleId="af0">
    <w:name w:val="Plain Text"/>
    <w:basedOn w:val="a"/>
    <w:link w:val="Char6"/>
    <w:uiPriority w:val="99"/>
    <w:rsid w:val="00F27C94"/>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uiPriority w:val="99"/>
    <w:locked/>
    <w:rsid w:val="00F27C9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8988">
      <w:marLeft w:val="0"/>
      <w:marRight w:val="0"/>
      <w:marTop w:val="0"/>
      <w:marBottom w:val="0"/>
      <w:divBdr>
        <w:top w:val="none" w:sz="0" w:space="0" w:color="auto"/>
        <w:left w:val="none" w:sz="0" w:space="0" w:color="auto"/>
        <w:bottom w:val="none" w:sz="0" w:space="0" w:color="auto"/>
        <w:right w:val="none" w:sz="0" w:space="0" w:color="auto"/>
      </w:divBdr>
    </w:div>
    <w:div w:id="1079328999">
      <w:marLeft w:val="0"/>
      <w:marRight w:val="0"/>
      <w:marTop w:val="0"/>
      <w:marBottom w:val="0"/>
      <w:divBdr>
        <w:top w:val="none" w:sz="0" w:space="0" w:color="auto"/>
        <w:left w:val="none" w:sz="0" w:space="0" w:color="auto"/>
        <w:bottom w:val="none" w:sz="0" w:space="0" w:color="auto"/>
        <w:right w:val="none" w:sz="0" w:space="0" w:color="auto"/>
      </w:divBdr>
    </w:div>
    <w:div w:id="1079329015">
      <w:marLeft w:val="0"/>
      <w:marRight w:val="0"/>
      <w:marTop w:val="0"/>
      <w:marBottom w:val="0"/>
      <w:divBdr>
        <w:top w:val="none" w:sz="0" w:space="0" w:color="auto"/>
        <w:left w:val="none" w:sz="0" w:space="0" w:color="auto"/>
        <w:bottom w:val="none" w:sz="0" w:space="0" w:color="auto"/>
        <w:right w:val="none" w:sz="0" w:space="0" w:color="auto"/>
      </w:divBdr>
    </w:div>
    <w:div w:id="1079329026">
      <w:marLeft w:val="0"/>
      <w:marRight w:val="0"/>
      <w:marTop w:val="0"/>
      <w:marBottom w:val="0"/>
      <w:divBdr>
        <w:top w:val="none" w:sz="0" w:space="0" w:color="auto"/>
        <w:left w:val="none" w:sz="0" w:space="0" w:color="auto"/>
        <w:bottom w:val="none" w:sz="0" w:space="0" w:color="auto"/>
        <w:right w:val="none" w:sz="0" w:space="0" w:color="auto"/>
      </w:divBdr>
    </w:div>
    <w:div w:id="1079329029">
      <w:marLeft w:val="0"/>
      <w:marRight w:val="0"/>
      <w:marTop w:val="0"/>
      <w:marBottom w:val="0"/>
      <w:divBdr>
        <w:top w:val="none" w:sz="0" w:space="0" w:color="auto"/>
        <w:left w:val="none" w:sz="0" w:space="0" w:color="auto"/>
        <w:bottom w:val="none" w:sz="0" w:space="0" w:color="auto"/>
        <w:right w:val="none" w:sz="0" w:space="0" w:color="auto"/>
      </w:divBdr>
    </w:div>
    <w:div w:id="1079329034">
      <w:marLeft w:val="0"/>
      <w:marRight w:val="0"/>
      <w:marTop w:val="0"/>
      <w:marBottom w:val="0"/>
      <w:divBdr>
        <w:top w:val="none" w:sz="0" w:space="0" w:color="auto"/>
        <w:left w:val="none" w:sz="0" w:space="0" w:color="auto"/>
        <w:bottom w:val="none" w:sz="0" w:space="0" w:color="auto"/>
        <w:right w:val="none" w:sz="0" w:space="0" w:color="auto"/>
      </w:divBdr>
    </w:div>
    <w:div w:id="1079329040">
      <w:marLeft w:val="0"/>
      <w:marRight w:val="0"/>
      <w:marTop w:val="0"/>
      <w:marBottom w:val="0"/>
      <w:divBdr>
        <w:top w:val="none" w:sz="0" w:space="0" w:color="auto"/>
        <w:left w:val="none" w:sz="0" w:space="0" w:color="auto"/>
        <w:bottom w:val="none" w:sz="0" w:space="0" w:color="auto"/>
        <w:right w:val="none" w:sz="0" w:space="0" w:color="auto"/>
      </w:divBdr>
      <w:divsChild>
        <w:div w:id="1079329072">
          <w:marLeft w:val="0"/>
          <w:marRight w:val="0"/>
          <w:marTop w:val="0"/>
          <w:marBottom w:val="0"/>
          <w:divBdr>
            <w:top w:val="none" w:sz="0" w:space="0" w:color="auto"/>
            <w:left w:val="none" w:sz="0" w:space="0" w:color="auto"/>
            <w:bottom w:val="none" w:sz="0" w:space="0" w:color="auto"/>
            <w:right w:val="none" w:sz="0" w:space="0" w:color="auto"/>
          </w:divBdr>
          <w:divsChild>
            <w:div w:id="1079329101">
              <w:marLeft w:val="0"/>
              <w:marRight w:val="0"/>
              <w:marTop w:val="0"/>
              <w:marBottom w:val="0"/>
              <w:divBdr>
                <w:top w:val="none" w:sz="0" w:space="0" w:color="auto"/>
                <w:left w:val="none" w:sz="0" w:space="0" w:color="auto"/>
                <w:bottom w:val="none" w:sz="0" w:space="0" w:color="auto"/>
                <w:right w:val="none" w:sz="0" w:space="0" w:color="auto"/>
              </w:divBdr>
              <w:divsChild>
                <w:div w:id="10793290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9329046">
      <w:marLeft w:val="0"/>
      <w:marRight w:val="0"/>
      <w:marTop w:val="0"/>
      <w:marBottom w:val="0"/>
      <w:divBdr>
        <w:top w:val="none" w:sz="0" w:space="0" w:color="auto"/>
        <w:left w:val="none" w:sz="0" w:space="0" w:color="auto"/>
        <w:bottom w:val="none" w:sz="0" w:space="0" w:color="auto"/>
        <w:right w:val="none" w:sz="0" w:space="0" w:color="auto"/>
      </w:divBdr>
    </w:div>
    <w:div w:id="1079329070">
      <w:marLeft w:val="0"/>
      <w:marRight w:val="0"/>
      <w:marTop w:val="0"/>
      <w:marBottom w:val="0"/>
      <w:divBdr>
        <w:top w:val="none" w:sz="0" w:space="0" w:color="auto"/>
        <w:left w:val="none" w:sz="0" w:space="0" w:color="auto"/>
        <w:bottom w:val="none" w:sz="0" w:space="0" w:color="auto"/>
        <w:right w:val="none" w:sz="0" w:space="0" w:color="auto"/>
      </w:divBdr>
    </w:div>
    <w:div w:id="1079329074">
      <w:marLeft w:val="0"/>
      <w:marRight w:val="0"/>
      <w:marTop w:val="0"/>
      <w:marBottom w:val="0"/>
      <w:divBdr>
        <w:top w:val="none" w:sz="0" w:space="0" w:color="auto"/>
        <w:left w:val="none" w:sz="0" w:space="0" w:color="auto"/>
        <w:bottom w:val="none" w:sz="0" w:space="0" w:color="auto"/>
        <w:right w:val="none" w:sz="0" w:space="0" w:color="auto"/>
      </w:divBdr>
    </w:div>
    <w:div w:id="1079329076">
      <w:marLeft w:val="0"/>
      <w:marRight w:val="0"/>
      <w:marTop w:val="0"/>
      <w:marBottom w:val="0"/>
      <w:divBdr>
        <w:top w:val="none" w:sz="0" w:space="0" w:color="auto"/>
        <w:left w:val="none" w:sz="0" w:space="0" w:color="auto"/>
        <w:bottom w:val="none" w:sz="0" w:space="0" w:color="auto"/>
        <w:right w:val="none" w:sz="0" w:space="0" w:color="auto"/>
      </w:divBdr>
      <w:divsChild>
        <w:div w:id="1079329080">
          <w:marLeft w:val="0"/>
          <w:marRight w:val="0"/>
          <w:marTop w:val="0"/>
          <w:marBottom w:val="0"/>
          <w:divBdr>
            <w:top w:val="none" w:sz="0" w:space="0" w:color="auto"/>
            <w:left w:val="none" w:sz="0" w:space="0" w:color="auto"/>
            <w:bottom w:val="none" w:sz="0" w:space="0" w:color="auto"/>
            <w:right w:val="none" w:sz="0" w:space="0" w:color="auto"/>
          </w:divBdr>
          <w:divsChild>
            <w:div w:id="1079328986">
              <w:marLeft w:val="0"/>
              <w:marRight w:val="0"/>
              <w:marTop w:val="0"/>
              <w:marBottom w:val="0"/>
              <w:divBdr>
                <w:top w:val="none" w:sz="0" w:space="0" w:color="auto"/>
                <w:left w:val="none" w:sz="0" w:space="0" w:color="auto"/>
                <w:bottom w:val="none" w:sz="0" w:space="0" w:color="auto"/>
                <w:right w:val="none" w:sz="0" w:space="0" w:color="auto"/>
              </w:divBdr>
            </w:div>
            <w:div w:id="1079328987">
              <w:marLeft w:val="0"/>
              <w:marRight w:val="0"/>
              <w:marTop w:val="0"/>
              <w:marBottom w:val="0"/>
              <w:divBdr>
                <w:top w:val="none" w:sz="0" w:space="0" w:color="auto"/>
                <w:left w:val="none" w:sz="0" w:space="0" w:color="auto"/>
                <w:bottom w:val="none" w:sz="0" w:space="0" w:color="auto"/>
                <w:right w:val="none" w:sz="0" w:space="0" w:color="auto"/>
              </w:divBdr>
            </w:div>
            <w:div w:id="1079328989">
              <w:marLeft w:val="0"/>
              <w:marRight w:val="0"/>
              <w:marTop w:val="0"/>
              <w:marBottom w:val="0"/>
              <w:divBdr>
                <w:top w:val="none" w:sz="0" w:space="0" w:color="auto"/>
                <w:left w:val="none" w:sz="0" w:space="0" w:color="auto"/>
                <w:bottom w:val="none" w:sz="0" w:space="0" w:color="auto"/>
                <w:right w:val="none" w:sz="0" w:space="0" w:color="auto"/>
              </w:divBdr>
            </w:div>
            <w:div w:id="1079328990">
              <w:marLeft w:val="0"/>
              <w:marRight w:val="0"/>
              <w:marTop w:val="0"/>
              <w:marBottom w:val="0"/>
              <w:divBdr>
                <w:top w:val="none" w:sz="0" w:space="0" w:color="auto"/>
                <w:left w:val="none" w:sz="0" w:space="0" w:color="auto"/>
                <w:bottom w:val="none" w:sz="0" w:space="0" w:color="auto"/>
                <w:right w:val="none" w:sz="0" w:space="0" w:color="auto"/>
              </w:divBdr>
            </w:div>
            <w:div w:id="1079328991">
              <w:marLeft w:val="0"/>
              <w:marRight w:val="0"/>
              <w:marTop w:val="0"/>
              <w:marBottom w:val="0"/>
              <w:divBdr>
                <w:top w:val="none" w:sz="0" w:space="0" w:color="auto"/>
                <w:left w:val="none" w:sz="0" w:space="0" w:color="auto"/>
                <w:bottom w:val="none" w:sz="0" w:space="0" w:color="auto"/>
                <w:right w:val="none" w:sz="0" w:space="0" w:color="auto"/>
              </w:divBdr>
            </w:div>
            <w:div w:id="1079328992">
              <w:marLeft w:val="0"/>
              <w:marRight w:val="0"/>
              <w:marTop w:val="0"/>
              <w:marBottom w:val="0"/>
              <w:divBdr>
                <w:top w:val="none" w:sz="0" w:space="0" w:color="auto"/>
                <w:left w:val="none" w:sz="0" w:space="0" w:color="auto"/>
                <w:bottom w:val="none" w:sz="0" w:space="0" w:color="auto"/>
                <w:right w:val="none" w:sz="0" w:space="0" w:color="auto"/>
              </w:divBdr>
            </w:div>
            <w:div w:id="1079328993">
              <w:marLeft w:val="0"/>
              <w:marRight w:val="0"/>
              <w:marTop w:val="0"/>
              <w:marBottom w:val="0"/>
              <w:divBdr>
                <w:top w:val="none" w:sz="0" w:space="0" w:color="auto"/>
                <w:left w:val="none" w:sz="0" w:space="0" w:color="auto"/>
                <w:bottom w:val="none" w:sz="0" w:space="0" w:color="auto"/>
                <w:right w:val="none" w:sz="0" w:space="0" w:color="auto"/>
              </w:divBdr>
            </w:div>
            <w:div w:id="1079328994">
              <w:marLeft w:val="0"/>
              <w:marRight w:val="0"/>
              <w:marTop w:val="0"/>
              <w:marBottom w:val="0"/>
              <w:divBdr>
                <w:top w:val="none" w:sz="0" w:space="0" w:color="auto"/>
                <w:left w:val="none" w:sz="0" w:space="0" w:color="auto"/>
                <w:bottom w:val="none" w:sz="0" w:space="0" w:color="auto"/>
                <w:right w:val="none" w:sz="0" w:space="0" w:color="auto"/>
              </w:divBdr>
            </w:div>
            <w:div w:id="1079328995">
              <w:marLeft w:val="0"/>
              <w:marRight w:val="0"/>
              <w:marTop w:val="0"/>
              <w:marBottom w:val="0"/>
              <w:divBdr>
                <w:top w:val="none" w:sz="0" w:space="0" w:color="auto"/>
                <w:left w:val="none" w:sz="0" w:space="0" w:color="auto"/>
                <w:bottom w:val="none" w:sz="0" w:space="0" w:color="auto"/>
                <w:right w:val="none" w:sz="0" w:space="0" w:color="auto"/>
              </w:divBdr>
            </w:div>
            <w:div w:id="1079328996">
              <w:marLeft w:val="0"/>
              <w:marRight w:val="0"/>
              <w:marTop w:val="0"/>
              <w:marBottom w:val="0"/>
              <w:divBdr>
                <w:top w:val="none" w:sz="0" w:space="0" w:color="auto"/>
                <w:left w:val="none" w:sz="0" w:space="0" w:color="auto"/>
                <w:bottom w:val="none" w:sz="0" w:space="0" w:color="auto"/>
                <w:right w:val="none" w:sz="0" w:space="0" w:color="auto"/>
              </w:divBdr>
            </w:div>
            <w:div w:id="1079328997">
              <w:marLeft w:val="0"/>
              <w:marRight w:val="0"/>
              <w:marTop w:val="0"/>
              <w:marBottom w:val="0"/>
              <w:divBdr>
                <w:top w:val="none" w:sz="0" w:space="0" w:color="auto"/>
                <w:left w:val="none" w:sz="0" w:space="0" w:color="auto"/>
                <w:bottom w:val="none" w:sz="0" w:space="0" w:color="auto"/>
                <w:right w:val="none" w:sz="0" w:space="0" w:color="auto"/>
              </w:divBdr>
            </w:div>
            <w:div w:id="1079328998">
              <w:marLeft w:val="0"/>
              <w:marRight w:val="0"/>
              <w:marTop w:val="0"/>
              <w:marBottom w:val="0"/>
              <w:divBdr>
                <w:top w:val="none" w:sz="0" w:space="0" w:color="auto"/>
                <w:left w:val="none" w:sz="0" w:space="0" w:color="auto"/>
                <w:bottom w:val="none" w:sz="0" w:space="0" w:color="auto"/>
                <w:right w:val="none" w:sz="0" w:space="0" w:color="auto"/>
              </w:divBdr>
            </w:div>
            <w:div w:id="1079329000">
              <w:marLeft w:val="0"/>
              <w:marRight w:val="0"/>
              <w:marTop w:val="0"/>
              <w:marBottom w:val="0"/>
              <w:divBdr>
                <w:top w:val="none" w:sz="0" w:space="0" w:color="auto"/>
                <w:left w:val="none" w:sz="0" w:space="0" w:color="auto"/>
                <w:bottom w:val="none" w:sz="0" w:space="0" w:color="auto"/>
                <w:right w:val="none" w:sz="0" w:space="0" w:color="auto"/>
              </w:divBdr>
            </w:div>
            <w:div w:id="1079329001">
              <w:marLeft w:val="0"/>
              <w:marRight w:val="0"/>
              <w:marTop w:val="0"/>
              <w:marBottom w:val="0"/>
              <w:divBdr>
                <w:top w:val="none" w:sz="0" w:space="0" w:color="auto"/>
                <w:left w:val="none" w:sz="0" w:space="0" w:color="auto"/>
                <w:bottom w:val="none" w:sz="0" w:space="0" w:color="auto"/>
                <w:right w:val="none" w:sz="0" w:space="0" w:color="auto"/>
              </w:divBdr>
            </w:div>
            <w:div w:id="1079329002">
              <w:marLeft w:val="0"/>
              <w:marRight w:val="0"/>
              <w:marTop w:val="0"/>
              <w:marBottom w:val="0"/>
              <w:divBdr>
                <w:top w:val="none" w:sz="0" w:space="0" w:color="auto"/>
                <w:left w:val="none" w:sz="0" w:space="0" w:color="auto"/>
                <w:bottom w:val="none" w:sz="0" w:space="0" w:color="auto"/>
                <w:right w:val="none" w:sz="0" w:space="0" w:color="auto"/>
              </w:divBdr>
            </w:div>
            <w:div w:id="1079329003">
              <w:marLeft w:val="0"/>
              <w:marRight w:val="0"/>
              <w:marTop w:val="0"/>
              <w:marBottom w:val="0"/>
              <w:divBdr>
                <w:top w:val="none" w:sz="0" w:space="0" w:color="auto"/>
                <w:left w:val="none" w:sz="0" w:space="0" w:color="auto"/>
                <w:bottom w:val="none" w:sz="0" w:space="0" w:color="auto"/>
                <w:right w:val="none" w:sz="0" w:space="0" w:color="auto"/>
              </w:divBdr>
            </w:div>
            <w:div w:id="1079329004">
              <w:marLeft w:val="0"/>
              <w:marRight w:val="0"/>
              <w:marTop w:val="0"/>
              <w:marBottom w:val="0"/>
              <w:divBdr>
                <w:top w:val="none" w:sz="0" w:space="0" w:color="auto"/>
                <w:left w:val="none" w:sz="0" w:space="0" w:color="auto"/>
                <w:bottom w:val="none" w:sz="0" w:space="0" w:color="auto"/>
                <w:right w:val="none" w:sz="0" w:space="0" w:color="auto"/>
              </w:divBdr>
            </w:div>
            <w:div w:id="1079329005">
              <w:marLeft w:val="0"/>
              <w:marRight w:val="0"/>
              <w:marTop w:val="0"/>
              <w:marBottom w:val="0"/>
              <w:divBdr>
                <w:top w:val="none" w:sz="0" w:space="0" w:color="auto"/>
                <w:left w:val="none" w:sz="0" w:space="0" w:color="auto"/>
                <w:bottom w:val="none" w:sz="0" w:space="0" w:color="auto"/>
                <w:right w:val="none" w:sz="0" w:space="0" w:color="auto"/>
              </w:divBdr>
            </w:div>
            <w:div w:id="1079329006">
              <w:marLeft w:val="0"/>
              <w:marRight w:val="0"/>
              <w:marTop w:val="0"/>
              <w:marBottom w:val="0"/>
              <w:divBdr>
                <w:top w:val="none" w:sz="0" w:space="0" w:color="auto"/>
                <w:left w:val="none" w:sz="0" w:space="0" w:color="auto"/>
                <w:bottom w:val="none" w:sz="0" w:space="0" w:color="auto"/>
                <w:right w:val="none" w:sz="0" w:space="0" w:color="auto"/>
              </w:divBdr>
            </w:div>
            <w:div w:id="1079329007">
              <w:marLeft w:val="0"/>
              <w:marRight w:val="0"/>
              <w:marTop w:val="0"/>
              <w:marBottom w:val="0"/>
              <w:divBdr>
                <w:top w:val="none" w:sz="0" w:space="0" w:color="auto"/>
                <w:left w:val="none" w:sz="0" w:space="0" w:color="auto"/>
                <w:bottom w:val="none" w:sz="0" w:space="0" w:color="auto"/>
                <w:right w:val="none" w:sz="0" w:space="0" w:color="auto"/>
              </w:divBdr>
            </w:div>
            <w:div w:id="1079329008">
              <w:marLeft w:val="0"/>
              <w:marRight w:val="0"/>
              <w:marTop w:val="0"/>
              <w:marBottom w:val="0"/>
              <w:divBdr>
                <w:top w:val="none" w:sz="0" w:space="0" w:color="auto"/>
                <w:left w:val="none" w:sz="0" w:space="0" w:color="auto"/>
                <w:bottom w:val="none" w:sz="0" w:space="0" w:color="auto"/>
                <w:right w:val="none" w:sz="0" w:space="0" w:color="auto"/>
              </w:divBdr>
            </w:div>
            <w:div w:id="1079329009">
              <w:marLeft w:val="0"/>
              <w:marRight w:val="0"/>
              <w:marTop w:val="0"/>
              <w:marBottom w:val="0"/>
              <w:divBdr>
                <w:top w:val="none" w:sz="0" w:space="0" w:color="auto"/>
                <w:left w:val="none" w:sz="0" w:space="0" w:color="auto"/>
                <w:bottom w:val="none" w:sz="0" w:space="0" w:color="auto"/>
                <w:right w:val="none" w:sz="0" w:space="0" w:color="auto"/>
              </w:divBdr>
            </w:div>
            <w:div w:id="1079329010">
              <w:marLeft w:val="0"/>
              <w:marRight w:val="0"/>
              <w:marTop w:val="0"/>
              <w:marBottom w:val="0"/>
              <w:divBdr>
                <w:top w:val="none" w:sz="0" w:space="0" w:color="auto"/>
                <w:left w:val="none" w:sz="0" w:space="0" w:color="auto"/>
                <w:bottom w:val="none" w:sz="0" w:space="0" w:color="auto"/>
                <w:right w:val="none" w:sz="0" w:space="0" w:color="auto"/>
              </w:divBdr>
            </w:div>
            <w:div w:id="1079329011">
              <w:marLeft w:val="0"/>
              <w:marRight w:val="0"/>
              <w:marTop w:val="0"/>
              <w:marBottom w:val="0"/>
              <w:divBdr>
                <w:top w:val="none" w:sz="0" w:space="0" w:color="auto"/>
                <w:left w:val="none" w:sz="0" w:space="0" w:color="auto"/>
                <w:bottom w:val="none" w:sz="0" w:space="0" w:color="auto"/>
                <w:right w:val="none" w:sz="0" w:space="0" w:color="auto"/>
              </w:divBdr>
            </w:div>
            <w:div w:id="1079329012">
              <w:marLeft w:val="0"/>
              <w:marRight w:val="0"/>
              <w:marTop w:val="0"/>
              <w:marBottom w:val="0"/>
              <w:divBdr>
                <w:top w:val="none" w:sz="0" w:space="0" w:color="auto"/>
                <w:left w:val="none" w:sz="0" w:space="0" w:color="auto"/>
                <w:bottom w:val="none" w:sz="0" w:space="0" w:color="auto"/>
                <w:right w:val="none" w:sz="0" w:space="0" w:color="auto"/>
              </w:divBdr>
            </w:div>
            <w:div w:id="1079329013">
              <w:marLeft w:val="0"/>
              <w:marRight w:val="0"/>
              <w:marTop w:val="0"/>
              <w:marBottom w:val="0"/>
              <w:divBdr>
                <w:top w:val="none" w:sz="0" w:space="0" w:color="auto"/>
                <w:left w:val="none" w:sz="0" w:space="0" w:color="auto"/>
                <w:bottom w:val="none" w:sz="0" w:space="0" w:color="auto"/>
                <w:right w:val="none" w:sz="0" w:space="0" w:color="auto"/>
              </w:divBdr>
            </w:div>
            <w:div w:id="1079329014">
              <w:marLeft w:val="0"/>
              <w:marRight w:val="0"/>
              <w:marTop w:val="0"/>
              <w:marBottom w:val="0"/>
              <w:divBdr>
                <w:top w:val="none" w:sz="0" w:space="0" w:color="auto"/>
                <w:left w:val="none" w:sz="0" w:space="0" w:color="auto"/>
                <w:bottom w:val="none" w:sz="0" w:space="0" w:color="auto"/>
                <w:right w:val="none" w:sz="0" w:space="0" w:color="auto"/>
              </w:divBdr>
            </w:div>
            <w:div w:id="1079329016">
              <w:marLeft w:val="0"/>
              <w:marRight w:val="0"/>
              <w:marTop w:val="0"/>
              <w:marBottom w:val="0"/>
              <w:divBdr>
                <w:top w:val="none" w:sz="0" w:space="0" w:color="auto"/>
                <w:left w:val="none" w:sz="0" w:space="0" w:color="auto"/>
                <w:bottom w:val="none" w:sz="0" w:space="0" w:color="auto"/>
                <w:right w:val="none" w:sz="0" w:space="0" w:color="auto"/>
              </w:divBdr>
            </w:div>
            <w:div w:id="1079329017">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079329019">
              <w:marLeft w:val="0"/>
              <w:marRight w:val="0"/>
              <w:marTop w:val="0"/>
              <w:marBottom w:val="0"/>
              <w:divBdr>
                <w:top w:val="none" w:sz="0" w:space="0" w:color="auto"/>
                <w:left w:val="none" w:sz="0" w:space="0" w:color="auto"/>
                <w:bottom w:val="none" w:sz="0" w:space="0" w:color="auto"/>
                <w:right w:val="none" w:sz="0" w:space="0" w:color="auto"/>
              </w:divBdr>
            </w:div>
            <w:div w:id="1079329020">
              <w:marLeft w:val="0"/>
              <w:marRight w:val="0"/>
              <w:marTop w:val="0"/>
              <w:marBottom w:val="0"/>
              <w:divBdr>
                <w:top w:val="none" w:sz="0" w:space="0" w:color="auto"/>
                <w:left w:val="none" w:sz="0" w:space="0" w:color="auto"/>
                <w:bottom w:val="none" w:sz="0" w:space="0" w:color="auto"/>
                <w:right w:val="none" w:sz="0" w:space="0" w:color="auto"/>
              </w:divBdr>
            </w:div>
            <w:div w:id="1079329021">
              <w:marLeft w:val="0"/>
              <w:marRight w:val="0"/>
              <w:marTop w:val="0"/>
              <w:marBottom w:val="0"/>
              <w:divBdr>
                <w:top w:val="none" w:sz="0" w:space="0" w:color="auto"/>
                <w:left w:val="none" w:sz="0" w:space="0" w:color="auto"/>
                <w:bottom w:val="none" w:sz="0" w:space="0" w:color="auto"/>
                <w:right w:val="none" w:sz="0" w:space="0" w:color="auto"/>
              </w:divBdr>
            </w:div>
            <w:div w:id="1079329022">
              <w:marLeft w:val="0"/>
              <w:marRight w:val="0"/>
              <w:marTop w:val="0"/>
              <w:marBottom w:val="0"/>
              <w:divBdr>
                <w:top w:val="none" w:sz="0" w:space="0" w:color="auto"/>
                <w:left w:val="none" w:sz="0" w:space="0" w:color="auto"/>
                <w:bottom w:val="none" w:sz="0" w:space="0" w:color="auto"/>
                <w:right w:val="none" w:sz="0" w:space="0" w:color="auto"/>
              </w:divBdr>
            </w:div>
            <w:div w:id="1079329023">
              <w:marLeft w:val="0"/>
              <w:marRight w:val="0"/>
              <w:marTop w:val="0"/>
              <w:marBottom w:val="0"/>
              <w:divBdr>
                <w:top w:val="none" w:sz="0" w:space="0" w:color="auto"/>
                <w:left w:val="none" w:sz="0" w:space="0" w:color="auto"/>
                <w:bottom w:val="none" w:sz="0" w:space="0" w:color="auto"/>
                <w:right w:val="none" w:sz="0" w:space="0" w:color="auto"/>
              </w:divBdr>
            </w:div>
            <w:div w:id="1079329024">
              <w:marLeft w:val="0"/>
              <w:marRight w:val="0"/>
              <w:marTop w:val="0"/>
              <w:marBottom w:val="0"/>
              <w:divBdr>
                <w:top w:val="none" w:sz="0" w:space="0" w:color="auto"/>
                <w:left w:val="none" w:sz="0" w:space="0" w:color="auto"/>
                <w:bottom w:val="none" w:sz="0" w:space="0" w:color="auto"/>
                <w:right w:val="none" w:sz="0" w:space="0" w:color="auto"/>
              </w:divBdr>
            </w:div>
            <w:div w:id="1079329025">
              <w:marLeft w:val="0"/>
              <w:marRight w:val="0"/>
              <w:marTop w:val="0"/>
              <w:marBottom w:val="0"/>
              <w:divBdr>
                <w:top w:val="none" w:sz="0" w:space="0" w:color="auto"/>
                <w:left w:val="none" w:sz="0" w:space="0" w:color="auto"/>
                <w:bottom w:val="none" w:sz="0" w:space="0" w:color="auto"/>
                <w:right w:val="none" w:sz="0" w:space="0" w:color="auto"/>
              </w:divBdr>
            </w:div>
            <w:div w:id="1079329027">
              <w:marLeft w:val="0"/>
              <w:marRight w:val="0"/>
              <w:marTop w:val="0"/>
              <w:marBottom w:val="0"/>
              <w:divBdr>
                <w:top w:val="none" w:sz="0" w:space="0" w:color="auto"/>
                <w:left w:val="none" w:sz="0" w:space="0" w:color="auto"/>
                <w:bottom w:val="none" w:sz="0" w:space="0" w:color="auto"/>
                <w:right w:val="none" w:sz="0" w:space="0" w:color="auto"/>
              </w:divBdr>
            </w:div>
            <w:div w:id="1079329028">
              <w:marLeft w:val="0"/>
              <w:marRight w:val="0"/>
              <w:marTop w:val="0"/>
              <w:marBottom w:val="0"/>
              <w:divBdr>
                <w:top w:val="none" w:sz="0" w:space="0" w:color="auto"/>
                <w:left w:val="none" w:sz="0" w:space="0" w:color="auto"/>
                <w:bottom w:val="none" w:sz="0" w:space="0" w:color="auto"/>
                <w:right w:val="none" w:sz="0" w:space="0" w:color="auto"/>
              </w:divBdr>
            </w:div>
            <w:div w:id="1079329030">
              <w:marLeft w:val="0"/>
              <w:marRight w:val="0"/>
              <w:marTop w:val="0"/>
              <w:marBottom w:val="0"/>
              <w:divBdr>
                <w:top w:val="none" w:sz="0" w:space="0" w:color="auto"/>
                <w:left w:val="none" w:sz="0" w:space="0" w:color="auto"/>
                <w:bottom w:val="none" w:sz="0" w:space="0" w:color="auto"/>
                <w:right w:val="none" w:sz="0" w:space="0" w:color="auto"/>
              </w:divBdr>
            </w:div>
            <w:div w:id="1079329031">
              <w:marLeft w:val="0"/>
              <w:marRight w:val="0"/>
              <w:marTop w:val="0"/>
              <w:marBottom w:val="0"/>
              <w:divBdr>
                <w:top w:val="none" w:sz="0" w:space="0" w:color="auto"/>
                <w:left w:val="none" w:sz="0" w:space="0" w:color="auto"/>
                <w:bottom w:val="none" w:sz="0" w:space="0" w:color="auto"/>
                <w:right w:val="none" w:sz="0" w:space="0" w:color="auto"/>
              </w:divBdr>
            </w:div>
            <w:div w:id="1079329032">
              <w:marLeft w:val="0"/>
              <w:marRight w:val="0"/>
              <w:marTop w:val="0"/>
              <w:marBottom w:val="0"/>
              <w:divBdr>
                <w:top w:val="none" w:sz="0" w:space="0" w:color="auto"/>
                <w:left w:val="none" w:sz="0" w:space="0" w:color="auto"/>
                <w:bottom w:val="none" w:sz="0" w:space="0" w:color="auto"/>
                <w:right w:val="none" w:sz="0" w:space="0" w:color="auto"/>
              </w:divBdr>
            </w:div>
            <w:div w:id="1079329033">
              <w:marLeft w:val="0"/>
              <w:marRight w:val="0"/>
              <w:marTop w:val="0"/>
              <w:marBottom w:val="0"/>
              <w:divBdr>
                <w:top w:val="none" w:sz="0" w:space="0" w:color="auto"/>
                <w:left w:val="none" w:sz="0" w:space="0" w:color="auto"/>
                <w:bottom w:val="none" w:sz="0" w:space="0" w:color="auto"/>
                <w:right w:val="none" w:sz="0" w:space="0" w:color="auto"/>
              </w:divBdr>
            </w:div>
            <w:div w:id="1079329035">
              <w:marLeft w:val="0"/>
              <w:marRight w:val="0"/>
              <w:marTop w:val="0"/>
              <w:marBottom w:val="0"/>
              <w:divBdr>
                <w:top w:val="none" w:sz="0" w:space="0" w:color="auto"/>
                <w:left w:val="none" w:sz="0" w:space="0" w:color="auto"/>
                <w:bottom w:val="none" w:sz="0" w:space="0" w:color="auto"/>
                <w:right w:val="none" w:sz="0" w:space="0" w:color="auto"/>
              </w:divBdr>
            </w:div>
            <w:div w:id="1079329036">
              <w:marLeft w:val="0"/>
              <w:marRight w:val="0"/>
              <w:marTop w:val="0"/>
              <w:marBottom w:val="0"/>
              <w:divBdr>
                <w:top w:val="none" w:sz="0" w:space="0" w:color="auto"/>
                <w:left w:val="none" w:sz="0" w:space="0" w:color="auto"/>
                <w:bottom w:val="none" w:sz="0" w:space="0" w:color="auto"/>
                <w:right w:val="none" w:sz="0" w:space="0" w:color="auto"/>
              </w:divBdr>
            </w:div>
            <w:div w:id="1079329037">
              <w:marLeft w:val="0"/>
              <w:marRight w:val="0"/>
              <w:marTop w:val="0"/>
              <w:marBottom w:val="0"/>
              <w:divBdr>
                <w:top w:val="none" w:sz="0" w:space="0" w:color="auto"/>
                <w:left w:val="none" w:sz="0" w:space="0" w:color="auto"/>
                <w:bottom w:val="none" w:sz="0" w:space="0" w:color="auto"/>
                <w:right w:val="none" w:sz="0" w:space="0" w:color="auto"/>
              </w:divBdr>
            </w:div>
            <w:div w:id="1079329038">
              <w:marLeft w:val="0"/>
              <w:marRight w:val="0"/>
              <w:marTop w:val="0"/>
              <w:marBottom w:val="0"/>
              <w:divBdr>
                <w:top w:val="none" w:sz="0" w:space="0" w:color="auto"/>
                <w:left w:val="none" w:sz="0" w:space="0" w:color="auto"/>
                <w:bottom w:val="none" w:sz="0" w:space="0" w:color="auto"/>
                <w:right w:val="none" w:sz="0" w:space="0" w:color="auto"/>
              </w:divBdr>
            </w:div>
            <w:div w:id="1079329039">
              <w:marLeft w:val="0"/>
              <w:marRight w:val="0"/>
              <w:marTop w:val="0"/>
              <w:marBottom w:val="0"/>
              <w:divBdr>
                <w:top w:val="none" w:sz="0" w:space="0" w:color="auto"/>
                <w:left w:val="none" w:sz="0" w:space="0" w:color="auto"/>
                <w:bottom w:val="none" w:sz="0" w:space="0" w:color="auto"/>
                <w:right w:val="none" w:sz="0" w:space="0" w:color="auto"/>
              </w:divBdr>
            </w:div>
            <w:div w:id="1079329041">
              <w:marLeft w:val="0"/>
              <w:marRight w:val="0"/>
              <w:marTop w:val="0"/>
              <w:marBottom w:val="0"/>
              <w:divBdr>
                <w:top w:val="none" w:sz="0" w:space="0" w:color="auto"/>
                <w:left w:val="none" w:sz="0" w:space="0" w:color="auto"/>
                <w:bottom w:val="none" w:sz="0" w:space="0" w:color="auto"/>
                <w:right w:val="none" w:sz="0" w:space="0" w:color="auto"/>
              </w:divBdr>
            </w:div>
            <w:div w:id="1079329042">
              <w:marLeft w:val="0"/>
              <w:marRight w:val="0"/>
              <w:marTop w:val="0"/>
              <w:marBottom w:val="0"/>
              <w:divBdr>
                <w:top w:val="none" w:sz="0" w:space="0" w:color="auto"/>
                <w:left w:val="none" w:sz="0" w:space="0" w:color="auto"/>
                <w:bottom w:val="none" w:sz="0" w:space="0" w:color="auto"/>
                <w:right w:val="none" w:sz="0" w:space="0" w:color="auto"/>
              </w:divBdr>
            </w:div>
            <w:div w:id="1079329043">
              <w:marLeft w:val="0"/>
              <w:marRight w:val="0"/>
              <w:marTop w:val="0"/>
              <w:marBottom w:val="0"/>
              <w:divBdr>
                <w:top w:val="none" w:sz="0" w:space="0" w:color="auto"/>
                <w:left w:val="none" w:sz="0" w:space="0" w:color="auto"/>
                <w:bottom w:val="none" w:sz="0" w:space="0" w:color="auto"/>
                <w:right w:val="none" w:sz="0" w:space="0" w:color="auto"/>
              </w:divBdr>
            </w:div>
            <w:div w:id="1079329044">
              <w:marLeft w:val="0"/>
              <w:marRight w:val="0"/>
              <w:marTop w:val="0"/>
              <w:marBottom w:val="0"/>
              <w:divBdr>
                <w:top w:val="none" w:sz="0" w:space="0" w:color="auto"/>
                <w:left w:val="none" w:sz="0" w:space="0" w:color="auto"/>
                <w:bottom w:val="none" w:sz="0" w:space="0" w:color="auto"/>
                <w:right w:val="none" w:sz="0" w:space="0" w:color="auto"/>
              </w:divBdr>
            </w:div>
            <w:div w:id="1079329045">
              <w:marLeft w:val="0"/>
              <w:marRight w:val="0"/>
              <w:marTop w:val="0"/>
              <w:marBottom w:val="0"/>
              <w:divBdr>
                <w:top w:val="none" w:sz="0" w:space="0" w:color="auto"/>
                <w:left w:val="none" w:sz="0" w:space="0" w:color="auto"/>
                <w:bottom w:val="none" w:sz="0" w:space="0" w:color="auto"/>
                <w:right w:val="none" w:sz="0" w:space="0" w:color="auto"/>
              </w:divBdr>
            </w:div>
            <w:div w:id="1079329047">
              <w:marLeft w:val="0"/>
              <w:marRight w:val="0"/>
              <w:marTop w:val="0"/>
              <w:marBottom w:val="0"/>
              <w:divBdr>
                <w:top w:val="none" w:sz="0" w:space="0" w:color="auto"/>
                <w:left w:val="none" w:sz="0" w:space="0" w:color="auto"/>
                <w:bottom w:val="none" w:sz="0" w:space="0" w:color="auto"/>
                <w:right w:val="none" w:sz="0" w:space="0" w:color="auto"/>
              </w:divBdr>
            </w:div>
            <w:div w:id="1079329048">
              <w:marLeft w:val="0"/>
              <w:marRight w:val="0"/>
              <w:marTop w:val="0"/>
              <w:marBottom w:val="0"/>
              <w:divBdr>
                <w:top w:val="none" w:sz="0" w:space="0" w:color="auto"/>
                <w:left w:val="none" w:sz="0" w:space="0" w:color="auto"/>
                <w:bottom w:val="none" w:sz="0" w:space="0" w:color="auto"/>
                <w:right w:val="none" w:sz="0" w:space="0" w:color="auto"/>
              </w:divBdr>
            </w:div>
            <w:div w:id="1079329049">
              <w:marLeft w:val="0"/>
              <w:marRight w:val="0"/>
              <w:marTop w:val="0"/>
              <w:marBottom w:val="0"/>
              <w:divBdr>
                <w:top w:val="none" w:sz="0" w:space="0" w:color="auto"/>
                <w:left w:val="none" w:sz="0" w:space="0" w:color="auto"/>
                <w:bottom w:val="none" w:sz="0" w:space="0" w:color="auto"/>
                <w:right w:val="none" w:sz="0" w:space="0" w:color="auto"/>
              </w:divBdr>
            </w:div>
            <w:div w:id="1079329050">
              <w:marLeft w:val="0"/>
              <w:marRight w:val="0"/>
              <w:marTop w:val="0"/>
              <w:marBottom w:val="0"/>
              <w:divBdr>
                <w:top w:val="none" w:sz="0" w:space="0" w:color="auto"/>
                <w:left w:val="none" w:sz="0" w:space="0" w:color="auto"/>
                <w:bottom w:val="none" w:sz="0" w:space="0" w:color="auto"/>
                <w:right w:val="none" w:sz="0" w:space="0" w:color="auto"/>
              </w:divBdr>
            </w:div>
            <w:div w:id="1079329051">
              <w:marLeft w:val="0"/>
              <w:marRight w:val="0"/>
              <w:marTop w:val="0"/>
              <w:marBottom w:val="0"/>
              <w:divBdr>
                <w:top w:val="none" w:sz="0" w:space="0" w:color="auto"/>
                <w:left w:val="none" w:sz="0" w:space="0" w:color="auto"/>
                <w:bottom w:val="none" w:sz="0" w:space="0" w:color="auto"/>
                <w:right w:val="none" w:sz="0" w:space="0" w:color="auto"/>
              </w:divBdr>
            </w:div>
            <w:div w:id="1079329052">
              <w:marLeft w:val="0"/>
              <w:marRight w:val="0"/>
              <w:marTop w:val="0"/>
              <w:marBottom w:val="0"/>
              <w:divBdr>
                <w:top w:val="none" w:sz="0" w:space="0" w:color="auto"/>
                <w:left w:val="none" w:sz="0" w:space="0" w:color="auto"/>
                <w:bottom w:val="none" w:sz="0" w:space="0" w:color="auto"/>
                <w:right w:val="none" w:sz="0" w:space="0" w:color="auto"/>
              </w:divBdr>
            </w:div>
            <w:div w:id="1079329053">
              <w:marLeft w:val="0"/>
              <w:marRight w:val="0"/>
              <w:marTop w:val="0"/>
              <w:marBottom w:val="0"/>
              <w:divBdr>
                <w:top w:val="none" w:sz="0" w:space="0" w:color="auto"/>
                <w:left w:val="none" w:sz="0" w:space="0" w:color="auto"/>
                <w:bottom w:val="none" w:sz="0" w:space="0" w:color="auto"/>
                <w:right w:val="none" w:sz="0" w:space="0" w:color="auto"/>
              </w:divBdr>
            </w:div>
            <w:div w:id="1079329054">
              <w:marLeft w:val="0"/>
              <w:marRight w:val="0"/>
              <w:marTop w:val="0"/>
              <w:marBottom w:val="0"/>
              <w:divBdr>
                <w:top w:val="none" w:sz="0" w:space="0" w:color="auto"/>
                <w:left w:val="none" w:sz="0" w:space="0" w:color="auto"/>
                <w:bottom w:val="none" w:sz="0" w:space="0" w:color="auto"/>
                <w:right w:val="none" w:sz="0" w:space="0" w:color="auto"/>
              </w:divBdr>
            </w:div>
            <w:div w:id="1079329055">
              <w:marLeft w:val="0"/>
              <w:marRight w:val="0"/>
              <w:marTop w:val="0"/>
              <w:marBottom w:val="0"/>
              <w:divBdr>
                <w:top w:val="none" w:sz="0" w:space="0" w:color="auto"/>
                <w:left w:val="none" w:sz="0" w:space="0" w:color="auto"/>
                <w:bottom w:val="none" w:sz="0" w:space="0" w:color="auto"/>
                <w:right w:val="none" w:sz="0" w:space="0" w:color="auto"/>
              </w:divBdr>
            </w:div>
            <w:div w:id="1079329056">
              <w:marLeft w:val="0"/>
              <w:marRight w:val="0"/>
              <w:marTop w:val="0"/>
              <w:marBottom w:val="0"/>
              <w:divBdr>
                <w:top w:val="none" w:sz="0" w:space="0" w:color="auto"/>
                <w:left w:val="none" w:sz="0" w:space="0" w:color="auto"/>
                <w:bottom w:val="none" w:sz="0" w:space="0" w:color="auto"/>
                <w:right w:val="none" w:sz="0" w:space="0" w:color="auto"/>
              </w:divBdr>
            </w:div>
            <w:div w:id="1079329057">
              <w:marLeft w:val="0"/>
              <w:marRight w:val="0"/>
              <w:marTop w:val="0"/>
              <w:marBottom w:val="0"/>
              <w:divBdr>
                <w:top w:val="none" w:sz="0" w:space="0" w:color="auto"/>
                <w:left w:val="none" w:sz="0" w:space="0" w:color="auto"/>
                <w:bottom w:val="none" w:sz="0" w:space="0" w:color="auto"/>
                <w:right w:val="none" w:sz="0" w:space="0" w:color="auto"/>
              </w:divBdr>
            </w:div>
            <w:div w:id="1079329058">
              <w:marLeft w:val="0"/>
              <w:marRight w:val="0"/>
              <w:marTop w:val="0"/>
              <w:marBottom w:val="0"/>
              <w:divBdr>
                <w:top w:val="none" w:sz="0" w:space="0" w:color="auto"/>
                <w:left w:val="none" w:sz="0" w:space="0" w:color="auto"/>
                <w:bottom w:val="none" w:sz="0" w:space="0" w:color="auto"/>
                <w:right w:val="none" w:sz="0" w:space="0" w:color="auto"/>
              </w:divBdr>
            </w:div>
            <w:div w:id="1079329059">
              <w:marLeft w:val="0"/>
              <w:marRight w:val="0"/>
              <w:marTop w:val="0"/>
              <w:marBottom w:val="0"/>
              <w:divBdr>
                <w:top w:val="none" w:sz="0" w:space="0" w:color="auto"/>
                <w:left w:val="none" w:sz="0" w:space="0" w:color="auto"/>
                <w:bottom w:val="none" w:sz="0" w:space="0" w:color="auto"/>
                <w:right w:val="none" w:sz="0" w:space="0" w:color="auto"/>
              </w:divBdr>
            </w:div>
            <w:div w:id="1079329060">
              <w:marLeft w:val="0"/>
              <w:marRight w:val="0"/>
              <w:marTop w:val="0"/>
              <w:marBottom w:val="0"/>
              <w:divBdr>
                <w:top w:val="none" w:sz="0" w:space="0" w:color="auto"/>
                <w:left w:val="none" w:sz="0" w:space="0" w:color="auto"/>
                <w:bottom w:val="none" w:sz="0" w:space="0" w:color="auto"/>
                <w:right w:val="none" w:sz="0" w:space="0" w:color="auto"/>
              </w:divBdr>
            </w:div>
            <w:div w:id="1079329061">
              <w:marLeft w:val="0"/>
              <w:marRight w:val="0"/>
              <w:marTop w:val="0"/>
              <w:marBottom w:val="0"/>
              <w:divBdr>
                <w:top w:val="none" w:sz="0" w:space="0" w:color="auto"/>
                <w:left w:val="none" w:sz="0" w:space="0" w:color="auto"/>
                <w:bottom w:val="none" w:sz="0" w:space="0" w:color="auto"/>
                <w:right w:val="none" w:sz="0" w:space="0" w:color="auto"/>
              </w:divBdr>
            </w:div>
            <w:div w:id="1079329062">
              <w:marLeft w:val="0"/>
              <w:marRight w:val="0"/>
              <w:marTop w:val="0"/>
              <w:marBottom w:val="0"/>
              <w:divBdr>
                <w:top w:val="none" w:sz="0" w:space="0" w:color="auto"/>
                <w:left w:val="none" w:sz="0" w:space="0" w:color="auto"/>
                <w:bottom w:val="none" w:sz="0" w:space="0" w:color="auto"/>
                <w:right w:val="none" w:sz="0" w:space="0" w:color="auto"/>
              </w:divBdr>
            </w:div>
            <w:div w:id="1079329063">
              <w:marLeft w:val="0"/>
              <w:marRight w:val="0"/>
              <w:marTop w:val="0"/>
              <w:marBottom w:val="0"/>
              <w:divBdr>
                <w:top w:val="none" w:sz="0" w:space="0" w:color="auto"/>
                <w:left w:val="none" w:sz="0" w:space="0" w:color="auto"/>
                <w:bottom w:val="none" w:sz="0" w:space="0" w:color="auto"/>
                <w:right w:val="none" w:sz="0" w:space="0" w:color="auto"/>
              </w:divBdr>
            </w:div>
            <w:div w:id="1079329064">
              <w:marLeft w:val="0"/>
              <w:marRight w:val="0"/>
              <w:marTop w:val="0"/>
              <w:marBottom w:val="0"/>
              <w:divBdr>
                <w:top w:val="none" w:sz="0" w:space="0" w:color="auto"/>
                <w:left w:val="none" w:sz="0" w:space="0" w:color="auto"/>
                <w:bottom w:val="none" w:sz="0" w:space="0" w:color="auto"/>
                <w:right w:val="none" w:sz="0" w:space="0" w:color="auto"/>
              </w:divBdr>
            </w:div>
            <w:div w:id="1079329065">
              <w:marLeft w:val="0"/>
              <w:marRight w:val="0"/>
              <w:marTop w:val="0"/>
              <w:marBottom w:val="0"/>
              <w:divBdr>
                <w:top w:val="none" w:sz="0" w:space="0" w:color="auto"/>
                <w:left w:val="none" w:sz="0" w:space="0" w:color="auto"/>
                <w:bottom w:val="none" w:sz="0" w:space="0" w:color="auto"/>
                <w:right w:val="none" w:sz="0" w:space="0" w:color="auto"/>
              </w:divBdr>
            </w:div>
            <w:div w:id="1079329066">
              <w:marLeft w:val="0"/>
              <w:marRight w:val="0"/>
              <w:marTop w:val="0"/>
              <w:marBottom w:val="0"/>
              <w:divBdr>
                <w:top w:val="none" w:sz="0" w:space="0" w:color="auto"/>
                <w:left w:val="none" w:sz="0" w:space="0" w:color="auto"/>
                <w:bottom w:val="none" w:sz="0" w:space="0" w:color="auto"/>
                <w:right w:val="none" w:sz="0" w:space="0" w:color="auto"/>
              </w:divBdr>
            </w:div>
            <w:div w:id="1079329067">
              <w:marLeft w:val="0"/>
              <w:marRight w:val="0"/>
              <w:marTop w:val="0"/>
              <w:marBottom w:val="0"/>
              <w:divBdr>
                <w:top w:val="none" w:sz="0" w:space="0" w:color="auto"/>
                <w:left w:val="none" w:sz="0" w:space="0" w:color="auto"/>
                <w:bottom w:val="none" w:sz="0" w:space="0" w:color="auto"/>
                <w:right w:val="none" w:sz="0" w:space="0" w:color="auto"/>
              </w:divBdr>
            </w:div>
            <w:div w:id="1079329068">
              <w:marLeft w:val="0"/>
              <w:marRight w:val="0"/>
              <w:marTop w:val="0"/>
              <w:marBottom w:val="0"/>
              <w:divBdr>
                <w:top w:val="none" w:sz="0" w:space="0" w:color="auto"/>
                <w:left w:val="none" w:sz="0" w:space="0" w:color="auto"/>
                <w:bottom w:val="none" w:sz="0" w:space="0" w:color="auto"/>
                <w:right w:val="none" w:sz="0" w:space="0" w:color="auto"/>
              </w:divBdr>
            </w:div>
            <w:div w:id="1079329069">
              <w:marLeft w:val="0"/>
              <w:marRight w:val="0"/>
              <w:marTop w:val="0"/>
              <w:marBottom w:val="0"/>
              <w:divBdr>
                <w:top w:val="none" w:sz="0" w:space="0" w:color="auto"/>
                <w:left w:val="none" w:sz="0" w:space="0" w:color="auto"/>
                <w:bottom w:val="none" w:sz="0" w:space="0" w:color="auto"/>
                <w:right w:val="none" w:sz="0" w:space="0" w:color="auto"/>
              </w:divBdr>
            </w:div>
            <w:div w:id="1079329071">
              <w:marLeft w:val="0"/>
              <w:marRight w:val="0"/>
              <w:marTop w:val="0"/>
              <w:marBottom w:val="0"/>
              <w:divBdr>
                <w:top w:val="none" w:sz="0" w:space="0" w:color="auto"/>
                <w:left w:val="none" w:sz="0" w:space="0" w:color="auto"/>
                <w:bottom w:val="none" w:sz="0" w:space="0" w:color="auto"/>
                <w:right w:val="none" w:sz="0" w:space="0" w:color="auto"/>
              </w:divBdr>
            </w:div>
            <w:div w:id="1079329073">
              <w:marLeft w:val="0"/>
              <w:marRight w:val="0"/>
              <w:marTop w:val="0"/>
              <w:marBottom w:val="0"/>
              <w:divBdr>
                <w:top w:val="none" w:sz="0" w:space="0" w:color="auto"/>
                <w:left w:val="none" w:sz="0" w:space="0" w:color="auto"/>
                <w:bottom w:val="none" w:sz="0" w:space="0" w:color="auto"/>
                <w:right w:val="none" w:sz="0" w:space="0" w:color="auto"/>
              </w:divBdr>
            </w:div>
            <w:div w:id="1079329075">
              <w:marLeft w:val="0"/>
              <w:marRight w:val="0"/>
              <w:marTop w:val="0"/>
              <w:marBottom w:val="0"/>
              <w:divBdr>
                <w:top w:val="none" w:sz="0" w:space="0" w:color="auto"/>
                <w:left w:val="none" w:sz="0" w:space="0" w:color="auto"/>
                <w:bottom w:val="none" w:sz="0" w:space="0" w:color="auto"/>
                <w:right w:val="none" w:sz="0" w:space="0" w:color="auto"/>
              </w:divBdr>
            </w:div>
            <w:div w:id="1079329077">
              <w:marLeft w:val="0"/>
              <w:marRight w:val="0"/>
              <w:marTop w:val="0"/>
              <w:marBottom w:val="0"/>
              <w:divBdr>
                <w:top w:val="none" w:sz="0" w:space="0" w:color="auto"/>
                <w:left w:val="none" w:sz="0" w:space="0" w:color="auto"/>
                <w:bottom w:val="none" w:sz="0" w:space="0" w:color="auto"/>
                <w:right w:val="none" w:sz="0" w:space="0" w:color="auto"/>
              </w:divBdr>
            </w:div>
            <w:div w:id="1079329079">
              <w:marLeft w:val="0"/>
              <w:marRight w:val="0"/>
              <w:marTop w:val="0"/>
              <w:marBottom w:val="0"/>
              <w:divBdr>
                <w:top w:val="none" w:sz="0" w:space="0" w:color="auto"/>
                <w:left w:val="none" w:sz="0" w:space="0" w:color="auto"/>
                <w:bottom w:val="none" w:sz="0" w:space="0" w:color="auto"/>
                <w:right w:val="none" w:sz="0" w:space="0" w:color="auto"/>
              </w:divBdr>
            </w:div>
            <w:div w:id="1079329081">
              <w:marLeft w:val="0"/>
              <w:marRight w:val="0"/>
              <w:marTop w:val="0"/>
              <w:marBottom w:val="0"/>
              <w:divBdr>
                <w:top w:val="none" w:sz="0" w:space="0" w:color="auto"/>
                <w:left w:val="none" w:sz="0" w:space="0" w:color="auto"/>
                <w:bottom w:val="none" w:sz="0" w:space="0" w:color="auto"/>
                <w:right w:val="none" w:sz="0" w:space="0" w:color="auto"/>
              </w:divBdr>
            </w:div>
            <w:div w:id="1079329082">
              <w:marLeft w:val="0"/>
              <w:marRight w:val="0"/>
              <w:marTop w:val="0"/>
              <w:marBottom w:val="0"/>
              <w:divBdr>
                <w:top w:val="none" w:sz="0" w:space="0" w:color="auto"/>
                <w:left w:val="none" w:sz="0" w:space="0" w:color="auto"/>
                <w:bottom w:val="none" w:sz="0" w:space="0" w:color="auto"/>
                <w:right w:val="none" w:sz="0" w:space="0" w:color="auto"/>
              </w:divBdr>
            </w:div>
            <w:div w:id="1079329083">
              <w:marLeft w:val="0"/>
              <w:marRight w:val="0"/>
              <w:marTop w:val="0"/>
              <w:marBottom w:val="0"/>
              <w:divBdr>
                <w:top w:val="none" w:sz="0" w:space="0" w:color="auto"/>
                <w:left w:val="none" w:sz="0" w:space="0" w:color="auto"/>
                <w:bottom w:val="none" w:sz="0" w:space="0" w:color="auto"/>
                <w:right w:val="none" w:sz="0" w:space="0" w:color="auto"/>
              </w:divBdr>
            </w:div>
            <w:div w:id="1079329084">
              <w:marLeft w:val="0"/>
              <w:marRight w:val="0"/>
              <w:marTop w:val="0"/>
              <w:marBottom w:val="0"/>
              <w:divBdr>
                <w:top w:val="none" w:sz="0" w:space="0" w:color="auto"/>
                <w:left w:val="none" w:sz="0" w:space="0" w:color="auto"/>
                <w:bottom w:val="none" w:sz="0" w:space="0" w:color="auto"/>
                <w:right w:val="none" w:sz="0" w:space="0" w:color="auto"/>
              </w:divBdr>
            </w:div>
            <w:div w:id="1079329085">
              <w:marLeft w:val="0"/>
              <w:marRight w:val="0"/>
              <w:marTop w:val="0"/>
              <w:marBottom w:val="0"/>
              <w:divBdr>
                <w:top w:val="none" w:sz="0" w:space="0" w:color="auto"/>
                <w:left w:val="none" w:sz="0" w:space="0" w:color="auto"/>
                <w:bottom w:val="none" w:sz="0" w:space="0" w:color="auto"/>
                <w:right w:val="none" w:sz="0" w:space="0" w:color="auto"/>
              </w:divBdr>
            </w:div>
            <w:div w:id="1079329086">
              <w:marLeft w:val="0"/>
              <w:marRight w:val="0"/>
              <w:marTop w:val="0"/>
              <w:marBottom w:val="0"/>
              <w:divBdr>
                <w:top w:val="none" w:sz="0" w:space="0" w:color="auto"/>
                <w:left w:val="none" w:sz="0" w:space="0" w:color="auto"/>
                <w:bottom w:val="none" w:sz="0" w:space="0" w:color="auto"/>
                <w:right w:val="none" w:sz="0" w:space="0" w:color="auto"/>
              </w:divBdr>
            </w:div>
            <w:div w:id="1079329087">
              <w:marLeft w:val="0"/>
              <w:marRight w:val="0"/>
              <w:marTop w:val="0"/>
              <w:marBottom w:val="0"/>
              <w:divBdr>
                <w:top w:val="none" w:sz="0" w:space="0" w:color="auto"/>
                <w:left w:val="none" w:sz="0" w:space="0" w:color="auto"/>
                <w:bottom w:val="none" w:sz="0" w:space="0" w:color="auto"/>
                <w:right w:val="none" w:sz="0" w:space="0" w:color="auto"/>
              </w:divBdr>
            </w:div>
            <w:div w:id="1079329088">
              <w:marLeft w:val="0"/>
              <w:marRight w:val="0"/>
              <w:marTop w:val="0"/>
              <w:marBottom w:val="0"/>
              <w:divBdr>
                <w:top w:val="none" w:sz="0" w:space="0" w:color="auto"/>
                <w:left w:val="none" w:sz="0" w:space="0" w:color="auto"/>
                <w:bottom w:val="none" w:sz="0" w:space="0" w:color="auto"/>
                <w:right w:val="none" w:sz="0" w:space="0" w:color="auto"/>
              </w:divBdr>
            </w:div>
            <w:div w:id="1079329089">
              <w:marLeft w:val="0"/>
              <w:marRight w:val="0"/>
              <w:marTop w:val="0"/>
              <w:marBottom w:val="0"/>
              <w:divBdr>
                <w:top w:val="none" w:sz="0" w:space="0" w:color="auto"/>
                <w:left w:val="none" w:sz="0" w:space="0" w:color="auto"/>
                <w:bottom w:val="none" w:sz="0" w:space="0" w:color="auto"/>
                <w:right w:val="none" w:sz="0" w:space="0" w:color="auto"/>
              </w:divBdr>
            </w:div>
            <w:div w:id="1079329090">
              <w:marLeft w:val="0"/>
              <w:marRight w:val="0"/>
              <w:marTop w:val="0"/>
              <w:marBottom w:val="0"/>
              <w:divBdr>
                <w:top w:val="none" w:sz="0" w:space="0" w:color="auto"/>
                <w:left w:val="none" w:sz="0" w:space="0" w:color="auto"/>
                <w:bottom w:val="none" w:sz="0" w:space="0" w:color="auto"/>
                <w:right w:val="none" w:sz="0" w:space="0" w:color="auto"/>
              </w:divBdr>
            </w:div>
            <w:div w:id="1079329091">
              <w:marLeft w:val="0"/>
              <w:marRight w:val="0"/>
              <w:marTop w:val="0"/>
              <w:marBottom w:val="0"/>
              <w:divBdr>
                <w:top w:val="none" w:sz="0" w:space="0" w:color="auto"/>
                <w:left w:val="none" w:sz="0" w:space="0" w:color="auto"/>
                <w:bottom w:val="none" w:sz="0" w:space="0" w:color="auto"/>
                <w:right w:val="none" w:sz="0" w:space="0" w:color="auto"/>
              </w:divBdr>
            </w:div>
            <w:div w:id="1079329092">
              <w:marLeft w:val="0"/>
              <w:marRight w:val="0"/>
              <w:marTop w:val="0"/>
              <w:marBottom w:val="0"/>
              <w:divBdr>
                <w:top w:val="none" w:sz="0" w:space="0" w:color="auto"/>
                <w:left w:val="none" w:sz="0" w:space="0" w:color="auto"/>
                <w:bottom w:val="none" w:sz="0" w:space="0" w:color="auto"/>
                <w:right w:val="none" w:sz="0" w:space="0" w:color="auto"/>
              </w:divBdr>
            </w:div>
            <w:div w:id="1079329093">
              <w:marLeft w:val="0"/>
              <w:marRight w:val="0"/>
              <w:marTop w:val="0"/>
              <w:marBottom w:val="0"/>
              <w:divBdr>
                <w:top w:val="none" w:sz="0" w:space="0" w:color="auto"/>
                <w:left w:val="none" w:sz="0" w:space="0" w:color="auto"/>
                <w:bottom w:val="none" w:sz="0" w:space="0" w:color="auto"/>
                <w:right w:val="none" w:sz="0" w:space="0" w:color="auto"/>
              </w:divBdr>
            </w:div>
            <w:div w:id="1079329096">
              <w:marLeft w:val="0"/>
              <w:marRight w:val="0"/>
              <w:marTop w:val="0"/>
              <w:marBottom w:val="0"/>
              <w:divBdr>
                <w:top w:val="none" w:sz="0" w:space="0" w:color="auto"/>
                <w:left w:val="none" w:sz="0" w:space="0" w:color="auto"/>
                <w:bottom w:val="none" w:sz="0" w:space="0" w:color="auto"/>
                <w:right w:val="none" w:sz="0" w:space="0" w:color="auto"/>
              </w:divBdr>
            </w:div>
            <w:div w:id="1079329097">
              <w:marLeft w:val="0"/>
              <w:marRight w:val="0"/>
              <w:marTop w:val="0"/>
              <w:marBottom w:val="0"/>
              <w:divBdr>
                <w:top w:val="none" w:sz="0" w:space="0" w:color="auto"/>
                <w:left w:val="none" w:sz="0" w:space="0" w:color="auto"/>
                <w:bottom w:val="none" w:sz="0" w:space="0" w:color="auto"/>
                <w:right w:val="none" w:sz="0" w:space="0" w:color="auto"/>
              </w:divBdr>
            </w:div>
            <w:div w:id="1079329099">
              <w:marLeft w:val="0"/>
              <w:marRight w:val="0"/>
              <w:marTop w:val="0"/>
              <w:marBottom w:val="0"/>
              <w:divBdr>
                <w:top w:val="none" w:sz="0" w:space="0" w:color="auto"/>
                <w:left w:val="none" w:sz="0" w:space="0" w:color="auto"/>
                <w:bottom w:val="none" w:sz="0" w:space="0" w:color="auto"/>
                <w:right w:val="none" w:sz="0" w:space="0" w:color="auto"/>
              </w:divBdr>
            </w:div>
            <w:div w:id="1079329100">
              <w:marLeft w:val="0"/>
              <w:marRight w:val="0"/>
              <w:marTop w:val="0"/>
              <w:marBottom w:val="0"/>
              <w:divBdr>
                <w:top w:val="none" w:sz="0" w:space="0" w:color="auto"/>
                <w:left w:val="none" w:sz="0" w:space="0" w:color="auto"/>
                <w:bottom w:val="none" w:sz="0" w:space="0" w:color="auto"/>
                <w:right w:val="none" w:sz="0" w:space="0" w:color="auto"/>
              </w:divBdr>
            </w:div>
            <w:div w:id="1079329102">
              <w:marLeft w:val="0"/>
              <w:marRight w:val="0"/>
              <w:marTop w:val="0"/>
              <w:marBottom w:val="0"/>
              <w:divBdr>
                <w:top w:val="none" w:sz="0" w:space="0" w:color="auto"/>
                <w:left w:val="none" w:sz="0" w:space="0" w:color="auto"/>
                <w:bottom w:val="none" w:sz="0" w:space="0" w:color="auto"/>
                <w:right w:val="none" w:sz="0" w:space="0" w:color="auto"/>
              </w:divBdr>
            </w:div>
            <w:div w:id="1079329104">
              <w:marLeft w:val="0"/>
              <w:marRight w:val="0"/>
              <w:marTop w:val="0"/>
              <w:marBottom w:val="0"/>
              <w:divBdr>
                <w:top w:val="none" w:sz="0" w:space="0" w:color="auto"/>
                <w:left w:val="none" w:sz="0" w:space="0" w:color="auto"/>
                <w:bottom w:val="none" w:sz="0" w:space="0" w:color="auto"/>
                <w:right w:val="none" w:sz="0" w:space="0" w:color="auto"/>
              </w:divBdr>
            </w:div>
            <w:div w:id="1079329105">
              <w:marLeft w:val="0"/>
              <w:marRight w:val="0"/>
              <w:marTop w:val="0"/>
              <w:marBottom w:val="0"/>
              <w:divBdr>
                <w:top w:val="none" w:sz="0" w:space="0" w:color="auto"/>
                <w:left w:val="none" w:sz="0" w:space="0" w:color="auto"/>
                <w:bottom w:val="none" w:sz="0" w:space="0" w:color="auto"/>
                <w:right w:val="none" w:sz="0" w:space="0" w:color="auto"/>
              </w:divBdr>
            </w:div>
            <w:div w:id="1079329106">
              <w:marLeft w:val="0"/>
              <w:marRight w:val="0"/>
              <w:marTop w:val="0"/>
              <w:marBottom w:val="0"/>
              <w:divBdr>
                <w:top w:val="none" w:sz="0" w:space="0" w:color="auto"/>
                <w:left w:val="none" w:sz="0" w:space="0" w:color="auto"/>
                <w:bottom w:val="none" w:sz="0" w:space="0" w:color="auto"/>
                <w:right w:val="none" w:sz="0" w:space="0" w:color="auto"/>
              </w:divBdr>
            </w:div>
            <w:div w:id="10793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9094">
      <w:marLeft w:val="0"/>
      <w:marRight w:val="0"/>
      <w:marTop w:val="0"/>
      <w:marBottom w:val="0"/>
      <w:divBdr>
        <w:top w:val="none" w:sz="0" w:space="0" w:color="auto"/>
        <w:left w:val="none" w:sz="0" w:space="0" w:color="auto"/>
        <w:bottom w:val="none" w:sz="0" w:space="0" w:color="auto"/>
        <w:right w:val="none" w:sz="0" w:space="0" w:color="auto"/>
      </w:divBdr>
    </w:div>
    <w:div w:id="1079329095">
      <w:marLeft w:val="0"/>
      <w:marRight w:val="0"/>
      <w:marTop w:val="0"/>
      <w:marBottom w:val="0"/>
      <w:divBdr>
        <w:top w:val="none" w:sz="0" w:space="0" w:color="auto"/>
        <w:left w:val="none" w:sz="0" w:space="0" w:color="auto"/>
        <w:bottom w:val="none" w:sz="0" w:space="0" w:color="auto"/>
        <w:right w:val="none" w:sz="0" w:space="0" w:color="auto"/>
      </w:divBdr>
    </w:div>
    <w:div w:id="1079329098">
      <w:marLeft w:val="0"/>
      <w:marRight w:val="0"/>
      <w:marTop w:val="0"/>
      <w:marBottom w:val="0"/>
      <w:divBdr>
        <w:top w:val="none" w:sz="0" w:space="0" w:color="auto"/>
        <w:left w:val="none" w:sz="0" w:space="0" w:color="auto"/>
        <w:bottom w:val="none" w:sz="0" w:space="0" w:color="auto"/>
        <w:right w:val="none" w:sz="0" w:space="0" w:color="auto"/>
      </w:divBdr>
    </w:div>
    <w:div w:id="107932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10880</Words>
  <Characters>62021</Characters>
  <Application>Microsoft Office Word</Application>
  <DocSecurity>0</DocSecurity>
  <Lines>516</Lines>
  <Paragraphs>145</Paragraphs>
  <ScaleCrop>false</ScaleCrop>
  <Company>Microsoft</Company>
  <LinksUpToDate>false</LinksUpToDate>
  <CharactersWithSpaces>72756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LS Ma</cp:lastModifiedBy>
  <cp:revision>2</cp:revision>
  <dcterms:created xsi:type="dcterms:W3CDTF">2014-01-03T01:37:00Z</dcterms:created>
  <dcterms:modified xsi:type="dcterms:W3CDTF">2014-01-03T01:37:00Z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id="LAc5XBdM"/&gt;&lt;style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