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CAD7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Name of Journal: </w:t>
      </w:r>
      <w:r w:rsidRPr="002B5663">
        <w:rPr>
          <w:rFonts w:ascii="Book Antiqua" w:eastAsia="Book Antiqua" w:hAnsi="Book Antiqua" w:cs="Book Antiqua"/>
          <w:i/>
          <w:color w:val="000000"/>
        </w:rPr>
        <w:t>World Journal of Clinical Cases</w:t>
      </w:r>
    </w:p>
    <w:p w14:paraId="5147736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Manuscript NO: </w:t>
      </w:r>
      <w:r w:rsidRPr="002B5663">
        <w:rPr>
          <w:rFonts w:ascii="Book Antiqua" w:eastAsia="Book Antiqua" w:hAnsi="Book Antiqua" w:cs="Book Antiqua"/>
          <w:color w:val="000000"/>
        </w:rPr>
        <w:t>64117</w:t>
      </w:r>
    </w:p>
    <w:p w14:paraId="3D228FE8"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Manuscript Type: </w:t>
      </w:r>
      <w:r w:rsidRPr="002B5663">
        <w:rPr>
          <w:rFonts w:ascii="Book Antiqua" w:eastAsia="Book Antiqua" w:hAnsi="Book Antiqua" w:cs="Book Antiqua"/>
          <w:color w:val="000000"/>
        </w:rPr>
        <w:t>CASE REPORT</w:t>
      </w:r>
    </w:p>
    <w:p w14:paraId="71F7832E" w14:textId="77777777" w:rsidR="00A77B3E" w:rsidRPr="002B5663" w:rsidRDefault="00A77B3E" w:rsidP="002B5663">
      <w:pPr>
        <w:adjustRightInd w:val="0"/>
        <w:snapToGrid w:val="0"/>
        <w:spacing w:line="360" w:lineRule="auto"/>
        <w:jc w:val="both"/>
        <w:rPr>
          <w:rFonts w:ascii="Book Antiqua" w:hAnsi="Book Antiqua"/>
        </w:rPr>
      </w:pPr>
    </w:p>
    <w:p w14:paraId="3F707BFD" w14:textId="0DF8FE4B"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Infliximab treatment of glycogenosis </w:t>
      </w:r>
      <w:proofErr w:type="spellStart"/>
      <w:r w:rsidRPr="002B5663">
        <w:rPr>
          <w:rFonts w:ascii="Book Antiqua" w:eastAsia="Book Antiqua" w:hAnsi="Book Antiqua" w:cs="Book Antiqua"/>
          <w:b/>
          <w:bCs/>
          <w:color w:val="000000"/>
        </w:rPr>
        <w:t>Ib</w:t>
      </w:r>
      <w:proofErr w:type="spellEnd"/>
      <w:r w:rsidRPr="002B5663">
        <w:rPr>
          <w:rFonts w:ascii="Book Antiqua" w:eastAsia="Book Antiqua" w:hAnsi="Book Antiqua" w:cs="Book Antiqua"/>
          <w:b/>
          <w:bCs/>
          <w:color w:val="000000"/>
        </w:rPr>
        <w:t xml:space="preserve"> with Crohn's-like enterocolitis: A case report</w:t>
      </w:r>
    </w:p>
    <w:p w14:paraId="5951718D" w14:textId="77777777" w:rsidR="00A77B3E" w:rsidRPr="002B5663" w:rsidRDefault="00A77B3E" w:rsidP="002B5663">
      <w:pPr>
        <w:adjustRightInd w:val="0"/>
        <w:snapToGrid w:val="0"/>
        <w:spacing w:line="360" w:lineRule="auto"/>
        <w:jc w:val="both"/>
        <w:rPr>
          <w:rFonts w:ascii="Book Antiqua" w:hAnsi="Book Antiqua"/>
        </w:rPr>
      </w:pPr>
    </w:p>
    <w:p w14:paraId="247E037E" w14:textId="25197707" w:rsidR="00A77B3E" w:rsidRPr="002B5663" w:rsidRDefault="00793C37"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Gong YZ</w:t>
      </w:r>
      <w:r w:rsidRPr="002B5663">
        <w:rPr>
          <w:rFonts w:ascii="Book Antiqua" w:eastAsia="Book Antiqua" w:hAnsi="Book Antiqua" w:cs="Book Antiqua"/>
          <w:i/>
          <w:iCs/>
          <w:color w:val="000000"/>
        </w:rPr>
        <w:t xml:space="preserve"> et al. </w:t>
      </w:r>
      <w:r w:rsidR="00341FC3" w:rsidRPr="002B5663">
        <w:rPr>
          <w:rFonts w:ascii="Book Antiqua" w:eastAsia="Book Antiqua" w:hAnsi="Book Antiqua" w:cs="Book Antiqua"/>
          <w:color w:val="000000"/>
        </w:rPr>
        <w:t xml:space="preserve">Infliximab treatment of GSD </w:t>
      </w:r>
      <w:proofErr w:type="spellStart"/>
      <w:r w:rsidR="00341FC3" w:rsidRPr="002B5663">
        <w:rPr>
          <w:rFonts w:ascii="Book Antiqua" w:eastAsia="Book Antiqua" w:hAnsi="Book Antiqua" w:cs="Book Antiqua"/>
          <w:color w:val="000000"/>
        </w:rPr>
        <w:t>Ib</w:t>
      </w:r>
      <w:proofErr w:type="spellEnd"/>
    </w:p>
    <w:p w14:paraId="1158C760" w14:textId="77777777" w:rsidR="00A77B3E" w:rsidRPr="002B5663" w:rsidRDefault="00A77B3E" w:rsidP="002B5663">
      <w:pPr>
        <w:adjustRightInd w:val="0"/>
        <w:snapToGrid w:val="0"/>
        <w:spacing w:line="360" w:lineRule="auto"/>
        <w:jc w:val="both"/>
        <w:rPr>
          <w:rFonts w:ascii="Book Antiqua" w:hAnsi="Book Antiqua"/>
        </w:rPr>
      </w:pPr>
    </w:p>
    <w:p w14:paraId="15E5761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You-</w:t>
      </w:r>
      <w:proofErr w:type="spellStart"/>
      <w:r w:rsidRPr="002B5663">
        <w:rPr>
          <w:rFonts w:ascii="Book Antiqua" w:eastAsia="Book Antiqua" w:hAnsi="Book Antiqua" w:cs="Book Antiqua"/>
          <w:color w:val="000000"/>
        </w:rPr>
        <w:t>Zhe</w:t>
      </w:r>
      <w:proofErr w:type="spellEnd"/>
      <w:r w:rsidRPr="002B5663">
        <w:rPr>
          <w:rFonts w:ascii="Book Antiqua" w:eastAsia="Book Antiqua" w:hAnsi="Book Antiqua" w:cs="Book Antiqua"/>
          <w:color w:val="000000"/>
        </w:rPr>
        <w:t xml:space="preserve"> Gong, </w:t>
      </w:r>
      <w:proofErr w:type="spellStart"/>
      <w:r w:rsidRPr="002B5663">
        <w:rPr>
          <w:rFonts w:ascii="Book Antiqua" w:eastAsia="Book Antiqua" w:hAnsi="Book Antiqua" w:cs="Book Antiqua"/>
          <w:color w:val="000000"/>
        </w:rPr>
        <w:t>Xue</w:t>
      </w:r>
      <w:proofErr w:type="spellEnd"/>
      <w:r w:rsidRPr="002B5663">
        <w:rPr>
          <w:rFonts w:ascii="Book Antiqua" w:eastAsia="Book Antiqua" w:hAnsi="Book Antiqua" w:cs="Book Antiqua"/>
          <w:color w:val="000000"/>
        </w:rPr>
        <w:t xml:space="preserve">-Mei </w:t>
      </w:r>
      <w:proofErr w:type="spellStart"/>
      <w:r w:rsidRPr="002B5663">
        <w:rPr>
          <w:rFonts w:ascii="Book Antiqua" w:eastAsia="Book Antiqua" w:hAnsi="Book Antiqua" w:cs="Book Antiqua"/>
          <w:color w:val="000000"/>
        </w:rPr>
        <w:t>Zhong</w:t>
      </w:r>
      <w:proofErr w:type="spellEnd"/>
      <w:r w:rsidRPr="002B5663">
        <w:rPr>
          <w:rFonts w:ascii="Book Antiqua" w:eastAsia="Book Antiqua" w:hAnsi="Book Antiqua" w:cs="Book Antiqua"/>
          <w:color w:val="000000"/>
        </w:rPr>
        <w:t>, Ji-Zhen Zou</w:t>
      </w:r>
    </w:p>
    <w:p w14:paraId="1EF0C78C" w14:textId="77777777" w:rsidR="00A77B3E" w:rsidRPr="002B5663" w:rsidRDefault="00A77B3E" w:rsidP="002B5663">
      <w:pPr>
        <w:adjustRightInd w:val="0"/>
        <w:snapToGrid w:val="0"/>
        <w:spacing w:line="360" w:lineRule="auto"/>
        <w:jc w:val="both"/>
        <w:rPr>
          <w:rFonts w:ascii="Book Antiqua" w:hAnsi="Book Antiqua"/>
        </w:rPr>
      </w:pPr>
    </w:p>
    <w:p w14:paraId="16240241"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You-</w:t>
      </w:r>
      <w:proofErr w:type="spellStart"/>
      <w:r w:rsidRPr="002B5663">
        <w:rPr>
          <w:rFonts w:ascii="Book Antiqua" w:eastAsia="Book Antiqua" w:hAnsi="Book Antiqua" w:cs="Book Antiqua"/>
          <w:b/>
          <w:bCs/>
          <w:color w:val="000000"/>
        </w:rPr>
        <w:t>Zhe</w:t>
      </w:r>
      <w:proofErr w:type="spellEnd"/>
      <w:r w:rsidRPr="002B5663">
        <w:rPr>
          <w:rFonts w:ascii="Book Antiqua" w:eastAsia="Book Antiqua" w:hAnsi="Book Antiqua" w:cs="Book Antiqua"/>
          <w:b/>
          <w:bCs/>
          <w:color w:val="000000"/>
        </w:rPr>
        <w:t xml:space="preserve"> Gong, </w:t>
      </w:r>
      <w:proofErr w:type="spellStart"/>
      <w:r w:rsidRPr="002B5663">
        <w:rPr>
          <w:rFonts w:ascii="Book Antiqua" w:eastAsia="Book Antiqua" w:hAnsi="Book Antiqua" w:cs="Book Antiqua"/>
          <w:b/>
          <w:bCs/>
          <w:color w:val="000000"/>
        </w:rPr>
        <w:t>Xue</w:t>
      </w:r>
      <w:proofErr w:type="spellEnd"/>
      <w:r w:rsidRPr="002B5663">
        <w:rPr>
          <w:rFonts w:ascii="Book Antiqua" w:eastAsia="Book Antiqua" w:hAnsi="Book Antiqua" w:cs="Book Antiqua"/>
          <w:b/>
          <w:bCs/>
          <w:color w:val="000000"/>
        </w:rPr>
        <w:t xml:space="preserve">-Mei </w:t>
      </w:r>
      <w:proofErr w:type="spellStart"/>
      <w:r w:rsidRPr="002B5663">
        <w:rPr>
          <w:rFonts w:ascii="Book Antiqua" w:eastAsia="Book Antiqua" w:hAnsi="Book Antiqua" w:cs="Book Antiqua"/>
          <w:b/>
          <w:bCs/>
          <w:color w:val="000000"/>
        </w:rPr>
        <w:t>Zhong</w:t>
      </w:r>
      <w:proofErr w:type="spellEnd"/>
      <w:r w:rsidRPr="002B5663">
        <w:rPr>
          <w:rFonts w:ascii="Book Antiqua" w:eastAsia="Book Antiqua" w:hAnsi="Book Antiqua" w:cs="Book Antiqua"/>
          <w:b/>
          <w:bCs/>
          <w:color w:val="000000"/>
        </w:rPr>
        <w:t xml:space="preserve">, </w:t>
      </w:r>
      <w:r w:rsidRPr="002B5663">
        <w:rPr>
          <w:rFonts w:ascii="Book Antiqua" w:eastAsia="Book Antiqua" w:hAnsi="Book Antiqua" w:cs="Book Antiqua"/>
          <w:color w:val="000000"/>
        </w:rPr>
        <w:t>Gastroenterology Department, Capital Institute of Pediatrics, Beijing 100020, China</w:t>
      </w:r>
    </w:p>
    <w:p w14:paraId="7E773A85" w14:textId="77777777" w:rsidR="00A77B3E" w:rsidRPr="002B5663" w:rsidRDefault="00A77B3E" w:rsidP="002B5663">
      <w:pPr>
        <w:adjustRightInd w:val="0"/>
        <w:snapToGrid w:val="0"/>
        <w:spacing w:line="360" w:lineRule="auto"/>
        <w:jc w:val="both"/>
        <w:rPr>
          <w:rFonts w:ascii="Book Antiqua" w:hAnsi="Book Antiqua"/>
        </w:rPr>
      </w:pPr>
    </w:p>
    <w:p w14:paraId="3F0D086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Ji-Zhen Zou, </w:t>
      </w:r>
      <w:r w:rsidRPr="002B5663">
        <w:rPr>
          <w:rFonts w:ascii="Book Antiqua" w:eastAsia="Book Antiqua" w:hAnsi="Book Antiqua" w:cs="Book Antiqua"/>
          <w:color w:val="000000"/>
        </w:rPr>
        <w:t>Pathology Department, Capital Institute of Pediatrics, Beijing 100020, China</w:t>
      </w:r>
    </w:p>
    <w:p w14:paraId="72079268" w14:textId="77777777" w:rsidR="00A77B3E" w:rsidRPr="002B5663" w:rsidRDefault="00A77B3E" w:rsidP="002B5663">
      <w:pPr>
        <w:adjustRightInd w:val="0"/>
        <w:snapToGrid w:val="0"/>
        <w:spacing w:line="360" w:lineRule="auto"/>
        <w:jc w:val="both"/>
        <w:rPr>
          <w:rFonts w:ascii="Book Antiqua" w:hAnsi="Book Antiqua"/>
        </w:rPr>
      </w:pPr>
    </w:p>
    <w:p w14:paraId="278894D2" w14:textId="6A7DFD6F"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Author contributions: </w:t>
      </w:r>
      <w:r w:rsidRPr="002B5663">
        <w:rPr>
          <w:rFonts w:ascii="Book Antiqua" w:eastAsia="Book Antiqua" w:hAnsi="Book Antiqua" w:cs="Book Antiqua"/>
          <w:color w:val="000000"/>
        </w:rPr>
        <w:t>Gong YZ carried out the study, participated in collecting data, and drafted the manuscript; Zhong XM conceived the study and revised the paper; Zou JZ provided pathological data and revised the paper;</w:t>
      </w:r>
      <w:r w:rsidR="00D979E2">
        <w:rPr>
          <w:rFonts w:ascii="Book Antiqua" w:eastAsia="Book Antiqua" w:hAnsi="Book Antiqua" w:cs="Book Antiqua"/>
          <w:color w:val="000000"/>
        </w:rPr>
        <w:t xml:space="preserve"> A</w:t>
      </w:r>
      <w:r w:rsidRPr="002B5663">
        <w:rPr>
          <w:rFonts w:ascii="Book Antiqua" w:eastAsia="Book Antiqua" w:hAnsi="Book Antiqua" w:cs="Book Antiqua"/>
          <w:color w:val="000000"/>
        </w:rPr>
        <w:t>ll authors read and approved the final manuscript.</w:t>
      </w:r>
    </w:p>
    <w:p w14:paraId="0FE40753" w14:textId="77777777" w:rsidR="005C5EE5" w:rsidRDefault="005C5EE5" w:rsidP="005C5EE5">
      <w:pPr>
        <w:spacing w:line="360" w:lineRule="auto"/>
        <w:jc w:val="both"/>
      </w:pPr>
    </w:p>
    <w:p w14:paraId="39F9BB11" w14:textId="57023125" w:rsidR="005C5EE5" w:rsidRDefault="005C5EE5" w:rsidP="005C5EE5">
      <w:pPr>
        <w:spacing w:line="360" w:lineRule="auto"/>
        <w:jc w:val="both"/>
      </w:pPr>
      <w:proofErr w:type="gramStart"/>
      <w:r>
        <w:rPr>
          <w:rFonts w:ascii="Book Antiqua" w:eastAsia="Book Antiqua" w:hAnsi="Book Antiqua" w:cs="Book Antiqua"/>
          <w:b/>
          <w:bCs/>
          <w:color w:val="000000"/>
        </w:rPr>
        <w:t xml:space="preserve">Supported by </w:t>
      </w:r>
      <w:r w:rsidRPr="005C5EE5">
        <w:rPr>
          <w:rFonts w:ascii="Book Antiqua" w:eastAsia="Book Antiqua" w:hAnsi="Book Antiqua" w:cs="Book Antiqua" w:hint="eastAsia"/>
          <w:color w:val="000000"/>
        </w:rPr>
        <w:t>the Digestive Medical Coordinated Development Center of Beijing Hospitals Authority, No.XXZ0505</w:t>
      </w:r>
      <w:r>
        <w:rPr>
          <w:rFonts w:ascii="Book Antiqua" w:eastAsia="Book Antiqua" w:hAnsi="Book Antiqua" w:cs="Book Antiqua"/>
          <w:color w:val="000000"/>
        </w:rPr>
        <w:t>.</w:t>
      </w:r>
      <w:proofErr w:type="gramEnd"/>
    </w:p>
    <w:p w14:paraId="3C8A52B1" w14:textId="77777777" w:rsidR="005C5EE5" w:rsidRDefault="005C5EE5" w:rsidP="005C5EE5">
      <w:pPr>
        <w:spacing w:line="360" w:lineRule="auto"/>
        <w:jc w:val="both"/>
      </w:pPr>
    </w:p>
    <w:p w14:paraId="584553C4" w14:textId="282D6A7B"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Corresponding author: </w:t>
      </w:r>
      <w:proofErr w:type="spellStart"/>
      <w:r w:rsidRPr="002B5663">
        <w:rPr>
          <w:rFonts w:ascii="Book Antiqua" w:eastAsia="Book Antiqua" w:hAnsi="Book Antiqua" w:cs="Book Antiqua"/>
          <w:b/>
          <w:bCs/>
          <w:color w:val="000000"/>
        </w:rPr>
        <w:t>Xue</w:t>
      </w:r>
      <w:proofErr w:type="spellEnd"/>
      <w:r w:rsidRPr="002B5663">
        <w:rPr>
          <w:rFonts w:ascii="Book Antiqua" w:eastAsia="Book Antiqua" w:hAnsi="Book Antiqua" w:cs="Book Antiqua"/>
          <w:b/>
          <w:bCs/>
          <w:color w:val="000000"/>
        </w:rPr>
        <w:t xml:space="preserve">-Mei </w:t>
      </w:r>
      <w:proofErr w:type="spellStart"/>
      <w:r w:rsidRPr="002B5663">
        <w:rPr>
          <w:rFonts w:ascii="Book Antiqua" w:eastAsia="Book Antiqua" w:hAnsi="Book Antiqua" w:cs="Book Antiqua"/>
          <w:b/>
          <w:bCs/>
          <w:color w:val="000000"/>
        </w:rPr>
        <w:t>Zhong</w:t>
      </w:r>
      <w:proofErr w:type="spellEnd"/>
      <w:r w:rsidRPr="002B5663">
        <w:rPr>
          <w:rFonts w:ascii="Book Antiqua" w:eastAsia="Book Antiqua" w:hAnsi="Book Antiqua" w:cs="Book Antiqua"/>
          <w:b/>
          <w:bCs/>
          <w:color w:val="000000"/>
        </w:rPr>
        <w:t xml:space="preserve">, MD, Associate Professor, Chief Doctor, </w:t>
      </w:r>
      <w:r w:rsidRPr="002B5663">
        <w:rPr>
          <w:rFonts w:ascii="Book Antiqua" w:eastAsia="Book Antiqua" w:hAnsi="Book Antiqua" w:cs="Book Antiqua"/>
          <w:color w:val="000000"/>
        </w:rPr>
        <w:t>Gastro</w:t>
      </w:r>
      <w:r w:rsidR="00516015">
        <w:rPr>
          <w:rFonts w:ascii="Book Antiqua" w:hAnsi="Book Antiqua" w:cs="Book Antiqua" w:hint="eastAsia"/>
          <w:color w:val="000000"/>
          <w:lang w:eastAsia="zh-CN"/>
        </w:rPr>
        <w:t>-</w:t>
      </w:r>
      <w:proofErr w:type="spellStart"/>
      <w:r w:rsidRPr="002B5663">
        <w:rPr>
          <w:rFonts w:ascii="Book Antiqua" w:eastAsia="Book Antiqua" w:hAnsi="Book Antiqua" w:cs="Book Antiqua"/>
          <w:color w:val="000000"/>
        </w:rPr>
        <w:t>enterology</w:t>
      </w:r>
      <w:proofErr w:type="spellEnd"/>
      <w:r w:rsidRPr="002B5663">
        <w:rPr>
          <w:rFonts w:ascii="Book Antiqua" w:eastAsia="Book Antiqua" w:hAnsi="Book Antiqua" w:cs="Book Antiqua"/>
          <w:color w:val="000000"/>
        </w:rPr>
        <w:t xml:space="preserve"> Department, Capital Institute of Pediatrics, No.</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2 </w:t>
      </w:r>
      <w:proofErr w:type="spellStart"/>
      <w:r w:rsidRPr="002B5663">
        <w:rPr>
          <w:rFonts w:ascii="Book Antiqua" w:eastAsia="Book Antiqua" w:hAnsi="Book Antiqua" w:cs="Book Antiqua"/>
          <w:color w:val="000000"/>
        </w:rPr>
        <w:t>Yabao</w:t>
      </w:r>
      <w:proofErr w:type="spellEnd"/>
      <w:r w:rsidRPr="002B5663">
        <w:rPr>
          <w:rFonts w:ascii="Book Antiqua" w:eastAsia="Book Antiqua" w:hAnsi="Book Antiqua" w:cs="Book Antiqua"/>
          <w:color w:val="000000"/>
        </w:rPr>
        <w:t xml:space="preserve"> Road, Chaoyang District, Beijing 100020, China. zhongxuemei@shouer.com.cn</w:t>
      </w:r>
    </w:p>
    <w:p w14:paraId="76AB6117" w14:textId="77777777" w:rsidR="00A77B3E" w:rsidRPr="002B5663" w:rsidRDefault="00A77B3E" w:rsidP="002B5663">
      <w:pPr>
        <w:adjustRightInd w:val="0"/>
        <w:snapToGrid w:val="0"/>
        <w:spacing w:line="360" w:lineRule="auto"/>
        <w:jc w:val="both"/>
        <w:rPr>
          <w:rFonts w:ascii="Book Antiqua" w:hAnsi="Book Antiqua"/>
        </w:rPr>
      </w:pPr>
    </w:p>
    <w:p w14:paraId="27B895D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lastRenderedPageBreak/>
        <w:t xml:space="preserve">Received: </w:t>
      </w:r>
      <w:r w:rsidRPr="002B5663">
        <w:rPr>
          <w:rFonts w:ascii="Book Antiqua" w:eastAsia="Book Antiqua" w:hAnsi="Book Antiqua" w:cs="Book Antiqua"/>
          <w:color w:val="000000"/>
        </w:rPr>
        <w:t>February 9, 2021</w:t>
      </w:r>
    </w:p>
    <w:p w14:paraId="6F59DEFA"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Revised: </w:t>
      </w:r>
      <w:r w:rsidRPr="002B5663">
        <w:rPr>
          <w:rFonts w:ascii="Book Antiqua" w:eastAsia="Book Antiqua" w:hAnsi="Book Antiqua" w:cs="Book Antiqua"/>
          <w:color w:val="000000"/>
        </w:rPr>
        <w:t>March 11, 2021</w:t>
      </w:r>
    </w:p>
    <w:p w14:paraId="65CC16A7" w14:textId="183E126D"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Accepted: </w:t>
      </w:r>
      <w:r w:rsidR="0018777A" w:rsidRPr="0018777A">
        <w:rPr>
          <w:rFonts w:ascii="Book Antiqua" w:eastAsia="Book Antiqua" w:hAnsi="Book Antiqua" w:cs="Book Antiqua"/>
          <w:bCs/>
          <w:color w:val="000000"/>
        </w:rPr>
        <w:t>April 25, 2021</w:t>
      </w:r>
    </w:p>
    <w:p w14:paraId="618DEBFE" w14:textId="7596DD4E"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Published online: </w:t>
      </w:r>
      <w:r w:rsidR="00D65134">
        <w:rPr>
          <w:rFonts w:ascii="Book Antiqua" w:hAnsi="Book Antiqua"/>
          <w:color w:val="000000"/>
          <w:shd w:val="clear" w:color="auto" w:fill="FFFFFF"/>
        </w:rPr>
        <w:t>July 6</w:t>
      </w:r>
      <w:r w:rsidR="00D65134">
        <w:rPr>
          <w:rFonts w:ascii="Book Antiqua" w:hAnsi="Book Antiqua" w:hint="eastAsia"/>
          <w:color w:val="000000"/>
          <w:shd w:val="clear" w:color="auto" w:fill="FFFFFF"/>
          <w:lang w:eastAsia="zh-CN"/>
        </w:rPr>
        <w:t>, 2021</w:t>
      </w:r>
    </w:p>
    <w:p w14:paraId="1CA35B9F" w14:textId="77777777" w:rsidR="00A77B3E" w:rsidRPr="002B5663" w:rsidRDefault="00A77B3E" w:rsidP="002B5663">
      <w:pPr>
        <w:adjustRightInd w:val="0"/>
        <w:snapToGrid w:val="0"/>
        <w:spacing w:line="360" w:lineRule="auto"/>
        <w:jc w:val="both"/>
        <w:rPr>
          <w:rFonts w:ascii="Book Antiqua" w:hAnsi="Book Antiqua"/>
        </w:rPr>
        <w:sectPr w:rsidR="00A77B3E" w:rsidRPr="002B5663" w:rsidSect="003E7B84">
          <w:footerReference w:type="default" r:id="rId7"/>
          <w:pgSz w:w="12240" w:h="15840"/>
          <w:pgMar w:top="1440" w:right="1800" w:bottom="1440" w:left="1800" w:header="720" w:footer="720" w:gutter="0"/>
          <w:cols w:space="720"/>
          <w:docGrid w:linePitch="360"/>
        </w:sectPr>
      </w:pPr>
    </w:p>
    <w:p w14:paraId="41FEAF44"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lastRenderedPageBreak/>
        <w:t>Abstract</w:t>
      </w:r>
    </w:p>
    <w:p w14:paraId="629688A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BACKGROUND</w:t>
      </w:r>
    </w:p>
    <w:p w14:paraId="4404B340" w14:textId="3A9ABA46"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is a glycogen metabolism disorder</w:t>
      </w:r>
      <w:r w:rsidR="00247865">
        <w:rPr>
          <w:rFonts w:ascii="Book Antiqua" w:eastAsia="Book Antiqua" w:hAnsi="Book Antiqua" w:cs="Book Antiqua"/>
          <w:color w:val="000000"/>
        </w:rPr>
        <w:t xml:space="preserve"> that</w:t>
      </w:r>
      <w:r w:rsidRPr="002B5663">
        <w:rPr>
          <w:rFonts w:ascii="Book Antiqua" w:eastAsia="Book Antiqua" w:hAnsi="Book Antiqua" w:cs="Book Antiqua"/>
          <w:color w:val="000000"/>
        </w:rPr>
        <w:t xml:space="preserve"> leads to the manifestations of inflammatory bowel disease (IBD), especially Crohn’s disease (CD)-like colitis. Although biological agents are effective for treating CD, their application in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CD-like colitis has been rarely reported.</w:t>
      </w:r>
    </w:p>
    <w:p w14:paraId="035D7685" w14:textId="77777777" w:rsidR="00A77B3E" w:rsidRPr="002B5663" w:rsidRDefault="00A77B3E" w:rsidP="002B5663">
      <w:pPr>
        <w:adjustRightInd w:val="0"/>
        <w:snapToGrid w:val="0"/>
        <w:spacing w:line="360" w:lineRule="auto"/>
        <w:jc w:val="both"/>
        <w:rPr>
          <w:rFonts w:ascii="Book Antiqua" w:hAnsi="Book Antiqua"/>
        </w:rPr>
      </w:pPr>
    </w:p>
    <w:p w14:paraId="33987EBF"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CASE SUMMARY</w:t>
      </w:r>
    </w:p>
    <w:p w14:paraId="7C43223A" w14:textId="6590CF25"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A 13-year-old Han male was diagnosed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The patient was treated with granulocyte colony-stimulating factor. When he had symptoms of CD-like colitis, he was continuously pumped with enteral nutrition and administered oral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xml:space="preserve"> for 2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however, the symptoms did not improve significantly. Hence, infliximab (IFX) was administered. Hitherto, the patient has been followed up for 1 year, and no clinical manifestations have been observed. After 6 </w:t>
      </w:r>
      <w:proofErr w:type="spellStart"/>
      <w:r w:rsidRPr="002B5663">
        <w:rPr>
          <w:rFonts w:ascii="Book Antiqua" w:eastAsia="Book Antiqua" w:hAnsi="Book Antiqua" w:cs="Book Antiqua"/>
          <w:color w:val="000000"/>
        </w:rPr>
        <w:t>mo</w:t>
      </w:r>
      <w:proofErr w:type="spellEnd"/>
      <w:r w:rsidRPr="002B5663">
        <w:rPr>
          <w:rFonts w:ascii="Book Antiqua" w:eastAsia="Book Antiqua" w:hAnsi="Book Antiqua" w:cs="Book Antiqua"/>
          <w:color w:val="000000"/>
        </w:rPr>
        <w:t xml:space="preserve"> of treatment </w:t>
      </w:r>
      <w:r w:rsidRPr="00247865">
        <w:rPr>
          <w:rFonts w:ascii="Book Antiqua" w:eastAsia="Book Antiqua" w:hAnsi="Book Antiqua" w:cs="Book Antiqua"/>
          <w:color w:val="000000"/>
        </w:rPr>
        <w:t>(</w:t>
      </w:r>
      <w:r w:rsidR="00247865">
        <w:rPr>
          <w:rFonts w:ascii="Book Antiqua" w:eastAsia="Book Antiqua" w:hAnsi="Book Antiqua" w:cs="Book Antiqua"/>
          <w:color w:val="000000"/>
        </w:rPr>
        <w:t>fifth</w:t>
      </w:r>
      <w:r w:rsidRPr="002B5663">
        <w:rPr>
          <w:rFonts w:ascii="Book Antiqua" w:eastAsia="Book Antiqua" w:hAnsi="Book Antiqua" w:cs="Book Antiqua"/>
          <w:color w:val="000000"/>
        </w:rPr>
        <w:t xml:space="preserve"> IFX treatment), the disease activity index and all inflammatory indexes decreased, and a review of the colonoscopy data showed that the ulcers </w:t>
      </w:r>
      <w:r w:rsidR="00247865">
        <w:rPr>
          <w:rFonts w:ascii="Book Antiqua" w:eastAsia="Book Antiqua" w:hAnsi="Book Antiqua" w:cs="Book Antiqua"/>
          <w:color w:val="000000"/>
        </w:rPr>
        <w:t>appeared smooth</w:t>
      </w:r>
      <w:r w:rsidRPr="002B5663">
        <w:rPr>
          <w:rFonts w:ascii="Book Antiqua" w:eastAsia="Book Antiqua" w:hAnsi="Book Antiqua" w:cs="Book Antiqua"/>
          <w:color w:val="000000"/>
        </w:rPr>
        <w:t>.</w:t>
      </w:r>
    </w:p>
    <w:p w14:paraId="3684F7CB" w14:textId="77777777" w:rsidR="00A77B3E" w:rsidRPr="002B5663" w:rsidRDefault="00A77B3E" w:rsidP="002B5663">
      <w:pPr>
        <w:adjustRightInd w:val="0"/>
        <w:snapToGrid w:val="0"/>
        <w:spacing w:line="360" w:lineRule="auto"/>
        <w:jc w:val="both"/>
        <w:rPr>
          <w:rFonts w:ascii="Book Antiqua" w:hAnsi="Book Antiqua"/>
        </w:rPr>
      </w:pPr>
    </w:p>
    <w:p w14:paraId="2622EFC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CONCLUSION</w:t>
      </w:r>
    </w:p>
    <w:p w14:paraId="25566923" w14:textId="7A4E15B1"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In th</w:t>
      </w:r>
      <w:r w:rsidR="00247865">
        <w:rPr>
          <w:rFonts w:ascii="Book Antiqua" w:eastAsia="Book Antiqua" w:hAnsi="Book Antiqua" w:cs="Book Antiqua"/>
          <w:color w:val="000000"/>
        </w:rPr>
        <w:t>is</w:t>
      </w:r>
      <w:r w:rsidRPr="002B5663">
        <w:rPr>
          <w:rFonts w:ascii="Book Antiqua" w:eastAsia="Book Antiqua" w:hAnsi="Book Antiqua" w:cs="Book Antiqua"/>
          <w:color w:val="000000"/>
        </w:rPr>
        <w:t xml:space="preserve"> study, the patient was successfully treated with IFX. In case</w:t>
      </w:r>
      <w:r w:rsidR="00247865">
        <w:rPr>
          <w:rFonts w:ascii="Book Antiqua" w:eastAsia="Book Antiqua" w:hAnsi="Book Antiqua" w:cs="Book Antiqua"/>
          <w:color w:val="000000"/>
        </w:rPr>
        <w:t>s</w:t>
      </w:r>
      <w:r w:rsidRPr="002B5663">
        <w:rPr>
          <w:rFonts w:ascii="Book Antiqua" w:eastAsia="Book Antiqua" w:hAnsi="Book Antiqua" w:cs="Book Antiqua"/>
          <w:color w:val="000000"/>
        </w:rPr>
        <w:t xml:space="preserve">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IBD should be highly </w:t>
      </w:r>
      <w:r w:rsidR="00247865">
        <w:rPr>
          <w:rFonts w:ascii="Book Antiqua" w:eastAsia="Book Antiqua" w:hAnsi="Book Antiqua" w:cs="Book Antiqua"/>
          <w:color w:val="000000"/>
        </w:rPr>
        <w:t>considered</w:t>
      </w:r>
      <w:r w:rsidRPr="002B5663">
        <w:rPr>
          <w:rFonts w:ascii="Book Antiqua" w:eastAsia="Book Antiqua" w:hAnsi="Book Antiqua" w:cs="Book Antiqua"/>
          <w:color w:val="000000"/>
        </w:rPr>
        <w:t>.</w:t>
      </w:r>
    </w:p>
    <w:p w14:paraId="7F0C1923" w14:textId="77777777" w:rsidR="00A77B3E" w:rsidRPr="002B5663" w:rsidRDefault="00A77B3E" w:rsidP="002B5663">
      <w:pPr>
        <w:adjustRightInd w:val="0"/>
        <w:snapToGrid w:val="0"/>
        <w:spacing w:line="360" w:lineRule="auto"/>
        <w:jc w:val="both"/>
        <w:rPr>
          <w:rFonts w:ascii="Book Antiqua" w:hAnsi="Book Antiqua"/>
        </w:rPr>
      </w:pPr>
    </w:p>
    <w:p w14:paraId="0E2D411D"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Key Words: </w:t>
      </w:r>
      <w:r w:rsidRPr="002B5663">
        <w:rPr>
          <w:rFonts w:ascii="Book Antiqua" w:eastAsia="Book Antiqua" w:hAnsi="Book Antiqua" w:cs="Book Antiqua"/>
          <w:color w:val="000000"/>
        </w:rPr>
        <w:t>Crohn’s disease; Glycogen storage disease type I; Treatment; Infliximab; Case report</w:t>
      </w:r>
    </w:p>
    <w:p w14:paraId="72C9CBED" w14:textId="77777777" w:rsidR="00BA2C67" w:rsidRDefault="00BA2C67" w:rsidP="00BA2C67">
      <w:pPr>
        <w:spacing w:line="360" w:lineRule="auto"/>
        <w:rPr>
          <w:rFonts w:ascii="Book Antiqua" w:hAnsi="Book Antiqua" w:cs="Book Antiqua"/>
          <w:b/>
          <w:color w:val="000000"/>
        </w:rPr>
      </w:pPr>
    </w:p>
    <w:p w14:paraId="42A131C4" w14:textId="77777777" w:rsidR="00BA2C67" w:rsidRPr="00026CB8" w:rsidRDefault="00BA2C67" w:rsidP="00BA2C6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927B080" w14:textId="77777777" w:rsidR="00A77B3E" w:rsidRPr="002B5663" w:rsidRDefault="00A77B3E" w:rsidP="002B5663">
      <w:pPr>
        <w:adjustRightInd w:val="0"/>
        <w:snapToGrid w:val="0"/>
        <w:spacing w:line="360" w:lineRule="auto"/>
        <w:jc w:val="both"/>
        <w:rPr>
          <w:rFonts w:ascii="Book Antiqua" w:hAnsi="Book Antiqua"/>
        </w:rPr>
      </w:pPr>
    </w:p>
    <w:p w14:paraId="02AB1CD5" w14:textId="66FDB3AE"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 xml:space="preserve">Gong YZ, Zhong XM, Zou JZ. Infliximab treatment of glycogenosis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Crohn's-like enterocolitis: A case report. </w:t>
      </w:r>
      <w:r w:rsidRPr="002B5663">
        <w:rPr>
          <w:rFonts w:ascii="Book Antiqua" w:eastAsia="Book Antiqua" w:hAnsi="Book Antiqua" w:cs="Book Antiqua"/>
          <w:i/>
          <w:iCs/>
          <w:color w:val="000000"/>
        </w:rPr>
        <w:t xml:space="preserve">World J </w:t>
      </w:r>
      <w:proofErr w:type="spellStart"/>
      <w:r w:rsidRPr="002B5663">
        <w:rPr>
          <w:rFonts w:ascii="Book Antiqua" w:eastAsia="Book Antiqua" w:hAnsi="Book Antiqua" w:cs="Book Antiqua"/>
          <w:i/>
          <w:iCs/>
          <w:color w:val="000000"/>
        </w:rPr>
        <w:t>Clin</w:t>
      </w:r>
      <w:proofErr w:type="spellEnd"/>
      <w:r w:rsidRPr="002B5663">
        <w:rPr>
          <w:rFonts w:ascii="Book Antiqua" w:eastAsia="Book Antiqua" w:hAnsi="Book Antiqua" w:cs="Book Antiqua"/>
          <w:i/>
          <w:iCs/>
          <w:color w:val="000000"/>
        </w:rPr>
        <w:t xml:space="preserve"> Cases</w:t>
      </w:r>
      <w:r w:rsidRPr="002B5663">
        <w:rPr>
          <w:rFonts w:ascii="Book Antiqua" w:eastAsia="Book Antiqua" w:hAnsi="Book Antiqua" w:cs="Book Antiqua"/>
          <w:color w:val="000000"/>
        </w:rPr>
        <w:t xml:space="preserve"> 2021; </w:t>
      </w:r>
      <w:r w:rsidR="00D65134">
        <w:rPr>
          <w:rFonts w:ascii="Book Antiqua" w:hAnsi="Book Antiqua" w:cs="Book Antiqua" w:hint="eastAsia"/>
          <w:color w:val="000000"/>
        </w:rPr>
        <w:t>9</w:t>
      </w:r>
      <w:r w:rsidR="00D65134" w:rsidRPr="008963A2">
        <w:rPr>
          <w:rFonts w:ascii="Book Antiqua" w:eastAsia="Book Antiqua" w:hAnsi="Book Antiqua" w:cs="Book Antiqua"/>
          <w:color w:val="000000"/>
        </w:rPr>
        <w:t>(</w:t>
      </w:r>
      <w:r w:rsidR="00D65134">
        <w:rPr>
          <w:rFonts w:ascii="Book Antiqua" w:hAnsi="Book Antiqua" w:cs="Book Antiqua" w:hint="eastAsia"/>
          <w:color w:val="000000"/>
        </w:rPr>
        <w:t>1</w:t>
      </w:r>
      <w:r w:rsidR="00D65134">
        <w:rPr>
          <w:rFonts w:ascii="Book Antiqua" w:hAnsi="Book Antiqua" w:cs="Book Antiqua" w:hint="eastAsia"/>
          <w:color w:val="000000"/>
          <w:lang w:eastAsia="zh-CN"/>
        </w:rPr>
        <w:t>9</w:t>
      </w:r>
      <w:r w:rsidR="00D65134" w:rsidRPr="008963A2">
        <w:rPr>
          <w:rFonts w:ascii="Book Antiqua" w:eastAsia="Book Antiqua" w:hAnsi="Book Antiqua" w:cs="Book Antiqua"/>
          <w:color w:val="000000"/>
        </w:rPr>
        <w:t xml:space="preserve">): </w:t>
      </w:r>
      <w:r w:rsidR="00BA2C67">
        <w:rPr>
          <w:rFonts w:ascii="Book Antiqua" w:hAnsi="Book Antiqua" w:cs="Book Antiqua" w:hint="eastAsia"/>
          <w:color w:val="000000"/>
          <w:lang w:eastAsia="zh-CN"/>
        </w:rPr>
        <w:t>5280-</w:t>
      </w:r>
      <w:proofErr w:type="gramStart"/>
      <w:r w:rsidR="00BA2C67">
        <w:rPr>
          <w:rFonts w:ascii="Book Antiqua" w:hAnsi="Book Antiqua" w:cs="Book Antiqua" w:hint="eastAsia"/>
          <w:color w:val="000000"/>
          <w:lang w:eastAsia="zh-CN"/>
        </w:rPr>
        <w:t>5286</w:t>
      </w:r>
      <w:r w:rsidR="00D65134" w:rsidRPr="008963A2">
        <w:rPr>
          <w:rFonts w:ascii="Book Antiqua" w:eastAsia="Book Antiqua" w:hAnsi="Book Antiqua" w:cs="Book Antiqua"/>
          <w:color w:val="000000"/>
        </w:rPr>
        <w:t xml:space="preserve">  URL</w:t>
      </w:r>
      <w:proofErr w:type="gramEnd"/>
      <w:r w:rsidR="00D65134" w:rsidRPr="008963A2">
        <w:rPr>
          <w:rFonts w:ascii="Book Antiqua" w:eastAsia="Book Antiqua" w:hAnsi="Book Antiqua" w:cs="Book Antiqua"/>
          <w:color w:val="000000"/>
        </w:rPr>
        <w:t>: https://www.wjgnet.com/2307-8960/full/v</w:t>
      </w:r>
      <w:r w:rsidR="00D65134">
        <w:rPr>
          <w:rFonts w:ascii="Book Antiqua" w:hAnsi="Book Antiqua" w:cs="Book Antiqua" w:hint="eastAsia"/>
          <w:color w:val="000000"/>
        </w:rPr>
        <w:t>9</w:t>
      </w:r>
      <w:r w:rsidR="00D65134" w:rsidRPr="008963A2">
        <w:rPr>
          <w:rFonts w:ascii="Book Antiqua" w:eastAsia="Book Antiqua" w:hAnsi="Book Antiqua" w:cs="Book Antiqua"/>
          <w:color w:val="000000"/>
        </w:rPr>
        <w:t>/i</w:t>
      </w:r>
      <w:r w:rsidR="00D65134">
        <w:rPr>
          <w:rFonts w:ascii="Book Antiqua" w:hAnsi="Book Antiqua" w:cs="Book Antiqua" w:hint="eastAsia"/>
          <w:color w:val="000000"/>
        </w:rPr>
        <w:t>1</w:t>
      </w:r>
      <w:r w:rsidR="00D65134">
        <w:rPr>
          <w:rFonts w:ascii="Book Antiqua" w:hAnsi="Book Antiqua" w:cs="Book Antiqua" w:hint="eastAsia"/>
          <w:color w:val="000000"/>
          <w:lang w:eastAsia="zh-CN"/>
        </w:rPr>
        <w:t>9</w:t>
      </w:r>
      <w:r w:rsidR="00D65134" w:rsidRPr="008963A2">
        <w:rPr>
          <w:rFonts w:ascii="Book Antiqua" w:eastAsia="Book Antiqua" w:hAnsi="Book Antiqua" w:cs="Book Antiqua"/>
          <w:color w:val="000000"/>
        </w:rPr>
        <w:t>/</w:t>
      </w:r>
      <w:r w:rsidR="00BA2C67">
        <w:rPr>
          <w:rFonts w:ascii="Book Antiqua" w:hAnsi="Book Antiqua" w:cs="Book Antiqua" w:hint="eastAsia"/>
          <w:color w:val="000000"/>
          <w:lang w:eastAsia="zh-CN"/>
        </w:rPr>
        <w:t>528</w:t>
      </w:r>
      <w:r w:rsidR="00D65134" w:rsidRPr="008963A2">
        <w:rPr>
          <w:rFonts w:ascii="Book Antiqua" w:eastAsia="Book Antiqua" w:hAnsi="Book Antiqua" w:cs="Book Antiqua"/>
          <w:color w:val="000000"/>
        </w:rPr>
        <w:t>0.htm  DOI: https://dx.doi.org/10.12998/wjcc.v</w:t>
      </w:r>
      <w:r w:rsidR="00D65134">
        <w:rPr>
          <w:rFonts w:ascii="Book Antiqua" w:hAnsi="Book Antiqua" w:cs="Book Antiqua" w:hint="eastAsia"/>
          <w:color w:val="000000"/>
        </w:rPr>
        <w:t>9</w:t>
      </w:r>
      <w:r w:rsidR="00D65134" w:rsidRPr="008963A2">
        <w:rPr>
          <w:rFonts w:ascii="Book Antiqua" w:eastAsia="Book Antiqua" w:hAnsi="Book Antiqua" w:cs="Book Antiqua"/>
          <w:color w:val="000000"/>
        </w:rPr>
        <w:t>.i</w:t>
      </w:r>
      <w:r w:rsidR="00D65134">
        <w:rPr>
          <w:rFonts w:ascii="Book Antiqua" w:hAnsi="Book Antiqua" w:cs="Book Antiqua" w:hint="eastAsia"/>
          <w:color w:val="000000"/>
        </w:rPr>
        <w:t>1</w:t>
      </w:r>
      <w:r w:rsidR="00D65134">
        <w:rPr>
          <w:rFonts w:ascii="Book Antiqua" w:hAnsi="Book Antiqua" w:cs="Book Antiqua" w:hint="eastAsia"/>
          <w:color w:val="000000"/>
          <w:lang w:eastAsia="zh-CN"/>
        </w:rPr>
        <w:t>9</w:t>
      </w:r>
      <w:r w:rsidR="00D65134" w:rsidRPr="008963A2">
        <w:rPr>
          <w:rFonts w:ascii="Book Antiqua" w:eastAsia="Book Antiqua" w:hAnsi="Book Antiqua" w:cs="Book Antiqua"/>
          <w:color w:val="000000"/>
        </w:rPr>
        <w:t>.</w:t>
      </w:r>
      <w:r w:rsidR="00BA2C67">
        <w:rPr>
          <w:rFonts w:ascii="Book Antiqua" w:hAnsi="Book Antiqua" w:cs="Book Antiqua" w:hint="eastAsia"/>
          <w:color w:val="000000"/>
          <w:lang w:eastAsia="zh-CN"/>
        </w:rPr>
        <w:t>528</w:t>
      </w:r>
      <w:r w:rsidR="00D65134" w:rsidRPr="008963A2">
        <w:rPr>
          <w:rFonts w:ascii="Book Antiqua" w:eastAsia="Book Antiqua" w:hAnsi="Book Antiqua" w:cs="Book Antiqua"/>
          <w:color w:val="000000"/>
        </w:rPr>
        <w:t>0</w:t>
      </w:r>
    </w:p>
    <w:p w14:paraId="797DD471" w14:textId="77777777" w:rsidR="00A77B3E" w:rsidRPr="002B5663" w:rsidRDefault="00A77B3E" w:rsidP="002B5663">
      <w:pPr>
        <w:adjustRightInd w:val="0"/>
        <w:snapToGrid w:val="0"/>
        <w:spacing w:line="360" w:lineRule="auto"/>
        <w:jc w:val="both"/>
        <w:rPr>
          <w:rFonts w:ascii="Book Antiqua" w:hAnsi="Book Antiqua"/>
        </w:rPr>
      </w:pPr>
    </w:p>
    <w:p w14:paraId="6B4BF4AD" w14:textId="394D0228"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Core Tip: </w:t>
      </w:r>
      <w:r w:rsidRPr="002B5663">
        <w:rPr>
          <w:rFonts w:ascii="Book Antiqua" w:eastAsia="Book Antiqua" w:hAnsi="Book Antiqua" w:cs="Book Antiqua"/>
          <w:color w:val="000000"/>
        </w:rPr>
        <w:t xml:space="preserve">Conventional treatment cannot alleviate symptoms of intestinal inflammation in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Although biological agents are effective for treating Crohn’s disease (CD), their application in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has been rarely reported. Infliximab was selected for this patient,</w:t>
      </w:r>
      <w:r w:rsidR="00C22E0D">
        <w:rPr>
          <w:rFonts w:ascii="Book Antiqua" w:eastAsia="Book Antiqua" w:hAnsi="Book Antiqua" w:cs="Book Antiqua"/>
          <w:color w:val="000000"/>
        </w:rPr>
        <w:t xml:space="preserve"> and</w:t>
      </w:r>
      <w:r w:rsidRPr="002B5663">
        <w:rPr>
          <w:rFonts w:ascii="Book Antiqua" w:eastAsia="Book Antiqua" w:hAnsi="Book Antiqua" w:cs="Book Antiqua"/>
          <w:color w:val="000000"/>
        </w:rPr>
        <w:t xml:space="preserve"> the intestinal symptoms </w:t>
      </w:r>
      <w:r w:rsidR="00C22E0D">
        <w:rPr>
          <w:rFonts w:ascii="Book Antiqua" w:eastAsia="Book Antiqua" w:hAnsi="Book Antiqua" w:cs="Book Antiqua"/>
          <w:color w:val="000000"/>
        </w:rPr>
        <w:t>were successfully alleviated</w:t>
      </w:r>
      <w:r w:rsidRPr="002B5663">
        <w:rPr>
          <w:rFonts w:ascii="Book Antiqua" w:eastAsia="Book Antiqua" w:hAnsi="Book Antiqua" w:cs="Book Antiqua"/>
          <w:color w:val="000000"/>
        </w:rPr>
        <w:t>. For cases with poor outcome using the granulocyte colony-stimulating factor treatment, infliximab can be used for t</w:t>
      </w:r>
      <w:r w:rsidR="00C22E0D">
        <w:rPr>
          <w:rFonts w:ascii="Book Antiqua" w:eastAsia="Book Antiqua" w:hAnsi="Book Antiqua" w:cs="Book Antiqua"/>
          <w:color w:val="000000"/>
        </w:rPr>
        <w:t>herapy</w:t>
      </w:r>
      <w:r w:rsidRPr="002B5663">
        <w:rPr>
          <w:rFonts w:ascii="Book Antiqua" w:eastAsia="Book Antiqua" w:hAnsi="Book Antiqua" w:cs="Book Antiqua"/>
          <w:color w:val="000000"/>
        </w:rPr>
        <w:t>.</w:t>
      </w:r>
    </w:p>
    <w:p w14:paraId="1C3BBC14" w14:textId="7EE0BE40" w:rsidR="00A77B3E" w:rsidRPr="002B5663" w:rsidRDefault="00793C37" w:rsidP="002B5663">
      <w:pPr>
        <w:adjustRightInd w:val="0"/>
        <w:snapToGrid w:val="0"/>
        <w:spacing w:line="360" w:lineRule="auto"/>
        <w:jc w:val="both"/>
        <w:rPr>
          <w:rFonts w:ascii="Book Antiqua" w:hAnsi="Book Antiqua"/>
        </w:rPr>
      </w:pPr>
      <w:r w:rsidRPr="002B5663">
        <w:rPr>
          <w:rFonts w:ascii="Book Antiqua" w:hAnsi="Book Antiqua"/>
        </w:rPr>
        <w:br w:type="page"/>
      </w:r>
      <w:r w:rsidR="00341FC3" w:rsidRPr="002B5663">
        <w:rPr>
          <w:rFonts w:ascii="Book Antiqua" w:eastAsia="Book Antiqua" w:hAnsi="Book Antiqua" w:cs="Book Antiqua"/>
          <w:b/>
          <w:caps/>
          <w:color w:val="000000"/>
          <w:u w:val="single"/>
        </w:rPr>
        <w:lastRenderedPageBreak/>
        <w:t>INTRODUCTION</w:t>
      </w:r>
    </w:p>
    <w:p w14:paraId="3AAAFDEB" w14:textId="72D3C68C"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(GSD-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is a glycogen metabolism disorder caused by mutation in the </w:t>
      </w:r>
      <w:r w:rsidRPr="002B5663">
        <w:rPr>
          <w:rFonts w:ascii="Book Antiqua" w:eastAsia="Book Antiqua" w:hAnsi="Book Antiqua" w:cs="Book Antiqua"/>
          <w:i/>
          <w:iCs/>
          <w:color w:val="000000"/>
        </w:rPr>
        <w:t>SLC37A4</w:t>
      </w:r>
      <w:r w:rsidRPr="002B5663">
        <w:rPr>
          <w:rFonts w:ascii="Book Antiqua" w:eastAsia="Book Antiqua" w:hAnsi="Book Antiqua" w:cs="Book Antiqua"/>
          <w:color w:val="000000"/>
        </w:rPr>
        <w:t xml:space="preserve"> gene that encodes</w:t>
      </w:r>
      <w:r w:rsidRPr="002B5663">
        <w:rPr>
          <w:rFonts w:ascii="Book Antiqua" w:eastAsia="Book Antiqua" w:hAnsi="Book Antiqua" w:cs="Book Antiqua"/>
          <w:i/>
          <w:iCs/>
          <w:color w:val="000000"/>
        </w:rPr>
        <w:t xml:space="preserve"> </w:t>
      </w:r>
      <w:r w:rsidRPr="002B5663">
        <w:rPr>
          <w:rFonts w:ascii="Book Antiqua" w:eastAsia="Book Antiqua" w:hAnsi="Book Antiqua" w:cs="Book Antiqua"/>
          <w:color w:val="000000"/>
        </w:rPr>
        <w:t xml:space="preserve">glucose-6-phosphotransferase. As a result, glucose-6-phosphate cannot be transported into the microsome and </w:t>
      </w:r>
      <w:r w:rsidR="00C22E0D">
        <w:rPr>
          <w:rFonts w:ascii="Book Antiqua" w:eastAsia="Book Antiqua" w:hAnsi="Book Antiqua" w:cs="Book Antiqua"/>
          <w:color w:val="000000"/>
        </w:rPr>
        <w:t xml:space="preserve">be </w:t>
      </w:r>
      <w:r w:rsidRPr="002B5663">
        <w:rPr>
          <w:rFonts w:ascii="Book Antiqua" w:eastAsia="Book Antiqua" w:hAnsi="Book Antiqua" w:cs="Book Antiqua"/>
          <w:color w:val="000000"/>
        </w:rPr>
        <w:t>decomposed into glucose</w:t>
      </w:r>
      <w:r w:rsidRPr="002B5663">
        <w:rPr>
          <w:rFonts w:ascii="Book Antiqua" w:eastAsia="Book Antiqua" w:hAnsi="Book Antiqua" w:cs="Book Antiqua"/>
          <w:color w:val="000000"/>
          <w:vertAlign w:val="superscript"/>
        </w:rPr>
        <w:t>[1]</w:t>
      </w:r>
      <w:r w:rsidRPr="002B5663">
        <w:rPr>
          <w:rFonts w:ascii="Book Antiqua" w:eastAsia="Book Antiqua" w:hAnsi="Book Antiqua" w:cs="Book Antiqua"/>
          <w:color w:val="000000"/>
        </w:rPr>
        <w:t xml:space="preserve">. The clinical manifestations include abnormal glucose metabolism, which leads to fasting hypoglycemia, liver enlargement, growth retardation, count reduction, and granulocyte dysfunction. </w:t>
      </w:r>
    </w:p>
    <w:p w14:paraId="4CDBF21E" w14:textId="5A587FDD"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The count reduction and granulocyte dysfunction induce intestinal mucosal ulcers, which le</w:t>
      </w:r>
      <w:r w:rsidR="00992118">
        <w:rPr>
          <w:rFonts w:ascii="Book Antiqua" w:eastAsia="Book Antiqua" w:hAnsi="Book Antiqua" w:cs="Book Antiqua"/>
          <w:color w:val="000000"/>
        </w:rPr>
        <w:t>a</w:t>
      </w:r>
      <w:r w:rsidRPr="002B5663">
        <w:rPr>
          <w:rFonts w:ascii="Book Antiqua" w:eastAsia="Book Antiqua" w:hAnsi="Book Antiqua" w:cs="Book Antiqua"/>
          <w:color w:val="000000"/>
        </w:rPr>
        <w:t>d to the manifestations of inflammatory bowel disease (IBD)</w:t>
      </w:r>
      <w:r w:rsidRPr="002B5663">
        <w:rPr>
          <w:rFonts w:ascii="Book Antiqua" w:eastAsia="Book Antiqua" w:hAnsi="Book Antiqua" w:cs="Book Antiqua"/>
          <w:color w:val="000000"/>
          <w:vertAlign w:val="superscript"/>
        </w:rPr>
        <w:t>[2]</w:t>
      </w:r>
      <w:r w:rsidRPr="002B5663">
        <w:rPr>
          <w:rFonts w:ascii="Book Antiqua" w:eastAsia="Book Antiqua" w:hAnsi="Book Antiqua" w:cs="Book Antiqua"/>
          <w:color w:val="000000"/>
        </w:rPr>
        <w:t>, especially Crohn’s disease (CD-like colitis). The manifestations include abdominal pain, diarrhea, vomiting, growth retardation, poor nutrient absorption, repeated perianal abscess, as well as multiple ulcers in the intestinal mucosa. Several studies revealed that 77%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disease cases could be concurrent with IBD-like manifestations</w:t>
      </w:r>
      <w:r w:rsidRPr="002B5663">
        <w:rPr>
          <w:rFonts w:ascii="Book Antiqua" w:eastAsia="Book Antiqua" w:hAnsi="Book Antiqua" w:cs="Book Antiqua"/>
          <w:color w:val="000000"/>
          <w:vertAlign w:val="superscript"/>
        </w:rPr>
        <w:t>[2]</w:t>
      </w:r>
      <w:r w:rsidRPr="002B5663">
        <w:rPr>
          <w:rFonts w:ascii="Book Antiqua" w:eastAsia="Book Antiqua" w:hAnsi="Book Antiqua" w:cs="Book Antiqua"/>
          <w:color w:val="000000"/>
        </w:rPr>
        <w:t>.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can be effectively treated by the regular administration of granulocyte colony-stimulating factor (G-CSF).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xml:space="preserve"> can also relieve intestinal inflammation.</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However, conventional treatment cannot alleviate symptoms of intestinal inflammation</w:t>
      </w:r>
      <w:r w:rsidRPr="002B5663">
        <w:rPr>
          <w:rFonts w:ascii="Book Antiqua" w:eastAsia="Book Antiqua" w:hAnsi="Book Antiqua" w:cs="Book Antiqua"/>
          <w:color w:val="000000"/>
          <w:vertAlign w:val="superscript"/>
        </w:rPr>
        <w:t>[3]</w:t>
      </w:r>
      <w:r w:rsidRPr="002B5663">
        <w:rPr>
          <w:rFonts w:ascii="Book Antiqua" w:eastAsia="Book Antiqua" w:hAnsi="Book Antiqua" w:cs="Book Antiqua"/>
          <w:color w:val="000000"/>
        </w:rPr>
        <w:t>. Although biological agents are effective for treating CD, their application in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or CD-like colitis has been rarely reported.</w:t>
      </w:r>
    </w:p>
    <w:p w14:paraId="2CE44942" w14:textId="11FF4307"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Herein, a case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combined with CD-like enterocolitis who received ineffective G-CSF treatment is reported. Owing to </w:t>
      </w:r>
      <w:r w:rsidR="00992118">
        <w:rPr>
          <w:rFonts w:ascii="Book Antiqua" w:eastAsia="Book Antiqua" w:hAnsi="Book Antiqua" w:cs="Book Antiqua"/>
          <w:color w:val="000000"/>
        </w:rPr>
        <w:t>its</w:t>
      </w:r>
      <w:r w:rsidRPr="002B5663">
        <w:rPr>
          <w:rFonts w:ascii="Book Antiqua" w:eastAsia="Book Antiqua" w:hAnsi="Book Antiqua" w:cs="Book Antiqua"/>
          <w:color w:val="000000"/>
        </w:rPr>
        <w:t xml:space="preserve"> </w:t>
      </w:r>
      <w:r w:rsidR="00992118">
        <w:rPr>
          <w:rFonts w:ascii="Book Antiqua" w:eastAsia="Book Antiqua" w:hAnsi="Book Antiqua" w:cs="Book Antiqua"/>
          <w:color w:val="000000"/>
        </w:rPr>
        <w:t>demonstrated</w:t>
      </w:r>
      <w:r w:rsidR="00992118" w:rsidRPr="002B5663">
        <w:rPr>
          <w:rFonts w:ascii="Book Antiqua" w:eastAsia="Book Antiqua" w:hAnsi="Book Antiqua" w:cs="Book Antiqua"/>
          <w:color w:val="000000"/>
        </w:rPr>
        <w:t xml:space="preserve"> </w:t>
      </w:r>
      <w:r w:rsidR="00992118">
        <w:rPr>
          <w:rFonts w:ascii="Book Antiqua" w:eastAsia="Book Antiqua" w:hAnsi="Book Antiqua" w:cs="Book Antiqua"/>
          <w:color w:val="000000"/>
        </w:rPr>
        <w:t>efficacy</w:t>
      </w:r>
      <w:r w:rsidRPr="002B5663">
        <w:rPr>
          <w:rFonts w:ascii="Book Antiqua" w:eastAsia="Book Antiqua" w:hAnsi="Book Antiqua" w:cs="Book Antiqua"/>
          <w:color w:val="000000"/>
        </w:rPr>
        <w:t xml:space="preserve"> for the treatment of moderate to severe CD, infliximab (IFX) was selected, as it can suc</w:t>
      </w:r>
      <w:r w:rsidR="00516015">
        <w:rPr>
          <w:rFonts w:ascii="Book Antiqua" w:hAnsi="Book Antiqua" w:cs="Book Antiqua" w:hint="eastAsia"/>
          <w:color w:val="000000"/>
          <w:lang w:eastAsia="zh-CN"/>
        </w:rPr>
        <w:t>-</w:t>
      </w:r>
      <w:r w:rsidRPr="002B5663">
        <w:rPr>
          <w:rFonts w:ascii="Book Antiqua" w:eastAsia="Book Antiqua" w:hAnsi="Book Antiqua" w:cs="Book Antiqua"/>
          <w:color w:val="000000"/>
        </w:rPr>
        <w:t>cessfully alleviate intestinal symptoms.</w:t>
      </w:r>
    </w:p>
    <w:p w14:paraId="4CDB3315" w14:textId="77777777" w:rsidR="00A77B3E" w:rsidRPr="002B5663" w:rsidRDefault="00A77B3E" w:rsidP="002B5663">
      <w:pPr>
        <w:adjustRightInd w:val="0"/>
        <w:snapToGrid w:val="0"/>
        <w:spacing w:line="360" w:lineRule="auto"/>
        <w:ind w:firstLine="240"/>
        <w:jc w:val="both"/>
        <w:rPr>
          <w:rFonts w:ascii="Book Antiqua" w:hAnsi="Book Antiqua"/>
        </w:rPr>
      </w:pPr>
    </w:p>
    <w:p w14:paraId="104378C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CASE PRESENTATION</w:t>
      </w:r>
    </w:p>
    <w:p w14:paraId="077C72F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Chief complaints</w:t>
      </w:r>
    </w:p>
    <w:p w14:paraId="4C52071A" w14:textId="73BC1D5F"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A 13-year-old Han male was admitted for intermittent abdominal pain and defecation for </w:t>
      </w:r>
      <w:r w:rsidR="00992118">
        <w:rPr>
          <w:rFonts w:ascii="Book Antiqua" w:eastAsia="Book Antiqua" w:hAnsi="Book Antiqua" w:cs="Book Antiqua"/>
          <w:color w:val="000000"/>
        </w:rPr>
        <w:t>1.5</w:t>
      </w:r>
      <w:r w:rsidRPr="002B5663">
        <w:rPr>
          <w:rFonts w:ascii="Book Antiqua" w:eastAsia="Book Antiqua" w:hAnsi="Book Antiqua" w:cs="Book Antiqua"/>
          <w:color w:val="000000"/>
        </w:rPr>
        <w:t xml:space="preserve"> years and aggravation with vomiting for half a month.</w:t>
      </w:r>
    </w:p>
    <w:p w14:paraId="01E746D7" w14:textId="77777777" w:rsidR="00A77B3E" w:rsidRPr="002B5663" w:rsidRDefault="00A77B3E" w:rsidP="002B5663">
      <w:pPr>
        <w:adjustRightInd w:val="0"/>
        <w:snapToGrid w:val="0"/>
        <w:spacing w:line="360" w:lineRule="auto"/>
        <w:jc w:val="both"/>
        <w:rPr>
          <w:rFonts w:ascii="Book Antiqua" w:hAnsi="Book Antiqua"/>
        </w:rPr>
      </w:pPr>
    </w:p>
    <w:p w14:paraId="20956A25"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History of present illness</w:t>
      </w:r>
    </w:p>
    <w:p w14:paraId="1F15BE39" w14:textId="39763940"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One and a half years ago, the patient presented tolerable upper abdominal pain without an obvious cause, with loose stool </w:t>
      </w:r>
      <w:r w:rsidR="00992118">
        <w:rPr>
          <w:rFonts w:ascii="Book Antiqua" w:eastAsia="Book Antiqua" w:hAnsi="Book Antiqua" w:cs="Book Antiqua"/>
          <w:color w:val="000000"/>
        </w:rPr>
        <w:t>three to four</w:t>
      </w:r>
      <w:r w:rsidRPr="002B5663">
        <w:rPr>
          <w:rFonts w:ascii="Book Antiqua" w:eastAsia="Book Antiqua" w:hAnsi="Book Antiqua" w:cs="Book Antiqua"/>
          <w:color w:val="000000"/>
        </w:rPr>
        <w:t xml:space="preserve"> times/d. In the past half month, the abdominal pain worsened</w:t>
      </w:r>
      <w:r w:rsidR="00992118">
        <w:rPr>
          <w:rFonts w:ascii="Book Antiqua" w:eastAsia="Book Antiqua" w:hAnsi="Book Antiqua" w:cs="Book Antiqua"/>
          <w:color w:val="000000"/>
        </w:rPr>
        <w:t>, which</w:t>
      </w:r>
      <w:r w:rsidRPr="002B5663">
        <w:rPr>
          <w:rFonts w:ascii="Book Antiqua" w:eastAsia="Book Antiqua" w:hAnsi="Book Antiqua" w:cs="Book Antiqua"/>
          <w:color w:val="000000"/>
        </w:rPr>
        <w:t xml:space="preserve"> affected eating</w:t>
      </w:r>
      <w:r w:rsidR="00992118">
        <w:rPr>
          <w:rFonts w:ascii="Book Antiqua" w:eastAsia="Book Antiqua" w:hAnsi="Book Antiqua" w:cs="Book Antiqua"/>
          <w:color w:val="000000"/>
        </w:rPr>
        <w:t>;</w:t>
      </w:r>
      <w:r w:rsidRPr="002B5663">
        <w:rPr>
          <w:rFonts w:ascii="Book Antiqua" w:eastAsia="Book Antiqua" w:hAnsi="Book Antiqua" w:cs="Book Antiqua"/>
          <w:color w:val="000000"/>
        </w:rPr>
        <w:t xml:space="preserve"> the patient vomited after eating. He did not have fever, </w:t>
      </w:r>
      <w:r w:rsidRPr="002B5663">
        <w:rPr>
          <w:rFonts w:ascii="Book Antiqua" w:eastAsia="Book Antiqua" w:hAnsi="Book Antiqua" w:cs="Book Antiqua"/>
          <w:color w:val="000000"/>
          <w:shd w:val="clear" w:color="auto" w:fill="FFFFFF"/>
        </w:rPr>
        <w:t>hematochezia</w:t>
      </w:r>
      <w:r w:rsidRPr="002B5663">
        <w:rPr>
          <w:rFonts w:ascii="Book Antiqua" w:eastAsia="Book Antiqua" w:hAnsi="Book Antiqua" w:cs="Book Antiqua"/>
          <w:color w:val="000000"/>
        </w:rPr>
        <w:t>, articular pain, or other symptoms. The patient was injected with amoxicillin [50</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mg/(</w:t>
      </w:r>
      <w:proofErr w:type="spellStart"/>
      <w:r w:rsidRPr="002B5663">
        <w:rPr>
          <w:rFonts w:ascii="Book Antiqua" w:eastAsia="Book Antiqua" w:hAnsi="Book Antiqua" w:cs="Book Antiqua"/>
          <w:color w:val="000000"/>
        </w:rPr>
        <w:t>kg.d</w:t>
      </w:r>
      <w:proofErr w:type="spellEnd"/>
      <w:r w:rsidRPr="002B5663">
        <w:rPr>
          <w:rFonts w:ascii="Book Antiqua" w:eastAsia="Book Antiqua" w:hAnsi="Book Antiqua" w:cs="Book Antiqua"/>
          <w:color w:val="000000"/>
        </w:rPr>
        <w:t>),</w:t>
      </w:r>
      <w:r w:rsidRPr="002B5663">
        <w:rPr>
          <w:rFonts w:ascii="Book Antiqua" w:eastAsia="Book Antiqua" w:hAnsi="Book Antiqua" w:cs="Book Antiqua"/>
          <w:i/>
          <w:color w:val="000000"/>
        </w:rPr>
        <w:t xml:space="preserve"> i.e.</w:t>
      </w:r>
      <w:r w:rsidRPr="002B5663">
        <w:rPr>
          <w:rFonts w:ascii="Book Antiqua" w:eastAsia="Book Antiqua" w:hAnsi="Book Antiqua" w:cs="Book Antiqua"/>
          <w:color w:val="000000"/>
        </w:rPr>
        <w:t xml:space="preserve"> 1500</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mg/d, </w:t>
      </w:r>
      <w:r w:rsidR="00992118">
        <w:rPr>
          <w:rFonts w:ascii="Book Antiqua" w:eastAsia="Book Antiqua" w:hAnsi="Book Antiqua" w:cs="Book Antiqua"/>
          <w:color w:val="000000"/>
        </w:rPr>
        <w:t>three</w:t>
      </w:r>
      <w:r w:rsidRPr="002B5663">
        <w:rPr>
          <w:rFonts w:ascii="Book Antiqua" w:eastAsia="Book Antiqua" w:hAnsi="Book Antiqua" w:cs="Book Antiqua"/>
          <w:color w:val="000000"/>
        </w:rPr>
        <w:t xml:space="preserve"> times a day for </w:t>
      </w:r>
      <w:r w:rsidR="00992118">
        <w:rPr>
          <w:rFonts w:ascii="Book Antiqua" w:eastAsia="Book Antiqua" w:hAnsi="Book Antiqua" w:cs="Book Antiqua"/>
          <w:color w:val="000000"/>
        </w:rPr>
        <w:t>7 d</w:t>
      </w:r>
      <w:r w:rsidRPr="002B5663">
        <w:rPr>
          <w:rFonts w:ascii="Book Antiqua" w:eastAsia="Book Antiqua" w:hAnsi="Book Antiqua" w:cs="Book Antiqua"/>
          <w:color w:val="000000"/>
        </w:rPr>
        <w:t xml:space="preserve">] intravenously for anti-infection, which was ineffective. The patient lost 2 kg since the onset of the condition. </w:t>
      </w:r>
    </w:p>
    <w:p w14:paraId="202F64B4" w14:textId="77777777" w:rsidR="00A77B3E" w:rsidRPr="002B5663" w:rsidRDefault="00A77B3E" w:rsidP="002B5663">
      <w:pPr>
        <w:adjustRightInd w:val="0"/>
        <w:snapToGrid w:val="0"/>
        <w:spacing w:line="360" w:lineRule="auto"/>
        <w:jc w:val="both"/>
        <w:rPr>
          <w:rFonts w:ascii="Book Antiqua" w:hAnsi="Book Antiqua"/>
        </w:rPr>
      </w:pPr>
    </w:p>
    <w:p w14:paraId="5537189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History of past illness</w:t>
      </w:r>
    </w:p>
    <w:p w14:paraId="3DB84D53" w14:textId="1D9528A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At the age of 4 years, the patient was admitted to our hospital due to large liver and spleen, short stature, and repeated hypoglycemia. Finally, he was diagnosed with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t>
      </w:r>
      <w:r w:rsidRPr="002B5663">
        <w:rPr>
          <w:rFonts w:ascii="Book Antiqua" w:eastAsia="Book Antiqua" w:hAnsi="Book Antiqua" w:cs="Book Antiqua"/>
          <w:i/>
          <w:iCs/>
          <w:color w:val="000000"/>
        </w:rPr>
        <w:t>SLC37A4</w:t>
      </w:r>
      <w:r w:rsidR="00A85D69" w:rsidRPr="002B5663">
        <w:rPr>
          <w:rFonts w:ascii="Book Antiqua" w:eastAsia="Book Antiqua" w:hAnsi="Book Antiqua" w:cs="Book Antiqua"/>
          <w:color w:val="000000"/>
        </w:rPr>
        <w:t xml:space="preserve"> gene c.572C</w:t>
      </w:r>
      <w:r w:rsidR="00992118">
        <w:rPr>
          <w:rFonts w:ascii="Book Antiqua" w:eastAsia="Book Antiqua" w:hAnsi="Book Antiqua" w:cs="Book Antiqua"/>
          <w:color w:val="000000"/>
        </w:rPr>
        <w:t xml:space="preserve"> </w:t>
      </w:r>
      <w:r w:rsidR="00A85D69" w:rsidRPr="002B5663">
        <w:rPr>
          <w:rFonts w:ascii="Book Antiqua" w:eastAsia="Book Antiqua" w:hAnsi="Book Antiqua" w:cs="Book Antiqua"/>
          <w:color w:val="000000"/>
        </w:rPr>
        <w:t>&gt;</w:t>
      </w:r>
      <w:r w:rsidR="00992118">
        <w:rPr>
          <w:rFonts w:ascii="Book Antiqua" w:eastAsia="Book Antiqua" w:hAnsi="Book Antiqua" w:cs="Book Antiqua"/>
          <w:color w:val="000000"/>
        </w:rPr>
        <w:t xml:space="preserve"> </w:t>
      </w:r>
      <w:r w:rsidRPr="002B5663">
        <w:rPr>
          <w:rFonts w:ascii="Book Antiqua" w:eastAsia="Book Antiqua" w:hAnsi="Book Antiqua" w:cs="Book Antiqua"/>
          <w:color w:val="000000"/>
        </w:rPr>
        <w:t>T (</w:t>
      </w:r>
      <w:r w:rsidR="00A85D69" w:rsidRPr="002B5663">
        <w:rPr>
          <w:rFonts w:ascii="Book Antiqua" w:eastAsia="Book Antiqua" w:hAnsi="Book Antiqua" w:cs="Book Antiqua"/>
          <w:color w:val="000000"/>
        </w:rPr>
        <w:t>p.T191L) (maternal) and c.359C</w:t>
      </w:r>
      <w:r w:rsidR="00992118">
        <w:rPr>
          <w:rFonts w:ascii="Book Antiqua" w:eastAsia="Book Antiqua" w:hAnsi="Book Antiqua" w:cs="Book Antiqua"/>
          <w:color w:val="000000"/>
        </w:rPr>
        <w:t xml:space="preserve"> </w:t>
      </w:r>
      <w:r w:rsidR="00A85D69" w:rsidRPr="002B5663">
        <w:rPr>
          <w:rFonts w:ascii="Book Antiqua" w:eastAsia="Book Antiqua" w:hAnsi="Book Antiqua" w:cs="Book Antiqua"/>
          <w:color w:val="000000"/>
        </w:rPr>
        <w:t>&gt;</w:t>
      </w:r>
      <w:r w:rsidR="00992118">
        <w:rPr>
          <w:rFonts w:ascii="Book Antiqua" w:eastAsia="Book Antiqua" w:hAnsi="Book Antiqua" w:cs="Book Antiqua"/>
          <w:color w:val="000000"/>
        </w:rPr>
        <w:t xml:space="preserve"> </w:t>
      </w:r>
      <w:r w:rsidRPr="002B5663">
        <w:rPr>
          <w:rFonts w:ascii="Book Antiqua" w:eastAsia="Book Antiqua" w:hAnsi="Book Antiqua" w:cs="Book Antiqua"/>
          <w:color w:val="000000"/>
        </w:rPr>
        <w:t>T (p.P120L) (parental) compound heterozygous mutation]. He was given raw corn starch regularly (2 g/kg, once every 4</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6 h) and G-CSF (5 </w:t>
      </w:r>
      <w:proofErr w:type="spellStart"/>
      <w:r w:rsidRPr="002B5663">
        <w:rPr>
          <w:rFonts w:ascii="Book Antiqua" w:eastAsia="Book Antiqua" w:hAnsi="Book Antiqua" w:cs="Book Antiqua"/>
          <w:color w:val="000000"/>
        </w:rPr>
        <w:t>μg</w:t>
      </w:r>
      <w:proofErr w:type="spellEnd"/>
      <w:r w:rsidRPr="002B5663">
        <w:rPr>
          <w:rFonts w:ascii="Book Antiqua" w:eastAsia="Book Antiqua" w:hAnsi="Book Antiqua" w:cs="Book Antiqua"/>
          <w:color w:val="000000"/>
        </w:rPr>
        <w:t xml:space="preserve"> /kg each time) when he repeatedly showed low neutrophil counts (minimum 0.5 × 10</w:t>
      </w:r>
      <w:r w:rsidRPr="002B5663">
        <w:rPr>
          <w:rFonts w:ascii="Book Antiqua" w:eastAsia="Book Antiqua" w:hAnsi="Book Antiqua" w:cs="Book Antiqua"/>
          <w:color w:val="000000"/>
          <w:vertAlign w:val="superscript"/>
        </w:rPr>
        <w:t>9</w:t>
      </w:r>
      <w:r w:rsidRPr="002B5663">
        <w:rPr>
          <w:rFonts w:ascii="Book Antiqua" w:eastAsia="Book Antiqua" w:hAnsi="Book Antiqua" w:cs="Book Antiqua"/>
          <w:color w:val="000000"/>
        </w:rPr>
        <w:t xml:space="preserve">/L) and respiratory infections that were not treated regularly. He suffered from recurrent oral ulcers in the past 5 years. In addition, recurrent perianal abscesses appeared in the past 4 years that underwent surgical drainage each time. </w:t>
      </w:r>
    </w:p>
    <w:p w14:paraId="627B4084" w14:textId="77777777" w:rsidR="00A77B3E" w:rsidRPr="002B5663" w:rsidRDefault="00A77B3E" w:rsidP="002B5663">
      <w:pPr>
        <w:adjustRightInd w:val="0"/>
        <w:snapToGrid w:val="0"/>
        <w:spacing w:line="360" w:lineRule="auto"/>
        <w:jc w:val="both"/>
        <w:rPr>
          <w:rFonts w:ascii="Book Antiqua" w:hAnsi="Book Antiqua"/>
        </w:rPr>
      </w:pPr>
    </w:p>
    <w:p w14:paraId="2D670037"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Personal and family history</w:t>
      </w:r>
    </w:p>
    <w:p w14:paraId="638005E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The birth history and feeding history were uneventful. There was no history of similar illness in the family.</w:t>
      </w:r>
    </w:p>
    <w:p w14:paraId="416FA3DF" w14:textId="77777777" w:rsidR="00A77B3E" w:rsidRPr="002B5663" w:rsidRDefault="00A77B3E" w:rsidP="002B5663">
      <w:pPr>
        <w:adjustRightInd w:val="0"/>
        <w:snapToGrid w:val="0"/>
        <w:spacing w:line="360" w:lineRule="auto"/>
        <w:jc w:val="both"/>
        <w:rPr>
          <w:rFonts w:ascii="Book Antiqua" w:hAnsi="Book Antiqua"/>
        </w:rPr>
      </w:pPr>
    </w:p>
    <w:p w14:paraId="72EE6EE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Physical examination</w:t>
      </w:r>
    </w:p>
    <w:p w14:paraId="4020E23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Height: 138 cm (&lt; P3), weight 32.3 kg (&lt; P3), multiple ulcers in the oral mucosa, tenderness in the upper abdomen, and soft liver with dull edge at 2 cm below the ribs.</w:t>
      </w:r>
    </w:p>
    <w:p w14:paraId="48942E07" w14:textId="77777777" w:rsidR="00A77B3E" w:rsidRPr="002B5663" w:rsidRDefault="00A77B3E" w:rsidP="002B5663">
      <w:pPr>
        <w:adjustRightInd w:val="0"/>
        <w:snapToGrid w:val="0"/>
        <w:spacing w:line="360" w:lineRule="auto"/>
        <w:jc w:val="both"/>
        <w:rPr>
          <w:rFonts w:ascii="Book Antiqua" w:hAnsi="Book Antiqua"/>
        </w:rPr>
      </w:pPr>
    </w:p>
    <w:p w14:paraId="77B6A3A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Laboratory examinations</w:t>
      </w:r>
    </w:p>
    <w:p w14:paraId="34B100BB" w14:textId="1196975F" w:rsidR="00A77B3E" w:rsidRPr="002B5663" w:rsidRDefault="00341FC3" w:rsidP="002B5663">
      <w:pPr>
        <w:adjustRightInd w:val="0"/>
        <w:snapToGrid w:val="0"/>
        <w:spacing w:line="360" w:lineRule="auto"/>
        <w:jc w:val="both"/>
        <w:rPr>
          <w:rFonts w:ascii="Book Antiqua" w:hAnsi="Book Antiqua"/>
        </w:rPr>
      </w:pPr>
      <w:bookmarkStart w:id="0" w:name="OLE_LINK2"/>
      <w:bookmarkStart w:id="1" w:name="OLE_LINK3"/>
      <w:r w:rsidRPr="002B5663">
        <w:rPr>
          <w:rFonts w:ascii="Book Antiqua" w:eastAsia="Book Antiqua" w:hAnsi="Book Antiqua" w:cs="Book Antiqua"/>
          <w:color w:val="000000"/>
        </w:rPr>
        <w:t>After admission, examination showed neutrophils of 0.71 × 10</w:t>
      </w:r>
      <w:r w:rsidRPr="002B5663">
        <w:rPr>
          <w:rFonts w:ascii="Book Antiqua" w:eastAsia="Book Antiqua" w:hAnsi="Book Antiqua" w:cs="Book Antiqua"/>
          <w:color w:val="000000"/>
          <w:vertAlign w:val="superscript"/>
        </w:rPr>
        <w:t>9</w:t>
      </w:r>
      <w:r w:rsidRPr="002B5663">
        <w:rPr>
          <w:rFonts w:ascii="Book Antiqua" w:eastAsia="Book Antiqua" w:hAnsi="Book Antiqua" w:cs="Book Antiqua"/>
          <w:color w:val="000000"/>
        </w:rPr>
        <w:t>/L, and the patie</w:t>
      </w:r>
      <w:r w:rsidR="002B5663" w:rsidRPr="002B5663">
        <w:rPr>
          <w:rFonts w:ascii="Book Antiqua" w:eastAsia="Book Antiqua" w:hAnsi="Book Antiqua" w:cs="Book Antiqua"/>
          <w:color w:val="000000"/>
        </w:rPr>
        <w:t xml:space="preserve">nt was treated with G-CSF </w:t>
      </w:r>
      <w:r w:rsidR="00A84E92">
        <w:rPr>
          <w:rFonts w:ascii="Book Antiqua" w:eastAsia="Book Antiqua" w:hAnsi="Book Antiqua" w:cs="Book Antiqua"/>
          <w:color w:val="000000"/>
        </w:rPr>
        <w:t>[</w:t>
      </w:r>
      <w:r w:rsidR="002B5663" w:rsidRPr="002B5663">
        <w:rPr>
          <w:rFonts w:ascii="Book Antiqua" w:eastAsia="Book Antiqua" w:hAnsi="Book Antiqua" w:cs="Book Antiqua"/>
          <w:color w:val="000000"/>
        </w:rPr>
        <w:t xml:space="preserve">5 </w:t>
      </w:r>
      <w:proofErr w:type="spellStart"/>
      <w:r w:rsidR="002B5663" w:rsidRPr="002B5663">
        <w:rPr>
          <w:rFonts w:ascii="Book Antiqua" w:eastAsia="Book Antiqua" w:hAnsi="Book Antiqua" w:cs="Book Antiqua"/>
          <w:color w:val="000000"/>
        </w:rPr>
        <w:t>μg</w:t>
      </w:r>
      <w:proofErr w:type="spellEnd"/>
      <w:r w:rsidRPr="002B5663">
        <w:rPr>
          <w:rFonts w:ascii="Book Antiqua" w:eastAsia="Book Antiqua" w:hAnsi="Book Antiqua" w:cs="Book Antiqua"/>
          <w:color w:val="000000"/>
        </w:rPr>
        <w:t>/</w:t>
      </w:r>
      <w:r w:rsidR="001656EC" w:rsidRPr="002B5663">
        <w:rPr>
          <w:rFonts w:ascii="Book Antiqua" w:eastAsia="Book Antiqua" w:hAnsi="Book Antiqua" w:cs="Book Antiqua"/>
          <w:color w:val="000000"/>
        </w:rPr>
        <w:t>(</w:t>
      </w:r>
      <w:proofErr w:type="spellStart"/>
      <w:r w:rsidRPr="002B5663">
        <w:rPr>
          <w:rFonts w:ascii="Book Antiqua" w:eastAsia="Book Antiqua" w:hAnsi="Book Antiqua" w:cs="Book Antiqua"/>
          <w:color w:val="000000"/>
        </w:rPr>
        <w:t>kg</w:t>
      </w:r>
      <w:r w:rsidR="001656EC" w:rsidRPr="002B5663">
        <w:rPr>
          <w:rFonts w:ascii="Book Antiqua" w:eastAsia="Book Antiqua" w:hAnsi="Book Antiqua" w:cs="Book Antiqua"/>
          <w:color w:val="000000"/>
        </w:rPr>
        <w:t>.d</w:t>
      </w:r>
      <w:proofErr w:type="spellEnd"/>
      <w:r w:rsidR="001656EC" w:rsidRPr="002B5663">
        <w:rPr>
          <w:rFonts w:ascii="Book Antiqua" w:eastAsia="Book Antiqua" w:hAnsi="Book Antiqua" w:cs="Book Antiqua"/>
          <w:color w:val="000000"/>
        </w:rPr>
        <w:t>)</w:t>
      </w:r>
      <w:r w:rsidRPr="002B5663">
        <w:rPr>
          <w:rFonts w:ascii="Book Antiqua" w:eastAsia="Book Antiqua" w:hAnsi="Book Antiqua" w:cs="Book Antiqua"/>
          <w:color w:val="000000"/>
        </w:rPr>
        <w:t xml:space="preserve"> </w:t>
      </w:r>
      <w:r w:rsidRPr="002B5663">
        <w:rPr>
          <w:rFonts w:ascii="Book Antiqua" w:eastAsia="Book Antiqua" w:hAnsi="Book Antiqua" w:cs="Book Antiqua"/>
          <w:i/>
          <w:color w:val="000000"/>
        </w:rPr>
        <w:t>i.e.</w:t>
      </w:r>
      <w:r w:rsidRPr="002B5663">
        <w:rPr>
          <w:rFonts w:ascii="Book Antiqua" w:eastAsia="Book Antiqua" w:hAnsi="Book Antiqua" w:cs="Book Antiqua"/>
          <w:color w:val="000000"/>
        </w:rPr>
        <w:t xml:space="preserve"> 160 mg</w:t>
      </w:r>
      <w:r w:rsidR="001656EC" w:rsidRPr="002B5663">
        <w:rPr>
          <w:rFonts w:ascii="Book Antiqua" w:eastAsia="Book Antiqua" w:hAnsi="Book Antiqua" w:cs="Book Antiqua"/>
          <w:color w:val="000000"/>
        </w:rPr>
        <w:t>/d</w:t>
      </w:r>
      <w:r w:rsidR="00A84E92">
        <w:rPr>
          <w:rFonts w:ascii="Book Antiqua" w:eastAsia="Book Antiqua" w:hAnsi="Book Antiqua" w:cs="Book Antiqua"/>
          <w:color w:val="000000"/>
        </w:rPr>
        <w:t>]</w:t>
      </w:r>
      <w:r w:rsidRPr="002B5663">
        <w:rPr>
          <w:rFonts w:ascii="Book Antiqua" w:eastAsia="Book Antiqua" w:hAnsi="Book Antiqua" w:cs="Book Antiqua"/>
          <w:color w:val="000000"/>
        </w:rPr>
        <w:t xml:space="preserve">. The other data were as follows: </w:t>
      </w:r>
      <w:r w:rsidR="00992118">
        <w:rPr>
          <w:rFonts w:ascii="Book Antiqua" w:eastAsia="Book Antiqua" w:hAnsi="Book Antiqua" w:cs="Book Antiqua"/>
          <w:color w:val="000000"/>
        </w:rPr>
        <w:t>H</w:t>
      </w:r>
      <w:r w:rsidRPr="002B5663">
        <w:rPr>
          <w:rFonts w:ascii="Book Antiqua" w:eastAsia="Book Antiqua" w:hAnsi="Book Antiqua" w:cs="Book Antiqua"/>
          <w:color w:val="000000"/>
        </w:rPr>
        <w:t>emoglobin: 107 g/L (120</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160 g/L), uric acid: 581 </w:t>
      </w:r>
      <w:proofErr w:type="spellStart"/>
      <w:r w:rsidRPr="002B5663">
        <w:rPr>
          <w:rFonts w:ascii="Book Antiqua" w:eastAsia="Book Antiqua" w:hAnsi="Book Antiqua" w:cs="Book Antiqua"/>
          <w:color w:val="000000"/>
        </w:rPr>
        <w:t>μmol</w:t>
      </w:r>
      <w:proofErr w:type="spellEnd"/>
      <w:r w:rsidRPr="002B5663">
        <w:rPr>
          <w:rFonts w:ascii="Book Antiqua" w:eastAsia="Book Antiqua" w:hAnsi="Book Antiqua" w:cs="Book Antiqua"/>
          <w:color w:val="000000"/>
        </w:rPr>
        <w:t>/L (164</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376 </w:t>
      </w:r>
      <w:proofErr w:type="spellStart"/>
      <w:r w:rsidRPr="002B5663">
        <w:rPr>
          <w:rFonts w:ascii="Book Antiqua" w:eastAsia="Book Antiqua" w:hAnsi="Book Antiqua" w:cs="Book Antiqua"/>
          <w:color w:val="000000"/>
        </w:rPr>
        <w:t>μmol</w:t>
      </w:r>
      <w:proofErr w:type="spellEnd"/>
      <w:r w:rsidRPr="002B5663">
        <w:rPr>
          <w:rFonts w:ascii="Book Antiqua" w:eastAsia="Book Antiqua" w:hAnsi="Book Antiqua" w:cs="Book Antiqua"/>
          <w:color w:val="000000"/>
        </w:rPr>
        <w:t>/L), triglyceride: 2.3 mmol/L</w:t>
      </w:r>
      <w:r w:rsidR="001656EC"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(0</w:t>
      </w:r>
      <w:r w:rsidR="00A80B58">
        <w:rPr>
          <w:rFonts w:ascii="Book Antiqua" w:eastAsia="Book Antiqua" w:hAnsi="Book Antiqua" w:cs="Book Antiqua"/>
          <w:color w:val="000000"/>
        </w:rPr>
        <w:t>-</w:t>
      </w:r>
      <w:r w:rsidRPr="002B5663">
        <w:rPr>
          <w:rFonts w:ascii="Book Antiqua" w:eastAsia="Book Antiqua" w:hAnsi="Book Antiqua" w:cs="Book Antiqua"/>
          <w:color w:val="000000"/>
        </w:rPr>
        <w:t>1.69 mmol/L), normal blood sugar, erythrocyte sedimentation rate</w:t>
      </w:r>
      <w:r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rPr>
        <w:t>104 (normal: &lt; 15) mm/h, C-reactive protein: 61 (normal: &lt; 8) mg/L, cytokines of tumor necrosis factor</w:t>
      </w:r>
      <w:r w:rsidR="00A84E92">
        <w:rPr>
          <w:rFonts w:ascii="Book Antiqua" w:eastAsia="Book Antiqua" w:hAnsi="Book Antiqua" w:cs="Book Antiqua"/>
          <w:color w:val="000000"/>
        </w:rPr>
        <w:t xml:space="preserve"> (TNF)</w:t>
      </w:r>
      <w:r w:rsidRPr="002B5663">
        <w:rPr>
          <w:rFonts w:ascii="Book Antiqua" w:eastAsia="Book Antiqua" w:hAnsi="Book Antiqua" w:cs="Book Antiqua"/>
          <w:color w:val="000000"/>
        </w:rPr>
        <w:t xml:space="preserve">-alpha: 204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/mL (0</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8.1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 xml:space="preserve">/mL), IL-6: 17.2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/mL (0</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3.4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 xml:space="preserve">/mL), and normal </w:t>
      </w:r>
      <w:r w:rsidR="00992118">
        <w:rPr>
          <w:rFonts w:ascii="Book Antiqua" w:eastAsia="Book Antiqua" w:hAnsi="Book Antiqua" w:cs="Book Antiqua"/>
          <w:color w:val="000000"/>
        </w:rPr>
        <w:t>interleukin (</w:t>
      </w:r>
      <w:r w:rsidRPr="002B5663">
        <w:rPr>
          <w:rFonts w:ascii="Book Antiqua" w:eastAsia="Book Antiqua" w:hAnsi="Book Antiqua" w:cs="Book Antiqua"/>
          <w:color w:val="000000"/>
        </w:rPr>
        <w:t>IL</w:t>
      </w:r>
      <w:r w:rsidR="00992118">
        <w:rPr>
          <w:rFonts w:ascii="Book Antiqua" w:eastAsia="Book Antiqua" w:hAnsi="Book Antiqua" w:cs="Book Antiqua"/>
          <w:color w:val="000000"/>
        </w:rPr>
        <w:t>)</w:t>
      </w:r>
      <w:r w:rsidRPr="002B5663">
        <w:rPr>
          <w:rFonts w:ascii="Book Antiqua" w:eastAsia="Book Antiqua" w:hAnsi="Book Antiqua" w:cs="Book Antiqua"/>
          <w:color w:val="000000"/>
        </w:rPr>
        <w:t xml:space="preserve">-2R, </w:t>
      </w:r>
      <w:r w:rsidR="00992118">
        <w:rPr>
          <w:rFonts w:ascii="Book Antiqua" w:eastAsia="Book Antiqua" w:hAnsi="Book Antiqua" w:cs="Book Antiqua"/>
          <w:color w:val="000000"/>
        </w:rPr>
        <w:t>IL-</w:t>
      </w:r>
      <w:r w:rsidRPr="002B5663">
        <w:rPr>
          <w:rFonts w:ascii="Book Antiqua" w:eastAsia="Book Antiqua" w:hAnsi="Book Antiqua" w:cs="Book Antiqua"/>
          <w:color w:val="000000"/>
        </w:rPr>
        <w:t xml:space="preserve">8, and </w:t>
      </w:r>
      <w:r w:rsidR="00992118">
        <w:rPr>
          <w:rFonts w:ascii="Book Antiqua" w:eastAsia="Book Antiqua" w:hAnsi="Book Antiqua" w:cs="Book Antiqua"/>
          <w:color w:val="000000"/>
        </w:rPr>
        <w:t>IL-</w:t>
      </w:r>
      <w:r w:rsidRPr="002B5663">
        <w:rPr>
          <w:rFonts w:ascii="Book Antiqua" w:eastAsia="Book Antiqua" w:hAnsi="Book Antiqua" w:cs="Book Antiqua"/>
          <w:color w:val="000000"/>
        </w:rPr>
        <w:t xml:space="preserve">10. In addition, stool routine, stool parasites, and stool </w:t>
      </w:r>
      <w:r w:rsidRPr="002B5663">
        <w:rPr>
          <w:rFonts w:ascii="Book Antiqua" w:eastAsia="Book Antiqua" w:hAnsi="Book Antiqua" w:cs="Book Antiqua"/>
          <w:i/>
          <w:iCs/>
          <w:color w:val="000000"/>
          <w:shd w:val="clear" w:color="auto" w:fill="FFFFFF"/>
        </w:rPr>
        <w:t>Clostridium difficile</w:t>
      </w:r>
      <w:r w:rsidRPr="002B5663">
        <w:rPr>
          <w:rFonts w:ascii="Book Antiqua" w:eastAsia="Book Antiqua" w:hAnsi="Book Antiqua" w:cs="Book Antiqua"/>
          <w:color w:val="000000"/>
          <w:shd w:val="clear" w:color="auto" w:fill="FFFFFF"/>
        </w:rPr>
        <w:t xml:space="preserve"> toxin </w:t>
      </w:r>
      <w:r w:rsidR="00992118">
        <w:rPr>
          <w:rFonts w:ascii="Book Antiqua" w:eastAsia="Book Antiqua" w:hAnsi="Book Antiqua" w:cs="Book Antiqua"/>
          <w:color w:val="000000"/>
          <w:shd w:val="clear" w:color="auto" w:fill="FFFFFF"/>
        </w:rPr>
        <w:t>were all</w:t>
      </w:r>
      <w:r w:rsidR="00992118"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shd w:val="clear" w:color="auto" w:fill="FFFFFF"/>
        </w:rPr>
        <w:t>negative</w:t>
      </w:r>
      <w:r w:rsidRPr="002B5663">
        <w:rPr>
          <w:rFonts w:ascii="Book Antiqua" w:eastAsia="Book Antiqua" w:hAnsi="Book Antiqua" w:cs="Book Antiqua"/>
          <w:color w:val="000000"/>
        </w:rPr>
        <w:t>. Also, the results of T cell spot test (T-spot) and purified protein derivative test were negative.</w:t>
      </w:r>
    </w:p>
    <w:bookmarkEnd w:id="0"/>
    <w:bookmarkEnd w:id="1"/>
    <w:p w14:paraId="0575CF4B" w14:textId="77777777" w:rsidR="00A77B3E" w:rsidRPr="002B5663" w:rsidRDefault="00A77B3E" w:rsidP="002B5663">
      <w:pPr>
        <w:adjustRightInd w:val="0"/>
        <w:snapToGrid w:val="0"/>
        <w:spacing w:line="360" w:lineRule="auto"/>
        <w:jc w:val="both"/>
        <w:rPr>
          <w:rFonts w:ascii="Book Antiqua" w:hAnsi="Book Antiqua"/>
        </w:rPr>
      </w:pPr>
    </w:p>
    <w:p w14:paraId="139E1D0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Imaging examinations</w:t>
      </w:r>
    </w:p>
    <w:p w14:paraId="33CD6D64" w14:textId="77CF3285" w:rsidR="00A77B3E" w:rsidRPr="002B5663" w:rsidRDefault="00341FC3" w:rsidP="002B5663">
      <w:pPr>
        <w:adjustRightInd w:val="0"/>
        <w:snapToGrid w:val="0"/>
        <w:spacing w:line="360" w:lineRule="auto"/>
        <w:jc w:val="both"/>
        <w:rPr>
          <w:rFonts w:ascii="Book Antiqua" w:hAnsi="Book Antiqua"/>
        </w:rPr>
      </w:pPr>
      <w:bookmarkStart w:id="2" w:name="OLE_LINK4"/>
      <w:bookmarkStart w:id="3" w:name="OLE_LINK5"/>
      <w:r w:rsidRPr="002B5663">
        <w:rPr>
          <w:rFonts w:ascii="Book Antiqua" w:eastAsia="Book Antiqua" w:hAnsi="Book Antiqua" w:cs="Book Antiqua"/>
          <w:color w:val="000000"/>
        </w:rPr>
        <w:t xml:space="preserve">Chest computed tomography showed normal results, while abdominal </w:t>
      </w:r>
      <w:r w:rsidR="002E2424">
        <w:rPr>
          <w:rFonts w:ascii="Book Antiqua" w:eastAsia="Book Antiqua" w:hAnsi="Book Antiqua" w:cs="Book Antiqua"/>
          <w:color w:val="000000"/>
        </w:rPr>
        <w:t>computed tomography</w:t>
      </w:r>
      <w:r w:rsidRPr="002B5663">
        <w:rPr>
          <w:rFonts w:ascii="Book Antiqua" w:eastAsia="Book Antiqua" w:hAnsi="Book Antiqua" w:cs="Book Antiqua"/>
          <w:color w:val="000000"/>
        </w:rPr>
        <w:t xml:space="preserve"> revealed hepatosplenomegaly and fatty liver.</w:t>
      </w:r>
    </w:p>
    <w:p w14:paraId="6AEA5DDB" w14:textId="1911E42B"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shd w:val="clear" w:color="auto" w:fill="FFFFFF"/>
        </w:rPr>
        <w:t>Esophagogastroduodenoscopy d</w:t>
      </w:r>
      <w:r w:rsidRPr="002B5663">
        <w:rPr>
          <w:rFonts w:ascii="Book Antiqua" w:eastAsia="Book Antiqua" w:hAnsi="Book Antiqua" w:cs="Book Antiqua"/>
          <w:color w:val="000000"/>
        </w:rPr>
        <w:t>etected chronic gastritis and bile reflux, while colonoscopy showed three deep cyclic ulcers in the terminal ileum, with a maximum circumference of 1/4</w:t>
      </w:r>
      <w:r w:rsidR="00D476A0">
        <w:rPr>
          <w:rFonts w:ascii="Book Antiqua" w:eastAsia="Book Antiqua" w:hAnsi="Book Antiqua" w:cs="Book Antiqua"/>
          <w:color w:val="000000"/>
        </w:rPr>
        <w:t xml:space="preserve"> (of intestinal circumference)</w:t>
      </w:r>
      <w:r w:rsidRPr="002B5663">
        <w:rPr>
          <w:rFonts w:ascii="Book Antiqua" w:eastAsia="Book Antiqua" w:hAnsi="Book Antiqua" w:cs="Book Antiqua"/>
          <w:color w:val="000000"/>
        </w:rPr>
        <w:t>, covered with white fur. Moreover, the ileocecal valve was deformed and narrow, and deep ulcers, about 1 cm × 0.5 cm, were visible along the tissue; several large cyclic deep ulcers were visible in the ascending colon, with a maximum circumference of</w:t>
      </w:r>
      <w:r w:rsidR="002E2424">
        <w:rPr>
          <w:rFonts w:ascii="Book Antiqua" w:eastAsia="Book Antiqua" w:hAnsi="Book Antiqua" w:cs="Book Antiqua"/>
          <w:color w:val="000000"/>
        </w:rPr>
        <w:t xml:space="preserve"> 1/2</w:t>
      </w:r>
      <w:r w:rsidR="00D476A0">
        <w:rPr>
          <w:rFonts w:ascii="Book Antiqua" w:eastAsia="Book Antiqua" w:hAnsi="Book Antiqua" w:cs="Book Antiqua"/>
          <w:color w:val="000000"/>
        </w:rPr>
        <w:t xml:space="preserve"> (of intestinal circumference)</w:t>
      </w:r>
      <w:r w:rsidRPr="002B5663">
        <w:rPr>
          <w:rFonts w:ascii="Book Antiqua" w:eastAsia="Book Antiqua" w:hAnsi="Book Antiqua" w:cs="Book Antiqua"/>
          <w:color w:val="000000"/>
        </w:rPr>
        <w:t>. Moreover, the ulcers were fused with each other, and several deep ulcers were scattered in the descending colon and rectum (Figure 1). The pathology of antral muco</w:t>
      </w:r>
      <w:r w:rsidR="002E2424">
        <w:rPr>
          <w:rFonts w:ascii="Book Antiqua" w:eastAsia="Book Antiqua" w:hAnsi="Book Antiqua" w:cs="Book Antiqua"/>
          <w:color w:val="000000"/>
        </w:rPr>
        <w:t>s</w:t>
      </w:r>
      <w:r w:rsidRPr="002B5663">
        <w:rPr>
          <w:rFonts w:ascii="Book Antiqua" w:eastAsia="Book Antiqua" w:hAnsi="Book Antiqua" w:cs="Book Antiqua"/>
          <w:color w:val="000000"/>
        </w:rPr>
        <w:t>a showed chronic inflammation.</w:t>
      </w:r>
    </w:p>
    <w:p w14:paraId="3C1F942B" w14:textId="151D8129"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lastRenderedPageBreak/>
        <w:t xml:space="preserve">The pathology of the terminal ileum, </w:t>
      </w:r>
      <w:r w:rsidRPr="002B5663">
        <w:rPr>
          <w:rFonts w:ascii="Book Antiqua" w:eastAsia="Book Antiqua" w:hAnsi="Book Antiqua" w:cs="Book Antiqua"/>
          <w:color w:val="000000"/>
          <w:shd w:val="clear" w:color="auto" w:fill="FFFFFF"/>
        </w:rPr>
        <w:t xml:space="preserve">ileocecal region, </w:t>
      </w:r>
      <w:r w:rsidRPr="002B5663">
        <w:rPr>
          <w:rFonts w:ascii="Book Antiqua" w:eastAsia="Book Antiqua" w:hAnsi="Book Antiqua" w:cs="Book Antiqua"/>
          <w:color w:val="000000"/>
        </w:rPr>
        <w:t xml:space="preserve">ascending colon, descending colon, and rectum prompted infiltration of diffuse inflammatory cells and scattered eosinophils with visible ulcer formation. </w:t>
      </w:r>
      <w:r w:rsidRPr="002B5663">
        <w:rPr>
          <w:rFonts w:ascii="Book Antiqua" w:eastAsia="Book Antiqua" w:hAnsi="Book Antiqua" w:cs="Book Antiqua"/>
          <w:color w:val="000000"/>
          <w:shd w:val="clear" w:color="auto" w:fill="FFFFFF"/>
        </w:rPr>
        <w:t>Periodic acid-</w:t>
      </w:r>
      <w:r w:rsidR="002E2424">
        <w:rPr>
          <w:rFonts w:ascii="Book Antiqua" w:eastAsia="Book Antiqua" w:hAnsi="Book Antiqua" w:cs="Book Antiqua"/>
          <w:color w:val="000000"/>
          <w:shd w:val="clear" w:color="auto" w:fill="FFFFFF"/>
        </w:rPr>
        <w:t>S</w:t>
      </w:r>
      <w:r w:rsidRPr="002B5663">
        <w:rPr>
          <w:rFonts w:ascii="Book Antiqua" w:eastAsia="Book Antiqua" w:hAnsi="Book Antiqua" w:cs="Book Antiqua"/>
          <w:color w:val="000000"/>
          <w:shd w:val="clear" w:color="auto" w:fill="FFFFFF"/>
        </w:rPr>
        <w:t>chiff</w:t>
      </w:r>
      <w:r w:rsidRPr="002B5663">
        <w:rPr>
          <w:rFonts w:ascii="Book Antiqua" w:eastAsia="Book Antiqua" w:hAnsi="Book Antiqua" w:cs="Book Antiqua"/>
          <w:color w:val="000000"/>
        </w:rPr>
        <w:t xml:space="preserve"> staining, immunohistochemical </w:t>
      </w:r>
      <w:r w:rsidRPr="002B5663">
        <w:rPr>
          <w:rFonts w:ascii="Book Antiqua" w:eastAsia="Book Antiqua" w:hAnsi="Book Antiqua" w:cs="Book Antiqua"/>
          <w:color w:val="000000"/>
          <w:shd w:val="clear" w:color="auto" w:fill="FFFFFF"/>
        </w:rPr>
        <w:t xml:space="preserve">cytomegalovirus </w:t>
      </w:r>
      <w:r w:rsidRPr="002B5663">
        <w:rPr>
          <w:rFonts w:ascii="Book Antiqua" w:eastAsia="Book Antiqua" w:hAnsi="Book Antiqua" w:cs="Book Antiqua"/>
          <w:color w:val="000000"/>
        </w:rPr>
        <w:t>(CMV) staining, and Epstein-Barr virus encoded</w:t>
      </w:r>
      <w:r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rPr>
        <w:t xml:space="preserve">ribonucleic acid </w:t>
      </w:r>
      <w:r w:rsidRPr="003566EC">
        <w:rPr>
          <w:rFonts w:ascii="Book Antiqua" w:eastAsia="Book Antiqua" w:hAnsi="Book Antiqua" w:cs="Book Antiqua"/>
          <w:i/>
          <w:iCs/>
          <w:color w:val="000000"/>
        </w:rPr>
        <w:t>in situ</w:t>
      </w:r>
      <w:r w:rsidRPr="002B5663">
        <w:rPr>
          <w:rFonts w:ascii="Book Antiqua" w:eastAsia="Book Antiqua" w:hAnsi="Book Antiqua" w:cs="Book Antiqua"/>
          <w:color w:val="000000"/>
        </w:rPr>
        <w:t xml:space="preserve"> hybridization were negative (Figure 2).</w:t>
      </w:r>
    </w:p>
    <w:p w14:paraId="228407F8" w14:textId="77777777"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Capsule endoscopy showed several cyclic small ulcers in the terminal ileum.</w:t>
      </w:r>
      <w:bookmarkEnd w:id="2"/>
      <w:bookmarkEnd w:id="3"/>
      <w:r w:rsidRPr="002B5663">
        <w:rPr>
          <w:rFonts w:ascii="Book Antiqua" w:eastAsia="Book Antiqua" w:hAnsi="Book Antiqua" w:cs="Book Antiqua"/>
          <w:color w:val="000000"/>
        </w:rPr>
        <w:t xml:space="preserve"> </w:t>
      </w:r>
    </w:p>
    <w:p w14:paraId="3E328079" w14:textId="77777777" w:rsidR="00A77B3E" w:rsidRPr="002B5663" w:rsidRDefault="00A77B3E" w:rsidP="002B5663">
      <w:pPr>
        <w:adjustRightInd w:val="0"/>
        <w:snapToGrid w:val="0"/>
        <w:spacing w:line="360" w:lineRule="auto"/>
        <w:ind w:firstLine="240"/>
        <w:jc w:val="both"/>
        <w:rPr>
          <w:rFonts w:ascii="Book Antiqua" w:hAnsi="Book Antiqua"/>
        </w:rPr>
      </w:pPr>
    </w:p>
    <w:p w14:paraId="32777175"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FINAL DIAGNOSIS</w:t>
      </w:r>
    </w:p>
    <w:p w14:paraId="2B4864A1" w14:textId="0157934A"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Finally, the patient was diagnosed with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w:t>
      </w:r>
      <w:r w:rsidR="002E2424">
        <w:rPr>
          <w:rFonts w:ascii="Book Antiqua" w:eastAsia="Book Antiqua" w:hAnsi="Book Antiqua" w:cs="Book Antiqua"/>
          <w:color w:val="000000"/>
        </w:rPr>
        <w:t>D</w:t>
      </w:r>
      <w:r w:rsidRPr="002B5663">
        <w:rPr>
          <w:rFonts w:ascii="Book Antiqua" w:eastAsia="Book Antiqua" w:hAnsi="Book Antiqua" w:cs="Book Antiqua"/>
          <w:color w:val="000000"/>
        </w:rPr>
        <w:t>-like enterocolitis.</w:t>
      </w:r>
    </w:p>
    <w:p w14:paraId="13494723" w14:textId="77777777" w:rsidR="00A77B3E" w:rsidRPr="002B5663" w:rsidRDefault="00A77B3E" w:rsidP="002B5663">
      <w:pPr>
        <w:adjustRightInd w:val="0"/>
        <w:snapToGrid w:val="0"/>
        <w:spacing w:line="360" w:lineRule="auto"/>
        <w:jc w:val="both"/>
        <w:rPr>
          <w:rFonts w:ascii="Book Antiqua" w:hAnsi="Book Antiqua"/>
        </w:rPr>
      </w:pPr>
    </w:p>
    <w:p w14:paraId="7D3ACA9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TREATMENT</w:t>
      </w:r>
    </w:p>
    <w:p w14:paraId="537B5B53" w14:textId="5E4C195A"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The patient was continuously pumped with ent</w:t>
      </w:r>
      <w:bookmarkStart w:id="4" w:name="OLE_LINK1"/>
      <w:r w:rsidR="00A85D69" w:rsidRPr="002B5663">
        <w:rPr>
          <w:rFonts w:ascii="Book Antiqua" w:eastAsia="Book Antiqua" w:hAnsi="Book Antiqua" w:cs="Book Antiqua"/>
          <w:color w:val="000000"/>
        </w:rPr>
        <w:t xml:space="preserve">eral nutrition (Ensure, Abbott, </w:t>
      </w:r>
      <w:r w:rsidRPr="002B5663">
        <w:rPr>
          <w:rFonts w:ascii="Book Antiqua" w:eastAsia="Book Antiqua" w:hAnsi="Book Antiqua" w:cs="Book Antiqua"/>
          <w:color w:val="000000"/>
        </w:rPr>
        <w:t>Chicago</w:t>
      </w:r>
      <w:bookmarkEnd w:id="4"/>
      <w:r w:rsidRPr="002B5663">
        <w:rPr>
          <w:rFonts w:ascii="Book Antiqua" w:eastAsia="Book Antiqua" w:hAnsi="Book Antiqua" w:cs="Book Antiqua"/>
          <w:color w:val="000000"/>
        </w:rPr>
        <w:t xml:space="preserve">, </w:t>
      </w:r>
      <w:r w:rsidR="00A80B58">
        <w:rPr>
          <w:rFonts w:ascii="Book Antiqua" w:eastAsia="Book Antiqua" w:hAnsi="Book Antiqua" w:cs="Book Antiqua"/>
          <w:color w:val="000000"/>
        </w:rPr>
        <w:t xml:space="preserve">IL, </w:t>
      </w:r>
      <w:r w:rsidRPr="002B5663">
        <w:rPr>
          <w:rFonts w:ascii="Book Antiqua" w:eastAsia="Book Antiqua" w:hAnsi="Book Antiqua" w:cs="Book Antiqua"/>
          <w:color w:val="000000"/>
        </w:rPr>
        <w:t xml:space="preserve">United States) and administered </w:t>
      </w:r>
      <w:proofErr w:type="spellStart"/>
      <w:r w:rsidRPr="002B5663">
        <w:rPr>
          <w:rFonts w:ascii="Book Antiqua" w:eastAsia="Book Antiqua" w:hAnsi="Book Antiqua" w:cs="Book Antiqua"/>
          <w:color w:val="000000"/>
          <w:shd w:val="clear" w:color="auto" w:fill="FFFFFF"/>
        </w:rPr>
        <w:t>mesalazine</w:t>
      </w:r>
      <w:proofErr w:type="spellEnd"/>
      <w:r w:rsidRPr="002B5663">
        <w:rPr>
          <w:rFonts w:ascii="Book Antiqua" w:eastAsia="Book Antiqua" w:hAnsi="Book Antiqua" w:cs="Book Antiqua"/>
          <w:color w:val="000000"/>
          <w:shd w:val="clear" w:color="auto" w:fill="FFFFFF"/>
        </w:rPr>
        <w:t xml:space="preserve"> (</w:t>
      </w:r>
      <w:proofErr w:type="spellStart"/>
      <w:r w:rsidRPr="002B5663">
        <w:rPr>
          <w:rFonts w:ascii="Book Antiqua" w:eastAsia="Book Antiqua" w:hAnsi="Book Antiqua" w:cs="Book Antiqua"/>
          <w:color w:val="000000"/>
          <w:shd w:val="clear" w:color="auto" w:fill="FFFFFF"/>
        </w:rPr>
        <w:t>Etiasa</w:t>
      </w:r>
      <w:proofErr w:type="spellEnd"/>
      <w:r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rPr>
        <w:t xml:space="preserve">500 mg, </w:t>
      </w:r>
      <w:r w:rsidR="002E2424">
        <w:rPr>
          <w:rFonts w:ascii="Book Antiqua" w:eastAsia="Book Antiqua" w:hAnsi="Book Antiqua" w:cs="Book Antiqua"/>
          <w:color w:val="000000"/>
        </w:rPr>
        <w:t>three</w:t>
      </w:r>
      <w:r w:rsidRPr="002B5663">
        <w:rPr>
          <w:rFonts w:ascii="Book Antiqua" w:eastAsia="Book Antiqua" w:hAnsi="Book Antiqua" w:cs="Book Antiqua"/>
          <w:color w:val="000000"/>
        </w:rPr>
        <w:t xml:space="preserve"> times per day, </w:t>
      </w:r>
      <w:proofErr w:type="spellStart"/>
      <w:r w:rsidRPr="002B5663">
        <w:rPr>
          <w:rFonts w:ascii="Book Antiqua" w:eastAsia="Book Antiqua" w:hAnsi="Book Antiqua" w:cs="Book Antiqua"/>
          <w:color w:val="000000"/>
          <w:shd w:val="clear" w:color="auto" w:fill="FFFFFF"/>
        </w:rPr>
        <w:t>Ethypharm</w:t>
      </w:r>
      <w:proofErr w:type="spellEnd"/>
      <w:r w:rsidRPr="002B5663">
        <w:rPr>
          <w:rFonts w:ascii="Book Antiqua" w:eastAsia="Book Antiqua" w:hAnsi="Book Antiqua" w:cs="Book Antiqua"/>
          <w:color w:val="000000"/>
          <w:shd w:val="clear" w:color="auto" w:fill="FFFFFF"/>
        </w:rPr>
        <w:t xml:space="preserve"> Pharmaceutical Co., Ltd, </w:t>
      </w:r>
      <w:r w:rsidR="002E2424">
        <w:rPr>
          <w:rFonts w:ascii="Book Antiqua" w:eastAsia="Book Antiqua" w:hAnsi="Book Antiqua" w:cs="Book Antiqua"/>
          <w:color w:val="000000"/>
          <w:shd w:val="clear" w:color="auto" w:fill="FFFFFF"/>
        </w:rPr>
        <w:t xml:space="preserve">Saint-Cloud, </w:t>
      </w:r>
      <w:r w:rsidRPr="002B5663">
        <w:rPr>
          <w:rFonts w:ascii="Book Antiqua" w:eastAsia="Book Antiqua" w:hAnsi="Book Antiqua" w:cs="Book Antiqua"/>
          <w:color w:val="000000"/>
          <w:shd w:val="clear" w:color="auto" w:fill="FFFFFF"/>
        </w:rPr>
        <w:t xml:space="preserve">France) orally for 2 </w:t>
      </w:r>
      <w:proofErr w:type="spellStart"/>
      <w:r w:rsidRPr="002B5663">
        <w:rPr>
          <w:rFonts w:ascii="Book Antiqua" w:eastAsia="Book Antiqua" w:hAnsi="Book Antiqua" w:cs="Book Antiqua"/>
          <w:color w:val="000000"/>
          <w:shd w:val="clear" w:color="auto" w:fill="FFFFFF"/>
        </w:rPr>
        <w:t>wk</w:t>
      </w:r>
      <w:proofErr w:type="spellEnd"/>
      <w:r w:rsidRPr="002B5663">
        <w:rPr>
          <w:rFonts w:ascii="Book Antiqua" w:eastAsia="Book Antiqua" w:hAnsi="Book Antiqua" w:cs="Book Antiqua"/>
          <w:color w:val="000000"/>
          <w:shd w:val="clear" w:color="auto" w:fill="FFFFFF"/>
        </w:rPr>
        <w:t xml:space="preserve">; however, the symptoms </w:t>
      </w:r>
      <w:r w:rsidRPr="002B5663">
        <w:rPr>
          <w:rFonts w:ascii="Book Antiqua" w:eastAsia="Book Antiqua" w:hAnsi="Book Antiqua" w:cs="Book Antiqua"/>
          <w:color w:val="000000"/>
        </w:rPr>
        <w:t>did not improve significantly. Although the neutrophil count was normal, the gastrointestinal symptoms did not improve. Owing to the early onset of the symptoms, extensive lesions were detected in the small intestine and colon, with repeated perianal abscesses. Since IFX is effective in the treatment of CD, it was used at the initial dose of 5 mg/kg each time (actually 200 mg each time, administered at the 2</w:t>
      </w:r>
      <w:r w:rsidRPr="002B5663">
        <w:rPr>
          <w:rFonts w:ascii="Book Antiqua" w:eastAsia="Book Antiqua" w:hAnsi="Book Antiqua" w:cs="Book Antiqua"/>
          <w:color w:val="000000"/>
          <w:vertAlign w:val="superscript"/>
        </w:rPr>
        <w:t>nd</w:t>
      </w:r>
      <w:r w:rsidRPr="002B5663">
        <w:rPr>
          <w:rFonts w:ascii="Book Antiqua" w:eastAsia="Book Antiqua" w:hAnsi="Book Antiqua" w:cs="Book Antiqua"/>
          <w:color w:val="000000"/>
        </w:rPr>
        <w:t xml:space="preserve"> and 6</w:t>
      </w:r>
      <w:r w:rsidRPr="002B5663">
        <w:rPr>
          <w:rFonts w:ascii="Book Antiqua" w:eastAsia="Book Antiqua" w:hAnsi="Book Antiqua" w:cs="Book Antiqua"/>
          <w:color w:val="000000"/>
          <w:vertAlign w:val="superscript"/>
        </w:rPr>
        <w:t>th</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after the first administration, and every 8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thereafter), while G-CSF,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and enteral nutrition were applied continually.</w:t>
      </w:r>
    </w:p>
    <w:p w14:paraId="3E6B4FDA" w14:textId="77777777" w:rsidR="00A77B3E" w:rsidRPr="002B5663" w:rsidRDefault="00A77B3E" w:rsidP="002B5663">
      <w:pPr>
        <w:adjustRightInd w:val="0"/>
        <w:snapToGrid w:val="0"/>
        <w:spacing w:line="360" w:lineRule="auto"/>
        <w:jc w:val="both"/>
        <w:rPr>
          <w:rFonts w:ascii="Book Antiqua" w:hAnsi="Book Antiqua"/>
        </w:rPr>
      </w:pPr>
    </w:p>
    <w:p w14:paraId="35E329B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OUTCOME AND FOLLOW-UP</w:t>
      </w:r>
    </w:p>
    <w:p w14:paraId="66C47BA4" w14:textId="3BE905B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After the first administration of IFX (200 mg) for 1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the abdominal pain and vomiting were significantly relieved, and the stool with </w:t>
      </w:r>
      <w:r w:rsidR="002E2424">
        <w:rPr>
          <w:rFonts w:ascii="Book Antiqua" w:eastAsia="Book Antiqua" w:hAnsi="Book Antiqua" w:cs="Book Antiqua"/>
          <w:color w:val="000000"/>
        </w:rPr>
        <w:t>one to two</w:t>
      </w:r>
      <w:r w:rsidRPr="002B5663">
        <w:rPr>
          <w:rFonts w:ascii="Book Antiqua" w:eastAsia="Book Antiqua" w:hAnsi="Book Antiqua" w:cs="Book Antiqua"/>
          <w:color w:val="000000"/>
        </w:rPr>
        <w:t xml:space="preserve"> times per day was regular as compared to that before administration of the drug. After 6 </w:t>
      </w:r>
      <w:proofErr w:type="spellStart"/>
      <w:r w:rsidRPr="002B5663">
        <w:rPr>
          <w:rFonts w:ascii="Book Antiqua" w:eastAsia="Book Antiqua" w:hAnsi="Book Antiqua" w:cs="Book Antiqua"/>
          <w:color w:val="000000"/>
        </w:rPr>
        <w:t>mo</w:t>
      </w:r>
      <w:proofErr w:type="spellEnd"/>
      <w:r w:rsidRPr="002B5663">
        <w:rPr>
          <w:rFonts w:ascii="Book Antiqua" w:eastAsia="Book Antiqua" w:hAnsi="Book Antiqua" w:cs="Book Antiqua"/>
          <w:color w:val="000000"/>
        </w:rPr>
        <w:t xml:space="preserve"> of treatment (the 5</w:t>
      </w:r>
      <w:r w:rsidRPr="002B5663">
        <w:rPr>
          <w:rFonts w:ascii="Book Antiqua" w:eastAsia="Book Antiqua" w:hAnsi="Book Antiqua" w:cs="Book Antiqua"/>
          <w:color w:val="000000"/>
          <w:vertAlign w:val="superscript"/>
        </w:rPr>
        <w:t>th</w:t>
      </w:r>
      <w:r w:rsidRPr="002B5663">
        <w:rPr>
          <w:rFonts w:ascii="Book Antiqua" w:eastAsia="Book Antiqua" w:hAnsi="Book Antiqua" w:cs="Book Antiqua"/>
          <w:color w:val="000000"/>
        </w:rPr>
        <w:t xml:space="preserve"> IFX treatment), the Pediatric </w:t>
      </w:r>
      <w:r w:rsidR="00200DFC" w:rsidRPr="002B5663">
        <w:rPr>
          <w:rFonts w:ascii="Book Antiqua" w:eastAsia="Book Antiqua" w:hAnsi="Book Antiqua" w:cs="Book Antiqua"/>
          <w:color w:val="000000"/>
        </w:rPr>
        <w:t>Crohn</w:t>
      </w:r>
      <w:r w:rsidR="002E2424">
        <w:rPr>
          <w:rFonts w:ascii="Book Antiqua" w:eastAsia="Book Antiqua" w:hAnsi="Book Antiqua" w:cs="Book Antiqua"/>
          <w:color w:val="000000"/>
        </w:rPr>
        <w:t>’s</w:t>
      </w:r>
      <w:r w:rsidR="00200DFC"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disease activity index </w:t>
      </w:r>
      <w:r w:rsidRPr="002B5663">
        <w:rPr>
          <w:rFonts w:ascii="Book Antiqua" w:eastAsia="Book Antiqua" w:hAnsi="Book Antiqua" w:cs="Book Antiqua"/>
          <w:color w:val="000000"/>
        </w:rPr>
        <w:lastRenderedPageBreak/>
        <w:t>decreased to 5 points (Table 1), and all the inflammatory indexes decreased (Table 1). A review of the colonoscopy data showed that the ulcers in the terminal ileum and colon had healed, and the intestinal mucosa was smooth (Figure 3). The weight and height of the child increased significantly as compared to that before the treatment (Table 1).</w:t>
      </w:r>
    </w:p>
    <w:p w14:paraId="1AC82FD3" w14:textId="443D7715"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 xml:space="preserve">Hitherto, the patient has been followed up for 1 year, and no clinical manifestations, such as abdominal pain, diarrhea, vomiting, and perianal abscess, </w:t>
      </w:r>
      <w:r w:rsidR="00F93622">
        <w:rPr>
          <w:rFonts w:ascii="Book Antiqua" w:eastAsia="Book Antiqua" w:hAnsi="Book Antiqua" w:cs="Book Antiqua"/>
          <w:color w:val="000000"/>
        </w:rPr>
        <w:t>have been</w:t>
      </w:r>
      <w:r w:rsidRPr="002B5663">
        <w:rPr>
          <w:rFonts w:ascii="Book Antiqua" w:eastAsia="Book Antiqua" w:hAnsi="Book Antiqua" w:cs="Book Antiqua"/>
          <w:color w:val="000000"/>
        </w:rPr>
        <w:t xml:space="preserve"> observed. During the treatment with IFX, no adverse reactions, such as infections and allergies, were noted. Also, the etiological indicators, such as </w:t>
      </w:r>
      <w:r w:rsidR="00992118" w:rsidRPr="002B5663">
        <w:rPr>
          <w:rFonts w:ascii="Book Antiqua" w:eastAsia="Book Antiqua" w:hAnsi="Book Antiqua" w:cs="Book Antiqua"/>
          <w:color w:val="000000"/>
        </w:rPr>
        <w:t>T cell spot test</w:t>
      </w:r>
      <w:r w:rsidRPr="002B5663">
        <w:rPr>
          <w:rFonts w:ascii="Book Antiqua" w:eastAsia="Book Antiqua" w:hAnsi="Book Antiqua" w:cs="Book Antiqua"/>
          <w:color w:val="000000"/>
        </w:rPr>
        <w:t>, Epstein-</w:t>
      </w:r>
      <w:r w:rsidR="00F93622">
        <w:rPr>
          <w:rFonts w:ascii="Book Antiqua" w:eastAsia="Book Antiqua" w:hAnsi="Book Antiqua" w:cs="Book Antiqua"/>
          <w:color w:val="000000"/>
        </w:rPr>
        <w:t>B</w:t>
      </w:r>
      <w:r w:rsidRPr="002B5663">
        <w:rPr>
          <w:rFonts w:ascii="Book Antiqua" w:eastAsia="Book Antiqua" w:hAnsi="Book Antiqua" w:cs="Book Antiqua"/>
          <w:color w:val="000000"/>
        </w:rPr>
        <w:t xml:space="preserve">arr virus, and CMV, were negative, while liver and kidney functions were normal. </w:t>
      </w:r>
    </w:p>
    <w:p w14:paraId="0CDF850D" w14:textId="77777777" w:rsidR="00A77B3E" w:rsidRPr="002B5663" w:rsidRDefault="00A77B3E" w:rsidP="002B5663">
      <w:pPr>
        <w:adjustRightInd w:val="0"/>
        <w:snapToGrid w:val="0"/>
        <w:spacing w:line="360" w:lineRule="auto"/>
        <w:ind w:firstLine="240"/>
        <w:jc w:val="both"/>
        <w:rPr>
          <w:rFonts w:ascii="Book Antiqua" w:hAnsi="Book Antiqua"/>
        </w:rPr>
      </w:pPr>
    </w:p>
    <w:p w14:paraId="75FFFD9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DISCUSSION</w:t>
      </w:r>
    </w:p>
    <w:p w14:paraId="78AF8634" w14:textId="050E290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results in quantitative or qualitative neutrophil dysfunction and is associated with an intestinal phenotype resembling CD</w:t>
      </w:r>
      <w:r w:rsidRPr="002B5663">
        <w:rPr>
          <w:rFonts w:ascii="Book Antiqua" w:eastAsia="Book Antiqua" w:hAnsi="Book Antiqua" w:cs="Book Antiqua"/>
          <w:color w:val="000000"/>
          <w:vertAlign w:val="superscript"/>
        </w:rPr>
        <w:t>[4]</w:t>
      </w:r>
      <w:r w:rsidRPr="002B5663">
        <w:rPr>
          <w:rFonts w:ascii="Book Antiqua" w:eastAsia="Book Antiqua" w:hAnsi="Book Antiqua" w:cs="Book Antiqua"/>
          <w:color w:val="000000"/>
        </w:rPr>
        <w:t>; these patients have a prolonged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and the few neutrophils are dysfunctional. The bowel inflammation could result from chronic low infection of the gut mucosa</w:t>
      </w:r>
      <w:r w:rsidRPr="002B5663">
        <w:rPr>
          <w:rFonts w:ascii="Book Antiqua" w:eastAsia="Book Antiqua" w:hAnsi="Book Antiqua" w:cs="Book Antiqua"/>
          <w:color w:val="000000"/>
          <w:vertAlign w:val="superscript"/>
        </w:rPr>
        <w:t>[5]</w:t>
      </w:r>
      <w:r w:rsidRPr="002B5663">
        <w:rPr>
          <w:rFonts w:ascii="Book Antiqua" w:eastAsia="Book Antiqua" w:hAnsi="Book Antiqua" w:cs="Book Antiqua"/>
          <w:color w:val="000000"/>
        </w:rPr>
        <w:t>. Herein, a case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that was not administered G-CSF, presented low neutrophil count and had CD-like manifestations at 9 years of age. The patient was first treated with traditional G-CSF and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but the outcome was not satisfactory. Since the child exhibited typical CD-like manifestations, we selected IFX and achieved satisfactory results. Nonetheless, the drug has been rarely reported for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or CD-like colitis. </w:t>
      </w:r>
    </w:p>
    <w:p w14:paraId="00BC73B4" w14:textId="77777777"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G-CSF has been used to treat neutropenia and colitis in some patients with GSD-Ib. Some studies demonstrated that the regular use of G-CSF could prevent or delay IBD while preventing infection</w:t>
      </w:r>
      <w:r w:rsidRPr="002B5663">
        <w:rPr>
          <w:rFonts w:ascii="Book Antiqua" w:eastAsia="Book Antiqua" w:hAnsi="Book Antiqua" w:cs="Book Antiqua"/>
          <w:color w:val="000000"/>
          <w:vertAlign w:val="superscript"/>
        </w:rPr>
        <w:t>[6]</w:t>
      </w:r>
      <w:r w:rsidRPr="002B5663">
        <w:rPr>
          <w:rFonts w:ascii="Book Antiqua" w:eastAsia="Book Antiqua" w:hAnsi="Book Antiqua" w:cs="Book Antiqua"/>
          <w:color w:val="000000"/>
        </w:rPr>
        <w:t>. In the present case, although the neutrophil count was normal after treatment with G-CSF, the clinical symptoms were not improved. This might be because despite the increase in neutrophil counts, G-CSF does not correct the neutrophil function</w:t>
      </w:r>
      <w:r w:rsidRPr="002B5663">
        <w:rPr>
          <w:rFonts w:ascii="Book Antiqua" w:eastAsia="Book Antiqua" w:hAnsi="Book Antiqua" w:cs="Book Antiqua"/>
          <w:color w:val="000000"/>
          <w:vertAlign w:val="superscript"/>
        </w:rPr>
        <w:t>[7]</w:t>
      </w:r>
      <w:r w:rsidRPr="002B5663">
        <w:rPr>
          <w:rFonts w:ascii="Book Antiqua" w:eastAsia="Book Antiqua" w:hAnsi="Book Antiqua" w:cs="Book Antiqua"/>
          <w:color w:val="000000"/>
        </w:rPr>
        <w:t>. Dysfunctional glucose-</w:t>
      </w:r>
      <w:r w:rsidRPr="002B5663">
        <w:rPr>
          <w:rFonts w:ascii="Book Antiqua" w:eastAsia="Book Antiqua" w:hAnsi="Book Antiqua" w:cs="Book Antiqua"/>
          <w:color w:val="000000"/>
        </w:rPr>
        <w:lastRenderedPageBreak/>
        <w:t xml:space="preserve">6-phosphatase-deficient neutrophils are less effective in dealing with inflammatory processes. </w:t>
      </w:r>
    </w:p>
    <w:p w14:paraId="58AF68C7" w14:textId="4EF550E6"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The primary mechanism of action of IFX is binding to TNF to inhibit its binding to TNF receptors and block its biological activity, thereby achieving the anti-inflammatory effects</w:t>
      </w:r>
      <w:r w:rsidRPr="002B5663">
        <w:rPr>
          <w:rFonts w:ascii="Book Antiqua" w:eastAsia="Book Antiqua" w:hAnsi="Book Antiqua" w:cs="Book Antiqua"/>
          <w:color w:val="000000"/>
          <w:shd w:val="clear" w:color="auto" w:fill="FFFFFF"/>
          <w:vertAlign w:val="superscript"/>
        </w:rPr>
        <w:t>[8]</w:t>
      </w:r>
      <w:r w:rsidRPr="002B5663">
        <w:rPr>
          <w:rFonts w:ascii="Book Antiqua" w:eastAsia="Book Antiqua" w:hAnsi="Book Antiqua" w:cs="Book Antiqua"/>
          <w:color w:val="000000"/>
        </w:rPr>
        <w:t>. The early use of anti-TNF inhibitors in patients with moderate to severe CD might improve its efficacy and prevent penetrating complications of the disease</w:t>
      </w:r>
      <w:r w:rsidRPr="002B5663">
        <w:rPr>
          <w:rFonts w:ascii="Book Antiqua" w:eastAsia="Book Antiqua" w:hAnsi="Book Antiqua" w:cs="Book Antiqua"/>
          <w:color w:val="000000"/>
          <w:vertAlign w:val="superscript"/>
        </w:rPr>
        <w:t>[9]</w:t>
      </w:r>
      <w:r w:rsidRPr="002B5663">
        <w:rPr>
          <w:rFonts w:ascii="Book Antiqua" w:eastAsia="Book Antiqua" w:hAnsi="Book Antiqua" w:cs="Book Antiqua"/>
          <w:color w:val="000000"/>
        </w:rPr>
        <w:t>. IFX is especially useful in patients with severe perianal disease</w:t>
      </w:r>
      <w:r w:rsidRPr="002B5663">
        <w:rPr>
          <w:rFonts w:ascii="Book Antiqua" w:eastAsia="Book Antiqua" w:hAnsi="Book Antiqua" w:cs="Book Antiqua"/>
          <w:color w:val="000000"/>
          <w:vertAlign w:val="superscript"/>
        </w:rPr>
        <w:t>[10]</w:t>
      </w:r>
      <w:r w:rsidRPr="002B5663">
        <w:rPr>
          <w:rFonts w:ascii="Book Antiqua" w:eastAsia="Book Antiqua" w:hAnsi="Book Antiqua" w:cs="Book Antiqua"/>
          <w:color w:val="000000"/>
          <w:shd w:val="clear" w:color="auto" w:fill="FFFFFF"/>
        </w:rPr>
        <w:t>.</w:t>
      </w:r>
      <w:r w:rsidRPr="002B5663">
        <w:rPr>
          <w:rFonts w:ascii="Book Antiqua" w:eastAsia="Book Antiqua" w:hAnsi="Book Antiqua" w:cs="Book Antiqua"/>
          <w:color w:val="000000"/>
        </w:rPr>
        <w:t xml:space="preserve"> In the present study, the patient had severe </w:t>
      </w:r>
      <w:r w:rsidR="00A84E92" w:rsidRPr="002B5663">
        <w:rPr>
          <w:rFonts w:ascii="Book Antiqua" w:hAnsi="Book Antiqua"/>
          <w:color w:val="0C0C0C"/>
        </w:rPr>
        <w:t xml:space="preserve">Pediatric </w:t>
      </w:r>
      <w:r w:rsidR="00A84E92" w:rsidRPr="004E6359">
        <w:rPr>
          <w:rFonts w:ascii="Book Antiqua" w:hAnsi="Book Antiqua"/>
          <w:caps/>
          <w:color w:val="0C0C0C"/>
        </w:rPr>
        <w:t>c</w:t>
      </w:r>
      <w:r w:rsidR="00A84E92" w:rsidRPr="002B5663">
        <w:rPr>
          <w:rFonts w:ascii="Book Antiqua" w:hAnsi="Book Antiqua"/>
          <w:color w:val="0C0C0C"/>
        </w:rPr>
        <w:t>rohn</w:t>
      </w:r>
      <w:r w:rsidR="00A84E92">
        <w:rPr>
          <w:rFonts w:ascii="Book Antiqua" w:hAnsi="Book Antiqua"/>
          <w:color w:val="0C0C0C"/>
        </w:rPr>
        <w:t>’s</w:t>
      </w:r>
      <w:r w:rsidR="00A84E92" w:rsidRPr="002B5663">
        <w:rPr>
          <w:rFonts w:ascii="Book Antiqua" w:hAnsi="Book Antiqua"/>
          <w:color w:val="0C0C0C"/>
        </w:rPr>
        <w:t xml:space="preserve"> disease activity index</w:t>
      </w:r>
      <w:r w:rsidRPr="002B5663">
        <w:rPr>
          <w:rFonts w:ascii="Book Antiqua" w:eastAsia="Book Antiqua" w:hAnsi="Book Antiqua" w:cs="Book Antiqua"/>
          <w:color w:val="000000"/>
        </w:rPr>
        <w:t xml:space="preserve"> score</w:t>
      </w:r>
      <w:r w:rsidRPr="002B5663">
        <w:rPr>
          <w:rFonts w:ascii="Book Antiqua" w:eastAsia="Book Antiqua" w:hAnsi="Book Antiqua" w:cs="Book Antiqua"/>
          <w:color w:val="000000"/>
          <w:vertAlign w:val="superscript"/>
        </w:rPr>
        <w:t>[11]</w:t>
      </w:r>
      <w:r w:rsidRPr="002B5663">
        <w:rPr>
          <w:rFonts w:ascii="Book Antiqua" w:eastAsia="Book Antiqua" w:hAnsi="Book Antiqua" w:cs="Book Antiqua"/>
          <w:color w:val="000000"/>
        </w:rPr>
        <w:t xml:space="preserve">, combined with repeated perianal abscesses, which is a major indication for the application of IFX. Hence, the drug was selected after the traditional treatment was ineffective. After the first application of IFX, the patient’s gastrointestinal symptoms, such as abdominal pain and vomiting, were significantly improved, the nutritional status was gradually improved, and the level of inflammation indicators, such as </w:t>
      </w:r>
      <w:r w:rsidR="00992118" w:rsidRPr="002B5663">
        <w:rPr>
          <w:rFonts w:ascii="Book Antiqua" w:eastAsia="Book Antiqua" w:hAnsi="Book Antiqua" w:cs="Book Antiqua"/>
          <w:color w:val="000000"/>
        </w:rPr>
        <w:t xml:space="preserve">C-reactive protein </w:t>
      </w:r>
      <w:r w:rsidRPr="002B5663">
        <w:rPr>
          <w:rFonts w:ascii="Book Antiqua" w:eastAsia="Book Antiqua" w:hAnsi="Book Antiqua" w:cs="Book Antiqua"/>
          <w:color w:val="000000"/>
        </w:rPr>
        <w:t xml:space="preserve">and </w:t>
      </w:r>
      <w:r w:rsidR="00992118" w:rsidRPr="002B5663">
        <w:rPr>
          <w:rFonts w:ascii="Book Antiqua" w:eastAsia="Book Antiqua" w:hAnsi="Book Antiqua" w:cs="Book Antiqua"/>
          <w:color w:val="000000"/>
        </w:rPr>
        <w:t>erythrocyte sedimentation rate</w:t>
      </w:r>
      <w:r w:rsidRPr="002B5663">
        <w:rPr>
          <w:rFonts w:ascii="Book Antiqua" w:eastAsia="Book Antiqua" w:hAnsi="Book Antiqua" w:cs="Book Antiqua"/>
          <w:color w:val="000000"/>
        </w:rPr>
        <w:t>, was decreased significantly as compared to that before the treatment. A review of colonoscopy showed that the intestinal mucosal ulcers were healed. Only a few studies reported the use of biological agents for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combined with CD or CD-like manifestations. Davis </w:t>
      </w:r>
      <w:r w:rsidRPr="002B5663">
        <w:rPr>
          <w:rFonts w:ascii="Book Antiqua" w:eastAsia="Book Antiqua" w:hAnsi="Book Antiqua" w:cs="Book Antiqua"/>
          <w:i/>
          <w:iCs/>
          <w:color w:val="000000"/>
        </w:rPr>
        <w:t>et al</w:t>
      </w:r>
      <w:r w:rsidRPr="002B5663">
        <w:rPr>
          <w:rFonts w:ascii="Book Antiqua" w:eastAsia="Book Antiqua" w:hAnsi="Book Antiqua" w:cs="Book Antiqua"/>
          <w:color w:val="000000"/>
          <w:vertAlign w:val="superscript"/>
        </w:rPr>
        <w:t>[12]</w:t>
      </w:r>
      <w:r w:rsidRPr="002B5663">
        <w:rPr>
          <w:rFonts w:ascii="Book Antiqua" w:eastAsia="Book Antiqua" w:hAnsi="Book Antiqua" w:cs="Book Antiqua"/>
          <w:color w:val="000000"/>
        </w:rPr>
        <w:t xml:space="preserve"> reported a case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treated with adalimumab because of allergy to IFX. </w:t>
      </w:r>
    </w:p>
    <w:p w14:paraId="5C537076" w14:textId="14DEC6D4"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Moreover, the adverse effects of IFX, especially infections and infusion reactions (anaphylaxis, fever, nausea, vomiting, convulsion, and rash), need to be evaluated. Hosoi</w:t>
      </w:r>
      <w:r w:rsidRPr="002B5663">
        <w:rPr>
          <w:rFonts w:ascii="Book Antiqua" w:eastAsia="Book Antiqua" w:hAnsi="Book Antiqua" w:cs="Book Antiqua"/>
          <w:i/>
          <w:iCs/>
          <w:color w:val="000000"/>
        </w:rPr>
        <w:t xml:space="preserve"> et al</w:t>
      </w:r>
      <w:r w:rsidRPr="002B5663">
        <w:rPr>
          <w:rFonts w:ascii="Book Antiqua" w:eastAsia="Book Antiqua" w:hAnsi="Book Antiqua" w:cs="Book Antiqua"/>
          <w:color w:val="000000"/>
          <w:vertAlign w:val="superscript"/>
        </w:rPr>
        <w:t>[13]</w:t>
      </w:r>
      <w:r w:rsidRPr="002B5663">
        <w:rPr>
          <w:rFonts w:ascii="Book Antiqua" w:eastAsia="Book Antiqua" w:hAnsi="Book Antiqua" w:cs="Book Antiqua"/>
          <w:color w:val="000000"/>
        </w:rPr>
        <w:t xml:space="preserve"> reported that 18.2% (31/181) of patients had infusion reactions. </w:t>
      </w:r>
      <w:r w:rsidR="00200DFC" w:rsidRPr="002B5663">
        <w:rPr>
          <w:rFonts w:ascii="Book Antiqua" w:eastAsia="Book Antiqua" w:hAnsi="Book Antiqua" w:cs="Book Antiqua"/>
          <w:bCs/>
          <w:color w:val="000000"/>
        </w:rPr>
        <w:t xml:space="preserve">de </w:t>
      </w:r>
      <w:proofErr w:type="spellStart"/>
      <w:r w:rsidR="00200DFC" w:rsidRPr="002B5663">
        <w:rPr>
          <w:rFonts w:ascii="Book Antiqua" w:eastAsia="Book Antiqua" w:hAnsi="Book Antiqua" w:cs="Book Antiqua"/>
          <w:bCs/>
          <w:color w:val="000000"/>
        </w:rPr>
        <w:t>Bie</w:t>
      </w:r>
      <w:proofErr w:type="spellEnd"/>
      <w:r w:rsidRPr="002B5663">
        <w:rPr>
          <w:rFonts w:ascii="Book Antiqua" w:eastAsia="Book Antiqua" w:hAnsi="Book Antiqua" w:cs="Book Antiqua"/>
          <w:color w:val="000000"/>
        </w:rPr>
        <w:t xml:space="preserve"> </w:t>
      </w:r>
      <w:r w:rsidRPr="002B5663">
        <w:rPr>
          <w:rFonts w:ascii="Book Antiqua" w:eastAsia="Book Antiqua" w:hAnsi="Book Antiqua" w:cs="Book Antiqua"/>
          <w:i/>
          <w:iCs/>
          <w:color w:val="000000"/>
        </w:rPr>
        <w:t>et al</w:t>
      </w:r>
      <w:r w:rsidRPr="002B5663">
        <w:rPr>
          <w:rFonts w:ascii="Book Antiqua" w:eastAsia="Book Antiqua" w:hAnsi="Book Antiqua" w:cs="Book Antiqua"/>
          <w:color w:val="000000"/>
          <w:vertAlign w:val="superscript"/>
        </w:rPr>
        <w:t>[14]</w:t>
      </w:r>
      <w:r w:rsidRPr="002B5663">
        <w:rPr>
          <w:rFonts w:ascii="Book Antiqua" w:eastAsia="Book Antiqua" w:hAnsi="Book Antiqua" w:cs="Book Antiqua"/>
          <w:color w:val="000000"/>
        </w:rPr>
        <w:t xml:space="preserve"> reported that 3.3% of patients had severe or unusual infections, and one sepsis-related death occurred in a pediatric CD patient. The patient in this study did not experience any adverse reactions during the infusion of IFX; however, long-term monitoring is essential. </w:t>
      </w:r>
    </w:p>
    <w:p w14:paraId="080E3FD4" w14:textId="0AE30681"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 xml:space="preserve">Furthermore, it is important to evaluate the incidence of non-responders. </w:t>
      </w:r>
      <w:r w:rsidR="00200DFC" w:rsidRPr="002B5663">
        <w:rPr>
          <w:rFonts w:ascii="Book Antiqua" w:eastAsia="Book Antiqua" w:hAnsi="Book Antiqua" w:cs="Book Antiqua"/>
          <w:bCs/>
          <w:color w:val="000000"/>
        </w:rPr>
        <w:t xml:space="preserve">de </w:t>
      </w:r>
      <w:proofErr w:type="spellStart"/>
      <w:r w:rsidR="00200DFC" w:rsidRPr="002B5663">
        <w:rPr>
          <w:rFonts w:ascii="Book Antiqua" w:eastAsia="Book Antiqua" w:hAnsi="Book Antiqua" w:cs="Book Antiqua"/>
          <w:bCs/>
          <w:color w:val="000000"/>
        </w:rPr>
        <w:t>Bie</w:t>
      </w:r>
      <w:proofErr w:type="spellEnd"/>
      <w:r w:rsidRPr="002B5663">
        <w:rPr>
          <w:rFonts w:ascii="Book Antiqua" w:eastAsia="Book Antiqua" w:hAnsi="Book Antiqua" w:cs="Book Antiqua"/>
          <w:color w:val="000000"/>
        </w:rPr>
        <w:t xml:space="preserve"> </w:t>
      </w:r>
      <w:r w:rsidRPr="002B5663">
        <w:rPr>
          <w:rFonts w:ascii="Book Antiqua" w:eastAsia="Book Antiqua" w:hAnsi="Book Antiqua" w:cs="Book Antiqua"/>
          <w:i/>
          <w:iCs/>
          <w:color w:val="000000"/>
        </w:rPr>
        <w:t>et al</w:t>
      </w:r>
      <w:r w:rsidRPr="002B5663">
        <w:rPr>
          <w:rFonts w:ascii="Book Antiqua" w:eastAsia="Book Antiqua" w:hAnsi="Book Antiqua" w:cs="Book Antiqua"/>
          <w:color w:val="000000"/>
          <w:vertAlign w:val="superscript"/>
        </w:rPr>
        <w:t>[14]</w:t>
      </w:r>
      <w:r w:rsidRPr="002B5663">
        <w:rPr>
          <w:rFonts w:ascii="Book Antiqua" w:eastAsia="Book Antiqua" w:hAnsi="Book Antiqua" w:cs="Book Antiqua"/>
          <w:color w:val="000000"/>
        </w:rPr>
        <w:t xml:space="preserve"> reported approximately 30% of primary and secondary non-</w:t>
      </w:r>
      <w:r w:rsidRPr="002B5663">
        <w:rPr>
          <w:rFonts w:ascii="Book Antiqua" w:eastAsia="Book Antiqua" w:hAnsi="Book Antiqua" w:cs="Book Antiqua"/>
          <w:color w:val="000000"/>
        </w:rPr>
        <w:lastRenderedPageBreak/>
        <w:t xml:space="preserve">responders among Japanese pediatric CD patients. In the current study, we monitored the blood concentration of IFX (&gt; 1.0 mg/mL) and the serum concentration of anti-IFX (&lt; 30 ng/mL) once every 6 </w:t>
      </w:r>
      <w:proofErr w:type="spellStart"/>
      <w:r w:rsidRPr="002B5663">
        <w:rPr>
          <w:rFonts w:ascii="Book Antiqua" w:eastAsia="Book Antiqua" w:hAnsi="Book Antiqua" w:cs="Book Antiqua"/>
          <w:color w:val="000000"/>
        </w:rPr>
        <w:t>mo</w:t>
      </w:r>
      <w:proofErr w:type="spellEnd"/>
      <w:r w:rsidRPr="002B5663">
        <w:rPr>
          <w:rFonts w:ascii="Book Antiqua" w:eastAsia="Book Antiqua" w:hAnsi="Book Antiqua" w:cs="Book Antiqua"/>
          <w:color w:val="000000"/>
        </w:rPr>
        <w:t xml:space="preserve"> during the treatment. Hence, </w:t>
      </w:r>
      <w:r w:rsidR="00200DFC" w:rsidRPr="002B5663">
        <w:rPr>
          <w:rFonts w:ascii="Book Antiqua" w:eastAsia="Book Antiqua" w:hAnsi="Book Antiqua" w:cs="Book Antiqua"/>
          <w:color w:val="000000"/>
        </w:rPr>
        <w:t xml:space="preserve">we </w:t>
      </w:r>
      <w:r w:rsidRPr="002B5663">
        <w:rPr>
          <w:rFonts w:ascii="Book Antiqua" w:eastAsia="Book Antiqua" w:hAnsi="Book Antiqua" w:cs="Book Antiqua"/>
          <w:color w:val="000000"/>
        </w:rPr>
        <w:t>were able to adjust the medication dose according to the drug concentration. For children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concurrent infections, such as tuberculosis, E</w:t>
      </w:r>
      <w:r w:rsidR="00A84E92">
        <w:rPr>
          <w:rFonts w:ascii="Book Antiqua" w:eastAsia="Book Antiqua" w:hAnsi="Book Antiqua" w:cs="Book Antiqua"/>
          <w:color w:val="000000"/>
        </w:rPr>
        <w:t>pstein-Barr</w:t>
      </w:r>
      <w:r w:rsidRPr="002B5663">
        <w:rPr>
          <w:rFonts w:ascii="Book Antiqua" w:eastAsia="Book Antiqua" w:hAnsi="Book Antiqua" w:cs="Book Antiqua"/>
          <w:color w:val="000000"/>
        </w:rPr>
        <w:t xml:space="preserve"> virus, and CMV, should be </w:t>
      </w:r>
      <w:r w:rsidR="00A84E92">
        <w:rPr>
          <w:rFonts w:ascii="Book Antiqua" w:eastAsia="Book Antiqua" w:hAnsi="Book Antiqua" w:cs="Book Antiqua"/>
          <w:color w:val="000000"/>
        </w:rPr>
        <w:t xml:space="preserve">a </w:t>
      </w:r>
      <w:r w:rsidRPr="002B5663">
        <w:rPr>
          <w:rFonts w:ascii="Book Antiqua" w:eastAsia="Book Antiqua" w:hAnsi="Book Antiqua" w:cs="Book Antiqua"/>
          <w:color w:val="000000"/>
        </w:rPr>
        <w:t>focus during treatment with IFX</w:t>
      </w:r>
      <w:r w:rsidR="00A84E92">
        <w:rPr>
          <w:rFonts w:ascii="Book Antiqua" w:eastAsia="Book Antiqua" w:hAnsi="Book Antiqua" w:cs="Book Antiqua"/>
          <w:color w:val="000000"/>
        </w:rPr>
        <w:t xml:space="preserve"> as well as monitoring</w:t>
      </w:r>
      <w:r w:rsidRPr="002B5663">
        <w:rPr>
          <w:rFonts w:ascii="Book Antiqua" w:eastAsia="Book Antiqua" w:hAnsi="Book Antiqua" w:cs="Book Antiqua"/>
          <w:color w:val="000000"/>
        </w:rPr>
        <w:t xml:space="preserve"> side effects.</w:t>
      </w:r>
    </w:p>
    <w:p w14:paraId="25B35D24" w14:textId="77777777" w:rsidR="00A77B3E" w:rsidRPr="002B5663" w:rsidRDefault="00A77B3E" w:rsidP="002B5663">
      <w:pPr>
        <w:adjustRightInd w:val="0"/>
        <w:snapToGrid w:val="0"/>
        <w:spacing w:line="360" w:lineRule="auto"/>
        <w:ind w:firstLine="240"/>
        <w:jc w:val="both"/>
        <w:rPr>
          <w:rFonts w:ascii="Book Antiqua" w:hAnsi="Book Antiqua"/>
        </w:rPr>
      </w:pPr>
    </w:p>
    <w:p w14:paraId="6D08FF9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CONCLUSION</w:t>
      </w:r>
    </w:p>
    <w:p w14:paraId="0D428267" w14:textId="56FF6BC5"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In conclusion, the patient was successfully treated with IFX</w:t>
      </w:r>
      <w:r w:rsidR="00A84E92">
        <w:rPr>
          <w:rFonts w:ascii="Book Antiqua" w:eastAsia="Book Antiqua" w:hAnsi="Book Antiqua" w:cs="Book Antiqua"/>
          <w:color w:val="000000"/>
        </w:rPr>
        <w:t>,</w:t>
      </w:r>
      <w:r w:rsidRPr="002B5663">
        <w:rPr>
          <w:rFonts w:ascii="Book Antiqua" w:eastAsia="Book Antiqua" w:hAnsi="Book Antiqua" w:cs="Book Antiqua"/>
          <w:color w:val="000000"/>
        </w:rPr>
        <w:t xml:space="preserve"> as the drug relieved intestinal inflammation, promote</w:t>
      </w:r>
      <w:r w:rsidR="00A84E92">
        <w:rPr>
          <w:rFonts w:ascii="Book Antiqua" w:eastAsia="Book Antiqua" w:hAnsi="Book Antiqua" w:cs="Book Antiqua"/>
          <w:color w:val="000000"/>
        </w:rPr>
        <w:t>d</w:t>
      </w:r>
      <w:r w:rsidRPr="002B5663">
        <w:rPr>
          <w:rFonts w:ascii="Book Antiqua" w:eastAsia="Book Antiqua" w:hAnsi="Book Antiqua" w:cs="Book Antiqua"/>
          <w:color w:val="000000"/>
        </w:rPr>
        <w:t xml:space="preserve"> mucosal healing, and </w:t>
      </w:r>
      <w:r w:rsidR="00A84E92">
        <w:rPr>
          <w:rFonts w:ascii="Book Antiqua" w:eastAsia="Book Antiqua" w:hAnsi="Book Antiqua" w:cs="Book Antiqua"/>
          <w:color w:val="000000"/>
        </w:rPr>
        <w:t xml:space="preserve">improved </w:t>
      </w:r>
      <w:r w:rsidRPr="002B5663">
        <w:rPr>
          <w:rFonts w:ascii="Book Antiqua" w:eastAsia="Book Antiqua" w:hAnsi="Book Antiqua" w:cs="Book Antiqua"/>
          <w:color w:val="000000"/>
        </w:rPr>
        <w:t xml:space="preserve">clinical symptoms. However, this is only a case report. For cases with poor outcome using the G-CSF treatment, IFX can be </w:t>
      </w:r>
      <w:r w:rsidR="00A84E92">
        <w:rPr>
          <w:rFonts w:ascii="Book Antiqua" w:eastAsia="Book Antiqua" w:hAnsi="Book Antiqua" w:cs="Book Antiqua"/>
          <w:color w:val="000000"/>
        </w:rPr>
        <w:t>considered a</w:t>
      </w:r>
      <w:r w:rsidRPr="002B5663">
        <w:rPr>
          <w:rFonts w:ascii="Book Antiqua" w:eastAsia="Book Antiqua" w:hAnsi="Book Antiqua" w:cs="Book Antiqua"/>
          <w:color w:val="000000"/>
        </w:rPr>
        <w:t xml:space="preserve"> first line of treatment. However, some children may present a loss of drug response, which affects the treatment effect. Therefore, the long-term efficacy should be monitored. Moreover, we can try to use </w:t>
      </w:r>
      <w:r w:rsidR="00A84E92">
        <w:rPr>
          <w:rFonts w:ascii="Book Antiqua" w:eastAsia="Book Antiqua" w:hAnsi="Book Antiqua" w:cs="Book Antiqua"/>
          <w:color w:val="000000"/>
        </w:rPr>
        <w:t>i</w:t>
      </w:r>
      <w:r w:rsidRPr="002B5663">
        <w:rPr>
          <w:rFonts w:ascii="Book Antiqua" w:eastAsia="Book Antiqua" w:hAnsi="Book Antiqua" w:cs="Book Antiqua"/>
          <w:color w:val="000000"/>
        </w:rPr>
        <w:t>mmune checkpoint inhibitors such as ipilimumab</w:t>
      </w:r>
      <w:r w:rsidRPr="002B5663">
        <w:rPr>
          <w:rFonts w:ascii="Book Antiqua" w:eastAsia="Book Antiqua" w:hAnsi="Book Antiqua" w:cs="Book Antiqua"/>
          <w:color w:val="000000"/>
          <w:vertAlign w:val="superscript"/>
        </w:rPr>
        <w:t>[15]</w:t>
      </w:r>
      <w:r w:rsidRPr="002B5663">
        <w:rPr>
          <w:rFonts w:ascii="Book Antiqua" w:eastAsia="Book Antiqua" w:hAnsi="Book Antiqua" w:cs="Book Antiqua"/>
          <w:color w:val="000000"/>
        </w:rPr>
        <w:t xml:space="preserve"> to improve enterocolitis.</w:t>
      </w:r>
    </w:p>
    <w:p w14:paraId="4B915999" w14:textId="7B27764D"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In the case of children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attention should be </w:t>
      </w:r>
      <w:r w:rsidR="00A84E92">
        <w:rPr>
          <w:rFonts w:ascii="Book Antiqua" w:eastAsia="Book Antiqua" w:hAnsi="Book Antiqua" w:cs="Book Antiqua"/>
          <w:color w:val="000000"/>
        </w:rPr>
        <w:t>given</w:t>
      </w:r>
      <w:r w:rsidR="00A84E92"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to monitoring symptoms, such as abdominal pain, diarrhea, </w:t>
      </w:r>
      <w:r w:rsidRPr="002B5663">
        <w:rPr>
          <w:rFonts w:ascii="Book Antiqua" w:eastAsia="Book Antiqua" w:hAnsi="Book Antiqua" w:cs="Book Antiqua"/>
          <w:color w:val="000000"/>
          <w:shd w:val="clear" w:color="auto" w:fill="FFFFFF"/>
        </w:rPr>
        <w:t>hematochezia,</w:t>
      </w:r>
      <w:r w:rsidRPr="002B5663">
        <w:rPr>
          <w:rFonts w:ascii="Book Antiqua" w:eastAsia="Book Antiqua" w:hAnsi="Book Antiqua" w:cs="Book Antiqua"/>
          <w:color w:val="000000"/>
        </w:rPr>
        <w:t xml:space="preserve"> weight loss, repeated oral ulcers, and perianal lesions, and for those presenting repeated neutropenia, IBD should be monitored vigilantly. Although the patient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and CD-like was successfully treated with infliximab, more patients need to be studied to </w:t>
      </w:r>
      <w:r w:rsidR="00A84E92">
        <w:rPr>
          <w:rFonts w:ascii="Book Antiqua" w:eastAsia="Book Antiqua" w:hAnsi="Book Antiqua" w:cs="Book Antiqua"/>
          <w:color w:val="000000"/>
        </w:rPr>
        <w:t>confirm</w:t>
      </w:r>
      <w:r w:rsidRPr="002B5663">
        <w:rPr>
          <w:rFonts w:ascii="Book Antiqua" w:eastAsia="Book Antiqua" w:hAnsi="Book Antiqua" w:cs="Book Antiqua"/>
          <w:color w:val="000000"/>
        </w:rPr>
        <w:t xml:space="preserve"> that IFX could help patients with GSD-Ib.</w:t>
      </w:r>
    </w:p>
    <w:p w14:paraId="2227148E" w14:textId="77777777" w:rsidR="00A77B3E" w:rsidRPr="002B5663" w:rsidRDefault="00A77B3E" w:rsidP="002B5663">
      <w:pPr>
        <w:adjustRightInd w:val="0"/>
        <w:snapToGrid w:val="0"/>
        <w:spacing w:line="360" w:lineRule="auto"/>
        <w:ind w:firstLine="240"/>
        <w:jc w:val="both"/>
        <w:rPr>
          <w:rFonts w:ascii="Book Antiqua" w:hAnsi="Book Antiqua"/>
        </w:rPr>
      </w:pPr>
    </w:p>
    <w:p w14:paraId="504C5A7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ACKNOWLEDGEMENTS</w:t>
      </w:r>
    </w:p>
    <w:p w14:paraId="1C382B27" w14:textId="33F25EF6"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The authors are grateful to the patient and h</w:t>
      </w:r>
      <w:r w:rsidR="00A84E92">
        <w:rPr>
          <w:rFonts w:ascii="Book Antiqua" w:eastAsia="Book Antiqua" w:hAnsi="Book Antiqua" w:cs="Book Antiqua"/>
          <w:color w:val="000000"/>
        </w:rPr>
        <w:t>is</w:t>
      </w:r>
      <w:r w:rsidRPr="002B5663">
        <w:rPr>
          <w:rFonts w:ascii="Book Antiqua" w:eastAsia="Book Antiqua" w:hAnsi="Book Antiqua" w:cs="Book Antiqua"/>
          <w:color w:val="000000"/>
        </w:rPr>
        <w:t xml:space="preserve"> parents for allowing publication of this case report.</w:t>
      </w:r>
    </w:p>
    <w:p w14:paraId="31DC446C" w14:textId="77777777" w:rsidR="00A77B3E" w:rsidRPr="002B5663" w:rsidRDefault="00A77B3E" w:rsidP="002B5663">
      <w:pPr>
        <w:adjustRightInd w:val="0"/>
        <w:snapToGrid w:val="0"/>
        <w:spacing w:line="360" w:lineRule="auto"/>
        <w:jc w:val="both"/>
        <w:rPr>
          <w:rFonts w:ascii="Book Antiqua" w:hAnsi="Book Antiqua"/>
        </w:rPr>
      </w:pPr>
    </w:p>
    <w:p w14:paraId="6A39A11F"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REFERENCES</w:t>
      </w:r>
    </w:p>
    <w:p w14:paraId="3FE723D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 xml:space="preserve">1 </w:t>
      </w:r>
      <w:proofErr w:type="spellStart"/>
      <w:r w:rsidRPr="002B5663">
        <w:rPr>
          <w:rFonts w:ascii="Book Antiqua" w:eastAsia="Book Antiqua" w:hAnsi="Book Antiqua" w:cs="Book Antiqua"/>
          <w:b/>
          <w:bCs/>
          <w:color w:val="000000"/>
        </w:rPr>
        <w:t>Gerin</w:t>
      </w:r>
      <w:proofErr w:type="spellEnd"/>
      <w:r w:rsidRPr="002B5663">
        <w:rPr>
          <w:rFonts w:ascii="Book Antiqua" w:eastAsia="Book Antiqua" w:hAnsi="Book Antiqua" w:cs="Book Antiqua"/>
          <w:b/>
          <w:bCs/>
          <w:color w:val="000000"/>
        </w:rPr>
        <w:t xml:space="preserve"> I</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Veiga</w:t>
      </w:r>
      <w:proofErr w:type="spellEnd"/>
      <w:r w:rsidRPr="002B5663">
        <w:rPr>
          <w:rFonts w:ascii="Book Antiqua" w:eastAsia="Book Antiqua" w:hAnsi="Book Antiqua" w:cs="Book Antiqua"/>
          <w:color w:val="000000"/>
        </w:rPr>
        <w:t xml:space="preserve">-da-Cunha M, </w:t>
      </w:r>
      <w:proofErr w:type="spellStart"/>
      <w:r w:rsidRPr="002B5663">
        <w:rPr>
          <w:rFonts w:ascii="Book Antiqua" w:eastAsia="Book Antiqua" w:hAnsi="Book Antiqua" w:cs="Book Antiqua"/>
          <w:color w:val="000000"/>
        </w:rPr>
        <w:t>Achouri</w:t>
      </w:r>
      <w:proofErr w:type="spellEnd"/>
      <w:r w:rsidRPr="002B5663">
        <w:rPr>
          <w:rFonts w:ascii="Book Antiqua" w:eastAsia="Book Antiqua" w:hAnsi="Book Antiqua" w:cs="Book Antiqua"/>
          <w:color w:val="000000"/>
        </w:rPr>
        <w:t xml:space="preserve"> Y, Collet JF, Van </w:t>
      </w:r>
      <w:proofErr w:type="spellStart"/>
      <w:r w:rsidRPr="002B5663">
        <w:rPr>
          <w:rFonts w:ascii="Book Antiqua" w:eastAsia="Book Antiqua" w:hAnsi="Book Antiqua" w:cs="Book Antiqua"/>
          <w:color w:val="000000"/>
        </w:rPr>
        <w:t>Schaftingen</w:t>
      </w:r>
      <w:proofErr w:type="spellEnd"/>
      <w:r w:rsidRPr="002B5663">
        <w:rPr>
          <w:rFonts w:ascii="Book Antiqua" w:eastAsia="Book Antiqua" w:hAnsi="Book Antiqua" w:cs="Book Antiqua"/>
          <w:color w:val="000000"/>
        </w:rPr>
        <w:t xml:space="preserve"> E. Sequence of a putative glucose 6-phosphate translocase, mutated in glycogen storage disease type Ib. </w:t>
      </w:r>
      <w:r w:rsidRPr="002B5663">
        <w:rPr>
          <w:rFonts w:ascii="Book Antiqua" w:eastAsia="Book Antiqua" w:hAnsi="Book Antiqua" w:cs="Book Antiqua"/>
          <w:i/>
          <w:iCs/>
          <w:color w:val="000000"/>
        </w:rPr>
        <w:t>FEBS Lett</w:t>
      </w:r>
      <w:r w:rsidRPr="002B5663">
        <w:rPr>
          <w:rFonts w:ascii="Book Antiqua" w:eastAsia="Book Antiqua" w:hAnsi="Book Antiqua" w:cs="Book Antiqua"/>
          <w:color w:val="000000"/>
        </w:rPr>
        <w:t xml:space="preserve"> 1997; </w:t>
      </w:r>
      <w:r w:rsidRPr="002B5663">
        <w:rPr>
          <w:rFonts w:ascii="Book Antiqua" w:eastAsia="Book Antiqua" w:hAnsi="Book Antiqua" w:cs="Book Antiqua"/>
          <w:b/>
          <w:bCs/>
          <w:color w:val="000000"/>
        </w:rPr>
        <w:t>419</w:t>
      </w:r>
      <w:r w:rsidRPr="002B5663">
        <w:rPr>
          <w:rFonts w:ascii="Book Antiqua" w:eastAsia="Book Antiqua" w:hAnsi="Book Antiqua" w:cs="Book Antiqua"/>
          <w:color w:val="000000"/>
        </w:rPr>
        <w:t>: 235-238 [PMID: 9428641 DOI: 10.1016/s0014-5793(97)01463-4]</w:t>
      </w:r>
    </w:p>
    <w:p w14:paraId="2155BE94"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2 </w:t>
      </w:r>
      <w:r w:rsidRPr="002B5663">
        <w:rPr>
          <w:rFonts w:ascii="Book Antiqua" w:eastAsia="Book Antiqua" w:hAnsi="Book Antiqua" w:cs="Book Antiqua"/>
          <w:b/>
          <w:bCs/>
          <w:color w:val="000000"/>
        </w:rPr>
        <w:t>Visser G</w:t>
      </w:r>
      <w:r w:rsidRPr="002B5663">
        <w:rPr>
          <w:rFonts w:ascii="Book Antiqua" w:eastAsia="Book Antiqua" w:hAnsi="Book Antiqua" w:cs="Book Antiqua"/>
          <w:color w:val="000000"/>
        </w:rPr>
        <w:t xml:space="preserve">, Rake JP, </w:t>
      </w:r>
      <w:proofErr w:type="spellStart"/>
      <w:r w:rsidRPr="002B5663">
        <w:rPr>
          <w:rFonts w:ascii="Book Antiqua" w:eastAsia="Book Antiqua" w:hAnsi="Book Antiqua" w:cs="Book Antiqua"/>
          <w:color w:val="000000"/>
        </w:rPr>
        <w:t>Fernandes</w:t>
      </w:r>
      <w:proofErr w:type="spellEnd"/>
      <w:r w:rsidRPr="002B5663">
        <w:rPr>
          <w:rFonts w:ascii="Book Antiqua" w:eastAsia="Book Antiqua" w:hAnsi="Book Antiqua" w:cs="Book Antiqua"/>
          <w:color w:val="000000"/>
        </w:rPr>
        <w:t xml:space="preserve"> J, </w:t>
      </w:r>
      <w:proofErr w:type="spellStart"/>
      <w:r w:rsidRPr="002B5663">
        <w:rPr>
          <w:rFonts w:ascii="Book Antiqua" w:eastAsia="Book Antiqua" w:hAnsi="Book Antiqua" w:cs="Book Antiqua"/>
          <w:color w:val="000000"/>
        </w:rPr>
        <w:t>Labrune</w:t>
      </w:r>
      <w:proofErr w:type="spellEnd"/>
      <w:r w:rsidRPr="002B5663">
        <w:rPr>
          <w:rFonts w:ascii="Book Antiqua" w:eastAsia="Book Antiqua" w:hAnsi="Book Antiqua" w:cs="Book Antiqua"/>
          <w:color w:val="000000"/>
        </w:rPr>
        <w:t xml:space="preserve"> P, Leonard JV, Moses S, Ullrich K, Smit GP. Neutropenia, neutrophil dysfunction, and inflammatory bowel disease in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results of the European Study on Glycogen Storage Disease type I. </w:t>
      </w:r>
      <w:r w:rsidRPr="002B5663">
        <w:rPr>
          <w:rFonts w:ascii="Book Antiqua" w:eastAsia="Book Antiqua" w:hAnsi="Book Antiqua" w:cs="Book Antiqua"/>
          <w:i/>
          <w:iCs/>
          <w:color w:val="000000"/>
        </w:rPr>
        <w:t xml:space="preserve">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color w:val="000000"/>
        </w:rPr>
        <w:t xml:space="preserve"> 2000; </w:t>
      </w:r>
      <w:r w:rsidRPr="002B5663">
        <w:rPr>
          <w:rFonts w:ascii="Book Antiqua" w:eastAsia="Book Antiqua" w:hAnsi="Book Antiqua" w:cs="Book Antiqua"/>
          <w:b/>
          <w:bCs/>
          <w:color w:val="000000"/>
        </w:rPr>
        <w:t>137</w:t>
      </w:r>
      <w:r w:rsidRPr="002B5663">
        <w:rPr>
          <w:rFonts w:ascii="Book Antiqua" w:eastAsia="Book Antiqua" w:hAnsi="Book Antiqua" w:cs="Book Antiqua"/>
          <w:color w:val="000000"/>
        </w:rPr>
        <w:t>: 187-191 [PMID: 10931410 DOI: 10.1067/mpd.2000.105232]</w:t>
      </w:r>
    </w:p>
    <w:p w14:paraId="717CE95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3 </w:t>
      </w:r>
      <w:r w:rsidRPr="002B5663">
        <w:rPr>
          <w:rFonts w:ascii="Book Antiqua" w:eastAsia="Book Antiqua" w:hAnsi="Book Antiqua" w:cs="Book Antiqua"/>
          <w:b/>
          <w:bCs/>
          <w:color w:val="000000"/>
        </w:rPr>
        <w:t>Volz MS</w:t>
      </w:r>
      <w:r w:rsidRPr="002B5663">
        <w:rPr>
          <w:rFonts w:ascii="Book Antiqua" w:eastAsia="Book Antiqua" w:hAnsi="Book Antiqua" w:cs="Book Antiqua"/>
          <w:color w:val="000000"/>
        </w:rPr>
        <w:t xml:space="preserve">, Nassir M, </w:t>
      </w:r>
      <w:proofErr w:type="spellStart"/>
      <w:r w:rsidRPr="002B5663">
        <w:rPr>
          <w:rFonts w:ascii="Book Antiqua" w:eastAsia="Book Antiqua" w:hAnsi="Book Antiqua" w:cs="Book Antiqua"/>
          <w:color w:val="000000"/>
        </w:rPr>
        <w:t>Treese</w:t>
      </w:r>
      <w:proofErr w:type="spellEnd"/>
      <w:r w:rsidRPr="002B5663">
        <w:rPr>
          <w:rFonts w:ascii="Book Antiqua" w:eastAsia="Book Antiqua" w:hAnsi="Book Antiqua" w:cs="Book Antiqua"/>
          <w:color w:val="000000"/>
        </w:rPr>
        <w:t xml:space="preserve"> C, von </w:t>
      </w:r>
      <w:proofErr w:type="spellStart"/>
      <w:r w:rsidRPr="002B5663">
        <w:rPr>
          <w:rFonts w:ascii="Book Antiqua" w:eastAsia="Book Antiqua" w:hAnsi="Book Antiqua" w:cs="Book Antiqua"/>
          <w:color w:val="000000"/>
        </w:rPr>
        <w:t>Winterfeld</w:t>
      </w:r>
      <w:proofErr w:type="spellEnd"/>
      <w:r w:rsidRPr="002B5663">
        <w:rPr>
          <w:rFonts w:ascii="Book Antiqua" w:eastAsia="Book Antiqua" w:hAnsi="Book Antiqua" w:cs="Book Antiqua"/>
          <w:color w:val="000000"/>
        </w:rPr>
        <w:t xml:space="preserve"> M, </w:t>
      </w:r>
      <w:proofErr w:type="spellStart"/>
      <w:r w:rsidRPr="002B5663">
        <w:rPr>
          <w:rFonts w:ascii="Book Antiqua" w:eastAsia="Book Antiqua" w:hAnsi="Book Antiqua" w:cs="Book Antiqua"/>
          <w:color w:val="000000"/>
        </w:rPr>
        <w:t>Plöckinger</w:t>
      </w:r>
      <w:proofErr w:type="spellEnd"/>
      <w:r w:rsidRPr="002B5663">
        <w:rPr>
          <w:rFonts w:ascii="Book Antiqua" w:eastAsia="Book Antiqua" w:hAnsi="Book Antiqua" w:cs="Book Antiqua"/>
          <w:color w:val="000000"/>
        </w:rPr>
        <w:t xml:space="preserve"> U, </w:t>
      </w:r>
      <w:proofErr w:type="spellStart"/>
      <w:r w:rsidRPr="002B5663">
        <w:rPr>
          <w:rFonts w:ascii="Book Antiqua" w:eastAsia="Book Antiqua" w:hAnsi="Book Antiqua" w:cs="Book Antiqua"/>
          <w:color w:val="000000"/>
        </w:rPr>
        <w:t>Epple</w:t>
      </w:r>
      <w:proofErr w:type="spellEnd"/>
      <w:r w:rsidRPr="002B5663">
        <w:rPr>
          <w:rFonts w:ascii="Book Antiqua" w:eastAsia="Book Antiqua" w:hAnsi="Book Antiqua" w:cs="Book Antiqua"/>
          <w:color w:val="000000"/>
        </w:rPr>
        <w:t xml:space="preserve"> HJ, </w:t>
      </w:r>
      <w:proofErr w:type="spellStart"/>
      <w:r w:rsidRPr="002B5663">
        <w:rPr>
          <w:rFonts w:ascii="Book Antiqua" w:eastAsia="Book Antiqua" w:hAnsi="Book Antiqua" w:cs="Book Antiqua"/>
          <w:color w:val="000000"/>
        </w:rPr>
        <w:t>Siegmund</w:t>
      </w:r>
      <w:proofErr w:type="spellEnd"/>
      <w:r w:rsidRPr="002B5663">
        <w:rPr>
          <w:rFonts w:ascii="Book Antiqua" w:eastAsia="Book Antiqua" w:hAnsi="Book Antiqua" w:cs="Book Antiqua"/>
          <w:color w:val="000000"/>
        </w:rPr>
        <w:t xml:space="preserve"> B. Inflammatory bowel disease (IBD)-like disease in a case of a 33-year old man with glycogenosis 1b. </w:t>
      </w:r>
      <w:r w:rsidRPr="002B5663">
        <w:rPr>
          <w:rFonts w:ascii="Book Antiqua" w:eastAsia="Book Antiqua" w:hAnsi="Book Antiqua" w:cs="Book Antiqua"/>
          <w:i/>
          <w:iCs/>
          <w:color w:val="000000"/>
        </w:rPr>
        <w:t>BMC Gastroenterol</w:t>
      </w:r>
      <w:r w:rsidRPr="002B5663">
        <w:rPr>
          <w:rFonts w:ascii="Book Antiqua" w:eastAsia="Book Antiqua" w:hAnsi="Book Antiqua" w:cs="Book Antiqua"/>
          <w:color w:val="000000"/>
        </w:rPr>
        <w:t xml:space="preserve"> 2015; </w:t>
      </w:r>
      <w:r w:rsidRPr="002B5663">
        <w:rPr>
          <w:rFonts w:ascii="Book Antiqua" w:eastAsia="Book Antiqua" w:hAnsi="Book Antiqua" w:cs="Book Antiqua"/>
          <w:b/>
          <w:bCs/>
          <w:color w:val="000000"/>
        </w:rPr>
        <w:t>15</w:t>
      </w:r>
      <w:r w:rsidRPr="002B5663">
        <w:rPr>
          <w:rFonts w:ascii="Book Antiqua" w:eastAsia="Book Antiqua" w:hAnsi="Book Antiqua" w:cs="Book Antiqua"/>
          <w:color w:val="000000"/>
        </w:rPr>
        <w:t>: 45 [PMID: 25881301 DOI: 10.1186/s12876-015-0271-9]</w:t>
      </w:r>
    </w:p>
    <w:p w14:paraId="6010839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4 </w:t>
      </w:r>
      <w:r w:rsidRPr="002B5663">
        <w:rPr>
          <w:rFonts w:ascii="Book Antiqua" w:eastAsia="Book Antiqua" w:hAnsi="Book Antiqua" w:cs="Book Antiqua"/>
          <w:b/>
          <w:bCs/>
          <w:color w:val="000000"/>
        </w:rPr>
        <w:t>Couper R</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Kapelushnik</w:t>
      </w:r>
      <w:proofErr w:type="spellEnd"/>
      <w:r w:rsidRPr="002B5663">
        <w:rPr>
          <w:rFonts w:ascii="Book Antiqua" w:eastAsia="Book Antiqua" w:hAnsi="Book Antiqua" w:cs="Book Antiqua"/>
          <w:color w:val="000000"/>
        </w:rPr>
        <w:t xml:space="preserve"> J, Griffiths AM. Neutrophil dysfunction in glycogen storage disease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association with Crohn's-like colitis. </w:t>
      </w:r>
      <w:r w:rsidRPr="002B5663">
        <w:rPr>
          <w:rFonts w:ascii="Book Antiqua" w:eastAsia="Book Antiqua" w:hAnsi="Book Antiqua" w:cs="Book Antiqua"/>
          <w:i/>
          <w:iCs/>
          <w:color w:val="000000"/>
        </w:rPr>
        <w:t>Gastroenterology</w:t>
      </w:r>
      <w:r w:rsidRPr="002B5663">
        <w:rPr>
          <w:rFonts w:ascii="Book Antiqua" w:eastAsia="Book Antiqua" w:hAnsi="Book Antiqua" w:cs="Book Antiqua"/>
          <w:color w:val="000000"/>
        </w:rPr>
        <w:t xml:space="preserve"> 1991; </w:t>
      </w:r>
      <w:r w:rsidRPr="002B5663">
        <w:rPr>
          <w:rFonts w:ascii="Book Antiqua" w:eastAsia="Book Antiqua" w:hAnsi="Book Antiqua" w:cs="Book Antiqua"/>
          <w:b/>
          <w:bCs/>
          <w:color w:val="000000"/>
        </w:rPr>
        <w:t>100</w:t>
      </w:r>
      <w:r w:rsidRPr="002B5663">
        <w:rPr>
          <w:rFonts w:ascii="Book Antiqua" w:eastAsia="Book Antiqua" w:hAnsi="Book Antiqua" w:cs="Book Antiqua"/>
          <w:color w:val="000000"/>
        </w:rPr>
        <w:t>: 549-554 [PMID: 1985051 DOI: 10.1016/0016-5085(91)90229-e]</w:t>
      </w:r>
    </w:p>
    <w:p w14:paraId="749477A4"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5 </w:t>
      </w:r>
      <w:r w:rsidRPr="002B5663">
        <w:rPr>
          <w:rFonts w:ascii="Book Antiqua" w:eastAsia="Book Antiqua" w:hAnsi="Book Antiqua" w:cs="Book Antiqua"/>
          <w:b/>
          <w:bCs/>
          <w:color w:val="000000"/>
        </w:rPr>
        <w:t>Roe TF</w:t>
      </w:r>
      <w:r w:rsidRPr="002B5663">
        <w:rPr>
          <w:rFonts w:ascii="Book Antiqua" w:eastAsia="Book Antiqua" w:hAnsi="Book Antiqua" w:cs="Book Antiqua"/>
          <w:color w:val="000000"/>
        </w:rPr>
        <w:t xml:space="preserve">, Coates TD, Thomas DW, Miller JH, </w:t>
      </w:r>
      <w:proofErr w:type="spellStart"/>
      <w:r w:rsidRPr="002B5663">
        <w:rPr>
          <w:rFonts w:ascii="Book Antiqua" w:eastAsia="Book Antiqua" w:hAnsi="Book Antiqua" w:cs="Book Antiqua"/>
          <w:color w:val="000000"/>
        </w:rPr>
        <w:t>Gilsanz</w:t>
      </w:r>
      <w:proofErr w:type="spellEnd"/>
      <w:r w:rsidRPr="002B5663">
        <w:rPr>
          <w:rFonts w:ascii="Book Antiqua" w:eastAsia="Book Antiqua" w:hAnsi="Book Antiqua" w:cs="Book Antiqua"/>
          <w:color w:val="000000"/>
        </w:rPr>
        <w:t xml:space="preserve"> V. Brief report: treatment of chronic inflammatory bowel disease in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colony-stimulating factors. </w:t>
      </w:r>
      <w:r w:rsidRPr="002B5663">
        <w:rPr>
          <w:rFonts w:ascii="Book Antiqua" w:eastAsia="Book Antiqua" w:hAnsi="Book Antiqua" w:cs="Book Antiqua"/>
          <w:i/>
          <w:iCs/>
          <w:color w:val="000000"/>
        </w:rPr>
        <w:t xml:space="preserve">N </w:t>
      </w:r>
      <w:proofErr w:type="spellStart"/>
      <w:r w:rsidRPr="002B5663">
        <w:rPr>
          <w:rFonts w:ascii="Book Antiqua" w:eastAsia="Book Antiqua" w:hAnsi="Book Antiqua" w:cs="Book Antiqua"/>
          <w:i/>
          <w:iCs/>
          <w:color w:val="000000"/>
        </w:rPr>
        <w:t>Engl</w:t>
      </w:r>
      <w:proofErr w:type="spellEnd"/>
      <w:r w:rsidRPr="002B5663">
        <w:rPr>
          <w:rFonts w:ascii="Book Antiqua" w:eastAsia="Book Antiqua" w:hAnsi="Book Antiqua" w:cs="Book Antiqua"/>
          <w:i/>
          <w:iCs/>
          <w:color w:val="000000"/>
        </w:rPr>
        <w:t xml:space="preserve"> J Med</w:t>
      </w:r>
      <w:r w:rsidRPr="002B5663">
        <w:rPr>
          <w:rFonts w:ascii="Book Antiqua" w:eastAsia="Book Antiqua" w:hAnsi="Book Antiqua" w:cs="Book Antiqua"/>
          <w:color w:val="000000"/>
        </w:rPr>
        <w:t xml:space="preserve"> 1992; </w:t>
      </w:r>
      <w:r w:rsidRPr="002B5663">
        <w:rPr>
          <w:rFonts w:ascii="Book Antiqua" w:eastAsia="Book Antiqua" w:hAnsi="Book Antiqua" w:cs="Book Antiqua"/>
          <w:b/>
          <w:bCs/>
          <w:color w:val="000000"/>
        </w:rPr>
        <w:t>326</w:t>
      </w:r>
      <w:r w:rsidRPr="002B5663">
        <w:rPr>
          <w:rFonts w:ascii="Book Antiqua" w:eastAsia="Book Antiqua" w:hAnsi="Book Antiqua" w:cs="Book Antiqua"/>
          <w:color w:val="000000"/>
        </w:rPr>
        <w:t>: 1666-1669 [PMID: 1375344 DOI: 10.1056/NEJM199206183262504]</w:t>
      </w:r>
    </w:p>
    <w:p w14:paraId="7EBEB53A"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6 </w:t>
      </w:r>
      <w:proofErr w:type="spellStart"/>
      <w:r w:rsidRPr="002B5663">
        <w:rPr>
          <w:rFonts w:ascii="Book Antiqua" w:eastAsia="Book Antiqua" w:hAnsi="Book Antiqua" w:cs="Book Antiqua"/>
          <w:b/>
          <w:bCs/>
          <w:color w:val="000000"/>
        </w:rPr>
        <w:t>Dieckgraefe</w:t>
      </w:r>
      <w:proofErr w:type="spellEnd"/>
      <w:r w:rsidRPr="002B5663">
        <w:rPr>
          <w:rFonts w:ascii="Book Antiqua" w:eastAsia="Book Antiqua" w:hAnsi="Book Antiqua" w:cs="Book Antiqua"/>
          <w:b/>
          <w:bCs/>
          <w:color w:val="000000"/>
        </w:rPr>
        <w:t xml:space="preserve"> BK</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Korzenik</w:t>
      </w:r>
      <w:proofErr w:type="spellEnd"/>
      <w:r w:rsidRPr="002B5663">
        <w:rPr>
          <w:rFonts w:ascii="Book Antiqua" w:eastAsia="Book Antiqua" w:hAnsi="Book Antiqua" w:cs="Book Antiqua"/>
          <w:color w:val="000000"/>
        </w:rPr>
        <w:t xml:space="preserve"> JR, Husain A, </w:t>
      </w:r>
      <w:proofErr w:type="spellStart"/>
      <w:r w:rsidRPr="002B5663">
        <w:rPr>
          <w:rFonts w:ascii="Book Antiqua" w:eastAsia="Book Antiqua" w:hAnsi="Book Antiqua" w:cs="Book Antiqua"/>
          <w:color w:val="000000"/>
        </w:rPr>
        <w:t>Dieruf</w:t>
      </w:r>
      <w:proofErr w:type="spellEnd"/>
      <w:r w:rsidRPr="002B5663">
        <w:rPr>
          <w:rFonts w:ascii="Book Antiqua" w:eastAsia="Book Antiqua" w:hAnsi="Book Antiqua" w:cs="Book Antiqua"/>
          <w:color w:val="000000"/>
        </w:rPr>
        <w:t xml:space="preserve"> L. Association of glycogen storage disease 1b and Crohn disease: results of a North American survey. </w:t>
      </w:r>
      <w:proofErr w:type="spellStart"/>
      <w:r w:rsidRPr="002B5663">
        <w:rPr>
          <w:rFonts w:ascii="Book Antiqua" w:eastAsia="Book Antiqua" w:hAnsi="Book Antiqua" w:cs="Book Antiqua"/>
          <w:i/>
          <w:iCs/>
          <w:color w:val="000000"/>
        </w:rPr>
        <w:t>Eur</w:t>
      </w:r>
      <w:proofErr w:type="spellEnd"/>
      <w:r w:rsidRPr="002B5663">
        <w:rPr>
          <w:rFonts w:ascii="Book Antiqua" w:eastAsia="Book Antiqua" w:hAnsi="Book Antiqua" w:cs="Book Antiqua"/>
          <w:i/>
          <w:iCs/>
          <w:color w:val="000000"/>
        </w:rPr>
        <w:t xml:space="preserve"> 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color w:val="000000"/>
        </w:rPr>
        <w:t xml:space="preserve"> 2002; </w:t>
      </w:r>
      <w:r w:rsidRPr="002B5663">
        <w:rPr>
          <w:rFonts w:ascii="Book Antiqua" w:eastAsia="Book Antiqua" w:hAnsi="Book Antiqua" w:cs="Book Antiqua"/>
          <w:b/>
          <w:bCs/>
          <w:color w:val="000000"/>
        </w:rPr>
        <w:t xml:space="preserve">161 </w:t>
      </w:r>
      <w:proofErr w:type="spellStart"/>
      <w:r w:rsidRPr="002B5663">
        <w:rPr>
          <w:rFonts w:ascii="Book Antiqua" w:eastAsia="Book Antiqua" w:hAnsi="Book Antiqua" w:cs="Book Antiqua"/>
          <w:b/>
          <w:bCs/>
          <w:color w:val="000000"/>
        </w:rPr>
        <w:t>Suppl</w:t>
      </w:r>
      <w:proofErr w:type="spellEnd"/>
      <w:r w:rsidRPr="002B5663">
        <w:rPr>
          <w:rFonts w:ascii="Book Antiqua" w:eastAsia="Book Antiqua" w:hAnsi="Book Antiqua" w:cs="Book Antiqua"/>
          <w:b/>
          <w:bCs/>
          <w:color w:val="000000"/>
        </w:rPr>
        <w:t xml:space="preserve"> 1</w:t>
      </w:r>
      <w:r w:rsidRPr="002B5663">
        <w:rPr>
          <w:rFonts w:ascii="Book Antiqua" w:eastAsia="Book Antiqua" w:hAnsi="Book Antiqua" w:cs="Book Antiqua"/>
          <w:color w:val="000000"/>
        </w:rPr>
        <w:t>: S88-S92 [PMID: 12373579 DOI: 10.1007/s00431-002-1011-z]</w:t>
      </w:r>
    </w:p>
    <w:p w14:paraId="753B6C9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7 </w:t>
      </w:r>
      <w:r w:rsidRPr="002B5663">
        <w:rPr>
          <w:rFonts w:ascii="Book Antiqua" w:eastAsia="Book Antiqua" w:hAnsi="Book Antiqua" w:cs="Book Antiqua"/>
          <w:b/>
          <w:bCs/>
          <w:color w:val="000000"/>
        </w:rPr>
        <w:t>Dale DC</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Bolyard</w:t>
      </w:r>
      <w:proofErr w:type="spellEnd"/>
      <w:r w:rsidRPr="002B5663">
        <w:rPr>
          <w:rFonts w:ascii="Book Antiqua" w:eastAsia="Book Antiqua" w:hAnsi="Book Antiqua" w:cs="Book Antiqua"/>
          <w:color w:val="000000"/>
        </w:rPr>
        <w:t xml:space="preserve"> AA, Marrero T, Kelley ML, </w:t>
      </w:r>
      <w:proofErr w:type="spellStart"/>
      <w:r w:rsidRPr="002B5663">
        <w:rPr>
          <w:rFonts w:ascii="Book Antiqua" w:eastAsia="Book Antiqua" w:hAnsi="Book Antiqua" w:cs="Book Antiqua"/>
          <w:color w:val="000000"/>
        </w:rPr>
        <w:t>Makaryan</w:t>
      </w:r>
      <w:proofErr w:type="spellEnd"/>
      <w:r w:rsidRPr="002B5663">
        <w:rPr>
          <w:rFonts w:ascii="Book Antiqua" w:eastAsia="Book Antiqua" w:hAnsi="Book Antiqua" w:cs="Book Antiqua"/>
          <w:color w:val="000000"/>
        </w:rPr>
        <w:t xml:space="preserve"> V, Tran E, Leung J, Boxer LA, </w:t>
      </w:r>
      <w:proofErr w:type="spellStart"/>
      <w:r w:rsidRPr="002B5663">
        <w:rPr>
          <w:rFonts w:ascii="Book Antiqua" w:eastAsia="Book Antiqua" w:hAnsi="Book Antiqua" w:cs="Book Antiqua"/>
          <w:color w:val="000000"/>
        </w:rPr>
        <w:t>Kishnani</w:t>
      </w:r>
      <w:proofErr w:type="spellEnd"/>
      <w:r w:rsidRPr="002B5663">
        <w:rPr>
          <w:rFonts w:ascii="Book Antiqua" w:eastAsia="Book Antiqua" w:hAnsi="Book Antiqua" w:cs="Book Antiqua"/>
          <w:color w:val="000000"/>
        </w:rPr>
        <w:t xml:space="preserve"> PS, Austin S, </w:t>
      </w:r>
      <w:proofErr w:type="spellStart"/>
      <w:r w:rsidRPr="002B5663">
        <w:rPr>
          <w:rFonts w:ascii="Book Antiqua" w:eastAsia="Book Antiqua" w:hAnsi="Book Antiqua" w:cs="Book Antiqua"/>
          <w:color w:val="000000"/>
        </w:rPr>
        <w:t>Wanner</w:t>
      </w:r>
      <w:proofErr w:type="spellEnd"/>
      <w:r w:rsidRPr="002B5663">
        <w:rPr>
          <w:rFonts w:ascii="Book Antiqua" w:eastAsia="Book Antiqua" w:hAnsi="Book Antiqua" w:cs="Book Antiqua"/>
          <w:color w:val="000000"/>
        </w:rPr>
        <w:t xml:space="preserve"> C, </w:t>
      </w:r>
      <w:proofErr w:type="spellStart"/>
      <w:r w:rsidRPr="002B5663">
        <w:rPr>
          <w:rFonts w:ascii="Book Antiqua" w:eastAsia="Book Antiqua" w:hAnsi="Book Antiqua" w:cs="Book Antiqua"/>
          <w:color w:val="000000"/>
        </w:rPr>
        <w:t>Ferrecchia</w:t>
      </w:r>
      <w:proofErr w:type="spellEnd"/>
      <w:r w:rsidRPr="002B5663">
        <w:rPr>
          <w:rFonts w:ascii="Book Antiqua" w:eastAsia="Book Antiqua" w:hAnsi="Book Antiqua" w:cs="Book Antiqua"/>
          <w:color w:val="000000"/>
        </w:rPr>
        <w:t xml:space="preserve"> IA, Khalaf D, Maze D, </w:t>
      </w:r>
      <w:proofErr w:type="spellStart"/>
      <w:r w:rsidRPr="002B5663">
        <w:rPr>
          <w:rFonts w:ascii="Book Antiqua" w:eastAsia="Book Antiqua" w:hAnsi="Book Antiqua" w:cs="Book Antiqua"/>
          <w:color w:val="000000"/>
        </w:rPr>
        <w:t>Kurtzberg</w:t>
      </w:r>
      <w:proofErr w:type="spellEnd"/>
      <w:r w:rsidRPr="002B5663">
        <w:rPr>
          <w:rFonts w:ascii="Book Antiqua" w:eastAsia="Book Antiqua" w:hAnsi="Book Antiqua" w:cs="Book Antiqua"/>
          <w:color w:val="000000"/>
        </w:rPr>
        <w:t xml:space="preserve"> J, </w:t>
      </w:r>
      <w:proofErr w:type="spellStart"/>
      <w:r w:rsidRPr="002B5663">
        <w:rPr>
          <w:rFonts w:ascii="Book Antiqua" w:eastAsia="Book Antiqua" w:hAnsi="Book Antiqua" w:cs="Book Antiqua"/>
          <w:color w:val="000000"/>
        </w:rPr>
        <w:t>Zeidler</w:t>
      </w:r>
      <w:proofErr w:type="spellEnd"/>
      <w:r w:rsidRPr="002B5663">
        <w:rPr>
          <w:rFonts w:ascii="Book Antiqua" w:eastAsia="Book Antiqua" w:hAnsi="Book Antiqua" w:cs="Book Antiqua"/>
          <w:color w:val="000000"/>
        </w:rPr>
        <w:t xml:space="preserve"> C, </w:t>
      </w:r>
      <w:proofErr w:type="spellStart"/>
      <w:r w:rsidRPr="002B5663">
        <w:rPr>
          <w:rFonts w:ascii="Book Antiqua" w:eastAsia="Book Antiqua" w:hAnsi="Book Antiqua" w:cs="Book Antiqua"/>
          <w:color w:val="000000"/>
        </w:rPr>
        <w:t>Welte</w:t>
      </w:r>
      <w:proofErr w:type="spellEnd"/>
      <w:r w:rsidRPr="002B5663">
        <w:rPr>
          <w:rFonts w:ascii="Book Antiqua" w:eastAsia="Book Antiqua" w:hAnsi="Book Antiqua" w:cs="Book Antiqua"/>
          <w:color w:val="000000"/>
        </w:rPr>
        <w:t xml:space="preserve"> K, Weinstein DA. Neutropenia in glycogen storage disease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outcomes for patients treated with granulocyte colony-stimulating </w:t>
      </w:r>
      <w:r w:rsidRPr="002B5663">
        <w:rPr>
          <w:rFonts w:ascii="Book Antiqua" w:eastAsia="Book Antiqua" w:hAnsi="Book Antiqua" w:cs="Book Antiqua"/>
          <w:color w:val="000000"/>
        </w:rPr>
        <w:lastRenderedPageBreak/>
        <w:t xml:space="preserve">factor. </w:t>
      </w:r>
      <w:proofErr w:type="spellStart"/>
      <w:r w:rsidRPr="002B5663">
        <w:rPr>
          <w:rFonts w:ascii="Book Antiqua" w:eastAsia="Book Antiqua" w:hAnsi="Book Antiqua" w:cs="Book Antiqua"/>
          <w:i/>
          <w:iCs/>
          <w:color w:val="000000"/>
        </w:rPr>
        <w:t>Curr</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Opin</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Hematol</w:t>
      </w:r>
      <w:proofErr w:type="spellEnd"/>
      <w:r w:rsidRPr="002B5663">
        <w:rPr>
          <w:rFonts w:ascii="Book Antiqua" w:eastAsia="Book Antiqua" w:hAnsi="Book Antiqua" w:cs="Book Antiqua"/>
          <w:color w:val="000000"/>
        </w:rPr>
        <w:t xml:space="preserve"> 2019; </w:t>
      </w:r>
      <w:r w:rsidRPr="002B5663">
        <w:rPr>
          <w:rFonts w:ascii="Book Antiqua" w:eastAsia="Book Antiqua" w:hAnsi="Book Antiqua" w:cs="Book Antiqua"/>
          <w:b/>
          <w:bCs/>
          <w:color w:val="000000"/>
        </w:rPr>
        <w:t>26</w:t>
      </w:r>
      <w:r w:rsidRPr="002B5663">
        <w:rPr>
          <w:rFonts w:ascii="Book Antiqua" w:eastAsia="Book Antiqua" w:hAnsi="Book Antiqua" w:cs="Book Antiqua"/>
          <w:color w:val="000000"/>
        </w:rPr>
        <w:t>: 16-21 [PMID: 30451720 DOI: 10.1097/MOH.0000000000000474]</w:t>
      </w:r>
    </w:p>
    <w:p w14:paraId="03C1430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8 </w:t>
      </w:r>
      <w:r w:rsidRPr="002B5663">
        <w:rPr>
          <w:rFonts w:ascii="Book Antiqua" w:eastAsia="Book Antiqua" w:hAnsi="Book Antiqua" w:cs="Book Antiqua"/>
          <w:b/>
          <w:bCs/>
          <w:color w:val="000000"/>
        </w:rPr>
        <w:t>Liang S</w:t>
      </w:r>
      <w:r w:rsidRPr="002B5663">
        <w:rPr>
          <w:rFonts w:ascii="Book Antiqua" w:eastAsia="Book Antiqua" w:hAnsi="Book Antiqua" w:cs="Book Antiqua"/>
          <w:color w:val="000000"/>
        </w:rPr>
        <w:t xml:space="preserve">, Dai J, </w:t>
      </w:r>
      <w:proofErr w:type="spellStart"/>
      <w:r w:rsidRPr="002B5663">
        <w:rPr>
          <w:rFonts w:ascii="Book Antiqua" w:eastAsia="Book Antiqua" w:hAnsi="Book Antiqua" w:cs="Book Antiqua"/>
          <w:color w:val="000000"/>
        </w:rPr>
        <w:t>Hou</w:t>
      </w:r>
      <w:proofErr w:type="spellEnd"/>
      <w:r w:rsidRPr="002B5663">
        <w:rPr>
          <w:rFonts w:ascii="Book Antiqua" w:eastAsia="Book Antiqua" w:hAnsi="Book Antiqua" w:cs="Book Antiqua"/>
          <w:color w:val="000000"/>
        </w:rPr>
        <w:t xml:space="preserve"> S, Su L, Zhang D, Guo H, Hu S, Wang H, Rao Z, Guo Y, Lou Z. Structural basis for treating tumor necrosis factor α (TNFα)-associated diseases with the therapeutic antibody infliximab. </w:t>
      </w:r>
      <w:r w:rsidRPr="002B5663">
        <w:rPr>
          <w:rFonts w:ascii="Book Antiqua" w:eastAsia="Book Antiqua" w:hAnsi="Book Antiqua" w:cs="Book Antiqua"/>
          <w:i/>
          <w:iCs/>
          <w:color w:val="000000"/>
        </w:rPr>
        <w:t>J Biol Chem</w:t>
      </w:r>
      <w:r w:rsidRPr="002B5663">
        <w:rPr>
          <w:rFonts w:ascii="Book Antiqua" w:eastAsia="Book Antiqua" w:hAnsi="Book Antiqua" w:cs="Book Antiqua"/>
          <w:color w:val="000000"/>
        </w:rPr>
        <w:t xml:space="preserve"> 2013; </w:t>
      </w:r>
      <w:r w:rsidRPr="002B5663">
        <w:rPr>
          <w:rFonts w:ascii="Book Antiqua" w:eastAsia="Book Antiqua" w:hAnsi="Book Antiqua" w:cs="Book Antiqua"/>
          <w:b/>
          <w:bCs/>
          <w:color w:val="000000"/>
        </w:rPr>
        <w:t>288</w:t>
      </w:r>
      <w:r w:rsidRPr="002B5663">
        <w:rPr>
          <w:rFonts w:ascii="Book Antiqua" w:eastAsia="Book Antiqua" w:hAnsi="Book Antiqua" w:cs="Book Antiqua"/>
          <w:color w:val="000000"/>
        </w:rPr>
        <w:t>: 13799-13807 [PMID: 23504311 DOI: 10.1074/jbc.M112.433961]</w:t>
      </w:r>
    </w:p>
    <w:p w14:paraId="28346417"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9 </w:t>
      </w:r>
      <w:r w:rsidRPr="002B5663">
        <w:rPr>
          <w:rFonts w:ascii="Book Antiqua" w:eastAsia="Book Antiqua" w:hAnsi="Book Antiqua" w:cs="Book Antiqua"/>
          <w:b/>
          <w:bCs/>
          <w:color w:val="000000"/>
        </w:rPr>
        <w:t>Zimmerman L</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Bousvaros</w:t>
      </w:r>
      <w:proofErr w:type="spellEnd"/>
      <w:r w:rsidRPr="002B5663">
        <w:rPr>
          <w:rFonts w:ascii="Book Antiqua" w:eastAsia="Book Antiqua" w:hAnsi="Book Antiqua" w:cs="Book Antiqua"/>
          <w:color w:val="000000"/>
        </w:rPr>
        <w:t xml:space="preserve"> A. The pharmacotherapeutic management of pediatric Crohn's disease. </w:t>
      </w:r>
      <w:r w:rsidRPr="002B5663">
        <w:rPr>
          <w:rFonts w:ascii="Book Antiqua" w:eastAsia="Book Antiqua" w:hAnsi="Book Antiqua" w:cs="Book Antiqua"/>
          <w:i/>
          <w:iCs/>
          <w:color w:val="000000"/>
        </w:rPr>
        <w:t xml:space="preserve">Expert </w:t>
      </w:r>
      <w:proofErr w:type="spellStart"/>
      <w:r w:rsidRPr="002B5663">
        <w:rPr>
          <w:rFonts w:ascii="Book Antiqua" w:eastAsia="Book Antiqua" w:hAnsi="Book Antiqua" w:cs="Book Antiqua"/>
          <w:i/>
          <w:iCs/>
          <w:color w:val="000000"/>
        </w:rPr>
        <w:t>Opin</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Pharmacother</w:t>
      </w:r>
      <w:proofErr w:type="spellEnd"/>
      <w:r w:rsidRPr="002B5663">
        <w:rPr>
          <w:rFonts w:ascii="Book Antiqua" w:eastAsia="Book Antiqua" w:hAnsi="Book Antiqua" w:cs="Book Antiqua"/>
          <w:color w:val="000000"/>
        </w:rPr>
        <w:t xml:space="preserve"> 2019; </w:t>
      </w:r>
      <w:r w:rsidRPr="002B5663">
        <w:rPr>
          <w:rFonts w:ascii="Book Antiqua" w:eastAsia="Book Antiqua" w:hAnsi="Book Antiqua" w:cs="Book Antiqua"/>
          <w:b/>
          <w:bCs/>
          <w:color w:val="000000"/>
        </w:rPr>
        <w:t>20</w:t>
      </w:r>
      <w:r w:rsidRPr="002B5663">
        <w:rPr>
          <w:rFonts w:ascii="Book Antiqua" w:eastAsia="Book Antiqua" w:hAnsi="Book Antiqua" w:cs="Book Antiqua"/>
          <w:color w:val="000000"/>
        </w:rPr>
        <w:t>: 2161-2168 [PMID: 31574236 DOI: 10.1080/14656566.2019.1659778]</w:t>
      </w:r>
    </w:p>
    <w:p w14:paraId="7CF0A151"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10 </w:t>
      </w:r>
      <w:r w:rsidRPr="002B5663">
        <w:rPr>
          <w:rFonts w:ascii="Book Antiqua" w:eastAsia="Book Antiqua" w:hAnsi="Book Antiqua" w:cs="Book Antiqua"/>
          <w:b/>
          <w:bCs/>
          <w:color w:val="000000"/>
        </w:rPr>
        <w:t xml:space="preserve">de </w:t>
      </w:r>
      <w:proofErr w:type="spellStart"/>
      <w:r w:rsidRPr="002B5663">
        <w:rPr>
          <w:rFonts w:ascii="Book Antiqua" w:eastAsia="Book Antiqua" w:hAnsi="Book Antiqua" w:cs="Book Antiqua"/>
          <w:b/>
          <w:bCs/>
          <w:color w:val="000000"/>
        </w:rPr>
        <w:t>Zoeten</w:t>
      </w:r>
      <w:proofErr w:type="spellEnd"/>
      <w:r w:rsidRPr="002B5663">
        <w:rPr>
          <w:rFonts w:ascii="Book Antiqua" w:eastAsia="Book Antiqua" w:hAnsi="Book Antiqua" w:cs="Book Antiqua"/>
          <w:b/>
          <w:bCs/>
          <w:color w:val="000000"/>
        </w:rPr>
        <w:t xml:space="preserve"> EF</w:t>
      </w:r>
      <w:r w:rsidRPr="002B5663">
        <w:rPr>
          <w:rFonts w:ascii="Book Antiqua" w:eastAsia="Book Antiqua" w:hAnsi="Book Antiqua" w:cs="Book Antiqua"/>
          <w:color w:val="000000"/>
        </w:rPr>
        <w:t xml:space="preserve">, Pasternak BA, </w:t>
      </w:r>
      <w:proofErr w:type="spellStart"/>
      <w:r w:rsidRPr="002B5663">
        <w:rPr>
          <w:rFonts w:ascii="Book Antiqua" w:eastAsia="Book Antiqua" w:hAnsi="Book Antiqua" w:cs="Book Antiqua"/>
          <w:color w:val="000000"/>
        </w:rPr>
        <w:t>Mattei</w:t>
      </w:r>
      <w:proofErr w:type="spellEnd"/>
      <w:r w:rsidRPr="002B5663">
        <w:rPr>
          <w:rFonts w:ascii="Book Antiqua" w:eastAsia="Book Antiqua" w:hAnsi="Book Antiqua" w:cs="Book Antiqua"/>
          <w:color w:val="000000"/>
        </w:rPr>
        <w:t xml:space="preserve"> P, Kramer RE, Kader HA. Diagnosis and treatment of perianal Crohn disease: NASPGHAN clinical report and consensus statement. </w:t>
      </w:r>
      <w:r w:rsidRPr="002B5663">
        <w:rPr>
          <w:rFonts w:ascii="Book Antiqua" w:eastAsia="Book Antiqua" w:hAnsi="Book Antiqua" w:cs="Book Antiqua"/>
          <w:i/>
          <w:iCs/>
          <w:color w:val="000000"/>
        </w:rPr>
        <w:t xml:space="preserve">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Gastroenterol</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Nutr</w:t>
      </w:r>
      <w:proofErr w:type="spellEnd"/>
      <w:r w:rsidRPr="002B5663">
        <w:rPr>
          <w:rFonts w:ascii="Book Antiqua" w:eastAsia="Book Antiqua" w:hAnsi="Book Antiqua" w:cs="Book Antiqua"/>
          <w:color w:val="000000"/>
        </w:rPr>
        <w:t xml:space="preserve"> 2013; </w:t>
      </w:r>
      <w:r w:rsidRPr="002B5663">
        <w:rPr>
          <w:rFonts w:ascii="Book Antiqua" w:eastAsia="Book Antiqua" w:hAnsi="Book Antiqua" w:cs="Book Antiqua"/>
          <w:b/>
          <w:bCs/>
          <w:color w:val="000000"/>
        </w:rPr>
        <w:t>57</w:t>
      </w:r>
      <w:r w:rsidRPr="002B5663">
        <w:rPr>
          <w:rFonts w:ascii="Book Antiqua" w:eastAsia="Book Antiqua" w:hAnsi="Book Antiqua" w:cs="Book Antiqua"/>
          <w:color w:val="000000"/>
        </w:rPr>
        <w:t>: 401-412 [PMID: 23974063 DOI: 10.1097/MPG.0b013e3182a025ee]</w:t>
      </w:r>
    </w:p>
    <w:p w14:paraId="36698DE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11 </w:t>
      </w:r>
      <w:r w:rsidRPr="002B5663">
        <w:rPr>
          <w:rFonts w:ascii="Book Antiqua" w:eastAsia="Book Antiqua" w:hAnsi="Book Antiqua" w:cs="Book Antiqua"/>
          <w:b/>
          <w:bCs/>
          <w:color w:val="000000"/>
        </w:rPr>
        <w:t>Leach ST</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Nahidi</w:t>
      </w:r>
      <w:proofErr w:type="spellEnd"/>
      <w:r w:rsidRPr="002B5663">
        <w:rPr>
          <w:rFonts w:ascii="Book Antiqua" w:eastAsia="Book Antiqua" w:hAnsi="Book Antiqua" w:cs="Book Antiqua"/>
          <w:color w:val="000000"/>
        </w:rPr>
        <w:t xml:space="preserve"> L, </w:t>
      </w:r>
      <w:proofErr w:type="spellStart"/>
      <w:r w:rsidRPr="002B5663">
        <w:rPr>
          <w:rFonts w:ascii="Book Antiqua" w:eastAsia="Book Antiqua" w:hAnsi="Book Antiqua" w:cs="Book Antiqua"/>
          <w:color w:val="000000"/>
        </w:rPr>
        <w:t>Tilakaratne</w:t>
      </w:r>
      <w:proofErr w:type="spellEnd"/>
      <w:r w:rsidRPr="002B5663">
        <w:rPr>
          <w:rFonts w:ascii="Book Antiqua" w:eastAsia="Book Antiqua" w:hAnsi="Book Antiqua" w:cs="Book Antiqua"/>
          <w:color w:val="000000"/>
        </w:rPr>
        <w:t xml:space="preserve"> S, Day AS, Lemberg DA. Development and assessment of a modified Pediatric Crohn Disease Activity Index. </w:t>
      </w:r>
      <w:r w:rsidRPr="002B5663">
        <w:rPr>
          <w:rFonts w:ascii="Book Antiqua" w:eastAsia="Book Antiqua" w:hAnsi="Book Antiqua" w:cs="Book Antiqua"/>
          <w:i/>
          <w:iCs/>
          <w:color w:val="000000"/>
        </w:rPr>
        <w:t xml:space="preserve">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Gastroenterol</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Nutr</w:t>
      </w:r>
      <w:proofErr w:type="spellEnd"/>
      <w:r w:rsidRPr="002B5663">
        <w:rPr>
          <w:rFonts w:ascii="Book Antiqua" w:eastAsia="Book Antiqua" w:hAnsi="Book Antiqua" w:cs="Book Antiqua"/>
          <w:color w:val="000000"/>
        </w:rPr>
        <w:t xml:space="preserve"> 2010; </w:t>
      </w:r>
      <w:r w:rsidRPr="002B5663">
        <w:rPr>
          <w:rFonts w:ascii="Book Antiqua" w:eastAsia="Book Antiqua" w:hAnsi="Book Antiqua" w:cs="Book Antiqua"/>
          <w:b/>
          <w:bCs/>
          <w:color w:val="000000"/>
        </w:rPr>
        <w:t>51</w:t>
      </w:r>
      <w:r w:rsidRPr="002B5663">
        <w:rPr>
          <w:rFonts w:ascii="Book Antiqua" w:eastAsia="Book Antiqua" w:hAnsi="Book Antiqua" w:cs="Book Antiqua"/>
          <w:color w:val="000000"/>
        </w:rPr>
        <w:t>: 232-236 [PMID: 20479686 DOI: 10.1097/MPG.0b013e3181d13609]</w:t>
      </w:r>
    </w:p>
    <w:p w14:paraId="0A75729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12 </w:t>
      </w:r>
      <w:r w:rsidRPr="002B5663">
        <w:rPr>
          <w:rFonts w:ascii="Book Antiqua" w:eastAsia="Book Antiqua" w:hAnsi="Book Antiqua" w:cs="Book Antiqua"/>
          <w:b/>
          <w:bCs/>
          <w:color w:val="000000"/>
        </w:rPr>
        <w:t>Davis MK</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Rufo</w:t>
      </w:r>
      <w:proofErr w:type="spellEnd"/>
      <w:r w:rsidRPr="002B5663">
        <w:rPr>
          <w:rFonts w:ascii="Book Antiqua" w:eastAsia="Book Antiqua" w:hAnsi="Book Antiqua" w:cs="Book Antiqua"/>
          <w:color w:val="000000"/>
        </w:rPr>
        <w:t xml:space="preserve"> PA, </w:t>
      </w:r>
      <w:proofErr w:type="spellStart"/>
      <w:r w:rsidRPr="002B5663">
        <w:rPr>
          <w:rFonts w:ascii="Book Antiqua" w:eastAsia="Book Antiqua" w:hAnsi="Book Antiqua" w:cs="Book Antiqua"/>
          <w:color w:val="000000"/>
        </w:rPr>
        <w:t>Polyak</w:t>
      </w:r>
      <w:proofErr w:type="spellEnd"/>
      <w:r w:rsidRPr="002B5663">
        <w:rPr>
          <w:rFonts w:ascii="Book Antiqua" w:eastAsia="Book Antiqua" w:hAnsi="Book Antiqua" w:cs="Book Antiqua"/>
          <w:color w:val="000000"/>
        </w:rPr>
        <w:t xml:space="preserve"> SF, Weinstein DA. Adalimumab for the treatment of Crohn-like colitis and enteritis in glycogen storage disease type Ib. </w:t>
      </w:r>
      <w:r w:rsidRPr="002B5663">
        <w:rPr>
          <w:rFonts w:ascii="Book Antiqua" w:eastAsia="Book Antiqua" w:hAnsi="Book Antiqua" w:cs="Book Antiqua"/>
          <w:i/>
          <w:iCs/>
          <w:color w:val="000000"/>
        </w:rPr>
        <w:t xml:space="preserve">J Inherit </w:t>
      </w:r>
      <w:proofErr w:type="spellStart"/>
      <w:r w:rsidRPr="002B5663">
        <w:rPr>
          <w:rFonts w:ascii="Book Antiqua" w:eastAsia="Book Antiqua" w:hAnsi="Book Antiqua" w:cs="Book Antiqua"/>
          <w:i/>
          <w:iCs/>
          <w:color w:val="000000"/>
        </w:rPr>
        <w:t>Metab</w:t>
      </w:r>
      <w:proofErr w:type="spellEnd"/>
      <w:r w:rsidRPr="002B5663">
        <w:rPr>
          <w:rFonts w:ascii="Book Antiqua" w:eastAsia="Book Antiqua" w:hAnsi="Book Antiqua" w:cs="Book Antiqua"/>
          <w:i/>
          <w:iCs/>
          <w:color w:val="000000"/>
        </w:rPr>
        <w:t xml:space="preserve"> Dis</w:t>
      </w:r>
      <w:r w:rsidRPr="002B5663">
        <w:rPr>
          <w:rFonts w:ascii="Book Antiqua" w:eastAsia="Book Antiqua" w:hAnsi="Book Antiqua" w:cs="Book Antiqua"/>
          <w:color w:val="000000"/>
        </w:rPr>
        <w:t xml:space="preserve"> 2008; </w:t>
      </w:r>
      <w:r w:rsidRPr="002B5663">
        <w:rPr>
          <w:rFonts w:ascii="Book Antiqua" w:eastAsia="Book Antiqua" w:hAnsi="Book Antiqua" w:cs="Book Antiqua"/>
          <w:b/>
          <w:bCs/>
          <w:color w:val="000000"/>
        </w:rPr>
        <w:t>31 Suppl 3</w:t>
      </w:r>
      <w:r w:rsidRPr="002B5663">
        <w:rPr>
          <w:rFonts w:ascii="Book Antiqua" w:eastAsia="Book Antiqua" w:hAnsi="Book Antiqua" w:cs="Book Antiqua"/>
          <w:color w:val="000000"/>
        </w:rPr>
        <w:t>: 505-509 [PMID: 18172743 DOI: 10.1007/s10545-007-0774-9]</w:t>
      </w:r>
    </w:p>
    <w:p w14:paraId="56B8FF7D"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13 </w:t>
      </w:r>
      <w:r w:rsidRPr="002B5663">
        <w:rPr>
          <w:rFonts w:ascii="Book Antiqua" w:eastAsia="Book Antiqua" w:hAnsi="Book Antiqua" w:cs="Book Antiqua"/>
          <w:b/>
          <w:bCs/>
          <w:color w:val="000000"/>
        </w:rPr>
        <w:t>Hosoi K</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Ohtsuka</w:t>
      </w:r>
      <w:proofErr w:type="spellEnd"/>
      <w:r w:rsidRPr="002B5663">
        <w:rPr>
          <w:rFonts w:ascii="Book Antiqua" w:eastAsia="Book Antiqua" w:hAnsi="Book Antiqua" w:cs="Book Antiqua"/>
          <w:color w:val="000000"/>
        </w:rPr>
        <w:t xml:space="preserve"> Y, </w:t>
      </w:r>
      <w:proofErr w:type="spellStart"/>
      <w:r w:rsidRPr="002B5663">
        <w:rPr>
          <w:rFonts w:ascii="Book Antiqua" w:eastAsia="Book Antiqua" w:hAnsi="Book Antiqua" w:cs="Book Antiqua"/>
          <w:color w:val="000000"/>
        </w:rPr>
        <w:t>Fujii</w:t>
      </w:r>
      <w:proofErr w:type="spellEnd"/>
      <w:r w:rsidRPr="002B5663">
        <w:rPr>
          <w:rFonts w:ascii="Book Antiqua" w:eastAsia="Book Antiqua" w:hAnsi="Book Antiqua" w:cs="Book Antiqua"/>
          <w:color w:val="000000"/>
        </w:rPr>
        <w:t xml:space="preserve"> T, Kudo T, Matsunaga N, </w:t>
      </w:r>
      <w:proofErr w:type="spellStart"/>
      <w:r w:rsidRPr="002B5663">
        <w:rPr>
          <w:rFonts w:ascii="Book Antiqua" w:eastAsia="Book Antiqua" w:hAnsi="Book Antiqua" w:cs="Book Antiqua"/>
          <w:color w:val="000000"/>
        </w:rPr>
        <w:t>Tomomasa</w:t>
      </w:r>
      <w:proofErr w:type="spellEnd"/>
      <w:r w:rsidRPr="002B5663">
        <w:rPr>
          <w:rFonts w:ascii="Book Antiqua" w:eastAsia="Book Antiqua" w:hAnsi="Book Antiqua" w:cs="Book Antiqua"/>
          <w:color w:val="000000"/>
        </w:rPr>
        <w:t xml:space="preserve"> T, </w:t>
      </w:r>
      <w:proofErr w:type="spellStart"/>
      <w:r w:rsidRPr="002B5663">
        <w:rPr>
          <w:rFonts w:ascii="Book Antiqua" w:eastAsia="Book Antiqua" w:hAnsi="Book Antiqua" w:cs="Book Antiqua"/>
          <w:color w:val="000000"/>
        </w:rPr>
        <w:t>Tajiri</w:t>
      </w:r>
      <w:proofErr w:type="spellEnd"/>
      <w:r w:rsidRPr="002B5663">
        <w:rPr>
          <w:rFonts w:ascii="Book Antiqua" w:eastAsia="Book Antiqua" w:hAnsi="Book Antiqua" w:cs="Book Antiqua"/>
          <w:color w:val="000000"/>
        </w:rPr>
        <w:t xml:space="preserve"> H, </w:t>
      </w:r>
      <w:proofErr w:type="spellStart"/>
      <w:r w:rsidRPr="002B5663">
        <w:rPr>
          <w:rFonts w:ascii="Book Antiqua" w:eastAsia="Book Antiqua" w:hAnsi="Book Antiqua" w:cs="Book Antiqua"/>
          <w:color w:val="000000"/>
        </w:rPr>
        <w:t>Kunisaki</w:t>
      </w:r>
      <w:proofErr w:type="spellEnd"/>
      <w:r w:rsidRPr="002B5663">
        <w:rPr>
          <w:rFonts w:ascii="Book Antiqua" w:eastAsia="Book Antiqua" w:hAnsi="Book Antiqua" w:cs="Book Antiqua"/>
          <w:color w:val="000000"/>
        </w:rPr>
        <w:t xml:space="preserve"> R, </w:t>
      </w:r>
      <w:proofErr w:type="spellStart"/>
      <w:r w:rsidRPr="002B5663">
        <w:rPr>
          <w:rFonts w:ascii="Book Antiqua" w:eastAsia="Book Antiqua" w:hAnsi="Book Antiqua" w:cs="Book Antiqua"/>
          <w:color w:val="000000"/>
        </w:rPr>
        <w:t>Ishige</w:t>
      </w:r>
      <w:proofErr w:type="spellEnd"/>
      <w:r w:rsidRPr="002B5663">
        <w:rPr>
          <w:rFonts w:ascii="Book Antiqua" w:eastAsia="Book Antiqua" w:hAnsi="Book Antiqua" w:cs="Book Antiqua"/>
          <w:color w:val="000000"/>
        </w:rPr>
        <w:t xml:space="preserve"> T, Yamada H, Arai K, </w:t>
      </w:r>
      <w:proofErr w:type="spellStart"/>
      <w:r w:rsidRPr="002B5663">
        <w:rPr>
          <w:rFonts w:ascii="Book Antiqua" w:eastAsia="Book Antiqua" w:hAnsi="Book Antiqua" w:cs="Book Antiqua"/>
          <w:color w:val="000000"/>
        </w:rPr>
        <w:t>Yoden</w:t>
      </w:r>
      <w:proofErr w:type="spellEnd"/>
      <w:r w:rsidRPr="002B5663">
        <w:rPr>
          <w:rFonts w:ascii="Book Antiqua" w:eastAsia="Book Antiqua" w:hAnsi="Book Antiqua" w:cs="Book Antiqua"/>
          <w:color w:val="000000"/>
        </w:rPr>
        <w:t xml:space="preserve"> A, Ushijima K, </w:t>
      </w:r>
      <w:proofErr w:type="spellStart"/>
      <w:r w:rsidRPr="002B5663">
        <w:rPr>
          <w:rFonts w:ascii="Book Antiqua" w:eastAsia="Book Antiqua" w:hAnsi="Book Antiqua" w:cs="Book Antiqua"/>
          <w:color w:val="000000"/>
        </w:rPr>
        <w:t>Aomatsu</w:t>
      </w:r>
      <w:proofErr w:type="spellEnd"/>
      <w:r w:rsidRPr="002B5663">
        <w:rPr>
          <w:rFonts w:ascii="Book Antiqua" w:eastAsia="Book Antiqua" w:hAnsi="Book Antiqua" w:cs="Book Antiqua"/>
          <w:color w:val="000000"/>
        </w:rPr>
        <w:t xml:space="preserve"> T, Nagata S, Uchida K, Takeuchi K, Shimizu T. Treatment with infliximab for pediatric Crohn's disease: Nationwide survey of Japan. </w:t>
      </w:r>
      <w:r w:rsidRPr="002B5663">
        <w:rPr>
          <w:rFonts w:ascii="Book Antiqua" w:eastAsia="Book Antiqua" w:hAnsi="Book Antiqua" w:cs="Book Antiqua"/>
          <w:i/>
          <w:iCs/>
          <w:color w:val="000000"/>
        </w:rPr>
        <w:t>J Gastroenterol Hepatol</w:t>
      </w:r>
      <w:r w:rsidRPr="002B5663">
        <w:rPr>
          <w:rFonts w:ascii="Book Antiqua" w:eastAsia="Book Antiqua" w:hAnsi="Book Antiqua" w:cs="Book Antiqua"/>
          <w:color w:val="000000"/>
        </w:rPr>
        <w:t xml:space="preserve"> 2017; </w:t>
      </w:r>
      <w:r w:rsidRPr="002B5663">
        <w:rPr>
          <w:rFonts w:ascii="Book Antiqua" w:eastAsia="Book Antiqua" w:hAnsi="Book Antiqua" w:cs="Book Antiqua"/>
          <w:b/>
          <w:bCs/>
          <w:color w:val="000000"/>
        </w:rPr>
        <w:t>32</w:t>
      </w:r>
      <w:r w:rsidRPr="002B5663">
        <w:rPr>
          <w:rFonts w:ascii="Book Antiqua" w:eastAsia="Book Antiqua" w:hAnsi="Book Antiqua" w:cs="Book Antiqua"/>
          <w:color w:val="000000"/>
        </w:rPr>
        <w:t>: 114-119 [PMID: 27478130 DOI: 10.1111/jgh.13498]</w:t>
      </w:r>
    </w:p>
    <w:p w14:paraId="122E3DF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14 </w:t>
      </w:r>
      <w:r w:rsidRPr="002B5663">
        <w:rPr>
          <w:rFonts w:ascii="Book Antiqua" w:eastAsia="Book Antiqua" w:hAnsi="Book Antiqua" w:cs="Book Antiqua"/>
          <w:b/>
          <w:bCs/>
          <w:color w:val="000000"/>
        </w:rPr>
        <w:t xml:space="preserve">de </w:t>
      </w:r>
      <w:proofErr w:type="spellStart"/>
      <w:r w:rsidRPr="002B5663">
        <w:rPr>
          <w:rFonts w:ascii="Book Antiqua" w:eastAsia="Book Antiqua" w:hAnsi="Book Antiqua" w:cs="Book Antiqua"/>
          <w:b/>
          <w:bCs/>
          <w:color w:val="000000"/>
        </w:rPr>
        <w:t>Bie</w:t>
      </w:r>
      <w:proofErr w:type="spellEnd"/>
      <w:r w:rsidRPr="002B5663">
        <w:rPr>
          <w:rFonts w:ascii="Book Antiqua" w:eastAsia="Book Antiqua" w:hAnsi="Book Antiqua" w:cs="Book Antiqua"/>
          <w:b/>
          <w:bCs/>
          <w:color w:val="000000"/>
        </w:rPr>
        <w:t xml:space="preserve"> CI</w:t>
      </w:r>
      <w:r w:rsidRPr="002B5663">
        <w:rPr>
          <w:rFonts w:ascii="Book Antiqua" w:eastAsia="Book Antiqua" w:hAnsi="Book Antiqua" w:cs="Book Antiqua"/>
          <w:color w:val="000000"/>
        </w:rPr>
        <w:t xml:space="preserve">, Escher JC, de Ridder L. Antitumor necrosis factor treatment for pediatric inflammatory bowel disease. </w:t>
      </w:r>
      <w:proofErr w:type="spellStart"/>
      <w:r w:rsidRPr="002B5663">
        <w:rPr>
          <w:rFonts w:ascii="Book Antiqua" w:eastAsia="Book Antiqua" w:hAnsi="Book Antiqua" w:cs="Book Antiqua"/>
          <w:i/>
          <w:iCs/>
          <w:color w:val="000000"/>
        </w:rPr>
        <w:t>Inflamm</w:t>
      </w:r>
      <w:proofErr w:type="spellEnd"/>
      <w:r w:rsidRPr="002B5663">
        <w:rPr>
          <w:rFonts w:ascii="Book Antiqua" w:eastAsia="Book Antiqua" w:hAnsi="Book Antiqua" w:cs="Book Antiqua"/>
          <w:i/>
          <w:iCs/>
          <w:color w:val="000000"/>
        </w:rPr>
        <w:t xml:space="preserve"> Bowel Dis</w:t>
      </w:r>
      <w:r w:rsidRPr="002B5663">
        <w:rPr>
          <w:rFonts w:ascii="Book Antiqua" w:eastAsia="Book Antiqua" w:hAnsi="Book Antiqua" w:cs="Book Antiqua"/>
          <w:color w:val="000000"/>
        </w:rPr>
        <w:t xml:space="preserve"> 2012; </w:t>
      </w:r>
      <w:r w:rsidRPr="002B5663">
        <w:rPr>
          <w:rFonts w:ascii="Book Antiqua" w:eastAsia="Book Antiqua" w:hAnsi="Book Antiqua" w:cs="Book Antiqua"/>
          <w:b/>
          <w:bCs/>
          <w:color w:val="000000"/>
        </w:rPr>
        <w:t>18</w:t>
      </w:r>
      <w:r w:rsidRPr="002B5663">
        <w:rPr>
          <w:rFonts w:ascii="Book Antiqua" w:eastAsia="Book Antiqua" w:hAnsi="Book Antiqua" w:cs="Book Antiqua"/>
          <w:color w:val="000000"/>
        </w:rPr>
        <w:t>: 985-1002 [PMID: 21936033 DOI: 10.1002/ibd.21871]</w:t>
      </w:r>
    </w:p>
    <w:p w14:paraId="130B371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 xml:space="preserve">15 </w:t>
      </w:r>
      <w:r w:rsidRPr="002B5663">
        <w:rPr>
          <w:rFonts w:ascii="Book Antiqua" w:eastAsia="Book Antiqua" w:hAnsi="Book Antiqua" w:cs="Book Antiqua"/>
          <w:b/>
          <w:bCs/>
          <w:color w:val="000000"/>
        </w:rPr>
        <w:t>Fong L</w:t>
      </w:r>
      <w:r w:rsidRPr="002B5663">
        <w:rPr>
          <w:rFonts w:ascii="Book Antiqua" w:eastAsia="Book Antiqua" w:hAnsi="Book Antiqua" w:cs="Book Antiqua"/>
          <w:color w:val="000000"/>
        </w:rPr>
        <w:t xml:space="preserve">, Small EJ. Anti-cytotoxic T-lymphocyte antigen-4 antibody: the first in an emerging class of immunomodulatory antibodies for cancer treatment. </w:t>
      </w:r>
      <w:r w:rsidRPr="002B5663">
        <w:rPr>
          <w:rFonts w:ascii="Book Antiqua" w:eastAsia="Book Antiqua" w:hAnsi="Book Antiqua" w:cs="Book Antiqua"/>
          <w:i/>
          <w:iCs/>
          <w:color w:val="000000"/>
        </w:rPr>
        <w:t>J Clin Oncol</w:t>
      </w:r>
      <w:r w:rsidRPr="002B5663">
        <w:rPr>
          <w:rFonts w:ascii="Book Antiqua" w:eastAsia="Book Antiqua" w:hAnsi="Book Antiqua" w:cs="Book Antiqua"/>
          <w:color w:val="000000"/>
        </w:rPr>
        <w:t xml:space="preserve"> 2008; </w:t>
      </w:r>
      <w:r w:rsidRPr="002B5663">
        <w:rPr>
          <w:rFonts w:ascii="Book Antiqua" w:eastAsia="Book Antiqua" w:hAnsi="Book Antiqua" w:cs="Book Antiqua"/>
          <w:b/>
          <w:bCs/>
          <w:color w:val="000000"/>
        </w:rPr>
        <w:t>26</w:t>
      </w:r>
      <w:r w:rsidRPr="002B5663">
        <w:rPr>
          <w:rFonts w:ascii="Book Antiqua" w:eastAsia="Book Antiqua" w:hAnsi="Book Antiqua" w:cs="Book Antiqua"/>
          <w:color w:val="000000"/>
        </w:rPr>
        <w:t>: 5275-5283 [PMID: 18838703 DOI: 10.1200/JCO.2008.17.8954]</w:t>
      </w:r>
    </w:p>
    <w:p w14:paraId="304D66D1" w14:textId="77777777" w:rsidR="00A77B3E" w:rsidRPr="002B5663" w:rsidRDefault="00A77B3E" w:rsidP="002B5663">
      <w:pPr>
        <w:adjustRightInd w:val="0"/>
        <w:snapToGrid w:val="0"/>
        <w:spacing w:line="360" w:lineRule="auto"/>
        <w:jc w:val="both"/>
        <w:rPr>
          <w:rFonts w:ascii="Book Antiqua" w:hAnsi="Book Antiqua"/>
        </w:rPr>
        <w:sectPr w:rsidR="00A77B3E" w:rsidRPr="002B5663" w:rsidSect="003E7B84">
          <w:pgSz w:w="12240" w:h="15840"/>
          <w:pgMar w:top="1440" w:right="1800" w:bottom="1440" w:left="1800" w:header="720" w:footer="720" w:gutter="0"/>
          <w:cols w:space="720"/>
          <w:docGrid w:linePitch="360"/>
        </w:sectPr>
      </w:pPr>
    </w:p>
    <w:p w14:paraId="246E244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lastRenderedPageBreak/>
        <w:t>Footnotes</w:t>
      </w:r>
    </w:p>
    <w:p w14:paraId="3071EAF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Informed consent statement: </w:t>
      </w:r>
      <w:r w:rsidRPr="002B5663">
        <w:rPr>
          <w:rFonts w:ascii="Book Antiqua" w:eastAsia="Book Antiqua" w:hAnsi="Book Antiqua" w:cs="Book Antiqua"/>
          <w:color w:val="000000"/>
        </w:rPr>
        <w:t>Informed written consent was obtained from the patient for publication of this case report and accompanying images.</w:t>
      </w:r>
    </w:p>
    <w:p w14:paraId="1D50E526" w14:textId="77777777" w:rsidR="00A77B3E" w:rsidRPr="002B5663" w:rsidRDefault="00A77B3E" w:rsidP="002B5663">
      <w:pPr>
        <w:adjustRightInd w:val="0"/>
        <w:snapToGrid w:val="0"/>
        <w:spacing w:line="360" w:lineRule="auto"/>
        <w:jc w:val="both"/>
        <w:rPr>
          <w:rFonts w:ascii="Book Antiqua" w:hAnsi="Book Antiqua"/>
        </w:rPr>
      </w:pPr>
    </w:p>
    <w:p w14:paraId="4373923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Conflict-of-interest statement: </w:t>
      </w:r>
      <w:r w:rsidRPr="002B5663">
        <w:rPr>
          <w:rFonts w:ascii="Book Antiqua" w:eastAsia="Book Antiqua" w:hAnsi="Book Antiqua" w:cs="Book Antiqua"/>
          <w:color w:val="000000"/>
          <w:shd w:val="clear" w:color="auto" w:fill="FFFFFF"/>
        </w:rPr>
        <w:t>The authors declare that they have no competing interests.</w:t>
      </w:r>
    </w:p>
    <w:p w14:paraId="43BDE0D0" w14:textId="77777777" w:rsidR="00A77B3E" w:rsidRPr="002B5663" w:rsidRDefault="00A77B3E" w:rsidP="002B5663">
      <w:pPr>
        <w:adjustRightInd w:val="0"/>
        <w:snapToGrid w:val="0"/>
        <w:spacing w:line="360" w:lineRule="auto"/>
        <w:jc w:val="both"/>
        <w:rPr>
          <w:rFonts w:ascii="Book Antiqua" w:hAnsi="Book Antiqua"/>
        </w:rPr>
      </w:pPr>
    </w:p>
    <w:p w14:paraId="66665D4F" w14:textId="079D1524"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CARE Checklist (2016) statement: </w:t>
      </w:r>
      <w:r w:rsidRPr="002B5663">
        <w:rPr>
          <w:rFonts w:ascii="Book Antiqua" w:eastAsia="Book Antiqua" w:hAnsi="Book Antiqua" w:cs="Book Antiqua"/>
          <w:color w:val="000000"/>
        </w:rPr>
        <w:t>The authors have read the CARE Checklist</w:t>
      </w:r>
      <w:r w:rsidR="00200DFC"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(2016), and the manuscript was prepared and revised according to the CARE Checklist.</w:t>
      </w:r>
    </w:p>
    <w:p w14:paraId="00168010" w14:textId="77777777" w:rsidR="00A77B3E" w:rsidRPr="002B5663" w:rsidRDefault="00A77B3E" w:rsidP="002B5663">
      <w:pPr>
        <w:adjustRightInd w:val="0"/>
        <w:snapToGrid w:val="0"/>
        <w:spacing w:line="360" w:lineRule="auto"/>
        <w:jc w:val="both"/>
        <w:rPr>
          <w:rFonts w:ascii="Book Antiqua" w:hAnsi="Book Antiqua"/>
        </w:rPr>
      </w:pPr>
    </w:p>
    <w:p w14:paraId="7A3B898D"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Open-Access: </w:t>
      </w:r>
      <w:r w:rsidRPr="002B56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B5663">
        <w:rPr>
          <w:rFonts w:ascii="Book Antiqua" w:eastAsia="Book Antiqua" w:hAnsi="Book Antiqua" w:cs="Book Antiqua"/>
          <w:color w:val="000000"/>
        </w:rPr>
        <w:t>NonCommercial</w:t>
      </w:r>
      <w:proofErr w:type="spellEnd"/>
      <w:r w:rsidRPr="002B56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18D8B7" w14:textId="77777777" w:rsidR="00A77B3E" w:rsidRPr="002B5663" w:rsidRDefault="00A77B3E" w:rsidP="002B5663">
      <w:pPr>
        <w:adjustRightInd w:val="0"/>
        <w:snapToGrid w:val="0"/>
        <w:spacing w:line="360" w:lineRule="auto"/>
        <w:jc w:val="both"/>
        <w:rPr>
          <w:rFonts w:ascii="Book Antiqua" w:hAnsi="Book Antiqua"/>
        </w:rPr>
      </w:pPr>
    </w:p>
    <w:p w14:paraId="293EBABA" w14:textId="225F7DA9"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Manuscript source: </w:t>
      </w:r>
      <w:r w:rsidRPr="002B5663">
        <w:rPr>
          <w:rFonts w:ascii="Book Antiqua" w:eastAsia="Book Antiqua" w:hAnsi="Book Antiqua" w:cs="Book Antiqua"/>
          <w:color w:val="000000"/>
        </w:rPr>
        <w:t xml:space="preserve">Unsolicited </w:t>
      </w:r>
      <w:r w:rsidR="00200DFC" w:rsidRPr="002B5663">
        <w:rPr>
          <w:rFonts w:ascii="Book Antiqua" w:eastAsia="Book Antiqua" w:hAnsi="Book Antiqua" w:cs="Book Antiqua"/>
          <w:color w:val="000000"/>
        </w:rPr>
        <w:t>manuscript</w:t>
      </w:r>
    </w:p>
    <w:p w14:paraId="668E27AB" w14:textId="77777777" w:rsidR="00A77B3E" w:rsidRPr="002B5663" w:rsidRDefault="00A77B3E" w:rsidP="002B5663">
      <w:pPr>
        <w:adjustRightInd w:val="0"/>
        <w:snapToGrid w:val="0"/>
        <w:spacing w:line="360" w:lineRule="auto"/>
        <w:jc w:val="both"/>
        <w:rPr>
          <w:rFonts w:ascii="Book Antiqua" w:hAnsi="Book Antiqua"/>
        </w:rPr>
      </w:pPr>
    </w:p>
    <w:p w14:paraId="7694AA8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Peer-review started: </w:t>
      </w:r>
      <w:r w:rsidRPr="002B5663">
        <w:rPr>
          <w:rFonts w:ascii="Book Antiqua" w:eastAsia="Book Antiqua" w:hAnsi="Book Antiqua" w:cs="Book Antiqua"/>
          <w:color w:val="000000"/>
        </w:rPr>
        <w:t>February 9, 2021</w:t>
      </w:r>
    </w:p>
    <w:p w14:paraId="405DF978"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First decision: </w:t>
      </w:r>
      <w:r w:rsidRPr="002B5663">
        <w:rPr>
          <w:rFonts w:ascii="Book Antiqua" w:eastAsia="Book Antiqua" w:hAnsi="Book Antiqua" w:cs="Book Antiqua"/>
          <w:color w:val="000000"/>
        </w:rPr>
        <w:t>February 28, 2021</w:t>
      </w:r>
    </w:p>
    <w:p w14:paraId="70384BEE" w14:textId="6644C1B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Article in press: </w:t>
      </w:r>
      <w:r w:rsidR="00D65134" w:rsidRPr="0018777A">
        <w:rPr>
          <w:rFonts w:ascii="Book Antiqua" w:eastAsia="Book Antiqua" w:hAnsi="Book Antiqua" w:cs="Book Antiqua"/>
          <w:bCs/>
          <w:color w:val="000000"/>
        </w:rPr>
        <w:t>April 25, 2021</w:t>
      </w:r>
    </w:p>
    <w:p w14:paraId="3AC5D369" w14:textId="77777777" w:rsidR="00A77B3E" w:rsidRPr="002B5663" w:rsidRDefault="00A77B3E" w:rsidP="002B5663">
      <w:pPr>
        <w:adjustRightInd w:val="0"/>
        <w:snapToGrid w:val="0"/>
        <w:spacing w:line="360" w:lineRule="auto"/>
        <w:jc w:val="both"/>
        <w:rPr>
          <w:rFonts w:ascii="Book Antiqua" w:hAnsi="Book Antiqua"/>
        </w:rPr>
      </w:pPr>
    </w:p>
    <w:p w14:paraId="524C36FD" w14:textId="04B1BCFD"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Specialty type: </w:t>
      </w:r>
      <w:r w:rsidRPr="002B5663">
        <w:rPr>
          <w:rFonts w:ascii="Book Antiqua" w:eastAsia="Book Antiqua" w:hAnsi="Book Antiqua" w:cs="Book Antiqua"/>
          <w:color w:val="000000"/>
        </w:rPr>
        <w:t xml:space="preserve">Gastroenterology and </w:t>
      </w:r>
      <w:r w:rsidR="00200DFC" w:rsidRPr="002B5663">
        <w:rPr>
          <w:rFonts w:ascii="Book Antiqua" w:eastAsia="Book Antiqua" w:hAnsi="Book Antiqua" w:cs="Book Antiqua"/>
          <w:color w:val="000000"/>
        </w:rPr>
        <w:t>hepatology</w:t>
      </w:r>
    </w:p>
    <w:p w14:paraId="50E66B9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Country/Territory of origin: </w:t>
      </w:r>
      <w:r w:rsidRPr="002B5663">
        <w:rPr>
          <w:rFonts w:ascii="Book Antiqua" w:eastAsia="Book Antiqua" w:hAnsi="Book Antiqua" w:cs="Book Antiqua"/>
          <w:color w:val="000000"/>
        </w:rPr>
        <w:t>China</w:t>
      </w:r>
    </w:p>
    <w:p w14:paraId="32B9637B"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Peer-review report’s scientific quality classification</w:t>
      </w:r>
    </w:p>
    <w:p w14:paraId="0D2A3C4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A (Excellent): 0</w:t>
      </w:r>
    </w:p>
    <w:p w14:paraId="28582EEA"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Grade B (Very good): B</w:t>
      </w:r>
    </w:p>
    <w:p w14:paraId="5A0C91C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C (Good): C</w:t>
      </w:r>
    </w:p>
    <w:p w14:paraId="2F41B08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D (Fair): 0</w:t>
      </w:r>
    </w:p>
    <w:p w14:paraId="061CE83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E (Poor): 0</w:t>
      </w:r>
    </w:p>
    <w:p w14:paraId="1E05EF16" w14:textId="77777777" w:rsidR="00A77B3E" w:rsidRPr="002B5663" w:rsidRDefault="00A77B3E" w:rsidP="002B5663">
      <w:pPr>
        <w:adjustRightInd w:val="0"/>
        <w:snapToGrid w:val="0"/>
        <w:spacing w:line="360" w:lineRule="auto"/>
        <w:jc w:val="both"/>
        <w:rPr>
          <w:rFonts w:ascii="Book Antiqua" w:hAnsi="Book Antiqua"/>
        </w:rPr>
      </w:pPr>
    </w:p>
    <w:p w14:paraId="64B1D5B0" w14:textId="100B61AC" w:rsidR="00A77B3E" w:rsidRPr="009B6BFC" w:rsidRDefault="00341FC3" w:rsidP="002B5663">
      <w:pPr>
        <w:adjustRightInd w:val="0"/>
        <w:snapToGrid w:val="0"/>
        <w:spacing w:line="360" w:lineRule="auto"/>
        <w:jc w:val="both"/>
        <w:rPr>
          <w:rFonts w:ascii="Book Antiqua" w:hAnsi="Book Antiqua" w:cs="Book Antiqua"/>
          <w:color w:val="000000"/>
          <w:lang w:eastAsia="zh-CN"/>
        </w:rPr>
      </w:pPr>
      <w:r w:rsidRPr="002B5663">
        <w:rPr>
          <w:rFonts w:ascii="Book Antiqua" w:eastAsia="Book Antiqua" w:hAnsi="Book Antiqua" w:cs="Book Antiqua"/>
          <w:b/>
          <w:color w:val="000000"/>
        </w:rPr>
        <w:t xml:space="preserve">P-Reviewer: </w:t>
      </w:r>
      <w:r w:rsidRPr="002B5663">
        <w:rPr>
          <w:rFonts w:ascii="Book Antiqua" w:eastAsia="Book Antiqua" w:hAnsi="Book Antiqua" w:cs="Book Antiqua"/>
          <w:color w:val="000000"/>
        </w:rPr>
        <w:t xml:space="preserve">Chuang WL, </w:t>
      </w:r>
      <w:proofErr w:type="spellStart"/>
      <w:r w:rsidRPr="002B5663">
        <w:rPr>
          <w:rFonts w:ascii="Book Antiqua" w:eastAsia="Book Antiqua" w:hAnsi="Book Antiqua" w:cs="Book Antiqua"/>
          <w:color w:val="000000"/>
        </w:rPr>
        <w:t>Kermenli</w:t>
      </w:r>
      <w:proofErr w:type="spellEnd"/>
      <w:r w:rsidRPr="002B5663">
        <w:rPr>
          <w:rFonts w:ascii="Book Antiqua" w:eastAsia="Book Antiqua" w:hAnsi="Book Antiqua" w:cs="Book Antiqua"/>
          <w:color w:val="000000"/>
        </w:rPr>
        <w:t xml:space="preserve"> T</w:t>
      </w:r>
      <w:r w:rsidRPr="002B5663">
        <w:rPr>
          <w:rFonts w:ascii="Book Antiqua" w:eastAsia="Book Antiqua" w:hAnsi="Book Antiqua" w:cs="Book Antiqua"/>
          <w:b/>
          <w:color w:val="000000"/>
        </w:rPr>
        <w:t xml:space="preserve"> S-Editor: </w:t>
      </w:r>
      <w:r w:rsidRPr="002B5663">
        <w:rPr>
          <w:rFonts w:ascii="Book Antiqua" w:eastAsia="Book Antiqua" w:hAnsi="Book Antiqua" w:cs="Book Antiqua"/>
          <w:color w:val="000000"/>
        </w:rPr>
        <w:t>Zhang L</w:t>
      </w:r>
      <w:r w:rsidRPr="002B5663">
        <w:rPr>
          <w:rFonts w:ascii="Book Antiqua" w:eastAsia="Book Antiqua" w:hAnsi="Book Antiqua" w:cs="Book Antiqua"/>
          <w:b/>
          <w:color w:val="000000"/>
        </w:rPr>
        <w:t xml:space="preserve"> L-Editor: </w:t>
      </w:r>
      <w:proofErr w:type="spellStart"/>
      <w:r w:rsidR="00354548">
        <w:rPr>
          <w:rFonts w:ascii="Book Antiqua" w:eastAsia="Book Antiqua" w:hAnsi="Book Antiqua" w:cs="Book Antiqua"/>
          <w:bCs/>
          <w:color w:val="000000"/>
        </w:rPr>
        <w:t>Filipodia</w:t>
      </w:r>
      <w:proofErr w:type="spellEnd"/>
      <w:r w:rsidR="00354548">
        <w:rPr>
          <w:rFonts w:ascii="Book Antiqua" w:eastAsia="Book Antiqua" w:hAnsi="Book Antiqua" w:cs="Book Antiqua"/>
          <w:bCs/>
          <w:color w:val="000000"/>
        </w:rPr>
        <w:t xml:space="preserve"> </w:t>
      </w:r>
      <w:r w:rsidRPr="002B5663">
        <w:rPr>
          <w:rFonts w:ascii="Book Antiqua" w:eastAsia="Book Antiqua" w:hAnsi="Book Antiqua" w:cs="Book Antiqua"/>
          <w:b/>
          <w:color w:val="000000"/>
        </w:rPr>
        <w:t>P-Editor:</w:t>
      </w:r>
      <w:r w:rsidRPr="009B6BFC">
        <w:rPr>
          <w:rFonts w:ascii="Book Antiqua" w:eastAsia="Book Antiqua" w:hAnsi="Book Antiqua" w:cs="Book Antiqua"/>
          <w:color w:val="000000"/>
        </w:rPr>
        <w:t xml:space="preserve"> </w:t>
      </w:r>
      <w:r w:rsidR="009B6BFC" w:rsidRPr="009B6BFC">
        <w:rPr>
          <w:rFonts w:ascii="Book Antiqua" w:hAnsi="Book Antiqua" w:cs="Book Antiqua" w:hint="eastAsia"/>
          <w:color w:val="000000"/>
          <w:lang w:eastAsia="zh-CN"/>
        </w:rPr>
        <w:t>Wang LL</w:t>
      </w:r>
    </w:p>
    <w:p w14:paraId="108F6975" w14:textId="77777777" w:rsidR="009B6BFC" w:rsidRPr="009B6BFC" w:rsidRDefault="009B6BFC" w:rsidP="002B5663">
      <w:pPr>
        <w:adjustRightInd w:val="0"/>
        <w:snapToGrid w:val="0"/>
        <w:spacing w:line="360" w:lineRule="auto"/>
        <w:jc w:val="both"/>
        <w:rPr>
          <w:rFonts w:ascii="Book Antiqua" w:hAnsi="Book Antiqua"/>
          <w:lang w:eastAsia="zh-CN"/>
        </w:rPr>
        <w:sectPr w:rsidR="009B6BFC" w:rsidRPr="009B6BFC" w:rsidSect="003E7B84">
          <w:pgSz w:w="12240" w:h="15840"/>
          <w:pgMar w:top="1440" w:right="1800" w:bottom="1440" w:left="1800" w:header="720" w:footer="720" w:gutter="0"/>
          <w:cols w:space="720"/>
          <w:docGrid w:linePitch="360"/>
        </w:sectPr>
      </w:pPr>
    </w:p>
    <w:p w14:paraId="155FB1B5" w14:textId="0EEF8F5E" w:rsidR="00A77B3E" w:rsidRPr="002B5663" w:rsidRDefault="00341FC3" w:rsidP="002B5663">
      <w:pPr>
        <w:adjustRightInd w:val="0"/>
        <w:snapToGrid w:val="0"/>
        <w:spacing w:line="360" w:lineRule="auto"/>
        <w:jc w:val="both"/>
        <w:rPr>
          <w:rFonts w:ascii="Book Antiqua" w:eastAsia="Book Antiqua" w:hAnsi="Book Antiqua" w:cs="Book Antiqua"/>
          <w:b/>
          <w:color w:val="000000"/>
        </w:rPr>
      </w:pPr>
      <w:r w:rsidRPr="002B5663">
        <w:rPr>
          <w:rFonts w:ascii="Book Antiqua" w:eastAsia="Book Antiqua" w:hAnsi="Book Antiqua" w:cs="Book Antiqua"/>
          <w:b/>
          <w:color w:val="000000"/>
        </w:rPr>
        <w:lastRenderedPageBreak/>
        <w:t>Figure Legends</w:t>
      </w:r>
    </w:p>
    <w:p w14:paraId="175BD534" w14:textId="3646F687" w:rsidR="00793C37" w:rsidRPr="002B5663" w:rsidRDefault="00793C37" w:rsidP="002B5663">
      <w:pPr>
        <w:adjustRightInd w:val="0"/>
        <w:snapToGrid w:val="0"/>
        <w:spacing w:line="360" w:lineRule="auto"/>
        <w:jc w:val="both"/>
        <w:rPr>
          <w:rFonts w:ascii="Book Antiqua" w:hAnsi="Book Antiqua"/>
        </w:rPr>
      </w:pPr>
      <w:r w:rsidRPr="002B5663">
        <w:rPr>
          <w:rFonts w:ascii="Book Antiqua" w:hAnsi="Book Antiqua"/>
          <w:noProof/>
          <w:lang w:eastAsia="zh-CN"/>
        </w:rPr>
        <w:drawing>
          <wp:inline distT="0" distB="0" distL="0" distR="0" wp14:anchorId="5B6C7C9F" wp14:editId="6BF5C8F5">
            <wp:extent cx="5343525" cy="4638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3525" cy="4638675"/>
                    </a:xfrm>
                    <a:prstGeom prst="rect">
                      <a:avLst/>
                    </a:prstGeom>
                  </pic:spPr>
                </pic:pic>
              </a:graphicData>
            </a:graphic>
          </wp:inline>
        </w:drawing>
      </w:r>
    </w:p>
    <w:p w14:paraId="13312E65" w14:textId="7431C7EC" w:rsidR="00A77B3E" w:rsidRPr="002B5663" w:rsidRDefault="00341FC3" w:rsidP="002B5663">
      <w:pPr>
        <w:adjustRightInd w:val="0"/>
        <w:snapToGrid w:val="0"/>
        <w:spacing w:line="360" w:lineRule="auto"/>
        <w:jc w:val="both"/>
        <w:rPr>
          <w:rFonts w:ascii="Book Antiqua" w:hAnsi="Book Antiqua"/>
        </w:rPr>
      </w:pPr>
      <w:bookmarkStart w:id="5" w:name="OLE_LINK6"/>
      <w:bookmarkStart w:id="6" w:name="OLE_LINK7"/>
      <w:r w:rsidRPr="002B5663">
        <w:rPr>
          <w:rFonts w:ascii="Book Antiqua" w:eastAsia="Book Antiqua" w:hAnsi="Book Antiqua" w:cs="Book Antiqua"/>
          <w:b/>
          <w:bCs/>
          <w:color w:val="000000"/>
        </w:rPr>
        <w:t xml:space="preserve">Figure 1 Colonoscopy before treatment. </w:t>
      </w:r>
      <w:r w:rsidRPr="002B5663">
        <w:rPr>
          <w:rFonts w:ascii="Book Antiqua" w:eastAsia="Book Antiqua" w:hAnsi="Book Antiqua" w:cs="Book Antiqua"/>
          <w:color w:val="000000"/>
        </w:rPr>
        <w:t xml:space="preserve">There are multiple ulcers in the terminal ileum and the ileocecal region, as indicated by the black arrow. A: Ulcer in terminal ileum; B: Another ulcer in terminal ileum; C: Ulcer in ileocecal region; </w:t>
      </w:r>
      <w:r w:rsidR="00200DFC" w:rsidRPr="002B5663">
        <w:rPr>
          <w:rFonts w:ascii="Book Antiqua" w:eastAsia="Book Antiqua" w:hAnsi="Book Antiqua" w:cs="Book Antiqua"/>
          <w:color w:val="000000"/>
        </w:rPr>
        <w:t xml:space="preserve">and </w:t>
      </w:r>
      <w:r w:rsidRPr="002B5663">
        <w:rPr>
          <w:rFonts w:ascii="Book Antiqua" w:eastAsia="Book Antiqua" w:hAnsi="Book Antiqua" w:cs="Book Antiqua"/>
          <w:color w:val="000000"/>
        </w:rPr>
        <w:t xml:space="preserve">D: </w:t>
      </w:r>
      <w:r w:rsidR="00A84E92">
        <w:rPr>
          <w:rFonts w:ascii="Book Antiqua" w:eastAsia="Book Antiqua" w:hAnsi="Book Antiqua" w:cs="Book Antiqua"/>
          <w:color w:val="000000"/>
        </w:rPr>
        <w:t>U</w:t>
      </w:r>
      <w:r w:rsidRPr="002B5663">
        <w:rPr>
          <w:rFonts w:ascii="Book Antiqua" w:eastAsia="Book Antiqua" w:hAnsi="Book Antiqua" w:cs="Book Antiqua"/>
          <w:color w:val="000000"/>
        </w:rPr>
        <w:t>lcer in ileocecal region.</w:t>
      </w:r>
    </w:p>
    <w:p w14:paraId="4107450C" w14:textId="5A0CCD5F" w:rsidR="00793C37" w:rsidRPr="002B5663" w:rsidRDefault="00793C37" w:rsidP="002B5663">
      <w:pPr>
        <w:adjustRightInd w:val="0"/>
        <w:snapToGrid w:val="0"/>
        <w:spacing w:line="360" w:lineRule="auto"/>
        <w:jc w:val="both"/>
        <w:rPr>
          <w:rFonts w:ascii="Book Antiqua" w:eastAsia="Book Antiqua" w:hAnsi="Book Antiqua" w:cs="Book Antiqua"/>
          <w:b/>
          <w:bCs/>
          <w:color w:val="000000"/>
        </w:rPr>
      </w:pPr>
      <w:r w:rsidRPr="002B5663">
        <w:rPr>
          <w:rFonts w:ascii="Book Antiqua" w:eastAsia="Book Antiqua" w:hAnsi="Book Antiqua" w:cs="Book Antiqua"/>
          <w:b/>
          <w:bCs/>
          <w:color w:val="000000"/>
        </w:rPr>
        <w:br w:type="page"/>
      </w:r>
      <w:bookmarkEnd w:id="5"/>
      <w:bookmarkEnd w:id="6"/>
      <w:r w:rsidRPr="002B5663">
        <w:rPr>
          <w:rFonts w:ascii="Book Antiqua" w:hAnsi="Book Antiqua"/>
          <w:noProof/>
          <w:lang w:eastAsia="zh-CN"/>
        </w:rPr>
        <w:lastRenderedPageBreak/>
        <w:drawing>
          <wp:inline distT="0" distB="0" distL="0" distR="0" wp14:anchorId="382FA41B" wp14:editId="7DAB13EC">
            <wp:extent cx="5491514" cy="44606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9007" cy="4466769"/>
                    </a:xfrm>
                    <a:prstGeom prst="rect">
                      <a:avLst/>
                    </a:prstGeom>
                  </pic:spPr>
                </pic:pic>
              </a:graphicData>
            </a:graphic>
          </wp:inline>
        </w:drawing>
      </w:r>
    </w:p>
    <w:p w14:paraId="60CD90A9" w14:textId="0A1E526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Figure 2 Prompted infiltration of diffuse inflammatory cells and scattered eosinophils, with visible ulcer formation. </w:t>
      </w:r>
      <w:r w:rsidRPr="002B5663">
        <w:rPr>
          <w:rFonts w:ascii="Book Antiqua" w:eastAsia="Book Antiqua" w:hAnsi="Book Antiqua" w:cs="Book Antiqua"/>
          <w:bCs/>
          <w:color w:val="000000"/>
          <w:shd w:val="clear" w:color="auto" w:fill="FFFFFF"/>
        </w:rPr>
        <w:t>Periodic acid-</w:t>
      </w:r>
      <w:r w:rsidR="00A84E92">
        <w:rPr>
          <w:rFonts w:ascii="Book Antiqua" w:eastAsia="Book Antiqua" w:hAnsi="Book Antiqua" w:cs="Book Antiqua"/>
          <w:bCs/>
          <w:color w:val="000000"/>
          <w:shd w:val="clear" w:color="auto" w:fill="FFFFFF"/>
        </w:rPr>
        <w:t>S</w:t>
      </w:r>
      <w:r w:rsidRPr="002B5663">
        <w:rPr>
          <w:rFonts w:ascii="Book Antiqua" w:eastAsia="Book Antiqua" w:hAnsi="Book Antiqua" w:cs="Book Antiqua"/>
          <w:bCs/>
          <w:color w:val="000000"/>
          <w:shd w:val="clear" w:color="auto" w:fill="FFFFFF"/>
        </w:rPr>
        <w:t>chiff</w:t>
      </w:r>
      <w:r w:rsidRPr="002B5663">
        <w:rPr>
          <w:rFonts w:ascii="Book Antiqua" w:eastAsia="Book Antiqua" w:hAnsi="Book Antiqua" w:cs="Book Antiqua"/>
          <w:bCs/>
          <w:color w:val="000000"/>
        </w:rPr>
        <w:t xml:space="preserve"> (-). Immunohistochemical </w:t>
      </w:r>
      <w:r w:rsidRPr="002B5663">
        <w:rPr>
          <w:rFonts w:ascii="Book Antiqua" w:eastAsia="Book Antiqua" w:hAnsi="Book Antiqua" w:cs="Book Antiqua"/>
          <w:bCs/>
          <w:color w:val="000000"/>
          <w:shd w:val="clear" w:color="auto" w:fill="FFFFFF"/>
        </w:rPr>
        <w:t>cytomegalovirus</w:t>
      </w:r>
      <w:r w:rsidRPr="002B5663">
        <w:rPr>
          <w:rFonts w:ascii="Book Antiqua" w:eastAsia="Book Antiqua" w:hAnsi="Book Antiqua" w:cs="Book Antiqua"/>
          <w:bCs/>
          <w:color w:val="000000"/>
        </w:rPr>
        <w:t xml:space="preserve"> (-). Epstein-Barr virus encoded ribonucleic acid (-). </w:t>
      </w:r>
      <w:r w:rsidRPr="002B5663">
        <w:rPr>
          <w:rFonts w:ascii="Book Antiqua" w:eastAsia="Book Antiqua" w:hAnsi="Book Antiqua" w:cs="Book Antiqua"/>
          <w:color w:val="000000"/>
        </w:rPr>
        <w:t>A: Terminal ileum, length of scale bar is 50 µm; B: Ileocec</w:t>
      </w:r>
      <w:r w:rsidR="006868DE">
        <w:rPr>
          <w:rFonts w:ascii="Book Antiqua" w:eastAsia="Book Antiqua" w:hAnsi="Book Antiqua" w:cs="Book Antiqua"/>
          <w:color w:val="000000"/>
        </w:rPr>
        <w:t>al</w:t>
      </w:r>
      <w:r w:rsidRPr="002B5663">
        <w:rPr>
          <w:rFonts w:ascii="Book Antiqua" w:eastAsia="Book Antiqua" w:hAnsi="Book Antiqua" w:cs="Book Antiqua"/>
          <w:color w:val="000000"/>
        </w:rPr>
        <w:t xml:space="preserve"> region, length of scale bar is 10 µm; C: Descending colon, length of scale bar is 10 µm; D: Rectum, length of scale bar is 10 µm.</w:t>
      </w:r>
    </w:p>
    <w:p w14:paraId="7209D1A3" w14:textId="70CDC51A" w:rsidR="00793C37" w:rsidRPr="002B5663" w:rsidRDefault="00793C37" w:rsidP="002B5663">
      <w:pPr>
        <w:adjustRightInd w:val="0"/>
        <w:snapToGrid w:val="0"/>
        <w:spacing w:line="360" w:lineRule="auto"/>
        <w:jc w:val="both"/>
        <w:rPr>
          <w:rFonts w:ascii="Book Antiqua" w:eastAsia="Book Antiqua" w:hAnsi="Book Antiqua" w:cs="Book Antiqua"/>
          <w:b/>
          <w:bCs/>
          <w:color w:val="000000"/>
        </w:rPr>
      </w:pPr>
      <w:r w:rsidRPr="002B5663">
        <w:rPr>
          <w:rFonts w:ascii="Book Antiqua" w:eastAsia="Book Antiqua" w:hAnsi="Book Antiqua" w:cs="Book Antiqua"/>
          <w:b/>
          <w:bCs/>
          <w:color w:val="000000"/>
        </w:rPr>
        <w:br w:type="page"/>
      </w:r>
      <w:r w:rsidRPr="002B5663">
        <w:rPr>
          <w:rFonts w:ascii="Book Antiqua" w:hAnsi="Book Antiqua"/>
          <w:noProof/>
          <w:lang w:eastAsia="zh-CN"/>
        </w:rPr>
        <w:lastRenderedPageBreak/>
        <w:drawing>
          <wp:inline distT="0" distB="0" distL="0" distR="0" wp14:anchorId="210F5EF9" wp14:editId="31D70B3E">
            <wp:extent cx="5367884" cy="2997642"/>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591" cy="3003063"/>
                    </a:xfrm>
                    <a:prstGeom prst="rect">
                      <a:avLst/>
                    </a:prstGeom>
                  </pic:spPr>
                </pic:pic>
              </a:graphicData>
            </a:graphic>
          </wp:inline>
        </w:drawing>
      </w:r>
    </w:p>
    <w:p w14:paraId="49339788" w14:textId="43EB519E" w:rsidR="00793C37" w:rsidRPr="002B5663" w:rsidRDefault="00341FC3" w:rsidP="002B5663">
      <w:pPr>
        <w:adjustRightInd w:val="0"/>
        <w:snapToGrid w:val="0"/>
        <w:spacing w:line="360" w:lineRule="auto"/>
        <w:jc w:val="both"/>
        <w:rPr>
          <w:rFonts w:ascii="Book Antiqua" w:eastAsia="Book Antiqua" w:hAnsi="Book Antiqua" w:cs="Book Antiqua"/>
          <w:color w:val="000000"/>
        </w:rPr>
      </w:pPr>
      <w:r w:rsidRPr="002B5663">
        <w:rPr>
          <w:rFonts w:ascii="Book Antiqua" w:eastAsia="Book Antiqua" w:hAnsi="Book Antiqua" w:cs="Book Antiqua"/>
          <w:b/>
          <w:bCs/>
          <w:color w:val="000000"/>
        </w:rPr>
        <w:t xml:space="preserve">Figure 3 Colonoscopy after treatment. </w:t>
      </w:r>
      <w:r w:rsidRPr="002B5663">
        <w:rPr>
          <w:rFonts w:ascii="Book Antiqua" w:eastAsia="Book Antiqua" w:hAnsi="Book Antiqua" w:cs="Book Antiqua"/>
          <w:color w:val="000000"/>
        </w:rPr>
        <w:t>Colonoscopy review after treatment for 6 mo. Mucosa in terminal ileum and ileocecal region become smooth.</w:t>
      </w:r>
      <w:r w:rsidRPr="002B5663">
        <w:rPr>
          <w:rFonts w:ascii="Book Antiqua" w:eastAsia="Book Antiqua" w:hAnsi="Book Antiqua" w:cs="Book Antiqua"/>
          <w:b/>
          <w:bCs/>
          <w:color w:val="000000"/>
        </w:rPr>
        <w:t xml:space="preserve"> </w:t>
      </w:r>
      <w:r w:rsidRPr="002B5663">
        <w:rPr>
          <w:rFonts w:ascii="Book Antiqua" w:eastAsia="Book Antiqua" w:hAnsi="Book Antiqua" w:cs="Book Antiqua"/>
          <w:color w:val="000000"/>
        </w:rPr>
        <w:t>A: Terminal ileum; B: Ileocecal</w:t>
      </w:r>
      <w:r w:rsidR="006868DE">
        <w:rPr>
          <w:rFonts w:ascii="Book Antiqua" w:eastAsia="Book Antiqua" w:hAnsi="Book Antiqua" w:cs="Book Antiqua"/>
          <w:color w:val="000000"/>
        </w:rPr>
        <w:t xml:space="preserve"> region</w:t>
      </w:r>
      <w:r w:rsidRPr="002B5663">
        <w:rPr>
          <w:rFonts w:ascii="Book Antiqua" w:eastAsia="Book Antiqua" w:hAnsi="Book Antiqua" w:cs="Book Antiqua"/>
          <w:color w:val="000000"/>
        </w:rPr>
        <w:t xml:space="preserve">. </w:t>
      </w:r>
    </w:p>
    <w:p w14:paraId="720923F4"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eastAsia="Book Antiqua" w:hAnsi="Book Antiqua" w:cs="Book Antiqua"/>
          <w:color w:val="000000"/>
        </w:rPr>
        <w:br w:type="page"/>
      </w:r>
      <w:r w:rsidRPr="002B5663">
        <w:rPr>
          <w:rFonts w:ascii="Book Antiqua" w:hAnsi="Book Antiqua"/>
          <w:b/>
          <w:color w:val="0C0C0C"/>
        </w:rPr>
        <w:lastRenderedPageBreak/>
        <w:t>Table 1</w:t>
      </w:r>
      <w:r w:rsidRPr="002B5663">
        <w:rPr>
          <w:rFonts w:ascii="Book Antiqua" w:hAnsi="Book Antiqua"/>
          <w:color w:val="0C0C0C"/>
        </w:rPr>
        <w:t xml:space="preserve"> </w:t>
      </w:r>
      <w:r w:rsidRPr="002B5663">
        <w:rPr>
          <w:rFonts w:ascii="Book Antiqua" w:hAnsi="Book Antiqua"/>
          <w:b/>
          <w:bCs/>
          <w:color w:val="0C0C0C"/>
        </w:rPr>
        <w:t xml:space="preserve">Changes in clinical indicators during treatment </w:t>
      </w:r>
    </w:p>
    <w:tbl>
      <w:tblPr>
        <w:tblStyle w:val="a3"/>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30"/>
        <w:gridCol w:w="1636"/>
        <w:gridCol w:w="1811"/>
        <w:gridCol w:w="1811"/>
        <w:gridCol w:w="1868"/>
      </w:tblGrid>
      <w:tr w:rsidR="00793C37" w:rsidRPr="002B5663" w14:paraId="7576384E" w14:textId="77777777" w:rsidTr="00482CD6">
        <w:trPr>
          <w:trHeight w:val="831"/>
        </w:trPr>
        <w:tc>
          <w:tcPr>
            <w:tcW w:w="0" w:type="auto"/>
            <w:tcBorders>
              <w:top w:val="single" w:sz="4" w:space="0" w:color="auto"/>
              <w:bottom w:val="single" w:sz="4" w:space="0" w:color="auto"/>
            </w:tcBorders>
            <w:hideMark/>
          </w:tcPr>
          <w:p w14:paraId="63B53988"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Indicator</w:t>
            </w:r>
          </w:p>
        </w:tc>
        <w:tc>
          <w:tcPr>
            <w:tcW w:w="0" w:type="auto"/>
            <w:tcBorders>
              <w:top w:val="single" w:sz="4" w:space="0" w:color="auto"/>
              <w:bottom w:val="single" w:sz="4" w:space="0" w:color="auto"/>
            </w:tcBorders>
            <w:hideMark/>
          </w:tcPr>
          <w:p w14:paraId="3A6CF3D8"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Before treatment</w:t>
            </w:r>
          </w:p>
        </w:tc>
        <w:tc>
          <w:tcPr>
            <w:tcW w:w="0" w:type="auto"/>
            <w:tcBorders>
              <w:top w:val="single" w:sz="4" w:space="0" w:color="auto"/>
              <w:bottom w:val="single" w:sz="4" w:space="0" w:color="auto"/>
            </w:tcBorders>
            <w:hideMark/>
          </w:tcPr>
          <w:p w14:paraId="00D36C5B"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 xml:space="preserve">1 </w:t>
            </w:r>
            <w:proofErr w:type="spellStart"/>
            <w:r w:rsidRPr="002B5663">
              <w:rPr>
                <w:rFonts w:ascii="Book Antiqua" w:hAnsi="Book Antiqua"/>
                <w:b/>
                <w:bCs/>
                <w:color w:val="0C0C0C"/>
              </w:rPr>
              <w:t>mo</w:t>
            </w:r>
            <w:proofErr w:type="spellEnd"/>
            <w:r w:rsidRPr="002B5663">
              <w:rPr>
                <w:rFonts w:ascii="Book Antiqua" w:hAnsi="Book Antiqua"/>
                <w:b/>
                <w:bCs/>
                <w:color w:val="0C0C0C"/>
              </w:rPr>
              <w:t xml:space="preserve"> after treatment</w:t>
            </w:r>
          </w:p>
        </w:tc>
        <w:tc>
          <w:tcPr>
            <w:tcW w:w="0" w:type="auto"/>
            <w:tcBorders>
              <w:top w:val="single" w:sz="4" w:space="0" w:color="auto"/>
              <w:bottom w:val="single" w:sz="4" w:space="0" w:color="auto"/>
            </w:tcBorders>
            <w:hideMark/>
          </w:tcPr>
          <w:p w14:paraId="49F08C17"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 xml:space="preserve">6 </w:t>
            </w:r>
            <w:proofErr w:type="spellStart"/>
            <w:r w:rsidRPr="002B5663">
              <w:rPr>
                <w:rFonts w:ascii="Book Antiqua" w:hAnsi="Book Antiqua"/>
                <w:b/>
                <w:bCs/>
                <w:color w:val="0C0C0C"/>
              </w:rPr>
              <w:t>mo</w:t>
            </w:r>
            <w:proofErr w:type="spellEnd"/>
            <w:r w:rsidRPr="002B5663">
              <w:rPr>
                <w:rFonts w:ascii="Book Antiqua" w:hAnsi="Book Antiqua"/>
                <w:b/>
                <w:bCs/>
                <w:color w:val="0C0C0C"/>
              </w:rPr>
              <w:t xml:space="preserve"> after treatment</w:t>
            </w:r>
          </w:p>
        </w:tc>
        <w:tc>
          <w:tcPr>
            <w:tcW w:w="0" w:type="auto"/>
            <w:tcBorders>
              <w:top w:val="single" w:sz="4" w:space="0" w:color="auto"/>
              <w:bottom w:val="single" w:sz="4" w:space="0" w:color="auto"/>
            </w:tcBorders>
            <w:hideMark/>
          </w:tcPr>
          <w:p w14:paraId="2C3B2E91"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 xml:space="preserve">10 </w:t>
            </w:r>
            <w:proofErr w:type="spellStart"/>
            <w:r w:rsidRPr="002B5663">
              <w:rPr>
                <w:rFonts w:ascii="Book Antiqua" w:hAnsi="Book Antiqua"/>
                <w:b/>
                <w:bCs/>
                <w:color w:val="0C0C0C"/>
              </w:rPr>
              <w:t>mo</w:t>
            </w:r>
            <w:proofErr w:type="spellEnd"/>
            <w:r w:rsidRPr="002B5663">
              <w:rPr>
                <w:rFonts w:ascii="Book Antiqua" w:hAnsi="Book Antiqua"/>
                <w:b/>
                <w:bCs/>
                <w:color w:val="0C0C0C"/>
              </w:rPr>
              <w:t xml:space="preserve"> after treatment</w:t>
            </w:r>
          </w:p>
        </w:tc>
      </w:tr>
      <w:tr w:rsidR="00793C37" w:rsidRPr="002B5663" w14:paraId="596E00F9" w14:textId="77777777" w:rsidTr="00482CD6">
        <w:trPr>
          <w:trHeight w:val="433"/>
        </w:trPr>
        <w:tc>
          <w:tcPr>
            <w:tcW w:w="0" w:type="auto"/>
            <w:tcBorders>
              <w:top w:val="single" w:sz="4" w:space="0" w:color="auto"/>
            </w:tcBorders>
            <w:hideMark/>
          </w:tcPr>
          <w:p w14:paraId="535AFB0D"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PCDAI (points)</w:t>
            </w:r>
          </w:p>
        </w:tc>
        <w:tc>
          <w:tcPr>
            <w:tcW w:w="0" w:type="auto"/>
            <w:tcBorders>
              <w:top w:val="single" w:sz="4" w:space="0" w:color="auto"/>
            </w:tcBorders>
            <w:hideMark/>
          </w:tcPr>
          <w:p w14:paraId="645DFF28"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47.5</w:t>
            </w:r>
          </w:p>
        </w:tc>
        <w:tc>
          <w:tcPr>
            <w:tcW w:w="0" w:type="auto"/>
            <w:tcBorders>
              <w:top w:val="single" w:sz="4" w:space="0" w:color="auto"/>
            </w:tcBorders>
            <w:hideMark/>
          </w:tcPr>
          <w:p w14:paraId="05128EC8"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12.5</w:t>
            </w:r>
          </w:p>
        </w:tc>
        <w:tc>
          <w:tcPr>
            <w:tcW w:w="0" w:type="auto"/>
            <w:tcBorders>
              <w:top w:val="single" w:sz="4" w:space="0" w:color="auto"/>
            </w:tcBorders>
            <w:hideMark/>
          </w:tcPr>
          <w:p w14:paraId="33FC3BB0"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5</w:t>
            </w:r>
          </w:p>
        </w:tc>
        <w:tc>
          <w:tcPr>
            <w:tcW w:w="0" w:type="auto"/>
            <w:tcBorders>
              <w:top w:val="single" w:sz="4" w:space="0" w:color="auto"/>
            </w:tcBorders>
            <w:hideMark/>
          </w:tcPr>
          <w:p w14:paraId="6E8AAF2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5</w:t>
            </w:r>
          </w:p>
        </w:tc>
      </w:tr>
      <w:tr w:rsidR="00793C37" w:rsidRPr="002B5663" w14:paraId="331E7C40" w14:textId="77777777" w:rsidTr="00482CD6">
        <w:trPr>
          <w:trHeight w:val="421"/>
        </w:trPr>
        <w:tc>
          <w:tcPr>
            <w:tcW w:w="0" w:type="auto"/>
            <w:hideMark/>
          </w:tcPr>
          <w:p w14:paraId="6C2824E6"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CRP (mg/L)</w:t>
            </w:r>
          </w:p>
        </w:tc>
        <w:tc>
          <w:tcPr>
            <w:tcW w:w="0" w:type="auto"/>
            <w:hideMark/>
          </w:tcPr>
          <w:p w14:paraId="5B1C8097"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61</w:t>
            </w:r>
          </w:p>
        </w:tc>
        <w:tc>
          <w:tcPr>
            <w:tcW w:w="0" w:type="auto"/>
            <w:hideMark/>
          </w:tcPr>
          <w:p w14:paraId="6F7E1691"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1.2</w:t>
            </w:r>
          </w:p>
        </w:tc>
        <w:tc>
          <w:tcPr>
            <w:tcW w:w="0" w:type="auto"/>
            <w:hideMark/>
          </w:tcPr>
          <w:p w14:paraId="5334A03A"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2</w:t>
            </w:r>
          </w:p>
        </w:tc>
        <w:tc>
          <w:tcPr>
            <w:tcW w:w="0" w:type="auto"/>
            <w:hideMark/>
          </w:tcPr>
          <w:p w14:paraId="24F3AC1C"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w:t>
            </w:r>
          </w:p>
        </w:tc>
      </w:tr>
      <w:tr w:rsidR="00793C37" w:rsidRPr="002B5663" w14:paraId="786C522D" w14:textId="77777777" w:rsidTr="00482CD6">
        <w:trPr>
          <w:trHeight w:val="433"/>
        </w:trPr>
        <w:tc>
          <w:tcPr>
            <w:tcW w:w="0" w:type="auto"/>
            <w:hideMark/>
          </w:tcPr>
          <w:p w14:paraId="33916111"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ESR (mm/h)</w:t>
            </w:r>
          </w:p>
        </w:tc>
        <w:tc>
          <w:tcPr>
            <w:tcW w:w="0" w:type="auto"/>
            <w:hideMark/>
          </w:tcPr>
          <w:p w14:paraId="6B459D6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104</w:t>
            </w:r>
          </w:p>
        </w:tc>
        <w:tc>
          <w:tcPr>
            <w:tcW w:w="0" w:type="auto"/>
            <w:hideMark/>
          </w:tcPr>
          <w:p w14:paraId="68B40BD2"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93</w:t>
            </w:r>
          </w:p>
        </w:tc>
        <w:tc>
          <w:tcPr>
            <w:tcW w:w="0" w:type="auto"/>
            <w:hideMark/>
          </w:tcPr>
          <w:p w14:paraId="5E36794A"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44</w:t>
            </w:r>
          </w:p>
        </w:tc>
        <w:tc>
          <w:tcPr>
            <w:tcW w:w="0" w:type="auto"/>
            <w:hideMark/>
          </w:tcPr>
          <w:p w14:paraId="6AD7EB57"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28</w:t>
            </w:r>
          </w:p>
        </w:tc>
      </w:tr>
      <w:tr w:rsidR="00793C37" w:rsidRPr="002B5663" w14:paraId="0AF5474D" w14:textId="77777777" w:rsidTr="00482CD6">
        <w:trPr>
          <w:trHeight w:val="433"/>
        </w:trPr>
        <w:tc>
          <w:tcPr>
            <w:tcW w:w="0" w:type="auto"/>
            <w:hideMark/>
          </w:tcPr>
          <w:p w14:paraId="6E998600"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 xml:space="preserve">Height (cm) </w:t>
            </w:r>
          </w:p>
        </w:tc>
        <w:tc>
          <w:tcPr>
            <w:tcW w:w="0" w:type="auto"/>
            <w:hideMark/>
          </w:tcPr>
          <w:p w14:paraId="12B69F5F"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138</w:t>
            </w:r>
          </w:p>
        </w:tc>
        <w:tc>
          <w:tcPr>
            <w:tcW w:w="0" w:type="auto"/>
            <w:hideMark/>
          </w:tcPr>
          <w:p w14:paraId="030CAC3F"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139</w:t>
            </w:r>
          </w:p>
        </w:tc>
        <w:tc>
          <w:tcPr>
            <w:tcW w:w="0" w:type="auto"/>
            <w:hideMark/>
          </w:tcPr>
          <w:p w14:paraId="1838B139"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144</w:t>
            </w:r>
          </w:p>
        </w:tc>
        <w:tc>
          <w:tcPr>
            <w:tcW w:w="0" w:type="auto"/>
            <w:hideMark/>
          </w:tcPr>
          <w:p w14:paraId="51F3A45C"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145</w:t>
            </w:r>
          </w:p>
        </w:tc>
      </w:tr>
      <w:tr w:rsidR="00793C37" w:rsidRPr="002B5663" w14:paraId="7B1FCF0B" w14:textId="77777777" w:rsidTr="00482CD6">
        <w:trPr>
          <w:trHeight w:val="433"/>
        </w:trPr>
        <w:tc>
          <w:tcPr>
            <w:tcW w:w="0" w:type="auto"/>
            <w:hideMark/>
          </w:tcPr>
          <w:p w14:paraId="7EBCFB5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 xml:space="preserve">Weight (kg) </w:t>
            </w:r>
          </w:p>
        </w:tc>
        <w:tc>
          <w:tcPr>
            <w:tcW w:w="0" w:type="auto"/>
            <w:hideMark/>
          </w:tcPr>
          <w:p w14:paraId="3302EC1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32.3</w:t>
            </w:r>
          </w:p>
        </w:tc>
        <w:tc>
          <w:tcPr>
            <w:tcW w:w="0" w:type="auto"/>
            <w:hideMark/>
          </w:tcPr>
          <w:p w14:paraId="1227B361"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33.5</w:t>
            </w:r>
          </w:p>
        </w:tc>
        <w:tc>
          <w:tcPr>
            <w:tcW w:w="0" w:type="auto"/>
            <w:hideMark/>
          </w:tcPr>
          <w:p w14:paraId="18194A3C"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39.5</w:t>
            </w:r>
          </w:p>
        </w:tc>
        <w:tc>
          <w:tcPr>
            <w:tcW w:w="0" w:type="auto"/>
            <w:hideMark/>
          </w:tcPr>
          <w:p w14:paraId="1D41A9E7"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40</w:t>
            </w:r>
          </w:p>
        </w:tc>
      </w:tr>
      <w:tr w:rsidR="00793C37" w:rsidRPr="002B5663" w14:paraId="68E2B24B" w14:textId="77777777" w:rsidTr="00482CD6">
        <w:trPr>
          <w:trHeight w:val="421"/>
        </w:trPr>
        <w:tc>
          <w:tcPr>
            <w:tcW w:w="0" w:type="auto"/>
            <w:hideMark/>
          </w:tcPr>
          <w:p w14:paraId="0E56C7D2"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Colonoscopy</w:t>
            </w:r>
          </w:p>
        </w:tc>
        <w:tc>
          <w:tcPr>
            <w:tcW w:w="0" w:type="auto"/>
            <w:hideMark/>
          </w:tcPr>
          <w:p w14:paraId="323C6947" w14:textId="77777777" w:rsidR="00793C37" w:rsidRPr="002B5663" w:rsidRDefault="00793C37" w:rsidP="002B5663">
            <w:pPr>
              <w:adjustRightInd w:val="0"/>
              <w:snapToGrid w:val="0"/>
              <w:spacing w:line="360" w:lineRule="auto"/>
              <w:jc w:val="both"/>
              <w:rPr>
                <w:rFonts w:ascii="Book Antiqua" w:hAnsi="Book Antiqua"/>
                <w:color w:val="0C0C0C"/>
              </w:rPr>
            </w:pPr>
            <w:r w:rsidRPr="00475BD6">
              <w:rPr>
                <w:rFonts w:ascii="Book Antiqua" w:hAnsi="Book Antiqua"/>
                <w:caps/>
                <w:color w:val="0C0C0C"/>
              </w:rPr>
              <w:t>u</w:t>
            </w:r>
            <w:r w:rsidRPr="002B5663">
              <w:rPr>
                <w:rFonts w:ascii="Book Antiqua" w:hAnsi="Book Antiqua"/>
                <w:color w:val="0C0C0C"/>
              </w:rPr>
              <w:t>lcers</w:t>
            </w:r>
          </w:p>
        </w:tc>
        <w:tc>
          <w:tcPr>
            <w:tcW w:w="0" w:type="auto"/>
          </w:tcPr>
          <w:p w14:paraId="529FA627" w14:textId="77777777" w:rsidR="00793C37" w:rsidRPr="002B5663" w:rsidRDefault="00793C37" w:rsidP="002B5663">
            <w:pPr>
              <w:adjustRightInd w:val="0"/>
              <w:snapToGrid w:val="0"/>
              <w:spacing w:line="360" w:lineRule="auto"/>
              <w:jc w:val="both"/>
              <w:rPr>
                <w:rFonts w:ascii="Book Antiqua" w:hAnsi="Book Antiqua"/>
                <w:color w:val="0C0C0C"/>
              </w:rPr>
            </w:pPr>
          </w:p>
        </w:tc>
        <w:tc>
          <w:tcPr>
            <w:tcW w:w="0" w:type="auto"/>
            <w:hideMark/>
          </w:tcPr>
          <w:p w14:paraId="51B60C72" w14:textId="77777777" w:rsidR="00793C37" w:rsidRPr="002B5663" w:rsidRDefault="00793C37" w:rsidP="002B5663">
            <w:pPr>
              <w:adjustRightInd w:val="0"/>
              <w:snapToGrid w:val="0"/>
              <w:spacing w:line="360" w:lineRule="auto"/>
              <w:jc w:val="both"/>
              <w:rPr>
                <w:rFonts w:ascii="Book Antiqua" w:hAnsi="Book Antiqua"/>
                <w:color w:val="0C0C0C"/>
              </w:rPr>
            </w:pPr>
            <w:r w:rsidRPr="00475BD6">
              <w:rPr>
                <w:rFonts w:ascii="Book Antiqua" w:hAnsi="Book Antiqua"/>
                <w:caps/>
                <w:color w:val="0C0C0C"/>
              </w:rPr>
              <w:t>h</w:t>
            </w:r>
            <w:r w:rsidRPr="002B5663">
              <w:rPr>
                <w:rFonts w:ascii="Book Antiqua" w:hAnsi="Book Antiqua"/>
                <w:color w:val="0C0C0C"/>
              </w:rPr>
              <w:t>ealed</w:t>
            </w:r>
          </w:p>
        </w:tc>
        <w:tc>
          <w:tcPr>
            <w:tcW w:w="0" w:type="auto"/>
          </w:tcPr>
          <w:p w14:paraId="500848EE" w14:textId="77777777" w:rsidR="00793C37" w:rsidRPr="002B5663" w:rsidRDefault="00793C37" w:rsidP="002B5663">
            <w:pPr>
              <w:adjustRightInd w:val="0"/>
              <w:snapToGrid w:val="0"/>
              <w:spacing w:line="360" w:lineRule="auto"/>
              <w:jc w:val="both"/>
              <w:rPr>
                <w:rFonts w:ascii="Book Antiqua" w:hAnsi="Book Antiqua"/>
                <w:color w:val="0C0C0C"/>
              </w:rPr>
            </w:pPr>
          </w:p>
        </w:tc>
      </w:tr>
    </w:tbl>
    <w:p w14:paraId="0CB572A4" w14:textId="1EE3CE8D" w:rsidR="00BA2C67"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CRP: C-reactive protein; ESR:</w:t>
      </w:r>
      <w:r w:rsidRPr="002B5663">
        <w:rPr>
          <w:rFonts w:ascii="Book Antiqua" w:eastAsia="Book Antiqua" w:hAnsi="Book Antiqua" w:cs="Book Antiqua"/>
          <w:color w:val="000000"/>
        </w:rPr>
        <w:t xml:space="preserve"> Erythrocyte sedimentation rate</w:t>
      </w:r>
      <w:r w:rsidR="00D979E2">
        <w:rPr>
          <w:rFonts w:ascii="Book Antiqua" w:eastAsia="Book Antiqua" w:hAnsi="Book Antiqua" w:cs="Book Antiqua"/>
          <w:color w:val="000000"/>
        </w:rPr>
        <w:t>;</w:t>
      </w:r>
      <w:r w:rsidR="00D979E2" w:rsidRPr="00D979E2">
        <w:rPr>
          <w:rFonts w:ascii="Book Antiqua" w:hAnsi="Book Antiqua"/>
          <w:color w:val="0C0C0C"/>
        </w:rPr>
        <w:t xml:space="preserve"> </w:t>
      </w:r>
      <w:r w:rsidR="00D979E2" w:rsidRPr="002B5663">
        <w:rPr>
          <w:rFonts w:ascii="Book Antiqua" w:hAnsi="Book Antiqua"/>
          <w:color w:val="0C0C0C"/>
        </w:rPr>
        <w:t xml:space="preserve">PCDAI: Pediatric </w:t>
      </w:r>
      <w:r w:rsidR="00D979E2" w:rsidRPr="004E6359">
        <w:rPr>
          <w:rFonts w:ascii="Book Antiqua" w:hAnsi="Book Antiqua"/>
          <w:caps/>
          <w:color w:val="0C0C0C"/>
        </w:rPr>
        <w:t>c</w:t>
      </w:r>
      <w:r w:rsidR="00D979E2" w:rsidRPr="002B5663">
        <w:rPr>
          <w:rFonts w:ascii="Book Antiqua" w:hAnsi="Book Antiqua"/>
          <w:color w:val="0C0C0C"/>
        </w:rPr>
        <w:t>rohn</w:t>
      </w:r>
      <w:r w:rsidR="00D979E2">
        <w:rPr>
          <w:rFonts w:ascii="Book Antiqua" w:hAnsi="Book Antiqua"/>
          <w:color w:val="0C0C0C"/>
        </w:rPr>
        <w:t>’s</w:t>
      </w:r>
      <w:r w:rsidR="00D979E2" w:rsidRPr="002B5663">
        <w:rPr>
          <w:rFonts w:ascii="Book Antiqua" w:hAnsi="Book Antiqua"/>
          <w:color w:val="0C0C0C"/>
        </w:rPr>
        <w:t xml:space="preserve"> disease activity index</w:t>
      </w:r>
      <w:r w:rsidR="00D979E2">
        <w:rPr>
          <w:rFonts w:ascii="Book Antiqua" w:hAnsi="Book Antiqua"/>
          <w:color w:val="0C0C0C"/>
        </w:rPr>
        <w:t>.</w:t>
      </w:r>
    </w:p>
    <w:p w14:paraId="2477AF6C" w14:textId="77777777" w:rsidR="00BA2C67" w:rsidRDefault="00BA2C67">
      <w:pPr>
        <w:rPr>
          <w:rFonts w:ascii="Book Antiqua" w:hAnsi="Book Antiqua"/>
          <w:color w:val="0C0C0C"/>
        </w:rPr>
      </w:pPr>
      <w:r>
        <w:rPr>
          <w:rFonts w:ascii="Book Antiqua" w:hAnsi="Book Antiqua"/>
          <w:color w:val="0C0C0C"/>
        </w:rPr>
        <w:br w:type="page"/>
      </w:r>
    </w:p>
    <w:p w14:paraId="032DCC6F" w14:textId="77777777" w:rsidR="00BA2C67" w:rsidRDefault="00BA2C67" w:rsidP="00BA2C67">
      <w:pPr>
        <w:jc w:val="center"/>
        <w:rPr>
          <w:rFonts w:ascii="Book Antiqua" w:hAnsi="Book Antiqua"/>
        </w:rPr>
      </w:pPr>
    </w:p>
    <w:p w14:paraId="0F087BEB" w14:textId="77777777" w:rsidR="00BA2C67" w:rsidRDefault="00BA2C67" w:rsidP="00BA2C67">
      <w:pPr>
        <w:jc w:val="center"/>
        <w:rPr>
          <w:rFonts w:ascii="Book Antiqua" w:hAnsi="Book Antiqua"/>
        </w:rPr>
      </w:pPr>
    </w:p>
    <w:p w14:paraId="5386A5B0" w14:textId="77777777" w:rsidR="00BA2C67" w:rsidRDefault="00BA2C67" w:rsidP="00BA2C67">
      <w:pPr>
        <w:jc w:val="center"/>
        <w:rPr>
          <w:rFonts w:ascii="Book Antiqua" w:hAnsi="Book Antiqua"/>
        </w:rPr>
      </w:pPr>
    </w:p>
    <w:p w14:paraId="6F8F2E12" w14:textId="77777777" w:rsidR="00BA2C67" w:rsidRDefault="00BA2C67" w:rsidP="00BA2C67">
      <w:pPr>
        <w:jc w:val="center"/>
        <w:rPr>
          <w:rFonts w:ascii="Book Antiqua" w:hAnsi="Book Antiqua"/>
        </w:rPr>
      </w:pPr>
    </w:p>
    <w:p w14:paraId="62E76046" w14:textId="77777777" w:rsidR="00BA2C67" w:rsidRDefault="00BA2C67" w:rsidP="00BA2C67">
      <w:pPr>
        <w:jc w:val="center"/>
        <w:rPr>
          <w:rFonts w:ascii="Book Antiqua" w:hAnsi="Book Antiqua"/>
        </w:rPr>
      </w:pPr>
    </w:p>
    <w:p w14:paraId="6165414F" w14:textId="77777777" w:rsidR="00BA2C67" w:rsidRDefault="00BA2C67" w:rsidP="00BA2C67">
      <w:pPr>
        <w:jc w:val="center"/>
        <w:rPr>
          <w:rFonts w:ascii="Book Antiqua" w:hAnsi="Book Antiqua"/>
        </w:rPr>
      </w:pPr>
      <w:r>
        <w:rPr>
          <w:rFonts w:ascii="Book Antiqua" w:hAnsi="Book Antiqua"/>
          <w:noProof/>
        </w:rPr>
        <w:drawing>
          <wp:inline distT="0" distB="0" distL="0" distR="0" wp14:anchorId="696D97F4" wp14:editId="2C6B58D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87526A" w14:textId="77777777" w:rsidR="00BA2C67" w:rsidRDefault="00BA2C67" w:rsidP="00BA2C67">
      <w:pPr>
        <w:jc w:val="center"/>
        <w:rPr>
          <w:rFonts w:ascii="Book Antiqua" w:hAnsi="Book Antiqua"/>
        </w:rPr>
      </w:pPr>
    </w:p>
    <w:p w14:paraId="56715066" w14:textId="77777777" w:rsidR="00BA2C67" w:rsidRPr="00763D22" w:rsidRDefault="00BA2C67" w:rsidP="00BA2C6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426331E" w14:textId="77777777" w:rsidR="00BA2C67" w:rsidRPr="00763D22" w:rsidRDefault="00BA2C67" w:rsidP="00BA2C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883EC79" w14:textId="77777777" w:rsidR="00BA2C67" w:rsidRPr="00763D22" w:rsidRDefault="00BA2C67" w:rsidP="00BA2C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13D158" w14:textId="77777777" w:rsidR="00BA2C67" w:rsidRPr="00763D22" w:rsidRDefault="00BA2C67" w:rsidP="00BA2C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5312AF" w14:textId="77777777" w:rsidR="00BA2C67" w:rsidRPr="00763D22" w:rsidRDefault="00BA2C67" w:rsidP="00BA2C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0084C4" w14:textId="77777777" w:rsidR="00BA2C67" w:rsidRPr="00763D22" w:rsidRDefault="00BA2C67" w:rsidP="00BA2C6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7F207BA" w14:textId="77777777" w:rsidR="00BA2C67" w:rsidRDefault="00BA2C67" w:rsidP="00BA2C67">
      <w:pPr>
        <w:jc w:val="center"/>
        <w:rPr>
          <w:rFonts w:ascii="Book Antiqua" w:hAnsi="Book Antiqua"/>
        </w:rPr>
      </w:pPr>
    </w:p>
    <w:p w14:paraId="4B1F5112" w14:textId="77777777" w:rsidR="00BA2C67" w:rsidRDefault="00BA2C67" w:rsidP="00BA2C67">
      <w:pPr>
        <w:jc w:val="center"/>
        <w:rPr>
          <w:rFonts w:ascii="Book Antiqua" w:hAnsi="Book Antiqua"/>
        </w:rPr>
      </w:pPr>
    </w:p>
    <w:p w14:paraId="0B760BF7" w14:textId="77777777" w:rsidR="00BA2C67" w:rsidRDefault="00BA2C67" w:rsidP="00BA2C67">
      <w:pPr>
        <w:jc w:val="center"/>
        <w:rPr>
          <w:rFonts w:ascii="Book Antiqua" w:hAnsi="Book Antiqua"/>
        </w:rPr>
      </w:pPr>
    </w:p>
    <w:p w14:paraId="4AB5AFD6" w14:textId="77777777" w:rsidR="00BA2C67" w:rsidRDefault="00BA2C67" w:rsidP="00BA2C67">
      <w:pPr>
        <w:jc w:val="center"/>
        <w:rPr>
          <w:rFonts w:ascii="Book Antiqua" w:hAnsi="Book Antiqua"/>
        </w:rPr>
      </w:pPr>
      <w:r>
        <w:rPr>
          <w:rFonts w:ascii="Book Antiqua" w:hAnsi="Book Antiqua"/>
          <w:noProof/>
        </w:rPr>
        <w:drawing>
          <wp:inline distT="0" distB="0" distL="0" distR="0" wp14:anchorId="2D3AEFFE" wp14:editId="4915A1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278BEB" w14:textId="77777777" w:rsidR="00BA2C67" w:rsidRDefault="00BA2C67" w:rsidP="00BA2C67">
      <w:pPr>
        <w:jc w:val="center"/>
        <w:rPr>
          <w:rFonts w:ascii="Book Antiqua" w:hAnsi="Book Antiqua"/>
        </w:rPr>
      </w:pPr>
    </w:p>
    <w:p w14:paraId="032F94C9" w14:textId="77777777" w:rsidR="00BA2C67" w:rsidRDefault="00BA2C67" w:rsidP="00BA2C67">
      <w:pPr>
        <w:jc w:val="center"/>
        <w:rPr>
          <w:rFonts w:ascii="Book Antiqua" w:hAnsi="Book Antiqua"/>
        </w:rPr>
      </w:pPr>
    </w:p>
    <w:p w14:paraId="536B9166" w14:textId="77777777" w:rsidR="00BA2C67" w:rsidRDefault="00BA2C67" w:rsidP="00BA2C67">
      <w:pPr>
        <w:jc w:val="center"/>
        <w:rPr>
          <w:rFonts w:ascii="Book Antiqua" w:hAnsi="Book Antiqua"/>
        </w:rPr>
      </w:pPr>
    </w:p>
    <w:p w14:paraId="60B5E09A" w14:textId="77777777" w:rsidR="00BA2C67" w:rsidRDefault="00BA2C67" w:rsidP="00BA2C67">
      <w:pPr>
        <w:jc w:val="center"/>
        <w:rPr>
          <w:rFonts w:ascii="Book Antiqua" w:hAnsi="Book Antiqua"/>
        </w:rPr>
      </w:pPr>
    </w:p>
    <w:p w14:paraId="3C767007" w14:textId="77777777" w:rsidR="00BA2C67" w:rsidRDefault="00BA2C67" w:rsidP="00BA2C67">
      <w:pPr>
        <w:jc w:val="center"/>
        <w:rPr>
          <w:rFonts w:ascii="Book Antiqua" w:hAnsi="Book Antiqua"/>
        </w:rPr>
      </w:pPr>
    </w:p>
    <w:p w14:paraId="26B48E97" w14:textId="77777777" w:rsidR="00BA2C67" w:rsidRDefault="00BA2C67" w:rsidP="00BA2C67">
      <w:pPr>
        <w:jc w:val="center"/>
        <w:rPr>
          <w:rFonts w:ascii="Book Antiqua" w:hAnsi="Book Antiqua"/>
        </w:rPr>
      </w:pPr>
    </w:p>
    <w:p w14:paraId="77CF0CB8" w14:textId="77777777" w:rsidR="00BA2C67" w:rsidRDefault="00BA2C67" w:rsidP="00BA2C67">
      <w:pPr>
        <w:jc w:val="center"/>
        <w:rPr>
          <w:rFonts w:ascii="Book Antiqua" w:hAnsi="Book Antiqua"/>
        </w:rPr>
      </w:pPr>
    </w:p>
    <w:p w14:paraId="5D27F530" w14:textId="77777777" w:rsidR="00BA2C67" w:rsidRDefault="00BA2C67" w:rsidP="00BA2C67">
      <w:pPr>
        <w:jc w:val="center"/>
        <w:rPr>
          <w:rFonts w:ascii="Book Antiqua" w:hAnsi="Book Antiqua"/>
        </w:rPr>
      </w:pPr>
    </w:p>
    <w:p w14:paraId="60F62680" w14:textId="77777777" w:rsidR="00BA2C67" w:rsidRDefault="00BA2C67" w:rsidP="00BA2C67">
      <w:pPr>
        <w:jc w:val="center"/>
        <w:rPr>
          <w:rFonts w:ascii="Book Antiqua" w:hAnsi="Book Antiqua"/>
        </w:rPr>
      </w:pPr>
    </w:p>
    <w:p w14:paraId="5E2FE433" w14:textId="77777777" w:rsidR="00BA2C67" w:rsidRPr="00763D22" w:rsidRDefault="00BA2C67" w:rsidP="00BA2C67">
      <w:pPr>
        <w:jc w:val="right"/>
        <w:rPr>
          <w:rFonts w:ascii="Book Antiqua" w:hAnsi="Book Antiqua"/>
          <w:color w:val="000000" w:themeColor="text1"/>
        </w:rPr>
      </w:pPr>
    </w:p>
    <w:p w14:paraId="6E526159" w14:textId="77777777" w:rsidR="00BA2C67" w:rsidRPr="00763D22" w:rsidRDefault="00BA2C67" w:rsidP="00BA2C6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03B52CA" w14:textId="77777777" w:rsidR="00A77B3E" w:rsidRPr="002B5663" w:rsidRDefault="00A77B3E" w:rsidP="002B5663">
      <w:pPr>
        <w:adjustRightInd w:val="0"/>
        <w:snapToGrid w:val="0"/>
        <w:spacing w:line="360" w:lineRule="auto"/>
        <w:jc w:val="both"/>
        <w:rPr>
          <w:rFonts w:ascii="Book Antiqua" w:eastAsia="等线" w:hAnsi="Book Antiqua"/>
          <w:kern w:val="2"/>
        </w:rPr>
      </w:pPr>
      <w:bookmarkStart w:id="7" w:name="_GoBack"/>
      <w:bookmarkEnd w:id="7"/>
    </w:p>
    <w:sectPr w:rsidR="00A77B3E" w:rsidRPr="002B5663" w:rsidSect="003E7B8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95584" w14:textId="77777777" w:rsidR="00797A82" w:rsidRDefault="00797A82" w:rsidP="00793C37">
      <w:r>
        <w:separator/>
      </w:r>
    </w:p>
  </w:endnote>
  <w:endnote w:type="continuationSeparator" w:id="0">
    <w:p w14:paraId="2ADD4B02" w14:textId="77777777" w:rsidR="00797A82" w:rsidRDefault="00797A82" w:rsidP="0079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38214476"/>
      <w:docPartObj>
        <w:docPartGallery w:val="Page Numbers (Bottom of Page)"/>
        <w:docPartUnique/>
      </w:docPartObj>
    </w:sdtPr>
    <w:sdtEndPr>
      <w:rPr>
        <w:noProof/>
      </w:rPr>
    </w:sdtEndPr>
    <w:sdtContent>
      <w:p w14:paraId="7CB91F84" w14:textId="5B9D7408" w:rsidR="00247865" w:rsidRPr="003566EC" w:rsidRDefault="00247865">
        <w:pPr>
          <w:pStyle w:val="a5"/>
          <w:jc w:val="right"/>
          <w:rPr>
            <w:rFonts w:ascii="Book Antiqua" w:hAnsi="Book Antiqua"/>
            <w:sz w:val="24"/>
            <w:szCs w:val="24"/>
          </w:rPr>
        </w:pPr>
        <w:r w:rsidRPr="003566EC">
          <w:rPr>
            <w:rFonts w:ascii="Book Antiqua" w:hAnsi="Book Antiqua"/>
            <w:sz w:val="24"/>
            <w:szCs w:val="24"/>
          </w:rPr>
          <w:fldChar w:fldCharType="begin"/>
        </w:r>
        <w:r w:rsidRPr="003566EC">
          <w:rPr>
            <w:rFonts w:ascii="Book Antiqua" w:hAnsi="Book Antiqua"/>
            <w:sz w:val="24"/>
            <w:szCs w:val="24"/>
          </w:rPr>
          <w:instrText xml:space="preserve"> PAGE   \* MERGEFORMAT </w:instrText>
        </w:r>
        <w:r w:rsidRPr="003566EC">
          <w:rPr>
            <w:rFonts w:ascii="Book Antiqua" w:hAnsi="Book Antiqua"/>
            <w:sz w:val="24"/>
            <w:szCs w:val="24"/>
          </w:rPr>
          <w:fldChar w:fldCharType="separate"/>
        </w:r>
        <w:r w:rsidR="00BA2C67">
          <w:rPr>
            <w:rFonts w:ascii="Book Antiqua" w:hAnsi="Book Antiqua"/>
            <w:noProof/>
            <w:sz w:val="24"/>
            <w:szCs w:val="24"/>
          </w:rPr>
          <w:t>21</w:t>
        </w:r>
        <w:r w:rsidRPr="003566EC">
          <w:rPr>
            <w:rFonts w:ascii="Book Antiqua" w:hAnsi="Book Antiqua"/>
            <w:noProof/>
            <w:sz w:val="24"/>
            <w:szCs w:val="24"/>
          </w:rPr>
          <w:fldChar w:fldCharType="end"/>
        </w:r>
        <w:r w:rsidRPr="003566EC">
          <w:rPr>
            <w:rFonts w:ascii="Book Antiqua" w:hAnsi="Book Antiqua"/>
            <w:noProof/>
            <w:sz w:val="24"/>
            <w:szCs w:val="24"/>
          </w:rPr>
          <w:t xml:space="preserve"> / </w:t>
        </w:r>
        <w:r w:rsidR="00AC79D0">
          <w:rPr>
            <w:rFonts w:ascii="Book Antiqua" w:hAnsi="Book Antiqua"/>
            <w:noProof/>
            <w:sz w:val="24"/>
            <w:szCs w:val="24"/>
          </w:rPr>
          <w:t>18</w:t>
        </w:r>
      </w:p>
    </w:sdtContent>
  </w:sdt>
  <w:p w14:paraId="043B9914" w14:textId="77777777" w:rsidR="00793C37" w:rsidRDefault="00793C3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D5C64" w14:textId="77777777" w:rsidR="00797A82" w:rsidRDefault="00797A82" w:rsidP="00793C37">
      <w:r>
        <w:separator/>
      </w:r>
    </w:p>
  </w:footnote>
  <w:footnote w:type="continuationSeparator" w:id="0">
    <w:p w14:paraId="159EC2FC" w14:textId="77777777" w:rsidR="00797A82" w:rsidRDefault="00797A82" w:rsidP="00793C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6CAF"/>
    <w:rsid w:val="001656EC"/>
    <w:rsid w:val="0018777A"/>
    <w:rsid w:val="001A6277"/>
    <w:rsid w:val="00200DFC"/>
    <w:rsid w:val="002074ED"/>
    <w:rsid w:val="00247865"/>
    <w:rsid w:val="002576C4"/>
    <w:rsid w:val="002A46BB"/>
    <w:rsid w:val="002B10C6"/>
    <w:rsid w:val="002B5663"/>
    <w:rsid w:val="002D1D86"/>
    <w:rsid w:val="002E2424"/>
    <w:rsid w:val="00340164"/>
    <w:rsid w:val="00341FC3"/>
    <w:rsid w:val="00354548"/>
    <w:rsid w:val="003566EC"/>
    <w:rsid w:val="00373C81"/>
    <w:rsid w:val="003E7B84"/>
    <w:rsid w:val="00452A8C"/>
    <w:rsid w:val="00475BD6"/>
    <w:rsid w:val="00482CD6"/>
    <w:rsid w:val="004D6004"/>
    <w:rsid w:val="004E6359"/>
    <w:rsid w:val="00516015"/>
    <w:rsid w:val="00597CFA"/>
    <w:rsid w:val="005A373B"/>
    <w:rsid w:val="005C5EE5"/>
    <w:rsid w:val="005F65D5"/>
    <w:rsid w:val="006868DE"/>
    <w:rsid w:val="006F59DB"/>
    <w:rsid w:val="00716D5E"/>
    <w:rsid w:val="00793C37"/>
    <w:rsid w:val="00797A82"/>
    <w:rsid w:val="007A426B"/>
    <w:rsid w:val="008849D8"/>
    <w:rsid w:val="008C00F2"/>
    <w:rsid w:val="00992118"/>
    <w:rsid w:val="009B6BFC"/>
    <w:rsid w:val="00A13DC4"/>
    <w:rsid w:val="00A77B3E"/>
    <w:rsid w:val="00A80B58"/>
    <w:rsid w:val="00A84E92"/>
    <w:rsid w:val="00A85D69"/>
    <w:rsid w:val="00AC79D0"/>
    <w:rsid w:val="00AF50F3"/>
    <w:rsid w:val="00B14D1E"/>
    <w:rsid w:val="00BA2C67"/>
    <w:rsid w:val="00C204D5"/>
    <w:rsid w:val="00C22E0D"/>
    <w:rsid w:val="00C53248"/>
    <w:rsid w:val="00C93EB2"/>
    <w:rsid w:val="00C97EFD"/>
    <w:rsid w:val="00CA2A55"/>
    <w:rsid w:val="00CE7DFB"/>
    <w:rsid w:val="00D476A0"/>
    <w:rsid w:val="00D5089F"/>
    <w:rsid w:val="00D65134"/>
    <w:rsid w:val="00D979E2"/>
    <w:rsid w:val="00DA0A12"/>
    <w:rsid w:val="00DB171A"/>
    <w:rsid w:val="00EB1F71"/>
    <w:rsid w:val="00EF76AF"/>
    <w:rsid w:val="00F93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06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93C37"/>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793C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93C37"/>
    <w:rPr>
      <w:sz w:val="18"/>
      <w:szCs w:val="18"/>
    </w:rPr>
  </w:style>
  <w:style w:type="paragraph" w:styleId="a5">
    <w:name w:val="footer"/>
    <w:basedOn w:val="a"/>
    <w:link w:val="Char0"/>
    <w:uiPriority w:val="99"/>
    <w:unhideWhenUsed/>
    <w:rsid w:val="00793C37"/>
    <w:pPr>
      <w:tabs>
        <w:tab w:val="center" w:pos="4153"/>
        <w:tab w:val="right" w:pos="8306"/>
      </w:tabs>
      <w:snapToGrid w:val="0"/>
    </w:pPr>
    <w:rPr>
      <w:sz w:val="18"/>
      <w:szCs w:val="18"/>
    </w:rPr>
  </w:style>
  <w:style w:type="character" w:customStyle="1" w:styleId="Char0">
    <w:name w:val="页脚 Char"/>
    <w:basedOn w:val="a0"/>
    <w:link w:val="a5"/>
    <w:uiPriority w:val="99"/>
    <w:rsid w:val="00793C37"/>
    <w:rPr>
      <w:sz w:val="18"/>
      <w:szCs w:val="18"/>
    </w:rPr>
  </w:style>
  <w:style w:type="character" w:styleId="a6">
    <w:name w:val="annotation reference"/>
    <w:basedOn w:val="a0"/>
    <w:semiHidden/>
    <w:unhideWhenUsed/>
    <w:rsid w:val="00716D5E"/>
    <w:rPr>
      <w:sz w:val="21"/>
      <w:szCs w:val="21"/>
    </w:rPr>
  </w:style>
  <w:style w:type="paragraph" w:styleId="a7">
    <w:name w:val="annotation text"/>
    <w:basedOn w:val="a"/>
    <w:link w:val="Char1"/>
    <w:semiHidden/>
    <w:unhideWhenUsed/>
    <w:rsid w:val="00716D5E"/>
  </w:style>
  <w:style w:type="character" w:customStyle="1" w:styleId="Char1">
    <w:name w:val="批注文字 Char"/>
    <w:basedOn w:val="a0"/>
    <w:link w:val="a7"/>
    <w:semiHidden/>
    <w:rsid w:val="00716D5E"/>
    <w:rPr>
      <w:sz w:val="24"/>
      <w:szCs w:val="24"/>
    </w:rPr>
  </w:style>
  <w:style w:type="paragraph" w:styleId="a8">
    <w:name w:val="annotation subject"/>
    <w:basedOn w:val="a7"/>
    <w:next w:val="a7"/>
    <w:link w:val="Char2"/>
    <w:semiHidden/>
    <w:unhideWhenUsed/>
    <w:rsid w:val="00716D5E"/>
    <w:rPr>
      <w:b/>
      <w:bCs/>
    </w:rPr>
  </w:style>
  <w:style w:type="character" w:customStyle="1" w:styleId="Char2">
    <w:name w:val="批注主题 Char"/>
    <w:basedOn w:val="Char1"/>
    <w:link w:val="a8"/>
    <w:semiHidden/>
    <w:rsid w:val="00716D5E"/>
    <w:rPr>
      <w:b/>
      <w:bCs/>
      <w:sz w:val="24"/>
      <w:szCs w:val="24"/>
    </w:rPr>
  </w:style>
  <w:style w:type="paragraph" w:styleId="a9">
    <w:name w:val="Balloon Text"/>
    <w:basedOn w:val="a"/>
    <w:link w:val="Char3"/>
    <w:rsid w:val="00716D5E"/>
    <w:rPr>
      <w:sz w:val="18"/>
      <w:szCs w:val="18"/>
    </w:rPr>
  </w:style>
  <w:style w:type="character" w:customStyle="1" w:styleId="Char3">
    <w:name w:val="批注框文本 Char"/>
    <w:basedOn w:val="a0"/>
    <w:link w:val="a9"/>
    <w:rsid w:val="00716D5E"/>
    <w:rPr>
      <w:sz w:val="18"/>
      <w:szCs w:val="18"/>
    </w:rPr>
  </w:style>
  <w:style w:type="paragraph" w:styleId="aa">
    <w:name w:val="Revision"/>
    <w:hidden/>
    <w:uiPriority w:val="99"/>
    <w:semiHidden/>
    <w:rsid w:val="005F65D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93C37"/>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793C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93C37"/>
    <w:rPr>
      <w:sz w:val="18"/>
      <w:szCs w:val="18"/>
    </w:rPr>
  </w:style>
  <w:style w:type="paragraph" w:styleId="a5">
    <w:name w:val="footer"/>
    <w:basedOn w:val="a"/>
    <w:link w:val="Char0"/>
    <w:uiPriority w:val="99"/>
    <w:unhideWhenUsed/>
    <w:rsid w:val="00793C37"/>
    <w:pPr>
      <w:tabs>
        <w:tab w:val="center" w:pos="4153"/>
        <w:tab w:val="right" w:pos="8306"/>
      </w:tabs>
      <w:snapToGrid w:val="0"/>
    </w:pPr>
    <w:rPr>
      <w:sz w:val="18"/>
      <w:szCs w:val="18"/>
    </w:rPr>
  </w:style>
  <w:style w:type="character" w:customStyle="1" w:styleId="Char0">
    <w:name w:val="页脚 Char"/>
    <w:basedOn w:val="a0"/>
    <w:link w:val="a5"/>
    <w:uiPriority w:val="99"/>
    <w:rsid w:val="00793C37"/>
    <w:rPr>
      <w:sz w:val="18"/>
      <w:szCs w:val="18"/>
    </w:rPr>
  </w:style>
  <w:style w:type="character" w:styleId="a6">
    <w:name w:val="annotation reference"/>
    <w:basedOn w:val="a0"/>
    <w:semiHidden/>
    <w:unhideWhenUsed/>
    <w:rsid w:val="00716D5E"/>
    <w:rPr>
      <w:sz w:val="21"/>
      <w:szCs w:val="21"/>
    </w:rPr>
  </w:style>
  <w:style w:type="paragraph" w:styleId="a7">
    <w:name w:val="annotation text"/>
    <w:basedOn w:val="a"/>
    <w:link w:val="Char1"/>
    <w:semiHidden/>
    <w:unhideWhenUsed/>
    <w:rsid w:val="00716D5E"/>
  </w:style>
  <w:style w:type="character" w:customStyle="1" w:styleId="Char1">
    <w:name w:val="批注文字 Char"/>
    <w:basedOn w:val="a0"/>
    <w:link w:val="a7"/>
    <w:semiHidden/>
    <w:rsid w:val="00716D5E"/>
    <w:rPr>
      <w:sz w:val="24"/>
      <w:szCs w:val="24"/>
    </w:rPr>
  </w:style>
  <w:style w:type="paragraph" w:styleId="a8">
    <w:name w:val="annotation subject"/>
    <w:basedOn w:val="a7"/>
    <w:next w:val="a7"/>
    <w:link w:val="Char2"/>
    <w:semiHidden/>
    <w:unhideWhenUsed/>
    <w:rsid w:val="00716D5E"/>
    <w:rPr>
      <w:b/>
      <w:bCs/>
    </w:rPr>
  </w:style>
  <w:style w:type="character" w:customStyle="1" w:styleId="Char2">
    <w:name w:val="批注主题 Char"/>
    <w:basedOn w:val="Char1"/>
    <w:link w:val="a8"/>
    <w:semiHidden/>
    <w:rsid w:val="00716D5E"/>
    <w:rPr>
      <w:b/>
      <w:bCs/>
      <w:sz w:val="24"/>
      <w:szCs w:val="24"/>
    </w:rPr>
  </w:style>
  <w:style w:type="paragraph" w:styleId="a9">
    <w:name w:val="Balloon Text"/>
    <w:basedOn w:val="a"/>
    <w:link w:val="Char3"/>
    <w:rsid w:val="00716D5E"/>
    <w:rPr>
      <w:sz w:val="18"/>
      <w:szCs w:val="18"/>
    </w:rPr>
  </w:style>
  <w:style w:type="character" w:customStyle="1" w:styleId="Char3">
    <w:name w:val="批注框文本 Char"/>
    <w:basedOn w:val="a0"/>
    <w:link w:val="a9"/>
    <w:rsid w:val="00716D5E"/>
    <w:rPr>
      <w:sz w:val="18"/>
      <w:szCs w:val="18"/>
    </w:rPr>
  </w:style>
  <w:style w:type="paragraph" w:styleId="aa">
    <w:name w:val="Revision"/>
    <w:hidden/>
    <w:uiPriority w:val="99"/>
    <w:semiHidden/>
    <w:rsid w:val="005F65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79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21</Pages>
  <Words>3441</Words>
  <Characters>19615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24</cp:revision>
  <dcterms:created xsi:type="dcterms:W3CDTF">2021-04-26T22:56:00Z</dcterms:created>
  <dcterms:modified xsi:type="dcterms:W3CDTF">2021-06-17T17:17:00Z</dcterms:modified>
</cp:coreProperties>
</file>