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49E7B" w14:textId="77777777" w:rsidR="00A77B3E" w:rsidRDefault="001A620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5E20D1E3" w14:textId="77777777" w:rsidR="00A77B3E" w:rsidRDefault="001A620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64168</w:t>
      </w:r>
    </w:p>
    <w:p w14:paraId="2C20DF63" w14:textId="77777777" w:rsidR="00A77B3E" w:rsidRDefault="001A620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4269E5A" w14:textId="77777777" w:rsidR="00A77B3E" w:rsidRDefault="00A77B3E">
      <w:pPr>
        <w:spacing w:line="360" w:lineRule="auto"/>
        <w:jc w:val="both"/>
      </w:pPr>
    </w:p>
    <w:p w14:paraId="58959DD0" w14:textId="77777777" w:rsidR="00A77B3E" w:rsidRDefault="001A6207">
      <w:pPr>
        <w:spacing w:line="360" w:lineRule="auto"/>
        <w:jc w:val="both"/>
      </w:pPr>
      <w:r>
        <w:rPr>
          <w:rFonts w:ascii="Book Antiqua" w:eastAsia="Book Antiqua" w:hAnsi="Book Antiqua" w:cs="Book Antiqua"/>
          <w:b/>
          <w:i/>
          <w:color w:val="000000"/>
        </w:rPr>
        <w:t>Basic Study</w:t>
      </w:r>
    </w:p>
    <w:p w14:paraId="7ED41A76" w14:textId="3A83F2B4" w:rsidR="00A77B3E" w:rsidRDefault="001A6207">
      <w:pPr>
        <w:spacing w:line="360" w:lineRule="auto"/>
        <w:jc w:val="both"/>
      </w:pPr>
      <w:r>
        <w:rPr>
          <w:rFonts w:ascii="Book Antiqua" w:eastAsia="Book Antiqua" w:hAnsi="Book Antiqua" w:cs="Book Antiqua"/>
          <w:b/>
          <w:color w:val="000000"/>
        </w:rPr>
        <w:t xml:space="preserve">Expression and role of </w:t>
      </w:r>
      <w:r w:rsidR="00D628E3" w:rsidRPr="00D628E3">
        <w:rPr>
          <w:rFonts w:ascii="Book Antiqua" w:eastAsia="Book Antiqua" w:hAnsi="Book Antiqua" w:cs="Book Antiqua"/>
          <w:b/>
          <w:color w:val="000000"/>
        </w:rPr>
        <w:t>P-element-induced wimpy testis-interacting RNA</w:t>
      </w:r>
      <w:r w:rsidR="00D628E3">
        <w:rPr>
          <w:rFonts w:ascii="Book Antiqua" w:eastAsia="Book Antiqua" w:hAnsi="Book Antiqua" w:cs="Book Antiqua"/>
          <w:b/>
          <w:color w:val="000000"/>
        </w:rPr>
        <w:t xml:space="preserve"> </w:t>
      </w:r>
      <w:r>
        <w:rPr>
          <w:rFonts w:ascii="Book Antiqua" w:eastAsia="Book Antiqua" w:hAnsi="Book Antiqua" w:cs="Book Antiqua"/>
          <w:b/>
          <w:color w:val="000000"/>
        </w:rPr>
        <w:t>in diabetic-retinopathy in mice</w:t>
      </w:r>
    </w:p>
    <w:p w14:paraId="2A082245" w14:textId="77777777" w:rsidR="00A77B3E" w:rsidRDefault="00A77B3E">
      <w:pPr>
        <w:spacing w:line="360" w:lineRule="auto"/>
        <w:jc w:val="both"/>
      </w:pPr>
    </w:p>
    <w:p w14:paraId="15177F38" w14:textId="226F79C1" w:rsidR="00A77B3E" w:rsidRDefault="00C562CD">
      <w:pPr>
        <w:spacing w:line="360" w:lineRule="auto"/>
        <w:jc w:val="both"/>
      </w:pPr>
      <w:r>
        <w:rPr>
          <w:rFonts w:ascii="Book Antiqua" w:eastAsia="Book Antiqua" w:hAnsi="Book Antiqua" w:cs="Book Antiqua"/>
          <w:color w:val="000000"/>
        </w:rPr>
        <w:t xml:space="preserve">Yu Y </w:t>
      </w:r>
      <w:r w:rsidRPr="00C562C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A6207">
        <w:rPr>
          <w:rFonts w:ascii="Book Antiqua" w:eastAsia="Book Antiqua" w:hAnsi="Book Antiqua" w:cs="Book Antiqua"/>
          <w:color w:val="000000"/>
        </w:rPr>
        <w:t>piRNAs in diabetic retinopathy</w:t>
      </w:r>
    </w:p>
    <w:p w14:paraId="41784C21" w14:textId="77777777" w:rsidR="00A77B3E" w:rsidRDefault="00A77B3E">
      <w:pPr>
        <w:spacing w:line="360" w:lineRule="auto"/>
        <w:jc w:val="both"/>
      </w:pPr>
    </w:p>
    <w:p w14:paraId="3F0D5E16" w14:textId="77777777" w:rsidR="00A77B3E" w:rsidRDefault="001A6207">
      <w:pPr>
        <w:spacing w:line="360" w:lineRule="auto"/>
        <w:jc w:val="both"/>
      </w:pPr>
      <w:r>
        <w:rPr>
          <w:rFonts w:ascii="Book Antiqua" w:eastAsia="Book Antiqua" w:hAnsi="Book Antiqua" w:cs="Book Antiqua"/>
          <w:color w:val="000000"/>
        </w:rPr>
        <w:t>Yong Yu, Kai-Ming Ren, Xiao-Long Chen</w:t>
      </w:r>
    </w:p>
    <w:p w14:paraId="7EDF527F" w14:textId="77777777" w:rsidR="00A77B3E" w:rsidRDefault="00A77B3E">
      <w:pPr>
        <w:spacing w:line="360" w:lineRule="auto"/>
        <w:jc w:val="both"/>
      </w:pPr>
    </w:p>
    <w:p w14:paraId="586CD08A" w14:textId="77777777" w:rsidR="00A77B3E" w:rsidRDefault="001A6207">
      <w:pPr>
        <w:spacing w:line="360" w:lineRule="auto"/>
        <w:jc w:val="both"/>
      </w:pPr>
      <w:r>
        <w:rPr>
          <w:rFonts w:ascii="Book Antiqua" w:eastAsia="Book Antiqua" w:hAnsi="Book Antiqua" w:cs="Book Antiqua"/>
          <w:b/>
          <w:bCs/>
          <w:color w:val="000000"/>
        </w:rPr>
        <w:t xml:space="preserve">Yong Yu, Xiao-Long Chen, </w:t>
      </w:r>
      <w:r>
        <w:rPr>
          <w:rFonts w:ascii="Book Antiqua" w:eastAsia="Book Antiqua" w:hAnsi="Book Antiqua" w:cs="Book Antiqua"/>
          <w:color w:val="000000"/>
        </w:rPr>
        <w:t>Department of Ophthalmology, Shengjing Hospital of China Medical University, Shenyang 110004, Liaoning Province, China</w:t>
      </w:r>
    </w:p>
    <w:p w14:paraId="61892874" w14:textId="77777777" w:rsidR="00A77B3E" w:rsidRDefault="00A77B3E">
      <w:pPr>
        <w:spacing w:line="360" w:lineRule="auto"/>
        <w:jc w:val="both"/>
      </w:pPr>
    </w:p>
    <w:p w14:paraId="65E1E0AD" w14:textId="77777777" w:rsidR="00A77B3E" w:rsidRDefault="001A6207">
      <w:pPr>
        <w:spacing w:line="360" w:lineRule="auto"/>
        <w:jc w:val="both"/>
      </w:pPr>
      <w:r>
        <w:rPr>
          <w:rFonts w:ascii="Book Antiqua" w:eastAsia="Book Antiqua" w:hAnsi="Book Antiqua" w:cs="Book Antiqua"/>
          <w:b/>
          <w:bCs/>
          <w:color w:val="000000"/>
        </w:rPr>
        <w:t xml:space="preserve">Kai-Ming Ren, </w:t>
      </w:r>
      <w:r>
        <w:rPr>
          <w:rFonts w:ascii="Book Antiqua" w:eastAsia="Book Antiqua" w:hAnsi="Book Antiqua" w:cs="Book Antiqua"/>
          <w:color w:val="000000"/>
        </w:rPr>
        <w:t>Department of Thoracic Surgery, Shengjing Hospital of China Medical University, Shenyang 110004, Liaoning Province, China</w:t>
      </w:r>
    </w:p>
    <w:p w14:paraId="25753453" w14:textId="77777777" w:rsidR="00A77B3E" w:rsidRDefault="00A77B3E">
      <w:pPr>
        <w:spacing w:line="360" w:lineRule="auto"/>
        <w:jc w:val="both"/>
      </w:pPr>
    </w:p>
    <w:p w14:paraId="1C652813" w14:textId="029114B5" w:rsidR="00A77B3E" w:rsidRDefault="001A6207">
      <w:pPr>
        <w:spacing w:line="360" w:lineRule="auto"/>
        <w:jc w:val="both"/>
      </w:pPr>
      <w:r>
        <w:rPr>
          <w:rFonts w:ascii="Book Antiqua" w:eastAsia="Book Antiqua" w:hAnsi="Book Antiqua" w:cs="Book Antiqua"/>
          <w:b/>
          <w:bCs/>
          <w:color w:val="000000"/>
          <w:szCs w:val="21"/>
        </w:rPr>
        <w:t xml:space="preserve">Author contributions: </w:t>
      </w:r>
      <w:r w:rsidR="00C562CD">
        <w:rPr>
          <w:rFonts w:ascii="Book Antiqua" w:eastAsia="Book Antiqua" w:hAnsi="Book Antiqua" w:cs="Book Antiqua"/>
          <w:color w:val="000000"/>
        </w:rPr>
        <w:t>Yu Y</w:t>
      </w:r>
      <w:r>
        <w:rPr>
          <w:rFonts w:ascii="Book Antiqua" w:eastAsia="Book Antiqua" w:hAnsi="Book Antiqua" w:cs="Book Antiqua"/>
          <w:color w:val="000000"/>
        </w:rPr>
        <w:t xml:space="preserve"> and </w:t>
      </w:r>
      <w:r w:rsidR="00C562CD">
        <w:rPr>
          <w:rFonts w:ascii="Book Antiqua" w:eastAsia="Book Antiqua" w:hAnsi="Book Antiqua" w:cs="Book Antiqua"/>
          <w:color w:val="000000"/>
        </w:rPr>
        <w:t xml:space="preserve">Ren </w:t>
      </w:r>
      <w:r>
        <w:rPr>
          <w:rFonts w:ascii="Book Antiqua" w:eastAsia="Book Antiqua" w:hAnsi="Book Antiqua" w:cs="Book Antiqua"/>
          <w:color w:val="000000"/>
        </w:rPr>
        <w:t>KM designed this study, conducted the experimental analysis, and wrote the manuscript</w:t>
      </w:r>
      <w:r w:rsidR="00C562CD">
        <w:rPr>
          <w:rFonts w:ascii="Book Antiqua" w:eastAsia="Book Antiqua" w:hAnsi="Book Antiqua" w:cs="Book Antiqua"/>
          <w:color w:val="000000"/>
        </w:rPr>
        <w:t>;</w:t>
      </w:r>
      <w:r>
        <w:rPr>
          <w:rFonts w:ascii="Book Antiqua" w:eastAsia="Book Antiqua" w:hAnsi="Book Antiqua" w:cs="Book Antiqua"/>
          <w:color w:val="000000"/>
        </w:rPr>
        <w:t xml:space="preserve"> </w:t>
      </w:r>
      <w:r w:rsidR="00C562CD">
        <w:rPr>
          <w:rFonts w:ascii="Book Antiqua" w:eastAsia="Book Antiqua" w:hAnsi="Book Antiqua" w:cs="Book Antiqua"/>
          <w:color w:val="000000"/>
        </w:rPr>
        <w:t xml:space="preserve">Chen </w:t>
      </w:r>
      <w:r>
        <w:rPr>
          <w:rFonts w:ascii="Book Antiqua" w:eastAsia="Book Antiqua" w:hAnsi="Book Antiqua" w:cs="Book Antiqua"/>
          <w:color w:val="000000"/>
        </w:rPr>
        <w:t>XL revised the manuscript</w:t>
      </w:r>
      <w:r w:rsidR="00C562CD">
        <w:rPr>
          <w:rFonts w:ascii="Book Antiqua" w:eastAsia="Book Antiqua" w:hAnsi="Book Antiqua" w:cs="Book Antiqua"/>
          <w:color w:val="000000"/>
        </w:rPr>
        <w:t>;</w:t>
      </w:r>
      <w:r>
        <w:rPr>
          <w:rFonts w:ascii="Book Antiqua" w:eastAsia="Book Antiqua" w:hAnsi="Book Antiqua" w:cs="Book Antiqua"/>
          <w:color w:val="000000"/>
        </w:rPr>
        <w:t xml:space="preserve"> </w:t>
      </w:r>
      <w:r w:rsidR="00C562CD">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6FBF2529" w14:textId="77777777" w:rsidR="00A77B3E" w:rsidRDefault="00A77B3E">
      <w:pPr>
        <w:spacing w:line="360" w:lineRule="auto"/>
        <w:jc w:val="both"/>
      </w:pPr>
    </w:p>
    <w:p w14:paraId="130181F2" w14:textId="77777777" w:rsidR="00A77B3E" w:rsidRDefault="001A620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81570866.</w:t>
      </w:r>
    </w:p>
    <w:p w14:paraId="3BE2D1B1" w14:textId="77777777" w:rsidR="00A77B3E" w:rsidRDefault="00A77B3E">
      <w:pPr>
        <w:spacing w:line="360" w:lineRule="auto"/>
        <w:jc w:val="both"/>
      </w:pPr>
    </w:p>
    <w:p w14:paraId="079356A9" w14:textId="41DBAA45" w:rsidR="00A77B3E" w:rsidRDefault="001A6207">
      <w:pPr>
        <w:spacing w:line="360" w:lineRule="auto"/>
        <w:jc w:val="both"/>
      </w:pPr>
      <w:r>
        <w:rPr>
          <w:rFonts w:ascii="Book Antiqua" w:eastAsia="Book Antiqua" w:hAnsi="Book Antiqua" w:cs="Book Antiqua"/>
          <w:b/>
          <w:bCs/>
          <w:color w:val="000000"/>
        </w:rPr>
        <w:t>Corresponding author: Xiao-Long Chen, MD, Chief Doctor, Surgeon,</w:t>
      </w:r>
      <w:r w:rsidR="007E52AF">
        <w:rPr>
          <w:rFonts w:ascii="Book Antiqua" w:eastAsia="Book Antiqua" w:hAnsi="Book Antiqua" w:cs="Book Antiqua"/>
          <w:b/>
          <w:bCs/>
          <w:color w:val="000000"/>
        </w:rPr>
        <w:t xml:space="preserve"> </w:t>
      </w:r>
      <w:r>
        <w:rPr>
          <w:rFonts w:ascii="Book Antiqua" w:eastAsia="Book Antiqua" w:hAnsi="Book Antiqua" w:cs="Book Antiqua"/>
          <w:color w:val="000000"/>
        </w:rPr>
        <w:t>Department of Ophthalmology, Shengjing Hospital of China Medical University, No. 39 Huaxiang Road, Shenyang 110004, Liaoning Province, China. chenxl@sj-hospital.org</w:t>
      </w:r>
    </w:p>
    <w:p w14:paraId="3A703F54" w14:textId="77777777" w:rsidR="00A77B3E" w:rsidRDefault="00A77B3E">
      <w:pPr>
        <w:spacing w:line="360" w:lineRule="auto"/>
        <w:jc w:val="both"/>
      </w:pPr>
    </w:p>
    <w:p w14:paraId="7F3A3A40" w14:textId="77777777" w:rsidR="00A77B3E" w:rsidRDefault="001A620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 2021</w:t>
      </w:r>
    </w:p>
    <w:p w14:paraId="77D9A70D" w14:textId="77777777" w:rsidR="00A77B3E" w:rsidRDefault="001A620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11, 2021</w:t>
      </w:r>
    </w:p>
    <w:p w14:paraId="73EA9D06" w14:textId="009C5601" w:rsidR="00A77B3E" w:rsidRDefault="001A6207">
      <w:pPr>
        <w:spacing w:line="360" w:lineRule="auto"/>
        <w:jc w:val="both"/>
      </w:pPr>
      <w:r>
        <w:rPr>
          <w:rFonts w:ascii="Book Antiqua" w:eastAsia="Book Antiqua" w:hAnsi="Book Antiqua" w:cs="Book Antiqua"/>
          <w:b/>
          <w:bCs/>
          <w:color w:val="000000"/>
        </w:rPr>
        <w:lastRenderedPageBreak/>
        <w:t xml:space="preserve">Accepted: </w:t>
      </w:r>
      <w:r w:rsidR="00443E33" w:rsidRPr="001855C7">
        <w:rPr>
          <w:rFonts w:ascii="Book Antiqua" w:eastAsia="Book Antiqua" w:hAnsi="Book Antiqua" w:cs="Book Antiqua"/>
          <w:bCs/>
          <w:color w:val="000000"/>
        </w:rPr>
        <w:t>May 20, 2021</w:t>
      </w:r>
    </w:p>
    <w:p w14:paraId="0A96E066" w14:textId="77777777" w:rsidR="00A77B3E" w:rsidRDefault="001A6207">
      <w:pPr>
        <w:spacing w:line="360" w:lineRule="auto"/>
        <w:jc w:val="both"/>
      </w:pPr>
      <w:r>
        <w:rPr>
          <w:rFonts w:ascii="Book Antiqua" w:eastAsia="Book Antiqua" w:hAnsi="Book Antiqua" w:cs="Book Antiqua"/>
          <w:b/>
          <w:bCs/>
          <w:color w:val="000000"/>
        </w:rPr>
        <w:t xml:space="preserve">Published online: </w:t>
      </w:r>
    </w:p>
    <w:p w14:paraId="592B6E3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230008E" w14:textId="77777777" w:rsidR="00A77B3E" w:rsidRDefault="001A6207">
      <w:pPr>
        <w:spacing w:line="360" w:lineRule="auto"/>
        <w:jc w:val="both"/>
      </w:pPr>
      <w:r>
        <w:rPr>
          <w:rFonts w:ascii="Book Antiqua" w:eastAsia="Book Antiqua" w:hAnsi="Book Antiqua" w:cs="Book Antiqua"/>
          <w:b/>
          <w:color w:val="000000"/>
        </w:rPr>
        <w:lastRenderedPageBreak/>
        <w:t>Abstract</w:t>
      </w:r>
    </w:p>
    <w:p w14:paraId="369239DA" w14:textId="77777777" w:rsidR="00A77B3E" w:rsidRDefault="001A6207">
      <w:pPr>
        <w:spacing w:line="360" w:lineRule="auto"/>
        <w:jc w:val="both"/>
      </w:pPr>
      <w:r>
        <w:rPr>
          <w:rFonts w:ascii="Book Antiqua" w:eastAsia="Book Antiqua" w:hAnsi="Book Antiqua" w:cs="Book Antiqua"/>
          <w:color w:val="000000"/>
        </w:rPr>
        <w:t>BACKGROUND</w:t>
      </w:r>
    </w:p>
    <w:p w14:paraId="22C23A30" w14:textId="32C1E236" w:rsidR="00A77B3E" w:rsidRDefault="001A6207">
      <w:pPr>
        <w:spacing w:line="360" w:lineRule="auto"/>
        <w:jc w:val="both"/>
      </w:pPr>
      <w:r>
        <w:rPr>
          <w:rFonts w:ascii="Book Antiqua" w:eastAsia="Book Antiqua" w:hAnsi="Book Antiqua" w:cs="Book Antiqua"/>
          <w:color w:val="000000"/>
        </w:rPr>
        <w:t xml:space="preserve">As one of the major microvascular complications of diabetes, diabetic retinopathy (DR) is the leading cause of blindness in </w:t>
      </w:r>
      <w:r w:rsidR="0031437F">
        <w:rPr>
          <w:rFonts w:ascii="Book Antiqua" w:eastAsia="Book Antiqua" w:hAnsi="Book Antiqua" w:cs="Book Antiqua"/>
          <w:color w:val="000000"/>
        </w:rPr>
        <w:t xml:space="preserve">the </w:t>
      </w:r>
      <w:r>
        <w:rPr>
          <w:rFonts w:ascii="Book Antiqua" w:eastAsia="Book Antiqua" w:hAnsi="Book Antiqua" w:cs="Book Antiqua"/>
          <w:color w:val="000000"/>
        </w:rPr>
        <w:t>working age population. Because the extremely complex pathogenesis of DR has not been fully clarified, the occurrence and development of DR is closely related to tissue ischemia and hypoxia and neovascularization The formation of retinal neovascularization (RNV) has great harm to the visual acuity of patients.</w:t>
      </w:r>
    </w:p>
    <w:p w14:paraId="103EFCB0" w14:textId="77777777" w:rsidR="00A77B3E" w:rsidRDefault="00A77B3E">
      <w:pPr>
        <w:spacing w:line="360" w:lineRule="auto"/>
        <w:jc w:val="both"/>
      </w:pPr>
    </w:p>
    <w:p w14:paraId="5B7096B8" w14:textId="77777777" w:rsidR="00A77B3E" w:rsidRDefault="001A6207">
      <w:pPr>
        <w:spacing w:line="360" w:lineRule="auto"/>
        <w:jc w:val="both"/>
      </w:pPr>
      <w:r>
        <w:rPr>
          <w:rFonts w:ascii="Book Antiqua" w:eastAsia="Book Antiqua" w:hAnsi="Book Antiqua" w:cs="Book Antiqua"/>
          <w:color w:val="000000"/>
        </w:rPr>
        <w:t>AIM</w:t>
      </w:r>
    </w:p>
    <w:p w14:paraId="0953062F" w14:textId="727F7301" w:rsidR="00A77B3E" w:rsidRDefault="001A6207">
      <w:pPr>
        <w:spacing w:line="360" w:lineRule="auto"/>
        <w:jc w:val="both"/>
      </w:pPr>
      <w:r>
        <w:rPr>
          <w:rFonts w:ascii="Book Antiqua" w:eastAsia="Book Antiqua" w:hAnsi="Book Antiqua" w:cs="Book Antiqua"/>
          <w:color w:val="000000"/>
        </w:rPr>
        <w:t xml:space="preserve">To investigate the expression of </w:t>
      </w:r>
      <w:r w:rsidR="00675C78" w:rsidRPr="00195A6F">
        <w:rPr>
          <w:rFonts w:ascii="Book Antiqua" w:eastAsia="Book Antiqua" w:hAnsi="Book Antiqua" w:cs="Book Antiqua"/>
          <w:caps/>
          <w:color w:val="000000"/>
        </w:rPr>
        <w:t>p</w:t>
      </w:r>
      <w:r w:rsidR="00675C78">
        <w:rPr>
          <w:rFonts w:ascii="Book Antiqua" w:eastAsia="Book Antiqua" w:hAnsi="Book Antiqua" w:cs="Book Antiqua"/>
          <w:color w:val="000000"/>
        </w:rPr>
        <w:t xml:space="preserve">-element-induced wimpy testis-interacting RNA </w:t>
      </w:r>
      <w:r w:rsidR="00C562CD">
        <w:rPr>
          <w:rFonts w:ascii="Book Antiqua" w:eastAsia="Book Antiqua" w:hAnsi="Book Antiqua" w:cs="Book Antiqua"/>
          <w:color w:val="000000"/>
        </w:rPr>
        <w:t>(</w:t>
      </w:r>
      <w:r w:rsidR="00675C78">
        <w:rPr>
          <w:rFonts w:ascii="Book Antiqua" w:eastAsia="Book Antiqua" w:hAnsi="Book Antiqua" w:cs="Book Antiqua"/>
          <w:color w:val="000000"/>
        </w:rPr>
        <w:t>piRNA</w:t>
      </w:r>
      <w:r w:rsidR="00C562CD">
        <w:rPr>
          <w:rFonts w:ascii="Book Antiqua" w:eastAsia="Book Antiqua" w:hAnsi="Book Antiqua" w:cs="Book Antiqua"/>
          <w:color w:val="000000"/>
        </w:rPr>
        <w:t>)</w:t>
      </w:r>
      <w:r w:rsidR="00675C78">
        <w:rPr>
          <w:rFonts w:ascii="Book Antiqua" w:eastAsia="Book Antiqua" w:hAnsi="Book Antiqua" w:cs="Book Antiqua"/>
          <w:color w:val="000000"/>
        </w:rPr>
        <w:t xml:space="preserve"> </w:t>
      </w:r>
      <w:r>
        <w:rPr>
          <w:rFonts w:ascii="Book Antiqua" w:eastAsia="Book Antiqua" w:hAnsi="Book Antiqua" w:cs="Book Antiqua"/>
          <w:color w:val="000000"/>
        </w:rPr>
        <w:t xml:space="preserve">in proliferative </w:t>
      </w:r>
      <w:r w:rsidR="00C562CD">
        <w:rPr>
          <w:rFonts w:ascii="Book Antiqua" w:eastAsia="Book Antiqua" w:hAnsi="Book Antiqua" w:cs="Book Antiqua"/>
          <w:color w:val="000000"/>
        </w:rPr>
        <w:t>DR</w:t>
      </w:r>
      <w:r>
        <w:rPr>
          <w:rFonts w:ascii="Book Antiqua" w:eastAsia="Book Antiqua" w:hAnsi="Book Antiqua" w:cs="Book Antiqua"/>
          <w:color w:val="000000"/>
        </w:rPr>
        <w:t xml:space="preserve"> mice and select piRNA related to RNV.</w:t>
      </w:r>
    </w:p>
    <w:p w14:paraId="5120FDC8" w14:textId="77777777" w:rsidR="00A77B3E" w:rsidRDefault="00A77B3E">
      <w:pPr>
        <w:spacing w:line="360" w:lineRule="auto"/>
        <w:jc w:val="both"/>
      </w:pPr>
    </w:p>
    <w:p w14:paraId="79B4D125" w14:textId="77777777" w:rsidR="00A77B3E" w:rsidRDefault="001A6207">
      <w:pPr>
        <w:spacing w:line="360" w:lineRule="auto"/>
        <w:jc w:val="both"/>
      </w:pPr>
      <w:r>
        <w:rPr>
          <w:rFonts w:ascii="Book Antiqua" w:eastAsia="Book Antiqua" w:hAnsi="Book Antiqua" w:cs="Book Antiqua"/>
          <w:color w:val="000000"/>
        </w:rPr>
        <w:t>METHODS</w:t>
      </w:r>
    </w:p>
    <w:p w14:paraId="28C8836F" w14:textId="2A914DCC" w:rsidR="00A77B3E" w:rsidRDefault="001A6207">
      <w:pPr>
        <w:spacing w:line="360" w:lineRule="auto"/>
        <w:jc w:val="both"/>
      </w:pPr>
      <w:r>
        <w:rPr>
          <w:rFonts w:ascii="Book Antiqua" w:eastAsia="Book Antiqua" w:hAnsi="Book Antiqua" w:cs="Book Antiqua"/>
          <w:color w:val="000000"/>
        </w:rPr>
        <w:t xml:space="preserve">One hundred healthy C57BL/6J mice were randomly divided into </w:t>
      </w:r>
      <w:r w:rsidR="0031437F">
        <w:rPr>
          <w:rFonts w:ascii="Book Antiqua" w:eastAsia="Book Antiqua" w:hAnsi="Book Antiqua" w:cs="Book Antiqua"/>
          <w:color w:val="000000"/>
        </w:rPr>
        <w:t xml:space="preserve">a </w:t>
      </w:r>
      <w:r>
        <w:rPr>
          <w:rFonts w:ascii="Book Antiqua" w:eastAsia="Book Antiqua" w:hAnsi="Book Antiqua" w:cs="Book Antiqua"/>
          <w:color w:val="000000"/>
        </w:rPr>
        <w:t>normal group as control group</w:t>
      </w:r>
      <w:r w:rsidR="00C562CD">
        <w:rPr>
          <w:rFonts w:ascii="Book Antiqua" w:eastAsia="Book Antiqua" w:hAnsi="Book Antiqua" w:cs="Book Antiqua"/>
          <w:color w:val="000000"/>
        </w:rPr>
        <w:t xml:space="preserve"> </w:t>
      </w:r>
      <w:r>
        <w:rPr>
          <w:rFonts w:ascii="Book Antiqua" w:eastAsia="Book Antiqua" w:hAnsi="Book Antiqua" w:cs="Book Antiqua"/>
          <w:color w:val="000000"/>
        </w:rPr>
        <w:t xml:space="preserve">(CG) and proliferative </w:t>
      </w:r>
      <w:r w:rsidR="00C562CD">
        <w:rPr>
          <w:rFonts w:ascii="Book Antiqua" w:eastAsia="Book Antiqua" w:hAnsi="Book Antiqua" w:cs="Book Antiqua"/>
          <w:color w:val="000000"/>
        </w:rPr>
        <w:t xml:space="preserve">DR </w:t>
      </w:r>
      <w:r>
        <w:rPr>
          <w:rFonts w:ascii="Book Antiqua" w:eastAsia="Book Antiqua" w:hAnsi="Book Antiqua" w:cs="Book Antiqua"/>
          <w:color w:val="000000"/>
        </w:rPr>
        <w:t>(</w:t>
      </w:r>
      <w:r>
        <w:rPr>
          <w:rFonts w:ascii="Book Antiqua" w:eastAsia="Book Antiqua" w:hAnsi="Book Antiqua" w:cs="Book Antiqua"/>
          <w:color w:val="000000"/>
          <w:szCs w:val="21"/>
        </w:rPr>
        <w:t>PDR</w:t>
      </w:r>
      <w:r>
        <w:rPr>
          <w:rFonts w:ascii="Book Antiqua" w:eastAsia="Book Antiqua" w:hAnsi="Book Antiqua" w:cs="Book Antiqua"/>
          <w:color w:val="000000"/>
        </w:rPr>
        <w:t>) group as experimental group</w:t>
      </w:r>
      <w:r w:rsidR="00C562CD">
        <w:rPr>
          <w:rFonts w:ascii="Book Antiqua" w:eastAsia="Book Antiqua" w:hAnsi="Book Antiqua" w:cs="Book Antiqua"/>
          <w:color w:val="000000"/>
        </w:rPr>
        <w:t xml:space="preserve"> </w:t>
      </w:r>
      <w:r>
        <w:rPr>
          <w:rFonts w:ascii="Book Antiqua" w:eastAsia="Book Antiqua" w:hAnsi="Book Antiqua" w:cs="Book Antiqua"/>
          <w:color w:val="000000"/>
        </w:rPr>
        <w:t xml:space="preserve">(EG), with 50 mice in each group. Samples were collected from both groups at the same time, and the lesions of mice were evaluated by </w:t>
      </w:r>
      <w:r w:rsidR="00C562CD" w:rsidRPr="00C562CD">
        <w:rPr>
          <w:rFonts w:ascii="Book Antiqua" w:eastAsia="Book Antiqua" w:hAnsi="Book Antiqua" w:cs="Book Antiqua"/>
          <w:color w:val="000000"/>
        </w:rPr>
        <w:t>hematoxylin</w:t>
      </w:r>
      <w:r w:rsidR="003F3935">
        <w:rPr>
          <w:rFonts w:ascii="Book Antiqua" w:eastAsia="Book Antiqua" w:hAnsi="Book Antiqua" w:cs="Book Antiqua"/>
          <w:color w:val="000000"/>
        </w:rPr>
        <w:t xml:space="preserve"> and </w:t>
      </w:r>
      <w:r w:rsidR="00C562CD" w:rsidRPr="00C562CD">
        <w:rPr>
          <w:rFonts w:ascii="Book Antiqua" w:eastAsia="Book Antiqua" w:hAnsi="Book Antiqua" w:cs="Book Antiqua"/>
          <w:color w:val="000000"/>
        </w:rPr>
        <w:t>eosin</w:t>
      </w:r>
      <w:r>
        <w:rPr>
          <w:rFonts w:ascii="Book Antiqua" w:eastAsia="Book Antiqua" w:hAnsi="Book Antiqua" w:cs="Book Antiqua"/>
          <w:color w:val="000000"/>
        </w:rPr>
        <w:t xml:space="preserve"> staining and retinal blood vessel staining. The retinal tissues were collected for second-generation high-throughput sequencing, and the differentially expressed piRNA between the CG and EG was detected, and </w:t>
      </w:r>
      <w:r w:rsidR="00C562CD">
        <w:rPr>
          <w:rFonts w:ascii="Book Antiqua" w:eastAsia="Book Antiqua" w:hAnsi="Book Antiqua" w:cs="Book Antiqua"/>
          <w:color w:val="000000"/>
          <w:szCs w:val="21"/>
        </w:rPr>
        <w:t>polymerase chain reaction</w:t>
      </w:r>
      <w:r w:rsidR="00C562CD">
        <w:rPr>
          <w:rFonts w:ascii="Book Antiqua" w:eastAsia="Book Antiqua" w:hAnsi="Book Antiqua" w:cs="Book Antiqua"/>
          <w:color w:val="000000"/>
        </w:rPr>
        <w:t xml:space="preserve"> (</w:t>
      </w:r>
      <w:r>
        <w:rPr>
          <w:rFonts w:ascii="Book Antiqua" w:eastAsia="Book Antiqua" w:hAnsi="Book Antiqua" w:cs="Book Antiqua"/>
          <w:color w:val="000000"/>
        </w:rPr>
        <w:t>PCR</w:t>
      </w:r>
      <w:r w:rsidR="00C562CD">
        <w:rPr>
          <w:rFonts w:ascii="Book Antiqua" w:eastAsia="Book Antiqua" w:hAnsi="Book Antiqua" w:cs="Book Antiqua"/>
          <w:color w:val="000000"/>
        </w:rPr>
        <w:t>)</w:t>
      </w:r>
      <w:r>
        <w:rPr>
          <w:rFonts w:ascii="Book Antiqua" w:eastAsia="Book Antiqua" w:hAnsi="Book Antiqua" w:cs="Book Antiqua"/>
          <w:color w:val="000000"/>
        </w:rPr>
        <w:t xml:space="preserve"> was conducted for verification. The differentially obtained p</w:t>
      </w:r>
      <w:r w:rsidR="00C562CD">
        <w:rPr>
          <w:rFonts w:ascii="Book Antiqua" w:eastAsia="Book Antiqua" w:hAnsi="Book Antiqua" w:cs="Book Antiqua"/>
          <w:color w:val="000000"/>
        </w:rPr>
        <w:t>i</w:t>
      </w:r>
      <w:r>
        <w:rPr>
          <w:rFonts w:ascii="Book Antiqua" w:eastAsia="Book Antiqua" w:hAnsi="Book Antiqua" w:cs="Book Antiqua"/>
          <w:color w:val="000000"/>
        </w:rPr>
        <w:t>RNA target genes and expression profiles were enrichment analysis based on gene annotation (</w:t>
      </w:r>
      <w:r w:rsidR="00275E1C">
        <w:rPr>
          <w:rFonts w:ascii="Book Antiqua" w:eastAsia="Book Antiqua" w:hAnsi="Book Antiqua" w:cs="Book Antiqua"/>
          <w:color w:val="000000"/>
        </w:rPr>
        <w:t>Gene Ontology</w:t>
      </w:r>
      <w:r>
        <w:rPr>
          <w:rFonts w:ascii="Book Antiqua" w:eastAsia="Book Antiqua" w:hAnsi="Book Antiqua" w:cs="Book Antiqua"/>
          <w:color w:val="000000"/>
        </w:rPr>
        <w:t>) and Kyoto Encyclopedia of Genes and Genomes.</w:t>
      </w:r>
    </w:p>
    <w:p w14:paraId="2F671111" w14:textId="77777777" w:rsidR="00A77B3E" w:rsidRDefault="00A77B3E">
      <w:pPr>
        <w:spacing w:line="360" w:lineRule="auto"/>
        <w:jc w:val="both"/>
      </w:pPr>
    </w:p>
    <w:p w14:paraId="2006878E" w14:textId="77777777" w:rsidR="00A77B3E" w:rsidRDefault="001A6207">
      <w:pPr>
        <w:spacing w:line="360" w:lineRule="auto"/>
        <w:jc w:val="both"/>
      </w:pPr>
      <w:r>
        <w:rPr>
          <w:rFonts w:ascii="Book Antiqua" w:eastAsia="Book Antiqua" w:hAnsi="Book Antiqua" w:cs="Book Antiqua"/>
          <w:color w:val="000000"/>
        </w:rPr>
        <w:t>RESULTS</w:t>
      </w:r>
    </w:p>
    <w:p w14:paraId="358B05EA" w14:textId="6D4D7C16" w:rsidR="00A77B3E" w:rsidRDefault="001A6207">
      <w:pPr>
        <w:spacing w:line="360" w:lineRule="auto"/>
        <w:jc w:val="both"/>
      </w:pPr>
      <w:r>
        <w:rPr>
          <w:rFonts w:ascii="Book Antiqua" w:eastAsia="Book Antiqua" w:hAnsi="Book Antiqua" w:cs="Book Antiqua"/>
          <w:color w:val="000000"/>
        </w:rPr>
        <w:t xml:space="preserve">In the CG there was no perfusion area, neovascularization and endothelial nucleus broke through the inner boundary membrane of retinap. In the EG, there were a lot of nonperfused areas, new blood vessels and endothelial nuclei breaking through the inner </w:t>
      </w:r>
      <w:r>
        <w:rPr>
          <w:rFonts w:ascii="Book Antiqua" w:eastAsia="Book Antiqua" w:hAnsi="Book Antiqua" w:cs="Book Antiqua"/>
          <w:color w:val="000000"/>
        </w:rPr>
        <w:lastRenderedPageBreak/>
        <w:t xml:space="preserve">boundary membrane of the retina. There was </w:t>
      </w:r>
      <w:r w:rsidR="0031437F">
        <w:rPr>
          <w:rFonts w:ascii="Book Antiqua" w:eastAsia="Book Antiqua" w:hAnsi="Book Antiqua" w:cs="Book Antiqua"/>
          <w:color w:val="000000"/>
        </w:rPr>
        <w:t xml:space="preserve">a </w:t>
      </w:r>
      <w:r>
        <w:rPr>
          <w:rFonts w:ascii="Book Antiqua" w:eastAsia="Book Antiqua" w:hAnsi="Book Antiqua" w:cs="Book Antiqua"/>
          <w:color w:val="000000"/>
        </w:rPr>
        <w:t>statistically significant difference in the number of vascular endothelial nuclei breaking through the inner retinal membrane between the two groups. High-throughput sequencing analysis showed that compared with the CG, a total of 79 piRNAs were differentially expressed in EG, among which 43 piRNAs were up-regulated and 36 piRNAs were down-regulated. Bioinformatics analysis showed that the differentially expressed piRNAs w</w:t>
      </w:r>
      <w:r w:rsidR="00C562CD">
        <w:rPr>
          <w:rFonts w:ascii="Book Antiqua" w:eastAsia="Book Antiqua" w:hAnsi="Book Antiqua" w:cs="Book Antiqua"/>
          <w:color w:val="000000"/>
        </w:rPr>
        <w:t>e</w:t>
      </w:r>
      <w:r>
        <w:rPr>
          <w:rFonts w:ascii="Book Antiqua" w:eastAsia="Book Antiqua" w:hAnsi="Book Antiqua" w:cs="Book Antiqua"/>
          <w:color w:val="000000"/>
        </w:rPr>
        <w:t>re mainly concentrated in the signaling pathways of angiogenesis and cell proliferation. Ten piRNAs were selected for PCR, and the results showed that the expression of p</w:t>
      </w:r>
      <w:r w:rsidR="00C562CD">
        <w:rPr>
          <w:rFonts w:ascii="Book Antiqua" w:eastAsia="Book Antiqua" w:hAnsi="Book Antiqua" w:cs="Book Antiqua"/>
          <w:color w:val="000000"/>
        </w:rPr>
        <w:t>i</w:t>
      </w:r>
      <w:r>
        <w:rPr>
          <w:rFonts w:ascii="Book Antiqua" w:eastAsia="Book Antiqua" w:hAnsi="Book Antiqua" w:cs="Book Antiqua"/>
          <w:color w:val="000000"/>
        </w:rPr>
        <w:t>R-MMU-40373735, piR-MMU-61121420, piR-MMU-55687822, piR-MMU-1373887 were high, and the expression of piR-MMU-7401535, piR-MMU-4773779, piR-MMU-1304999, and piR-MMU-5160126 were low, which were consistent with the sequencing results.</w:t>
      </w:r>
    </w:p>
    <w:p w14:paraId="316EA5BF" w14:textId="77777777" w:rsidR="00A77B3E" w:rsidRDefault="00A77B3E">
      <w:pPr>
        <w:spacing w:line="360" w:lineRule="auto"/>
        <w:jc w:val="both"/>
      </w:pPr>
    </w:p>
    <w:p w14:paraId="7CD94BA7" w14:textId="77777777" w:rsidR="00A77B3E" w:rsidRDefault="001A6207">
      <w:pPr>
        <w:spacing w:line="360" w:lineRule="auto"/>
        <w:jc w:val="both"/>
      </w:pPr>
      <w:r>
        <w:rPr>
          <w:rFonts w:ascii="Book Antiqua" w:eastAsia="Book Antiqua" w:hAnsi="Book Antiqua" w:cs="Book Antiqua"/>
          <w:color w:val="000000"/>
        </w:rPr>
        <w:t>CONCLUSION</w:t>
      </w:r>
    </w:p>
    <w:p w14:paraId="37383982" w14:textId="77777777" w:rsidR="00A77B3E" w:rsidRDefault="001A6207" w:rsidP="00C562CD">
      <w:pPr>
        <w:spacing w:line="360" w:lineRule="auto"/>
        <w:jc w:val="both"/>
      </w:pPr>
      <w:r>
        <w:rPr>
          <w:rFonts w:ascii="Book Antiqua" w:eastAsia="Book Antiqua" w:hAnsi="Book Antiqua" w:cs="Book Antiqua"/>
          <w:color w:val="000000"/>
        </w:rPr>
        <w:t>In the EG, the abnormal expression of piRNA is involved in the pathway of angiogenesis and cell proliferation, suggesting that piRNAs have some regulatory function in proliferative diabetic-retinopathy.</w:t>
      </w:r>
    </w:p>
    <w:p w14:paraId="0303032D" w14:textId="77777777" w:rsidR="00A77B3E" w:rsidRDefault="00A77B3E" w:rsidP="00C562CD">
      <w:pPr>
        <w:spacing w:line="360" w:lineRule="auto"/>
        <w:jc w:val="both"/>
      </w:pPr>
    </w:p>
    <w:p w14:paraId="259D8BBF" w14:textId="604ED500" w:rsidR="00A77B3E" w:rsidRDefault="001A6207">
      <w:pPr>
        <w:spacing w:line="360" w:lineRule="auto"/>
        <w:jc w:val="both"/>
      </w:pPr>
      <w:r>
        <w:rPr>
          <w:rFonts w:ascii="Book Antiqua" w:eastAsia="Book Antiqua" w:hAnsi="Book Antiqua" w:cs="Book Antiqua"/>
          <w:b/>
          <w:bCs/>
          <w:color w:val="000000"/>
        </w:rPr>
        <w:t xml:space="preserve">Key Words: </w:t>
      </w:r>
      <w:r w:rsidR="00D1738F" w:rsidRPr="00D1738F">
        <w:rPr>
          <w:rFonts w:ascii="Book Antiqua" w:eastAsia="Book Antiqua" w:hAnsi="Book Antiqua" w:cs="Book Antiqua"/>
          <w:color w:val="000000"/>
          <w:szCs w:val="21"/>
        </w:rPr>
        <w:t>P-element-induced wimpy testis-interacting RNA</w:t>
      </w:r>
      <w:r>
        <w:rPr>
          <w:rFonts w:ascii="Book Antiqua" w:eastAsia="Book Antiqua" w:hAnsi="Book Antiqua" w:cs="Book Antiqua"/>
          <w:color w:val="000000"/>
          <w:szCs w:val="21"/>
        </w:rPr>
        <w:t xml:space="preserve">; </w:t>
      </w:r>
      <w:r w:rsidR="00C562CD">
        <w:rPr>
          <w:rFonts w:ascii="Book Antiqua" w:eastAsia="Book Antiqua" w:hAnsi="Book Antiqua" w:cs="Book Antiqua"/>
          <w:color w:val="000000"/>
        </w:rPr>
        <w:t>P-</w:t>
      </w:r>
      <w:r w:rsidR="006E7945">
        <w:rPr>
          <w:rFonts w:ascii="Book Antiqua" w:eastAsia="Book Antiqua" w:hAnsi="Book Antiqua" w:cs="Book Antiqua"/>
          <w:color w:val="000000"/>
        </w:rPr>
        <w:t>e</w:t>
      </w:r>
      <w:r w:rsidR="00C562CD">
        <w:rPr>
          <w:rFonts w:ascii="Book Antiqua" w:eastAsia="Book Antiqua" w:hAnsi="Book Antiqua" w:cs="Book Antiqua"/>
          <w:color w:val="000000"/>
        </w:rPr>
        <w:t>lement-induced wimpy testis</w:t>
      </w:r>
      <w:r>
        <w:rPr>
          <w:rFonts w:ascii="Book Antiqua" w:eastAsia="Book Antiqua" w:hAnsi="Book Antiqua" w:cs="Book Antiqua"/>
          <w:color w:val="000000"/>
          <w:szCs w:val="21"/>
        </w:rPr>
        <w:t xml:space="preserve"> protein; High-throughput sequencing; Neovascularization; Diabetic retinopathy in mice; Bioinformatics</w:t>
      </w:r>
    </w:p>
    <w:p w14:paraId="2806F349" w14:textId="77777777" w:rsidR="00A77B3E" w:rsidRDefault="00A77B3E">
      <w:pPr>
        <w:spacing w:line="360" w:lineRule="auto"/>
        <w:jc w:val="both"/>
      </w:pPr>
    </w:p>
    <w:p w14:paraId="2DAFFA48" w14:textId="301AD9A2" w:rsidR="00A77B3E" w:rsidRDefault="001A6207">
      <w:pPr>
        <w:spacing w:line="360" w:lineRule="auto"/>
        <w:jc w:val="both"/>
      </w:pPr>
      <w:r>
        <w:rPr>
          <w:rFonts w:ascii="Book Antiqua" w:eastAsia="Book Antiqua" w:hAnsi="Book Antiqua" w:cs="Book Antiqua"/>
          <w:color w:val="000000"/>
        </w:rPr>
        <w:t xml:space="preserve">Yu Y, Ren KM, Chen XL. </w:t>
      </w:r>
      <w:r w:rsidR="00D628E3" w:rsidRPr="00D628E3">
        <w:rPr>
          <w:rFonts w:ascii="Book Antiqua" w:eastAsia="Book Antiqua" w:hAnsi="Book Antiqua" w:cs="Book Antiqua"/>
          <w:color w:val="000000"/>
        </w:rPr>
        <w:t>Expression and role of P-element-induced wimpy testis-interacting RNA in diabetic-retinopathy in mice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2021; In press</w:t>
      </w:r>
    </w:p>
    <w:p w14:paraId="53216FED" w14:textId="77777777" w:rsidR="00A77B3E" w:rsidRDefault="00A77B3E">
      <w:pPr>
        <w:spacing w:line="360" w:lineRule="auto"/>
        <w:jc w:val="both"/>
      </w:pPr>
    </w:p>
    <w:p w14:paraId="44CFB3C9" w14:textId="285D1889" w:rsidR="00A77B3E" w:rsidRDefault="001A6207">
      <w:pPr>
        <w:spacing w:line="360" w:lineRule="auto"/>
        <w:jc w:val="both"/>
      </w:pPr>
      <w:r>
        <w:rPr>
          <w:rFonts w:ascii="Book Antiqua" w:eastAsia="Book Antiqua" w:hAnsi="Book Antiqua" w:cs="Book Antiqua"/>
          <w:b/>
          <w:bCs/>
          <w:color w:val="000000"/>
          <w:szCs w:val="21"/>
        </w:rPr>
        <w:t>Core Tip:</w:t>
      </w:r>
      <w:r w:rsidRPr="00B26784">
        <w:rPr>
          <w:rFonts w:ascii="Book Antiqua" w:eastAsia="Book Antiqua" w:hAnsi="Book Antiqua" w:cs="Book Antiqua"/>
          <w:color w:val="000000"/>
          <w:szCs w:val="21"/>
        </w:rPr>
        <w:t xml:space="preserve"> </w:t>
      </w:r>
      <w:r w:rsidR="00B26784" w:rsidRPr="00B26784">
        <w:rPr>
          <w:rFonts w:ascii="Book Antiqua" w:eastAsia="Book Antiqua" w:hAnsi="Book Antiqua" w:cs="Book Antiqua"/>
          <w:color w:val="000000"/>
          <w:szCs w:val="21"/>
        </w:rPr>
        <w:t>As one of the major microvascular complications of diabetes, diabetic retinopathy</w:t>
      </w:r>
      <w:r w:rsidR="00B26784">
        <w:rPr>
          <w:rFonts w:ascii="Book Antiqua" w:eastAsia="Book Antiqua" w:hAnsi="Book Antiqua" w:cs="Book Antiqua"/>
          <w:color w:val="000000"/>
          <w:szCs w:val="21"/>
        </w:rPr>
        <w:t xml:space="preserve"> </w:t>
      </w:r>
      <w:r w:rsidR="00B26784" w:rsidRPr="00B26784">
        <w:rPr>
          <w:rFonts w:ascii="Book Antiqua" w:eastAsia="Book Antiqua" w:hAnsi="Book Antiqua" w:cs="Book Antiqua"/>
          <w:color w:val="000000"/>
          <w:szCs w:val="21"/>
        </w:rPr>
        <w:t xml:space="preserve">is the leading cause of blindness in </w:t>
      </w:r>
      <w:r w:rsidR="0031437F">
        <w:rPr>
          <w:rFonts w:ascii="Book Antiqua" w:eastAsia="Book Antiqua" w:hAnsi="Book Antiqua" w:cs="Book Antiqua"/>
          <w:color w:val="000000"/>
          <w:szCs w:val="21"/>
        </w:rPr>
        <w:t xml:space="preserve">the </w:t>
      </w:r>
      <w:r w:rsidR="00B26784" w:rsidRPr="00B26784">
        <w:rPr>
          <w:rFonts w:ascii="Book Antiqua" w:eastAsia="Book Antiqua" w:hAnsi="Book Antiqua" w:cs="Book Antiqua"/>
          <w:color w:val="000000"/>
          <w:szCs w:val="21"/>
        </w:rPr>
        <w:t xml:space="preserve">working age population. </w:t>
      </w:r>
      <w:r>
        <w:rPr>
          <w:rFonts w:ascii="Book Antiqua" w:eastAsia="Book Antiqua" w:hAnsi="Book Antiqua" w:cs="Book Antiqua"/>
          <w:color w:val="000000"/>
        </w:rPr>
        <w:t xml:space="preserve">In the </w:t>
      </w:r>
      <w:r w:rsidR="00C562CD">
        <w:rPr>
          <w:rFonts w:ascii="Book Antiqua" w:eastAsia="Book Antiqua" w:hAnsi="Book Antiqua" w:cs="Book Antiqua"/>
          <w:color w:val="000000"/>
        </w:rPr>
        <w:t>diabetic retinopathy</w:t>
      </w:r>
      <w:r>
        <w:rPr>
          <w:rFonts w:ascii="Book Antiqua" w:eastAsia="Book Antiqua" w:hAnsi="Book Antiqua" w:cs="Book Antiqua"/>
          <w:color w:val="000000"/>
        </w:rPr>
        <w:t xml:space="preserve"> model, the abnormal expression of </w:t>
      </w:r>
      <w:r w:rsidR="00195A6F" w:rsidRPr="00195A6F">
        <w:rPr>
          <w:rFonts w:ascii="Book Antiqua" w:eastAsia="Book Antiqua" w:hAnsi="Book Antiqua" w:cs="Book Antiqua"/>
          <w:caps/>
          <w:color w:val="000000"/>
        </w:rPr>
        <w:t>p</w:t>
      </w:r>
      <w:r w:rsidR="00195A6F">
        <w:rPr>
          <w:rFonts w:ascii="Book Antiqua" w:eastAsia="Book Antiqua" w:hAnsi="Book Antiqua" w:cs="Book Antiqua"/>
          <w:color w:val="000000"/>
        </w:rPr>
        <w:t xml:space="preserve">-element-induced wimpy testis-interacting RNAs </w:t>
      </w:r>
      <w:r w:rsidR="00B26784">
        <w:rPr>
          <w:rFonts w:ascii="Book Antiqua" w:eastAsia="Book Antiqua" w:hAnsi="Book Antiqua" w:cs="Book Antiqua"/>
          <w:color w:val="000000"/>
        </w:rPr>
        <w:t>(</w:t>
      </w:r>
      <w:r w:rsidR="00195A6F">
        <w:rPr>
          <w:rFonts w:ascii="Book Antiqua" w:eastAsia="Book Antiqua" w:hAnsi="Book Antiqua" w:cs="Book Antiqua"/>
          <w:color w:val="000000"/>
        </w:rPr>
        <w:t>piRNAs</w:t>
      </w:r>
      <w:r w:rsidR="00B26784">
        <w:rPr>
          <w:rFonts w:ascii="Book Antiqua" w:eastAsia="Book Antiqua" w:hAnsi="Book Antiqua" w:cs="Book Antiqua"/>
          <w:color w:val="000000"/>
        </w:rPr>
        <w:t xml:space="preserve">) </w:t>
      </w:r>
      <w:r>
        <w:rPr>
          <w:rFonts w:ascii="Book Antiqua" w:eastAsia="Book Antiqua" w:hAnsi="Book Antiqua" w:cs="Book Antiqua"/>
          <w:color w:val="000000"/>
        </w:rPr>
        <w:t>are involved in angiogenesis and cell proliferation pathways, suggesting that piRNAs have a certain regulatory function in diabetic retinopathy.</w:t>
      </w:r>
    </w:p>
    <w:p w14:paraId="440B6128" w14:textId="70B1E10D" w:rsidR="00A77B3E" w:rsidRDefault="00B26784">
      <w:pPr>
        <w:spacing w:line="360" w:lineRule="auto"/>
        <w:jc w:val="both"/>
      </w:pPr>
      <w:r>
        <w:br w:type="page"/>
      </w:r>
      <w:r w:rsidR="001A6207">
        <w:rPr>
          <w:rFonts w:ascii="Book Antiqua" w:eastAsia="Book Antiqua" w:hAnsi="Book Antiqua" w:cs="Book Antiqua"/>
          <w:b/>
          <w:caps/>
          <w:color w:val="000000"/>
          <w:u w:val="single"/>
        </w:rPr>
        <w:lastRenderedPageBreak/>
        <w:t>INTRODUCTION</w:t>
      </w:r>
    </w:p>
    <w:p w14:paraId="039B1812" w14:textId="41D0F3D6" w:rsidR="00A77B3E" w:rsidRDefault="001A6207" w:rsidP="00B26784">
      <w:pPr>
        <w:spacing w:line="360" w:lineRule="auto"/>
        <w:jc w:val="both"/>
      </w:pPr>
      <w:r>
        <w:rPr>
          <w:rFonts w:ascii="Book Antiqua" w:eastAsia="Book Antiqua" w:hAnsi="Book Antiqua" w:cs="Book Antiqua"/>
          <w:color w:val="000000"/>
        </w:rPr>
        <w:t>As one of the major microvascular complications of diabetes, diabetic retinopathy (DR) is the leading cause of blindness in working age population. Because the extremely complex pathogenesis of DR has not been fully clarified, the occurrence and development of DR is closely related to tissue ischemia and hypoxia and neovascularization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formation of retinal neovascularization (RNV) has great harm to the visual acuity of patients. Patients who are refractory to treatment may experience serious complications, such as neovinal glaucoma, vitreous hemorrhagia,</w:t>
      </w:r>
      <w:r w:rsidR="00B26784">
        <w:rPr>
          <w:rFonts w:ascii="Book Antiqua" w:eastAsia="Book Antiqua" w:hAnsi="Book Antiqua" w:cs="Book Antiqua"/>
          <w:color w:val="000000"/>
        </w:rPr>
        <w:t xml:space="preserve"> </w:t>
      </w:r>
      <w:r>
        <w:rPr>
          <w:rFonts w:ascii="Book Antiqua" w:eastAsia="Book Antiqua" w:hAnsi="Book Antiqua" w:cs="Book Antiqua"/>
          <w:color w:val="000000"/>
        </w:rPr>
        <w:t>and retinal detachment which can lead to permanent blindness.</w:t>
      </w:r>
      <w:r w:rsidR="00B26784">
        <w:rPr>
          <w:rFonts w:ascii="Book Antiqua" w:eastAsia="Book Antiqua" w:hAnsi="Book Antiqua" w:cs="Book Antiqua"/>
          <w:color w:val="000000"/>
        </w:rPr>
        <w:t xml:space="preserve"> </w:t>
      </w:r>
      <w:r>
        <w:rPr>
          <w:rFonts w:ascii="Book Antiqua" w:eastAsia="Book Antiqua" w:hAnsi="Book Antiqua" w:cs="Book Antiqua"/>
          <w:color w:val="000000"/>
        </w:rPr>
        <w:t xml:space="preserve">RNV is a key link in proliferative </w:t>
      </w:r>
      <w:r w:rsidR="00C562CD">
        <w:rPr>
          <w:rFonts w:ascii="Book Antiqua" w:eastAsia="Book Antiqua" w:hAnsi="Book Antiqua" w:cs="Book Antiqua"/>
          <w:color w:val="000000"/>
        </w:rPr>
        <w:t>DR</w:t>
      </w:r>
      <w:r>
        <w:rPr>
          <w:rFonts w:ascii="Book Antiqua" w:eastAsia="Book Antiqua" w:hAnsi="Book Antiqua" w:cs="Book Antiqua"/>
          <w:color w:val="000000"/>
        </w:rPr>
        <w:t xml:space="preserve"> </w:t>
      </w:r>
      <w:r w:rsidR="00C562CD">
        <w:rPr>
          <w:rFonts w:ascii="Book Antiqua" w:eastAsia="Book Antiqua" w:hAnsi="Book Antiqua" w:cs="Book Antiqua"/>
          <w:color w:val="000000"/>
        </w:rPr>
        <w:t xml:space="preserve">(PDR) </w:t>
      </w:r>
      <w:r>
        <w:rPr>
          <w:rFonts w:ascii="Book Antiqua" w:eastAsia="Book Antiqua" w:hAnsi="Book Antiqua" w:cs="Book Antiqua"/>
          <w:color w:val="000000"/>
        </w:rPr>
        <w:t>and is a complex pathological process. Intravitreal injection of anti-vascular endothelial growth factor (VEGF) is an effective method for treating ocular neovascular diseases. However, the procedure can result in complications, side effects, and only short-term effects. Previous studies reported that anti-VEGF treatment cannot prevent the formation of RNV in some patients</w:t>
      </w:r>
      <w:r>
        <w:rPr>
          <w:rFonts w:ascii="Book Antiqua" w:eastAsia="Book Antiqua" w:hAnsi="Book Antiqua" w:cs="Book Antiqua"/>
          <w:color w:val="000000"/>
          <w:vertAlign w:val="superscript"/>
        </w:rPr>
        <w:t>[3,4]</w:t>
      </w:r>
      <w:r>
        <w:rPr>
          <w:rFonts w:ascii="Book Antiqua" w:eastAsia="Book Antiqua" w:hAnsi="Book Antiqua" w:cs="Book Antiqua"/>
          <w:color w:val="000000"/>
        </w:rPr>
        <w:t>. Therefore, it is particularly important to find other VEGF-independent pathways that promote angiogenesis to identify safe therapeutic targets against DR.</w:t>
      </w:r>
    </w:p>
    <w:p w14:paraId="6FF72A86" w14:textId="4A121E70" w:rsidR="00A77B3E" w:rsidRDefault="00B26784" w:rsidP="00B26784">
      <w:pPr>
        <w:spacing w:line="360" w:lineRule="auto"/>
        <w:ind w:firstLineChars="100" w:firstLine="240"/>
        <w:jc w:val="both"/>
      </w:pPr>
      <w:r w:rsidRPr="007E6268">
        <w:rPr>
          <w:rFonts w:ascii="Book Antiqua" w:eastAsia="Book Antiqua" w:hAnsi="Book Antiqua" w:cs="Book Antiqua"/>
          <w:caps/>
          <w:color w:val="000000"/>
        </w:rPr>
        <w:t>p</w:t>
      </w:r>
      <w:r w:rsidR="001A6207">
        <w:rPr>
          <w:rFonts w:ascii="Book Antiqua" w:eastAsia="Book Antiqua" w:hAnsi="Book Antiqua" w:cs="Book Antiqua"/>
          <w:color w:val="000000"/>
        </w:rPr>
        <w:t>-</w:t>
      </w:r>
      <w:r w:rsidR="007E6268">
        <w:rPr>
          <w:rFonts w:ascii="Book Antiqua" w:eastAsia="Book Antiqua" w:hAnsi="Book Antiqua" w:cs="Book Antiqua"/>
          <w:color w:val="000000"/>
        </w:rPr>
        <w:t>e</w:t>
      </w:r>
      <w:r w:rsidR="001A6207">
        <w:rPr>
          <w:rFonts w:ascii="Book Antiqua" w:eastAsia="Book Antiqua" w:hAnsi="Book Antiqua" w:cs="Book Antiqua"/>
          <w:color w:val="000000"/>
        </w:rPr>
        <w:t>lement-induced wimpy testis (PIWI)-interacting RNA</w:t>
      </w:r>
      <w:r w:rsidR="007E6268">
        <w:rPr>
          <w:rFonts w:ascii="Book Antiqua" w:eastAsia="Book Antiqua" w:hAnsi="Book Antiqua" w:cs="Book Antiqua"/>
          <w:color w:val="000000"/>
        </w:rPr>
        <w:t xml:space="preserve"> (piRNA) </w:t>
      </w:r>
      <w:r w:rsidR="001A6207">
        <w:rPr>
          <w:rFonts w:ascii="Book Antiqua" w:eastAsia="Book Antiqua" w:hAnsi="Book Antiqua" w:cs="Book Antiqua"/>
          <w:color w:val="000000"/>
        </w:rPr>
        <w:t>was first found in the ovarian germ cells of Drosophila melanogaster in 2006. This novel short non-coding small RNA has an average length of 26</w:t>
      </w:r>
      <w:r>
        <w:rPr>
          <w:rFonts w:ascii="Book Antiqua" w:eastAsia="Book Antiqua" w:hAnsi="Book Antiqua" w:cs="Book Antiqua"/>
          <w:color w:val="000000"/>
        </w:rPr>
        <w:t>-</w:t>
      </w:r>
      <w:r w:rsidR="001A6207">
        <w:rPr>
          <w:rFonts w:ascii="Book Antiqua" w:eastAsia="Book Antiqua" w:hAnsi="Book Antiqua" w:cs="Book Antiqua"/>
          <w:color w:val="000000"/>
        </w:rPr>
        <w:t>31 nucleotides</w:t>
      </w:r>
      <w:r w:rsidR="001A6207">
        <w:rPr>
          <w:rFonts w:ascii="Book Antiqua" w:eastAsia="Book Antiqua" w:hAnsi="Book Antiqua" w:cs="Book Antiqua"/>
          <w:color w:val="000000"/>
          <w:vertAlign w:val="superscript"/>
        </w:rPr>
        <w:t>[5]</w:t>
      </w:r>
      <w:r w:rsidR="001A6207">
        <w:rPr>
          <w:rFonts w:ascii="Book Antiqua" w:eastAsia="Book Antiqua" w:hAnsi="Book Antiqua" w:cs="Book Antiqua"/>
          <w:color w:val="000000"/>
        </w:rPr>
        <w:t xml:space="preserve"> and functions by binding with PIWI protein to form a piRNA-induced silencing complex (PIRISC)</w:t>
      </w:r>
      <w:r w:rsidR="001A6207">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sidR="001A6207">
        <w:rPr>
          <w:rFonts w:ascii="Book Antiqua" w:eastAsia="Book Antiqua" w:hAnsi="Book Antiqua" w:cs="Book Antiqua"/>
          <w:color w:val="000000"/>
          <w:vertAlign w:val="superscript"/>
        </w:rPr>
        <w:t>8]</w:t>
      </w:r>
      <w:r w:rsidR="001A6207">
        <w:rPr>
          <w:rFonts w:ascii="Book Antiqua" w:eastAsia="Book Antiqua" w:hAnsi="Book Antiqua" w:cs="Book Antiqua"/>
          <w:color w:val="000000"/>
        </w:rPr>
        <w:t>. piRNA plays an important role in transposon silencing, epigenetic regulation, protein regulation of genome rearrangement, spermatogenesis, and germ stem cell maintenance</w:t>
      </w:r>
      <w:r w:rsidR="001A6207">
        <w:rPr>
          <w:rFonts w:ascii="Book Antiqua" w:eastAsia="Book Antiqua" w:hAnsi="Book Antiqua" w:cs="Book Antiqua"/>
          <w:color w:val="000000"/>
          <w:vertAlign w:val="superscript"/>
        </w:rPr>
        <w:t>[9,10]</w:t>
      </w:r>
      <w:r w:rsidR="001A6207">
        <w:rPr>
          <w:rFonts w:ascii="Book Antiqua" w:eastAsia="Book Antiqua" w:hAnsi="Book Antiqua" w:cs="Book Antiqua"/>
          <w:color w:val="000000"/>
        </w:rPr>
        <w:t>. Additionally, piRNA participates in tumor formation, human aging, and neural axon regeneration</w:t>
      </w:r>
      <w:r w:rsidR="001A6207">
        <w:rPr>
          <w:rFonts w:ascii="Book Antiqua" w:eastAsia="Book Antiqua" w:hAnsi="Book Antiqua" w:cs="Book Antiqua"/>
          <w:color w:val="000000"/>
          <w:vertAlign w:val="superscript"/>
        </w:rPr>
        <w:t>[11-13]</w:t>
      </w:r>
      <w:r w:rsidR="001A6207">
        <w:rPr>
          <w:rFonts w:ascii="Book Antiqua" w:eastAsia="Book Antiqua" w:hAnsi="Book Antiqua" w:cs="Book Antiqua"/>
          <w:color w:val="000000"/>
        </w:rPr>
        <w:t>. Based on existing studies and literature reports, which highlight the role of piRNA in neovascularization-related diseases</w:t>
      </w:r>
      <w:r w:rsidR="001A6207">
        <w:rPr>
          <w:rFonts w:ascii="Book Antiqua" w:eastAsia="Book Antiqua" w:hAnsi="Book Antiqua" w:cs="Book Antiqua"/>
          <w:color w:val="000000"/>
          <w:vertAlign w:val="superscript"/>
        </w:rPr>
        <w:t>[14,15]</w:t>
      </w:r>
      <w:r w:rsidR="001A6207">
        <w:rPr>
          <w:rFonts w:ascii="Book Antiqua" w:eastAsia="Book Antiqua" w:hAnsi="Book Antiqua" w:cs="Book Antiqua"/>
          <w:color w:val="000000"/>
        </w:rPr>
        <w:t>, piRNA may play an important role in the formation and development of DR. However, to the best of our knowledge, no previous study has explored this hypothesis. In the present study, the role of piRNA in RNV diseases was evaluated by sequencing of RNA obtained from the retinal tissues of mice with PDR mice and normal mice. The study aimed to provide theoretical support for the possible alternative clinical treatment of DR.</w:t>
      </w:r>
    </w:p>
    <w:p w14:paraId="78275B86" w14:textId="77777777" w:rsidR="00A77B3E" w:rsidRDefault="00A77B3E" w:rsidP="00B26784">
      <w:pPr>
        <w:spacing w:line="360" w:lineRule="auto"/>
        <w:jc w:val="both"/>
      </w:pPr>
    </w:p>
    <w:p w14:paraId="18EF25D5" w14:textId="77777777" w:rsidR="00A77B3E" w:rsidRDefault="001A6207">
      <w:pPr>
        <w:spacing w:line="360" w:lineRule="auto"/>
        <w:jc w:val="both"/>
      </w:pPr>
      <w:r>
        <w:rPr>
          <w:rFonts w:ascii="Book Antiqua" w:eastAsia="Book Antiqua" w:hAnsi="Book Antiqua" w:cs="Book Antiqua"/>
          <w:b/>
          <w:caps/>
          <w:color w:val="000000"/>
          <w:u w:val="single"/>
        </w:rPr>
        <w:t>MATERIALS AND METHODS</w:t>
      </w:r>
    </w:p>
    <w:p w14:paraId="298B237D" w14:textId="77777777" w:rsidR="00A77B3E" w:rsidRPr="00B26784" w:rsidRDefault="001A6207" w:rsidP="00B26784">
      <w:pPr>
        <w:spacing w:line="360" w:lineRule="auto"/>
        <w:jc w:val="both"/>
        <w:rPr>
          <w:i/>
          <w:iCs/>
        </w:rPr>
      </w:pPr>
      <w:r w:rsidRPr="00B26784">
        <w:rPr>
          <w:rFonts w:ascii="Book Antiqua" w:eastAsia="Book Antiqua" w:hAnsi="Book Antiqua" w:cs="Book Antiqua"/>
          <w:b/>
          <w:bCs/>
          <w:i/>
          <w:iCs/>
          <w:color w:val="000000"/>
          <w:szCs w:val="21"/>
        </w:rPr>
        <w:t>Experimental animals and models</w:t>
      </w:r>
    </w:p>
    <w:p w14:paraId="59DD3459" w14:textId="4744A889" w:rsidR="00A77B3E" w:rsidRDefault="001A6207" w:rsidP="00B26784">
      <w:pPr>
        <w:spacing w:line="360" w:lineRule="auto"/>
        <w:jc w:val="both"/>
      </w:pPr>
      <w:r>
        <w:rPr>
          <w:rFonts w:ascii="Book Antiqua" w:eastAsia="Book Antiqua" w:hAnsi="Book Antiqua" w:cs="Book Antiqua"/>
          <w:color w:val="000000"/>
          <w:szCs w:val="22"/>
        </w:rPr>
        <w:t>We used 100 7-d-old C57 mice of either sex in this study. All experimental animals were purchased from Changsheng Biology Co., Ltd. (Shenyang, China). The animals were fed and related operations were conducted in the animal laboratory of Shengjing Hospital in a stable, specific pathogen-free environment; the temperature was maintained at 23 ± 2</w:t>
      </w:r>
      <w:r w:rsidR="003F393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 with a 12</w:t>
      </w:r>
      <w:r w:rsidR="007E16F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h light cycle. The experimental study was approved by the animal ethics committee of Shengjing Hospital of China Medical University (2020PS078K).</w:t>
      </w:r>
    </w:p>
    <w:p w14:paraId="162E0E2E" w14:textId="6B482D63" w:rsidR="00A77B3E" w:rsidRDefault="001A6207" w:rsidP="003F3935">
      <w:pPr>
        <w:spacing w:line="360" w:lineRule="auto"/>
        <w:ind w:firstLineChars="100" w:firstLine="240"/>
        <w:jc w:val="both"/>
      </w:pPr>
      <w:r>
        <w:rPr>
          <w:rFonts w:ascii="Book Antiqua" w:eastAsia="Book Antiqua" w:hAnsi="Book Antiqua" w:cs="Book Antiqua"/>
          <w:color w:val="000000"/>
          <w:szCs w:val="21"/>
        </w:rPr>
        <w:t xml:space="preserve">The animals were randomly divided into two groups, each consisting of 50 animals: </w:t>
      </w:r>
      <w:r>
        <w:rPr>
          <w:rFonts w:ascii="Book Antiqua" w:eastAsia="Book Antiqua" w:hAnsi="Book Antiqua" w:cs="Book Antiqua"/>
          <w:color w:val="000000"/>
        </w:rPr>
        <w:t>normal group as control group</w:t>
      </w:r>
      <w:r w:rsidR="003F3935">
        <w:rPr>
          <w:rFonts w:ascii="Book Antiqua" w:eastAsia="Book Antiqua" w:hAnsi="Book Antiqua" w:cs="Book Antiqua"/>
          <w:color w:val="000000"/>
        </w:rPr>
        <w:t xml:space="preserve"> </w:t>
      </w:r>
      <w:r>
        <w:rPr>
          <w:rFonts w:ascii="Book Antiqua" w:eastAsia="Book Antiqua" w:hAnsi="Book Antiqua" w:cs="Book Antiqua"/>
          <w:color w:val="000000"/>
        </w:rPr>
        <w:t xml:space="preserve">(CG) and </w:t>
      </w:r>
      <w:r w:rsidR="00C562CD">
        <w:rPr>
          <w:rFonts w:ascii="Book Antiqua" w:eastAsia="Book Antiqua" w:hAnsi="Book Antiqua" w:cs="Book Antiqua"/>
          <w:color w:val="000000"/>
        </w:rPr>
        <w:t>PDR</w:t>
      </w:r>
      <w:r>
        <w:rPr>
          <w:rFonts w:ascii="Book Antiqua" w:eastAsia="Book Antiqua" w:hAnsi="Book Antiqua" w:cs="Book Antiqua"/>
          <w:color w:val="000000"/>
        </w:rPr>
        <w:t xml:space="preserve"> group as experimental group</w:t>
      </w:r>
      <w:r w:rsidR="003F3935">
        <w:rPr>
          <w:rFonts w:ascii="Book Antiqua" w:eastAsia="Book Antiqua" w:hAnsi="Book Antiqua" w:cs="Book Antiqua"/>
          <w:color w:val="000000"/>
        </w:rPr>
        <w:t xml:space="preserve"> </w:t>
      </w:r>
      <w:r>
        <w:rPr>
          <w:rFonts w:ascii="Book Antiqua" w:eastAsia="Book Antiqua" w:hAnsi="Book Antiqua" w:cs="Book Antiqua"/>
          <w:color w:val="000000"/>
        </w:rPr>
        <w:t>(EG)</w:t>
      </w:r>
      <w:r>
        <w:rPr>
          <w:rFonts w:ascii="Book Antiqua" w:eastAsia="Book Antiqua" w:hAnsi="Book Antiqua" w:cs="Book Antiqua"/>
          <w:color w:val="000000"/>
          <w:szCs w:val="21"/>
        </w:rPr>
        <w:t xml:space="preserve">. Mice in CG were fed with mice and their mothers under normal conditions without any treatment. </w:t>
      </w:r>
      <w:r>
        <w:rPr>
          <w:rFonts w:ascii="Book Antiqua" w:eastAsia="Book Antiqua" w:hAnsi="Book Antiqua" w:cs="Book Antiqua"/>
          <w:color w:val="000000"/>
          <w:szCs w:val="22"/>
        </w:rPr>
        <w:t>Briefly, 7-d-old EG mice and their mothers were housed and fed in a closed glass container with an oxygen concentration of 75</w:t>
      </w:r>
      <w:r w:rsidR="003F393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 2% for 5 d. Next, 12-d-old mice were fed under normal conditions, and the closed container was opened once per day to replace the bedding material, add water, and replace the mother mice</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All animals were euthanized at the age of </w:t>
      </w:r>
      <w:r>
        <w:rPr>
          <w:rFonts w:ascii="Book Antiqua" w:eastAsia="Book Antiqua" w:hAnsi="Book Antiqua" w:cs="Book Antiqua"/>
          <w:color w:val="000000"/>
          <w:szCs w:val="22"/>
        </w:rPr>
        <w:t>17 d</w:t>
      </w:r>
      <w:r>
        <w:rPr>
          <w:rFonts w:ascii="Book Antiqua" w:eastAsia="Book Antiqua" w:hAnsi="Book Antiqua" w:cs="Book Antiqua"/>
          <w:color w:val="000000"/>
          <w:szCs w:val="21"/>
        </w:rPr>
        <w:t xml:space="preserve"> for subsequent histopathological examination and total RNA extraction.</w:t>
      </w:r>
    </w:p>
    <w:p w14:paraId="2E28D2C0" w14:textId="77777777" w:rsidR="003F3935" w:rsidRDefault="003F3935" w:rsidP="003F3935">
      <w:pPr>
        <w:spacing w:line="360" w:lineRule="auto"/>
        <w:jc w:val="both"/>
        <w:rPr>
          <w:rFonts w:ascii="Book Antiqua" w:eastAsia="Book Antiqua" w:hAnsi="Book Antiqua" w:cs="Book Antiqua"/>
          <w:b/>
          <w:bCs/>
          <w:color w:val="000000"/>
          <w:szCs w:val="21"/>
        </w:rPr>
      </w:pPr>
    </w:p>
    <w:p w14:paraId="7FE2B800" w14:textId="4B023144" w:rsidR="00A77B3E" w:rsidRPr="003F3935" w:rsidRDefault="001A6207" w:rsidP="003F3935">
      <w:pPr>
        <w:spacing w:line="360" w:lineRule="auto"/>
        <w:jc w:val="both"/>
        <w:rPr>
          <w:i/>
          <w:iCs/>
        </w:rPr>
      </w:pPr>
      <w:r w:rsidRPr="003F3935">
        <w:rPr>
          <w:rFonts w:ascii="Book Antiqua" w:eastAsia="Book Antiqua" w:hAnsi="Book Antiqua" w:cs="Book Antiqua"/>
          <w:b/>
          <w:bCs/>
          <w:i/>
          <w:iCs/>
          <w:color w:val="000000"/>
          <w:szCs w:val="21"/>
        </w:rPr>
        <w:t>Retinal patch staining</w:t>
      </w:r>
    </w:p>
    <w:p w14:paraId="37B9C82B" w14:textId="79E53FEE" w:rsidR="00A77B3E" w:rsidRDefault="001A6207" w:rsidP="003F3935">
      <w:pPr>
        <w:spacing w:line="360" w:lineRule="auto"/>
        <w:jc w:val="both"/>
      </w:pPr>
      <w:r>
        <w:rPr>
          <w:rFonts w:ascii="Book Antiqua" w:eastAsia="Book Antiqua" w:hAnsi="Book Antiqua" w:cs="Book Antiqua"/>
          <w:color w:val="000000"/>
          <w:szCs w:val="21"/>
        </w:rPr>
        <w:t xml:space="preserve">Mice aged </w:t>
      </w:r>
      <w:r>
        <w:rPr>
          <w:rFonts w:ascii="Book Antiqua" w:eastAsia="Book Antiqua" w:hAnsi="Book Antiqua" w:cs="Book Antiqua"/>
          <w:color w:val="000000"/>
          <w:szCs w:val="22"/>
        </w:rPr>
        <w:t>17 d</w:t>
      </w:r>
      <w:r>
        <w:rPr>
          <w:rFonts w:ascii="Book Antiqua" w:eastAsia="Book Antiqua" w:hAnsi="Book Antiqua" w:cs="Book Antiqua"/>
          <w:color w:val="000000"/>
        </w:rPr>
        <w:t xml:space="preserve"> from the two groups were anesthetized and sacrificed, after which their eyeballs were removed. The eyeballs were fixed in 4% paraformaldehyde for 12 h. The contents of the anterior segment and vitreous cavity were removed, and the retina was carefully separated. The retinas were incubated in isolectin B4-594 (Invitrogen, Carlsbad, CA, U</w:t>
      </w:r>
      <w:r w:rsidR="003F3935">
        <w:rPr>
          <w:rFonts w:ascii="Book Antiqua" w:eastAsia="Book Antiqua" w:hAnsi="Book Antiqua" w:cs="Book Antiqua"/>
          <w:color w:val="000000"/>
        </w:rPr>
        <w:t>nited States</w:t>
      </w:r>
      <w:r>
        <w:rPr>
          <w:rFonts w:ascii="Book Antiqua" w:eastAsia="Book Antiqua" w:hAnsi="Book Antiqua" w:cs="Book Antiqua"/>
          <w:color w:val="000000"/>
        </w:rPr>
        <w:t>) in a shaker at 4</w:t>
      </w:r>
      <w:r w:rsidR="003F3935">
        <w:rPr>
          <w:rFonts w:ascii="Book Antiqua" w:eastAsia="Book Antiqua" w:hAnsi="Book Antiqua" w:cs="Book Antiqua"/>
          <w:color w:val="000000"/>
        </w:rPr>
        <w:t xml:space="preserve"> </w:t>
      </w:r>
      <w:r>
        <w:rPr>
          <w:rFonts w:ascii="Book Antiqua" w:eastAsia="Book Antiqua" w:hAnsi="Book Antiqua" w:cs="Book Antiqua"/>
          <w:color w:val="000000"/>
        </w:rPr>
        <w:t>°C overnight. Next, the glass slide was covered with an anti-radiation agent, and this agent was also applied to the retina</w:t>
      </w:r>
      <w:r>
        <w:rPr>
          <w:rFonts w:ascii="Book Antiqua" w:eastAsia="Book Antiqua" w:hAnsi="Book Antiqua" w:cs="Book Antiqua"/>
          <w:color w:val="000000"/>
          <w:vertAlign w:val="superscript"/>
        </w:rPr>
        <w:t>[18]</w:t>
      </w:r>
      <w:r>
        <w:rPr>
          <w:rFonts w:ascii="Book Antiqua" w:eastAsia="Book Antiqua" w:hAnsi="Book Antiqua" w:cs="Book Antiqua"/>
          <w:color w:val="000000"/>
        </w:rPr>
        <w:t>. The retinas were observed under a microscope (Eclipse NI, Nikon, Tokyo, Japan) and images were collected.</w:t>
      </w:r>
    </w:p>
    <w:p w14:paraId="2A5DC6D6" w14:textId="77777777" w:rsidR="003F3935" w:rsidRDefault="003F3935" w:rsidP="003F3935">
      <w:pPr>
        <w:spacing w:line="360" w:lineRule="auto"/>
        <w:jc w:val="both"/>
        <w:rPr>
          <w:rFonts w:ascii="Book Antiqua" w:eastAsia="Book Antiqua" w:hAnsi="Book Antiqua" w:cs="Book Antiqua"/>
          <w:b/>
          <w:bCs/>
          <w:color w:val="000000"/>
          <w:szCs w:val="21"/>
        </w:rPr>
      </w:pPr>
    </w:p>
    <w:p w14:paraId="6D40F050" w14:textId="3A07C4DE" w:rsidR="00A77B3E" w:rsidRPr="003F3935" w:rsidRDefault="001A6207" w:rsidP="003F3935">
      <w:pPr>
        <w:spacing w:line="360" w:lineRule="auto"/>
        <w:jc w:val="both"/>
        <w:rPr>
          <w:i/>
          <w:iCs/>
        </w:rPr>
      </w:pPr>
      <w:bookmarkStart w:id="0" w:name="_Hlk71624686"/>
      <w:r w:rsidRPr="003F3935">
        <w:rPr>
          <w:rFonts w:ascii="Book Antiqua" w:eastAsia="Book Antiqua" w:hAnsi="Book Antiqua" w:cs="Book Antiqua"/>
          <w:b/>
          <w:bCs/>
          <w:i/>
          <w:iCs/>
          <w:color w:val="000000"/>
          <w:szCs w:val="21"/>
        </w:rPr>
        <w:lastRenderedPageBreak/>
        <w:t>Hematoxylin and eosin</w:t>
      </w:r>
      <w:bookmarkEnd w:id="0"/>
      <w:r w:rsidRPr="003F3935">
        <w:rPr>
          <w:rFonts w:ascii="Book Antiqua" w:eastAsia="Book Antiqua" w:hAnsi="Book Antiqua" w:cs="Book Antiqua"/>
          <w:b/>
          <w:bCs/>
          <w:i/>
          <w:iCs/>
          <w:color w:val="000000"/>
          <w:szCs w:val="21"/>
        </w:rPr>
        <w:t xml:space="preserve"> staining</w:t>
      </w:r>
    </w:p>
    <w:p w14:paraId="6F500CF8" w14:textId="5FE49FA0" w:rsidR="00A77B3E" w:rsidRDefault="001A6207" w:rsidP="003F393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the eyeballs of mice were removed, they were fixed in 4% paraformaldehyde for 12 h. Next, they were embedded in paraffin and cut along the sagittal plane of the optic nerve to obtain serial sections with a thickness of 4 μm. Non-continuous sections were acquired from each eye for </w:t>
      </w:r>
      <w:r w:rsidR="003F3935">
        <w:rPr>
          <w:rFonts w:ascii="Book Antiqua" w:eastAsia="Book Antiqua" w:hAnsi="Book Antiqua" w:cs="Book Antiqua"/>
          <w:color w:val="000000"/>
        </w:rPr>
        <w:t>h</w:t>
      </w:r>
      <w:r w:rsidR="003F3935" w:rsidRPr="003F3935">
        <w:rPr>
          <w:rFonts w:ascii="Book Antiqua" w:eastAsia="Book Antiqua" w:hAnsi="Book Antiqua" w:cs="Book Antiqua"/>
          <w:color w:val="000000"/>
        </w:rPr>
        <w:t>ematoxylin and eosin (HE)</w:t>
      </w:r>
      <w:r>
        <w:rPr>
          <w:rFonts w:ascii="Book Antiqua" w:eastAsia="Book Antiqua" w:hAnsi="Book Antiqua" w:cs="Book Antiqua"/>
          <w:color w:val="000000"/>
        </w:rPr>
        <w:t xml:space="preserve"> staining, and sections containing the optic nerve were excluded. The number of endothelial cells breaking through the inner limiting membrane in the vitreous cavity was counted, and the average of this number was calculated in each section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Only the vascular nuclei located closely to the retina were counted; thus, vascular nuclei not close to the internal limiting membrane in the vitreous cavity were excluded</w:t>
      </w:r>
      <w:r>
        <w:rPr>
          <w:rFonts w:ascii="Book Antiqua" w:eastAsia="Book Antiqua" w:hAnsi="Book Antiqua" w:cs="Book Antiqua"/>
          <w:color w:val="000000"/>
          <w:vertAlign w:val="superscript"/>
        </w:rPr>
        <w:t>[20,21]</w:t>
      </w:r>
      <w:r>
        <w:rPr>
          <w:rFonts w:ascii="Book Antiqua" w:eastAsia="Book Antiqua" w:hAnsi="Book Antiqua" w:cs="Book Antiqua"/>
          <w:color w:val="000000"/>
        </w:rPr>
        <w:t>.</w:t>
      </w:r>
    </w:p>
    <w:p w14:paraId="0F9368BB" w14:textId="77777777" w:rsidR="003F3935" w:rsidRDefault="003F3935" w:rsidP="003F3935">
      <w:pPr>
        <w:spacing w:line="360" w:lineRule="auto"/>
        <w:jc w:val="both"/>
        <w:rPr>
          <w:rFonts w:ascii="Book Antiqua" w:eastAsia="Book Antiqua" w:hAnsi="Book Antiqua" w:cs="Book Antiqua"/>
          <w:b/>
          <w:bCs/>
          <w:color w:val="000000"/>
          <w:szCs w:val="21"/>
        </w:rPr>
      </w:pPr>
    </w:p>
    <w:p w14:paraId="6D0E731D" w14:textId="2834E073" w:rsidR="00A77B3E" w:rsidRPr="003F3935" w:rsidRDefault="001A6207" w:rsidP="003F3935">
      <w:pPr>
        <w:spacing w:line="360" w:lineRule="auto"/>
        <w:jc w:val="both"/>
        <w:rPr>
          <w:i/>
          <w:iCs/>
        </w:rPr>
      </w:pPr>
      <w:r w:rsidRPr="003F3935">
        <w:rPr>
          <w:rFonts w:ascii="Book Antiqua" w:eastAsia="Book Antiqua" w:hAnsi="Book Antiqua" w:cs="Book Antiqua"/>
          <w:b/>
          <w:bCs/>
          <w:i/>
          <w:iCs/>
          <w:color w:val="000000"/>
          <w:szCs w:val="21"/>
        </w:rPr>
        <w:t>High-throughput sequencing</w:t>
      </w:r>
    </w:p>
    <w:p w14:paraId="5E630476" w14:textId="30026736" w:rsidR="00A77B3E" w:rsidRDefault="001A6207" w:rsidP="003F3935">
      <w:pPr>
        <w:spacing w:line="360" w:lineRule="auto"/>
        <w:jc w:val="both"/>
      </w:pPr>
      <w:r>
        <w:rPr>
          <w:rFonts w:ascii="Book Antiqua" w:eastAsia="Book Antiqua" w:hAnsi="Book Antiqua" w:cs="Book Antiqua"/>
          <w:color w:val="000000"/>
          <w:szCs w:val="21"/>
        </w:rPr>
        <w:t>The total RNA of each retinal tissue sample was extracted using Trizol reagent according to the manufacturer’s instructions (Takara</w:t>
      </w:r>
      <w:r w:rsidR="003F3935">
        <w:rPr>
          <w:rFonts w:ascii="Book Antiqua" w:hAnsi="Book Antiqua" w:cs="Book Antiqua" w:hint="eastAsia"/>
          <w:color w:val="000000"/>
          <w:szCs w:val="21"/>
          <w:lang w:eastAsia="zh-CN"/>
        </w:rPr>
        <w:t>,</w:t>
      </w:r>
      <w:r w:rsidR="003F3935">
        <w:rPr>
          <w:rFonts w:ascii="Book Antiqua" w:hAnsi="Book Antiqua" w:cs="Book Antiqua"/>
          <w:color w:val="000000"/>
          <w:szCs w:val="21"/>
          <w:lang w:eastAsia="zh-CN"/>
        </w:rPr>
        <w:t xml:space="preserve"> </w:t>
      </w:r>
      <w:r>
        <w:rPr>
          <w:rFonts w:ascii="Book Antiqua" w:eastAsia="Book Antiqua" w:hAnsi="Book Antiqua" w:cs="Book Antiqua"/>
          <w:color w:val="000000"/>
          <w:szCs w:val="21"/>
        </w:rPr>
        <w:t>Japan</w:t>
      </w:r>
      <w:r w:rsidR="007E16FC">
        <w:rPr>
          <w:rFonts w:ascii="Book Antiqua" w:eastAsia="Book Antiqua" w:hAnsi="Book Antiqua" w:cs="Book Antiqua" w:hint="eastAsia"/>
          <w:color w:val="000000"/>
          <w:szCs w:val="21"/>
        </w:rPr>
        <w:t>)</w:t>
      </w:r>
      <w:r>
        <w:rPr>
          <w:rFonts w:ascii="Book Antiqua" w:eastAsia="Book Antiqua" w:hAnsi="Book Antiqua" w:cs="Book Antiqua"/>
          <w:color w:val="000000"/>
          <w:szCs w:val="21"/>
        </w:rPr>
        <w:t>. The quality of RNA was analyzed using NanoDrop ND-2000 (Thermo Fisher Scientific, U</w:t>
      </w:r>
      <w:r w:rsidR="003F3935">
        <w:rPr>
          <w:rFonts w:ascii="Book Antiqua" w:eastAsia="Book Antiqua" w:hAnsi="Book Antiqua" w:cs="Book Antiqua"/>
          <w:color w:val="000000"/>
          <w:szCs w:val="21"/>
        </w:rPr>
        <w:t>nited States</w:t>
      </w:r>
      <w:r>
        <w:rPr>
          <w:rFonts w:ascii="Book Antiqua" w:eastAsia="Book Antiqua" w:hAnsi="Book Antiqua" w:cs="Book Antiqua"/>
          <w:color w:val="000000"/>
          <w:szCs w:val="21"/>
        </w:rPr>
        <w:t>). A small RNA library was constructed by real-time polymerase chain reaction (</w:t>
      </w:r>
      <w:bookmarkStart w:id="1" w:name="_Hlk71625030"/>
      <w:r>
        <w:rPr>
          <w:rFonts w:ascii="Book Antiqua" w:eastAsia="Book Antiqua" w:hAnsi="Book Antiqua" w:cs="Book Antiqua"/>
          <w:color w:val="000000"/>
          <w:szCs w:val="21"/>
        </w:rPr>
        <w:t>RT-PCR</w:t>
      </w:r>
      <w:bookmarkEnd w:id="1"/>
      <w:r>
        <w:rPr>
          <w:rFonts w:ascii="Book Antiqua" w:eastAsia="Book Antiqua" w:hAnsi="Book Antiqua" w:cs="Book Antiqua"/>
          <w:color w:val="000000"/>
          <w:szCs w:val="21"/>
        </w:rPr>
        <w:t xml:space="preserve">) using 5' and 3' linkers. Agilent 2100 and Applied Biosystems StepOnePlus Real-Time PCR systems were used to assess the quality and yield of the constructed library (Life Technologies). Finally, the RNA was sequenced by Illumina Hiseq 2000 (Illumina, San Diego, CA, </w:t>
      </w:r>
      <w:r w:rsidR="000C09E3">
        <w:rPr>
          <w:rFonts w:ascii="Book Antiqua" w:eastAsia="Book Antiqua" w:hAnsi="Book Antiqua" w:cs="Book Antiqua"/>
          <w:color w:val="000000"/>
          <w:szCs w:val="21"/>
        </w:rPr>
        <w:t>United States</w:t>
      </w:r>
      <w:r>
        <w:rPr>
          <w:rFonts w:ascii="Book Antiqua" w:eastAsia="Book Antiqua" w:hAnsi="Book Antiqua" w:cs="Book Antiqua"/>
          <w:color w:val="000000"/>
          <w:szCs w:val="21"/>
        </w:rPr>
        <w:t>).</w:t>
      </w:r>
    </w:p>
    <w:p w14:paraId="0D049DFC" w14:textId="77777777" w:rsidR="000C09E3" w:rsidRDefault="000C09E3" w:rsidP="000C09E3">
      <w:pPr>
        <w:spacing w:line="360" w:lineRule="auto"/>
        <w:jc w:val="both"/>
        <w:rPr>
          <w:rFonts w:ascii="Book Antiqua" w:eastAsia="Book Antiqua" w:hAnsi="Book Antiqua" w:cs="Book Antiqua"/>
          <w:b/>
          <w:bCs/>
          <w:color w:val="000000"/>
          <w:szCs w:val="21"/>
        </w:rPr>
      </w:pPr>
    </w:p>
    <w:p w14:paraId="17AF167C" w14:textId="2A3D4ECB" w:rsidR="00A77B3E" w:rsidRPr="000C09E3" w:rsidRDefault="001A6207" w:rsidP="000C09E3">
      <w:pPr>
        <w:spacing w:line="360" w:lineRule="auto"/>
        <w:jc w:val="both"/>
        <w:rPr>
          <w:i/>
          <w:iCs/>
        </w:rPr>
      </w:pPr>
      <w:r w:rsidRPr="000C09E3">
        <w:rPr>
          <w:rFonts w:ascii="Book Antiqua" w:eastAsia="Book Antiqua" w:hAnsi="Book Antiqua" w:cs="Book Antiqua"/>
          <w:b/>
          <w:bCs/>
          <w:i/>
          <w:iCs/>
          <w:color w:val="000000"/>
          <w:szCs w:val="21"/>
        </w:rPr>
        <w:t>Sequencing result analysis</w:t>
      </w:r>
    </w:p>
    <w:p w14:paraId="32FE50F0" w14:textId="0FF15D9F" w:rsidR="00A77B3E" w:rsidRDefault="001A6207" w:rsidP="000C09E3">
      <w:pPr>
        <w:spacing w:line="360" w:lineRule="auto"/>
        <w:jc w:val="both"/>
      </w:pPr>
      <w:r>
        <w:rPr>
          <w:rFonts w:ascii="Book Antiqua" w:eastAsia="Book Antiqua" w:hAnsi="Book Antiqua" w:cs="Book Antiqua"/>
          <w:color w:val="000000"/>
        </w:rPr>
        <w:t>After standardization and quality control of the sequencing data, 26</w:t>
      </w:r>
      <w:r w:rsidR="000C09E3">
        <w:rPr>
          <w:rFonts w:ascii="Book Antiqua" w:eastAsia="Book Antiqua" w:hAnsi="Book Antiqua" w:cs="Book Antiqua"/>
          <w:color w:val="000000"/>
        </w:rPr>
        <w:t>-</w:t>
      </w:r>
      <w:r>
        <w:rPr>
          <w:rFonts w:ascii="Book Antiqua" w:eastAsia="Book Antiqua" w:hAnsi="Book Antiqua" w:cs="Book Antiqua"/>
          <w:color w:val="000000"/>
        </w:rPr>
        <w:t>31 nt piRNAs were selected from small RNA reads, and the differential expression of piRNA was analyzed. Fold change in piRNA expression ≥ 1.5 (</w:t>
      </w:r>
      <w:r w:rsidRPr="000C09E3">
        <w:rPr>
          <w:rFonts w:ascii="Book Antiqua" w:eastAsia="Book Antiqua" w:hAnsi="Book Antiqua" w:cs="Book Antiqua"/>
          <w:i/>
          <w:iCs/>
          <w:color w:val="000000"/>
        </w:rPr>
        <w:t>P</w:t>
      </w:r>
      <w:r>
        <w:rPr>
          <w:rFonts w:ascii="Book Antiqua" w:eastAsia="Book Antiqua" w:hAnsi="Book Antiqua" w:cs="Book Antiqua"/>
          <w:color w:val="000000"/>
        </w:rPr>
        <w:t xml:space="preserve"> &lt; 0.05) was used as the threshold for determining gene upregulation or downregulation. </w:t>
      </w:r>
      <w:r w:rsidR="000C09E3">
        <w:rPr>
          <w:rFonts w:ascii="Book Antiqua" w:eastAsia="Book Antiqua" w:hAnsi="Book Antiqua" w:cs="Book Antiqua"/>
          <w:color w:val="000000"/>
        </w:rPr>
        <w:t>Gene Ontology (GO)</w:t>
      </w:r>
      <w:r>
        <w:rPr>
          <w:rFonts w:ascii="Book Antiqua" w:eastAsia="Book Antiqua" w:hAnsi="Book Antiqua" w:cs="Book Antiqua"/>
          <w:color w:val="000000"/>
        </w:rPr>
        <w:t xml:space="preserve"> enrichment (http://www.geneontology.org/) was used to analyze the abnormal expression of genes, and KO enrichment (https://www.genome.jp/kegg/pathway) was utilized to determine the biological function of the differentially expressed piRNA and investigate its possible involvement in the disease mechanism</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7DAC9906" w14:textId="77777777" w:rsidR="000C09E3" w:rsidRDefault="000C09E3" w:rsidP="000C09E3">
      <w:pPr>
        <w:spacing w:line="360" w:lineRule="auto"/>
        <w:jc w:val="both"/>
        <w:rPr>
          <w:rFonts w:ascii="Book Antiqua" w:eastAsia="Book Antiqua" w:hAnsi="Book Antiqua" w:cs="Book Antiqua"/>
          <w:b/>
          <w:bCs/>
          <w:color w:val="000000"/>
          <w:szCs w:val="21"/>
        </w:rPr>
      </w:pPr>
    </w:p>
    <w:p w14:paraId="6173E260" w14:textId="39A157A8" w:rsidR="00A77B3E" w:rsidRPr="000C09E3" w:rsidRDefault="000C09E3" w:rsidP="000C09E3">
      <w:pPr>
        <w:spacing w:line="360" w:lineRule="auto"/>
        <w:jc w:val="both"/>
        <w:rPr>
          <w:i/>
          <w:iCs/>
        </w:rPr>
      </w:pPr>
      <w:r w:rsidRPr="000C09E3">
        <w:rPr>
          <w:rFonts w:ascii="Book Antiqua" w:eastAsia="Book Antiqua" w:hAnsi="Book Antiqua" w:cs="Book Antiqua"/>
          <w:b/>
          <w:bCs/>
          <w:i/>
          <w:iCs/>
          <w:color w:val="000000"/>
          <w:szCs w:val="21"/>
        </w:rPr>
        <w:t>RT-PCR</w:t>
      </w:r>
    </w:p>
    <w:p w14:paraId="35C058E3" w14:textId="77777777" w:rsidR="00A77B3E" w:rsidRDefault="001A6207" w:rsidP="000C09E3">
      <w:pPr>
        <w:spacing w:line="360" w:lineRule="auto"/>
        <w:jc w:val="both"/>
      </w:pPr>
      <w:r>
        <w:rPr>
          <w:rFonts w:ascii="Book Antiqua" w:eastAsia="Book Antiqua" w:hAnsi="Book Antiqua" w:cs="Book Antiqua"/>
          <w:color w:val="000000"/>
          <w:szCs w:val="21"/>
        </w:rPr>
        <w:t>RT-PCR was performed on total RNA extracted from retina samples using Trizol reagent (Takara, Shiga, Japan) according to the manufacturer’s instructions.</w:t>
      </w:r>
    </w:p>
    <w:p w14:paraId="41CD78DE" w14:textId="77777777" w:rsidR="000C09E3" w:rsidRDefault="000C09E3" w:rsidP="000C09E3">
      <w:pPr>
        <w:spacing w:line="360" w:lineRule="auto"/>
        <w:jc w:val="both"/>
        <w:rPr>
          <w:rFonts w:ascii="Book Antiqua" w:eastAsia="Book Antiqua" w:hAnsi="Book Antiqua" w:cs="Book Antiqua"/>
          <w:b/>
          <w:bCs/>
          <w:color w:val="000000"/>
          <w:szCs w:val="21"/>
        </w:rPr>
      </w:pPr>
    </w:p>
    <w:p w14:paraId="2F1ED867" w14:textId="617788F1" w:rsidR="00A77B3E" w:rsidRPr="000C09E3" w:rsidRDefault="001A6207" w:rsidP="000C09E3">
      <w:pPr>
        <w:spacing w:line="360" w:lineRule="auto"/>
        <w:jc w:val="both"/>
        <w:rPr>
          <w:i/>
          <w:iCs/>
        </w:rPr>
      </w:pPr>
      <w:r w:rsidRPr="000C09E3">
        <w:rPr>
          <w:rFonts w:ascii="Book Antiqua" w:eastAsia="Book Antiqua" w:hAnsi="Book Antiqua" w:cs="Book Antiqua"/>
          <w:b/>
          <w:bCs/>
          <w:i/>
          <w:iCs/>
          <w:color w:val="000000"/>
          <w:szCs w:val="21"/>
        </w:rPr>
        <w:t>Statistical analysis</w:t>
      </w:r>
    </w:p>
    <w:p w14:paraId="4D60BC63" w14:textId="2CB79BEF" w:rsidR="00A77B3E" w:rsidRDefault="001A6207" w:rsidP="000C09E3">
      <w:pPr>
        <w:spacing w:line="360" w:lineRule="auto"/>
        <w:jc w:val="both"/>
      </w:pPr>
      <w:r>
        <w:rPr>
          <w:rFonts w:ascii="Book Antiqua" w:eastAsia="Book Antiqua" w:hAnsi="Book Antiqua" w:cs="Book Antiqua"/>
          <w:color w:val="000000"/>
          <w:szCs w:val="21"/>
        </w:rPr>
        <w:t xml:space="preserve">SPSS 22.0 software (SPSS, Inc., Chicago, IL, </w:t>
      </w:r>
      <w:r w:rsidR="000C09E3">
        <w:rPr>
          <w:rFonts w:ascii="Book Antiqua" w:eastAsia="Book Antiqua" w:hAnsi="Book Antiqua" w:cs="Book Antiqua"/>
          <w:color w:val="000000"/>
          <w:szCs w:val="21"/>
        </w:rPr>
        <w:t>United States</w:t>
      </w:r>
      <w:r>
        <w:rPr>
          <w:rFonts w:ascii="Book Antiqua" w:eastAsia="Book Antiqua" w:hAnsi="Book Antiqua" w:cs="Book Antiqua"/>
          <w:color w:val="000000"/>
          <w:szCs w:val="21"/>
        </w:rPr>
        <w:t xml:space="preserve">) was used for all statistical analyses. The mean ± </w:t>
      </w:r>
      <w:r w:rsidR="000C09E3">
        <w:rPr>
          <w:rFonts w:ascii="Book Antiqua" w:eastAsia="Book Antiqua" w:hAnsi="Book Antiqua" w:cs="Book Antiqua"/>
          <w:color w:val="000000"/>
          <w:szCs w:val="21"/>
        </w:rPr>
        <w:t>SD</w:t>
      </w:r>
      <w:r>
        <w:rPr>
          <w:rFonts w:ascii="Book Antiqua" w:eastAsia="Book Antiqua" w:hAnsi="Book Antiqua" w:cs="Book Antiqua"/>
          <w:color w:val="000000"/>
          <w:szCs w:val="21"/>
        </w:rPr>
        <w:t xml:space="preserve"> of relative piRNA expression in PCR analyses was calculated. Student's t-test was used to analyze the difference between the two groups. </w:t>
      </w:r>
      <w:r w:rsidRPr="000C09E3">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0.05 indicated a statistically significant difference.</w:t>
      </w:r>
    </w:p>
    <w:p w14:paraId="1327FB0F" w14:textId="77777777" w:rsidR="00A77B3E" w:rsidRDefault="00A77B3E" w:rsidP="000C09E3">
      <w:pPr>
        <w:spacing w:line="360" w:lineRule="auto"/>
        <w:jc w:val="both"/>
      </w:pPr>
    </w:p>
    <w:p w14:paraId="7FD720CC" w14:textId="77777777" w:rsidR="00A77B3E" w:rsidRDefault="001A6207">
      <w:pPr>
        <w:spacing w:line="360" w:lineRule="auto"/>
        <w:jc w:val="both"/>
      </w:pPr>
      <w:r>
        <w:rPr>
          <w:rFonts w:ascii="Book Antiqua" w:eastAsia="Book Antiqua" w:hAnsi="Book Antiqua" w:cs="Book Antiqua"/>
          <w:b/>
          <w:caps/>
          <w:color w:val="000000"/>
          <w:u w:val="single"/>
        </w:rPr>
        <w:t>RESULTS</w:t>
      </w:r>
    </w:p>
    <w:p w14:paraId="7B1234B5" w14:textId="03294620" w:rsidR="00A77B3E" w:rsidRPr="000C09E3" w:rsidRDefault="001A6207">
      <w:pPr>
        <w:spacing w:line="360" w:lineRule="auto"/>
        <w:jc w:val="both"/>
        <w:rPr>
          <w:i/>
          <w:iCs/>
        </w:rPr>
      </w:pPr>
      <w:r w:rsidRPr="000C09E3">
        <w:rPr>
          <w:rFonts w:ascii="Book Antiqua" w:eastAsia="Book Antiqua" w:hAnsi="Book Antiqua" w:cs="Book Antiqua"/>
          <w:b/>
          <w:bCs/>
          <w:i/>
          <w:iCs/>
          <w:color w:val="000000"/>
        </w:rPr>
        <w:t xml:space="preserve">Evaluation of </w:t>
      </w:r>
      <w:r w:rsidR="000C09E3">
        <w:rPr>
          <w:rFonts w:ascii="Book Antiqua" w:eastAsia="Book Antiqua" w:hAnsi="Book Antiqua" w:cs="Book Antiqua"/>
          <w:b/>
          <w:bCs/>
          <w:i/>
          <w:iCs/>
          <w:color w:val="000000"/>
        </w:rPr>
        <w:t>f</w:t>
      </w:r>
      <w:r w:rsidRPr="000C09E3">
        <w:rPr>
          <w:rFonts w:ascii="Book Antiqua" w:eastAsia="Book Antiqua" w:hAnsi="Book Antiqua" w:cs="Book Antiqua"/>
          <w:b/>
          <w:bCs/>
          <w:i/>
          <w:iCs/>
          <w:color w:val="000000"/>
        </w:rPr>
        <w:t>luorescence imaging</w:t>
      </w:r>
    </w:p>
    <w:p w14:paraId="047CF4AD" w14:textId="378F2267" w:rsidR="00A77B3E" w:rsidRDefault="001A6207">
      <w:pPr>
        <w:spacing w:line="360" w:lineRule="auto"/>
        <w:jc w:val="both"/>
      </w:pPr>
      <w:r>
        <w:rPr>
          <w:rFonts w:ascii="Book Antiqua" w:eastAsia="Book Antiqua" w:hAnsi="Book Antiqua" w:cs="Book Antiqua"/>
          <w:color w:val="000000"/>
        </w:rPr>
        <w:t xml:space="preserve">The samples obtained from the normal control and </w:t>
      </w:r>
      <w:r w:rsidR="00C562CD">
        <w:rPr>
          <w:rFonts w:ascii="Book Antiqua" w:eastAsia="Book Antiqua" w:hAnsi="Book Antiqua" w:cs="Book Antiqua"/>
          <w:color w:val="000000"/>
        </w:rPr>
        <w:t>EG</w:t>
      </w:r>
      <w:r>
        <w:rPr>
          <w:rFonts w:ascii="Book Antiqua" w:eastAsia="Book Antiqua" w:hAnsi="Book Antiqua" w:cs="Book Antiqua"/>
          <w:color w:val="000000"/>
        </w:rPr>
        <w:t xml:space="preserve">s of mice were stained with isolectin B4-594 to observe the retinal vascular structure. In the normal </w:t>
      </w:r>
      <w:r w:rsidR="00C562CD">
        <w:rPr>
          <w:rFonts w:ascii="Book Antiqua" w:eastAsia="Book Antiqua" w:hAnsi="Book Antiqua" w:cs="Book Antiqua"/>
          <w:color w:val="000000"/>
        </w:rPr>
        <w:t>CG</w:t>
      </w:r>
      <w:r>
        <w:rPr>
          <w:rFonts w:ascii="Book Antiqua" w:eastAsia="Book Antiqua" w:hAnsi="Book Antiqua" w:cs="Book Antiqua"/>
          <w:color w:val="000000"/>
        </w:rPr>
        <w:t>, the retinal blood vessels were intact and clear, and large blood vessels were characterized by an even radial distribution around the optic disc reaching the periphery of the retina. In the DR group, there was no perfusion in the large vessel area and no decomposition of the perfusion area. The large vessels near the optic disc were tortuous and irregular, and they were mainly visible in the middle and periphery. A large number of disordered new vessels and new vascular buds were detected at the retina boundary along with vascular leakage (Figure 1).</w:t>
      </w:r>
    </w:p>
    <w:p w14:paraId="48C33A22" w14:textId="77777777" w:rsidR="00A77B3E" w:rsidRDefault="00A77B3E">
      <w:pPr>
        <w:spacing w:line="360" w:lineRule="auto"/>
        <w:jc w:val="both"/>
      </w:pPr>
    </w:p>
    <w:p w14:paraId="049A076B" w14:textId="77777777" w:rsidR="00A77B3E" w:rsidRPr="000C09E3" w:rsidRDefault="001A6207">
      <w:pPr>
        <w:spacing w:line="360" w:lineRule="auto"/>
        <w:jc w:val="both"/>
        <w:rPr>
          <w:i/>
          <w:iCs/>
        </w:rPr>
      </w:pPr>
      <w:r w:rsidRPr="000C09E3">
        <w:rPr>
          <w:rFonts w:ascii="Book Antiqua" w:eastAsia="Book Antiqua" w:hAnsi="Book Antiqua" w:cs="Book Antiqua"/>
          <w:b/>
          <w:bCs/>
          <w:i/>
          <w:iCs/>
          <w:color w:val="000000"/>
        </w:rPr>
        <w:t>Quantitative analysis of retinal vascular endothelial cells</w:t>
      </w:r>
    </w:p>
    <w:p w14:paraId="241B37EA" w14:textId="6173E229" w:rsidR="00A77B3E" w:rsidRDefault="001A6207">
      <w:pPr>
        <w:spacing w:line="360" w:lineRule="auto"/>
        <w:jc w:val="both"/>
      </w:pPr>
      <w:r>
        <w:rPr>
          <w:rFonts w:ascii="Book Antiqua" w:eastAsia="Book Antiqua" w:hAnsi="Book Antiqua" w:cs="Book Antiqua"/>
          <w:color w:val="000000"/>
        </w:rPr>
        <w:t xml:space="preserve">HE staining images were used to quantitatively analyze the number of retinal vascular endothelial nuclei. In the CG, the structure of the retinal internal limiting membrane was intact and smooth with occasional vascular endothelial nuclei breaking through the internal limiting membrane on the vitreous side (average number 1.163 ± 0.31). In the EG, the morphology of the internal limiting membrane was irregular, and cells under the </w:t>
      </w:r>
      <w:r>
        <w:rPr>
          <w:rFonts w:ascii="Book Antiqua" w:eastAsia="Book Antiqua" w:hAnsi="Book Antiqua" w:cs="Book Antiqua"/>
          <w:color w:val="000000"/>
        </w:rPr>
        <w:lastRenderedPageBreak/>
        <w:t>internal limiting membrane proliferated and were arranged in a disorderly manner. A large number of clusters of vascular endothelial cells broke through the inner limiting membrane and formed the neovascular lumen (average number 29.42 ± 1.07). There was a significant difference in the number of retinal vascular endothelial cells that broke through the inner limiting membrane between the two groups (</w:t>
      </w:r>
      <w:r w:rsidRPr="000C09E3">
        <w:rPr>
          <w:rFonts w:ascii="Book Antiqua" w:eastAsia="Book Antiqua" w:hAnsi="Book Antiqua" w:cs="Book Antiqua"/>
          <w:i/>
          <w:iCs/>
          <w:color w:val="000000"/>
        </w:rPr>
        <w:t>P</w:t>
      </w:r>
      <w:r>
        <w:rPr>
          <w:rFonts w:ascii="Book Antiqua" w:eastAsia="Book Antiqua" w:hAnsi="Book Antiqua" w:cs="Book Antiqua"/>
          <w:color w:val="000000"/>
        </w:rPr>
        <w:t xml:space="preserve"> &lt; 0.01) (Figure 2).</w:t>
      </w:r>
    </w:p>
    <w:p w14:paraId="433CCDA5" w14:textId="77777777" w:rsidR="00A77B3E" w:rsidRDefault="00A77B3E">
      <w:pPr>
        <w:spacing w:line="360" w:lineRule="auto"/>
        <w:jc w:val="both"/>
      </w:pPr>
    </w:p>
    <w:p w14:paraId="0EAA1148" w14:textId="77777777" w:rsidR="00A77B3E" w:rsidRPr="000C09E3" w:rsidRDefault="001A6207">
      <w:pPr>
        <w:spacing w:line="360" w:lineRule="auto"/>
        <w:jc w:val="both"/>
        <w:rPr>
          <w:i/>
          <w:iCs/>
        </w:rPr>
      </w:pPr>
      <w:r w:rsidRPr="000C09E3">
        <w:rPr>
          <w:rFonts w:ascii="Book Antiqua" w:eastAsia="Book Antiqua" w:hAnsi="Book Antiqua" w:cs="Book Antiqua"/>
          <w:b/>
          <w:bCs/>
          <w:i/>
          <w:iCs/>
          <w:color w:val="000000"/>
        </w:rPr>
        <w:t>High-throughput sequencing results</w:t>
      </w:r>
    </w:p>
    <w:p w14:paraId="2D659E92" w14:textId="77777777" w:rsidR="00A77B3E" w:rsidRDefault="001A6207">
      <w:pPr>
        <w:spacing w:line="360" w:lineRule="auto"/>
        <w:jc w:val="both"/>
      </w:pPr>
      <w:r>
        <w:rPr>
          <w:rFonts w:ascii="Book Antiqua" w:eastAsia="Book Antiqua" w:hAnsi="Book Antiqua" w:cs="Book Antiqua"/>
          <w:color w:val="000000"/>
        </w:rPr>
        <w:t>There were 79 piRNAs differentially expressed in EG compared to in CG mice, among which 43 were upregulated and 36 were downregulated (Figure 3).</w:t>
      </w:r>
    </w:p>
    <w:p w14:paraId="2E810F59" w14:textId="77777777" w:rsidR="00A77B3E" w:rsidRDefault="00A77B3E">
      <w:pPr>
        <w:spacing w:line="360" w:lineRule="auto"/>
        <w:jc w:val="both"/>
      </w:pPr>
    </w:p>
    <w:p w14:paraId="283687AD" w14:textId="77777777" w:rsidR="00A77B3E" w:rsidRPr="000C09E3" w:rsidRDefault="001A6207">
      <w:pPr>
        <w:spacing w:line="360" w:lineRule="auto"/>
        <w:jc w:val="both"/>
        <w:rPr>
          <w:i/>
          <w:iCs/>
        </w:rPr>
      </w:pPr>
      <w:r w:rsidRPr="000C09E3">
        <w:rPr>
          <w:rFonts w:ascii="Book Antiqua" w:eastAsia="Book Antiqua" w:hAnsi="Book Antiqua" w:cs="Book Antiqua"/>
          <w:b/>
          <w:bCs/>
          <w:i/>
          <w:iCs/>
          <w:color w:val="000000"/>
        </w:rPr>
        <w:t>Verification of results indicating differential gene expression</w:t>
      </w:r>
    </w:p>
    <w:p w14:paraId="4EFFB01E" w14:textId="77777777" w:rsidR="00A77B3E" w:rsidRDefault="001A6207">
      <w:pPr>
        <w:spacing w:line="360" w:lineRule="auto"/>
        <w:jc w:val="both"/>
      </w:pPr>
      <w:r>
        <w:rPr>
          <w:rFonts w:ascii="Book Antiqua" w:eastAsia="Book Antiqua" w:hAnsi="Book Antiqua" w:cs="Book Antiqua"/>
          <w:color w:val="000000"/>
        </w:rPr>
        <w:t>We selected 10 differentially expressed genes according to their gene expression levels determined by high-throughput sequencing and verified the expression levels in two groups of retina samples by RT-PCR. The primer sequences used in this study are shown in Table 1. The results of quantitative verification by RT-PCR are shown in Figure 4.</w:t>
      </w:r>
    </w:p>
    <w:p w14:paraId="4214588C" w14:textId="77777777" w:rsidR="00A77B3E" w:rsidRDefault="00A77B3E">
      <w:pPr>
        <w:spacing w:line="360" w:lineRule="auto"/>
        <w:jc w:val="both"/>
      </w:pPr>
    </w:p>
    <w:p w14:paraId="2195D10C" w14:textId="35B82301" w:rsidR="00A77B3E" w:rsidRPr="000C09E3" w:rsidRDefault="001A6207">
      <w:pPr>
        <w:spacing w:line="360" w:lineRule="auto"/>
        <w:jc w:val="both"/>
        <w:rPr>
          <w:i/>
          <w:iCs/>
        </w:rPr>
      </w:pPr>
      <w:r w:rsidRPr="000C09E3">
        <w:rPr>
          <w:rFonts w:ascii="Book Antiqua" w:eastAsia="Book Antiqua" w:hAnsi="Book Antiqua" w:cs="Book Antiqua"/>
          <w:b/>
          <w:bCs/>
          <w:i/>
          <w:iCs/>
          <w:color w:val="000000"/>
        </w:rPr>
        <w:t>GO analysis</w:t>
      </w:r>
    </w:p>
    <w:p w14:paraId="0B817934" w14:textId="1507E7CE" w:rsidR="00A77B3E" w:rsidRDefault="001A6207">
      <w:pPr>
        <w:spacing w:line="360" w:lineRule="auto"/>
        <w:jc w:val="both"/>
      </w:pPr>
      <w:r>
        <w:rPr>
          <w:rFonts w:ascii="Book Antiqua" w:eastAsia="Book Antiqua" w:hAnsi="Book Antiqua" w:cs="Book Antiqua"/>
          <w:color w:val="000000"/>
        </w:rPr>
        <w:t>To further analyze the biological functions of differentially expressed genes in EG and CG mice, the GO and Kyoto Encyclopedia of Genes and Genomes (KEGG) analyses was performed. The results showed that the differentially expressed piRNAs were involved in many biological processes, such as sensory development, G-protein-coupled receptor signaling pathway, regulation of inflammatory factors, and visual development, which are potentially related to RNV (Figure 5).</w:t>
      </w:r>
    </w:p>
    <w:p w14:paraId="01136A14" w14:textId="77777777" w:rsidR="00A77B3E" w:rsidRDefault="00A77B3E">
      <w:pPr>
        <w:spacing w:line="360" w:lineRule="auto"/>
        <w:jc w:val="both"/>
      </w:pPr>
    </w:p>
    <w:p w14:paraId="60D93EDB" w14:textId="6B547F8F" w:rsidR="00A77B3E" w:rsidRPr="000C09E3" w:rsidRDefault="001A6207">
      <w:pPr>
        <w:spacing w:line="360" w:lineRule="auto"/>
        <w:jc w:val="both"/>
        <w:rPr>
          <w:i/>
          <w:iCs/>
        </w:rPr>
      </w:pPr>
      <w:r w:rsidRPr="000C09E3">
        <w:rPr>
          <w:rFonts w:ascii="Book Antiqua" w:eastAsia="Book Antiqua" w:hAnsi="Book Antiqua" w:cs="Book Antiqua"/>
          <w:b/>
          <w:bCs/>
          <w:i/>
          <w:iCs/>
          <w:color w:val="000000"/>
        </w:rPr>
        <w:t>KEGG analysis</w:t>
      </w:r>
    </w:p>
    <w:p w14:paraId="094D3D3E" w14:textId="77777777" w:rsidR="00A77B3E" w:rsidRDefault="001A6207">
      <w:pPr>
        <w:spacing w:line="360" w:lineRule="auto"/>
        <w:jc w:val="both"/>
      </w:pPr>
      <w:r>
        <w:rPr>
          <w:rFonts w:ascii="Book Antiqua" w:eastAsia="Book Antiqua" w:hAnsi="Book Antiqua" w:cs="Book Antiqua"/>
          <w:color w:val="000000"/>
        </w:rPr>
        <w:t>KEGG analysis of differentially expressed genes and proteins showed that the enriched pathways were mainly related to angiogenesis and cell proliferation and were strongly correlated with RNV (Figure 6).</w:t>
      </w:r>
    </w:p>
    <w:p w14:paraId="73331EC1" w14:textId="77777777" w:rsidR="00A77B3E" w:rsidRDefault="00A77B3E">
      <w:pPr>
        <w:spacing w:line="360" w:lineRule="auto"/>
        <w:jc w:val="both"/>
      </w:pPr>
    </w:p>
    <w:p w14:paraId="0B2FCAE7" w14:textId="77777777" w:rsidR="00A77B3E" w:rsidRPr="000C09E3" w:rsidRDefault="001A6207">
      <w:pPr>
        <w:spacing w:line="360" w:lineRule="auto"/>
        <w:jc w:val="both"/>
        <w:rPr>
          <w:i/>
          <w:iCs/>
        </w:rPr>
      </w:pPr>
      <w:r w:rsidRPr="000C09E3">
        <w:rPr>
          <w:rFonts w:ascii="Book Antiqua" w:eastAsia="Book Antiqua" w:hAnsi="Book Antiqua" w:cs="Book Antiqua"/>
          <w:b/>
          <w:bCs/>
          <w:i/>
          <w:iCs/>
          <w:color w:val="000000"/>
        </w:rPr>
        <w:lastRenderedPageBreak/>
        <w:t>Analysis of protein-protein interaction network</w:t>
      </w:r>
    </w:p>
    <w:p w14:paraId="4387ABE7" w14:textId="77777777" w:rsidR="00A77B3E" w:rsidRDefault="001A6207">
      <w:pPr>
        <w:spacing w:line="360" w:lineRule="auto"/>
        <w:jc w:val="both"/>
      </w:pPr>
      <w:r>
        <w:rPr>
          <w:rFonts w:ascii="Book Antiqua" w:eastAsia="Book Antiqua" w:hAnsi="Book Antiqua" w:cs="Book Antiqua"/>
          <w:color w:val="000000"/>
        </w:rPr>
        <w:t xml:space="preserve">We obtained piRNA-target gene pairs correlated with expression level to construct the network analysis diagram. We selected the </w:t>
      </w:r>
      <w:r w:rsidRPr="000C09E3">
        <w:rPr>
          <w:rFonts w:ascii="Book Antiqua" w:eastAsia="Book Antiqua" w:hAnsi="Book Antiqua" w:cs="Book Antiqua"/>
          <w:i/>
          <w:iCs/>
          <w:color w:val="000000"/>
        </w:rPr>
        <w:t>EPO</w:t>
      </w:r>
      <w:r>
        <w:rPr>
          <w:rFonts w:ascii="Book Antiqua" w:eastAsia="Book Antiqua" w:hAnsi="Book Antiqua" w:cs="Book Antiqua"/>
          <w:color w:val="000000"/>
        </w:rPr>
        <w:t xml:space="preserve">, </w:t>
      </w:r>
      <w:r w:rsidRPr="000C09E3">
        <w:rPr>
          <w:rFonts w:ascii="Book Antiqua" w:eastAsia="Book Antiqua" w:hAnsi="Book Antiqua" w:cs="Book Antiqua"/>
          <w:i/>
          <w:iCs/>
          <w:color w:val="000000"/>
        </w:rPr>
        <w:t>HIF-1α</w:t>
      </w:r>
      <w:r>
        <w:rPr>
          <w:rFonts w:ascii="Book Antiqua" w:eastAsia="Book Antiqua" w:hAnsi="Book Antiqua" w:cs="Book Antiqua"/>
          <w:color w:val="000000"/>
        </w:rPr>
        <w:t xml:space="preserve">, </w:t>
      </w:r>
      <w:r w:rsidRPr="000C09E3">
        <w:rPr>
          <w:rFonts w:ascii="Book Antiqua" w:eastAsia="Book Antiqua" w:hAnsi="Book Antiqua" w:cs="Book Antiqua"/>
          <w:i/>
          <w:iCs/>
          <w:color w:val="000000"/>
        </w:rPr>
        <w:t>IGF1</w:t>
      </w:r>
      <w:r>
        <w:rPr>
          <w:rFonts w:ascii="Book Antiqua" w:eastAsia="Book Antiqua" w:hAnsi="Book Antiqua" w:cs="Book Antiqua"/>
          <w:color w:val="000000"/>
        </w:rPr>
        <w:t xml:space="preserve">, and </w:t>
      </w:r>
      <w:r w:rsidRPr="000C09E3">
        <w:rPr>
          <w:rFonts w:ascii="Book Antiqua" w:eastAsia="Book Antiqua" w:hAnsi="Book Antiqua" w:cs="Book Antiqua"/>
          <w:i/>
          <w:iCs/>
          <w:color w:val="000000"/>
        </w:rPr>
        <w:t>TGF-β2</w:t>
      </w:r>
      <w:r>
        <w:rPr>
          <w:rFonts w:ascii="Book Antiqua" w:eastAsia="Book Antiqua" w:hAnsi="Book Antiqua" w:cs="Book Antiqua"/>
          <w:color w:val="000000"/>
        </w:rPr>
        <w:t xml:space="preserve"> genes, which are potentially related to RNV, to construct the interaction analysis diagram (Figure 7).</w:t>
      </w:r>
    </w:p>
    <w:p w14:paraId="46DA884C" w14:textId="77777777" w:rsidR="00A77B3E" w:rsidRDefault="00A77B3E">
      <w:pPr>
        <w:spacing w:line="360" w:lineRule="auto"/>
        <w:jc w:val="both"/>
      </w:pPr>
    </w:p>
    <w:p w14:paraId="48AB9B1C" w14:textId="77777777" w:rsidR="00A77B3E" w:rsidRDefault="001A6207">
      <w:pPr>
        <w:spacing w:line="360" w:lineRule="auto"/>
        <w:jc w:val="both"/>
      </w:pPr>
      <w:r>
        <w:rPr>
          <w:rFonts w:ascii="Book Antiqua" w:eastAsia="Book Antiqua" w:hAnsi="Book Antiqua" w:cs="Book Antiqua"/>
          <w:b/>
          <w:caps/>
          <w:color w:val="000000"/>
          <w:u w:val="single"/>
        </w:rPr>
        <w:t>DISCUSSION</w:t>
      </w:r>
    </w:p>
    <w:p w14:paraId="62990F13" w14:textId="77777777" w:rsidR="00FA7EE8" w:rsidRDefault="001A6207" w:rsidP="000C09E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Non-coding RNA is involved in the occurrence and development of several diseases. Numerous studies have shown that non-coding RNA is an important factor in the pathophysiological changes leading to malignant tumors and vascular diseases</w:t>
      </w:r>
      <w:r>
        <w:rPr>
          <w:rFonts w:ascii="Book Antiqua" w:eastAsia="Book Antiqua" w:hAnsi="Book Antiqua" w:cs="Book Antiqua"/>
          <w:color w:val="000000"/>
          <w:vertAlign w:val="superscript"/>
        </w:rPr>
        <w:t>[23]</w:t>
      </w:r>
      <w:r>
        <w:rPr>
          <w:rFonts w:ascii="Book Antiqua" w:eastAsia="Book Antiqua" w:hAnsi="Book Antiqua" w:cs="Book Antiqua"/>
          <w:color w:val="000000"/>
        </w:rPr>
        <w:t>. piRNA is a type of small non-coding RNA with an important role in animal development, reproduction, and gene regulation</w:t>
      </w:r>
      <w:r>
        <w:rPr>
          <w:rFonts w:ascii="Book Antiqua" w:eastAsia="Book Antiqua" w:hAnsi="Book Antiqua" w:cs="Book Antiqua"/>
          <w:color w:val="000000"/>
          <w:vertAlign w:val="superscript"/>
        </w:rPr>
        <w:t>[10,24]</w:t>
      </w:r>
      <w:r>
        <w:rPr>
          <w:rFonts w:ascii="Book Antiqua" w:eastAsia="Book Antiqua" w:hAnsi="Book Antiqua" w:cs="Book Antiqua"/>
          <w:color w:val="000000"/>
        </w:rPr>
        <w:t>. To date, 23439 piRNAs have been identified in the human genome, which is equivalent to the number of proteins encoded by mRNA (about 20000) and more than the number of miRNAs. These numbers indicate that piRNAs play an important role in regulating gene transcription</w:t>
      </w:r>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w:t>
      </w:r>
    </w:p>
    <w:p w14:paraId="5FB6B9A0" w14:textId="77777777" w:rsidR="00FA7EE8" w:rsidRDefault="001A6207" w:rsidP="00FA7EE8">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After transcription, PIWI protein cleavage and amplification as well as piRNA clusters eventually form mature piRNAs having biological activity by forming PIRISC</w:t>
      </w:r>
      <w:r>
        <w:rPr>
          <w:rFonts w:ascii="Book Antiqua" w:eastAsia="Book Antiqua" w:hAnsi="Book Antiqua" w:cs="Book Antiqua"/>
          <w:color w:val="000000"/>
          <w:vertAlign w:val="superscript"/>
        </w:rPr>
        <w:t>[27]</w:t>
      </w:r>
      <w:r>
        <w:rPr>
          <w:rFonts w:ascii="Book Antiqua" w:eastAsia="Book Antiqua" w:hAnsi="Book Antiqua" w:cs="Book Antiqua"/>
          <w:color w:val="000000"/>
        </w:rPr>
        <w:t>. PIRISC, a silencing complex formed by piRNA and PIWI protein, can inhibit its target by transcriptional gene silencing and post-transcriptional gene silencing to maintain the genomic integrity of the germline</w:t>
      </w:r>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PIRSIC regulates transposon expression at the transcriptional level by inducing epigenetic repression </w:t>
      </w:r>
      <w:r>
        <w:rPr>
          <w:rFonts w:ascii="Book Antiqua" w:eastAsia="Book Antiqua" w:hAnsi="Book Antiqua" w:cs="Book Antiqua"/>
          <w:i/>
          <w:iCs/>
          <w:color w:val="000000"/>
          <w:szCs w:val="21"/>
        </w:rPr>
        <w:t>via</w:t>
      </w:r>
      <w:r>
        <w:rPr>
          <w:rFonts w:ascii="Book Antiqua" w:eastAsia="Book Antiqua" w:hAnsi="Book Antiqua" w:cs="Book Antiqua"/>
          <w:color w:val="000000"/>
        </w:rPr>
        <w:t xml:space="preserve"> histone H3K9me3 and DNA methylation</w:t>
      </w:r>
      <w:r>
        <w:rPr>
          <w:rFonts w:ascii="Book Antiqua" w:eastAsia="Book Antiqua" w:hAnsi="Book Antiqua" w:cs="Book Antiqua"/>
          <w:color w:val="000000"/>
          <w:vertAlign w:val="superscript"/>
        </w:rPr>
        <w:t>[29]</w:t>
      </w:r>
      <w:r>
        <w:rPr>
          <w:rFonts w:ascii="Book Antiqua" w:eastAsia="Book Antiqua" w:hAnsi="Book Antiqua" w:cs="Book Antiqua"/>
          <w:color w:val="000000"/>
        </w:rPr>
        <w:t>. Some studies report a larger number of allowed mismatches between target mRNA and piRNA as opposed to between target mRNA and miRNA</w:t>
      </w:r>
      <w:r>
        <w:rPr>
          <w:rFonts w:ascii="Book Antiqua" w:eastAsia="Book Antiqua" w:hAnsi="Book Antiqua" w:cs="Book Antiqua"/>
          <w:color w:val="000000"/>
          <w:vertAlign w:val="superscript"/>
        </w:rPr>
        <w:t>[30]</w:t>
      </w:r>
      <w:r>
        <w:rPr>
          <w:rFonts w:ascii="Book Antiqua" w:eastAsia="Book Antiqua" w:hAnsi="Book Antiqua" w:cs="Book Antiqua"/>
          <w:color w:val="000000"/>
        </w:rPr>
        <w:t>. siRNA and miRNA are easily and rapidly degraded by nucleases, whereas piRNA is relatively stable in the serum, and thus has the potential to serve as a marker for diagnosis and prediction of disease progression</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t>
      </w:r>
    </w:p>
    <w:p w14:paraId="7A6A504B" w14:textId="1AC52529" w:rsidR="00A77B3E" w:rsidRDefault="001A6207" w:rsidP="0001359F">
      <w:pPr>
        <w:spacing w:line="360" w:lineRule="auto"/>
        <w:ind w:firstLine="240"/>
        <w:jc w:val="both"/>
      </w:pPr>
      <w:r>
        <w:rPr>
          <w:rFonts w:ascii="Book Antiqua" w:eastAsia="Book Antiqua" w:hAnsi="Book Antiqua" w:cs="Book Antiqua"/>
          <w:color w:val="000000"/>
        </w:rPr>
        <w:t>piRNAs are presently thought to act mainly in somatic cells and cancer tissues and are involved in cell proliferation, apoptosis, cell cycle arrest, angiogenesis, invasion, and metastasis</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Moreover, studies have shown that PIRISC may participate in tumorigenesis by inducing abnormal DNA methylation, which leads to genomic </w:t>
      </w:r>
      <w:r>
        <w:rPr>
          <w:rFonts w:ascii="Book Antiqua" w:eastAsia="Book Antiqua" w:hAnsi="Book Antiqua" w:cs="Book Antiqua"/>
          <w:color w:val="000000"/>
        </w:rPr>
        <w:lastRenderedPageBreak/>
        <w:t>silencing</w:t>
      </w:r>
      <w:r>
        <w:rPr>
          <w:rFonts w:ascii="Book Antiqua" w:eastAsia="Book Antiqua" w:hAnsi="Book Antiqua" w:cs="Book Antiqua"/>
          <w:color w:val="000000"/>
          <w:vertAlign w:val="superscript"/>
        </w:rPr>
        <w:t>[33]</w:t>
      </w:r>
      <w:r>
        <w:rPr>
          <w:rFonts w:ascii="Book Antiqua" w:eastAsia="Book Antiqua" w:hAnsi="Book Antiqua" w:cs="Book Antiqua"/>
          <w:color w:val="000000"/>
        </w:rPr>
        <w:t>. Further, the piRNA-30473/WTAP/HK2 axis promotes the occurrence of breast cancer by regulating the methylation of m6A RNA in diffuse large B-cell lymphoma</w:t>
      </w:r>
      <w:r>
        <w:rPr>
          <w:rFonts w:ascii="Book Antiqua" w:eastAsia="Book Antiqua" w:hAnsi="Book Antiqua" w:cs="Book Antiqua"/>
          <w:color w:val="000000"/>
          <w:vertAlign w:val="superscript"/>
        </w:rPr>
        <w:t>[34]</w:t>
      </w:r>
      <w:r>
        <w:rPr>
          <w:rFonts w:ascii="Book Antiqua" w:eastAsia="Book Antiqua" w:hAnsi="Book Antiqua" w:cs="Book Antiqua"/>
          <w:color w:val="000000"/>
        </w:rPr>
        <w:t>. piRNA-19166 inhibits cell migration and metastasis through the cortactin/mitochondrial membrane potential pathway in prostate cancer</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piRNA-823 promotes the angiogenesis of endothelial cells by promoting the secretion of VEGF and </w:t>
      </w:r>
      <w:bookmarkStart w:id="2" w:name="_Hlk58003126"/>
      <w:r w:rsidR="000C09E3" w:rsidRPr="003F43AD">
        <w:rPr>
          <w:rFonts w:ascii="Book Antiqua" w:eastAsia="Book Antiqua" w:hAnsi="Book Antiqua" w:cs="Book Antiqua"/>
          <w:color w:val="000000"/>
        </w:rPr>
        <w:t>interleukin</w:t>
      </w:r>
      <w:bookmarkEnd w:id="2"/>
      <w:r w:rsidR="000C09E3">
        <w:rPr>
          <w:rFonts w:ascii="Book Antiqua" w:eastAsia="Book Antiqua" w:hAnsi="Book Antiqua" w:cs="Book Antiqua"/>
          <w:color w:val="000000"/>
        </w:rPr>
        <w:t xml:space="preserve"> </w:t>
      </w:r>
      <w:r>
        <w:rPr>
          <w:rFonts w:ascii="Book Antiqua" w:eastAsia="Book Antiqua" w:hAnsi="Book Antiqua" w:cs="Book Antiqua"/>
          <w:color w:val="000000"/>
        </w:rPr>
        <w:t>-6. It also enhances the invasion of endothelial cells by inducing the expression of ICAM-1 and CXCR4</w:t>
      </w:r>
      <w:r>
        <w:rPr>
          <w:rFonts w:ascii="Book Antiqua" w:eastAsia="Book Antiqua" w:hAnsi="Book Antiqua" w:cs="Book Antiqua"/>
          <w:color w:val="000000"/>
          <w:vertAlign w:val="superscript"/>
        </w:rPr>
        <w:t>[36]</w:t>
      </w:r>
      <w:r>
        <w:rPr>
          <w:rFonts w:ascii="Book Antiqua" w:eastAsia="Book Antiqua" w:hAnsi="Book Antiqua" w:cs="Book Antiqua"/>
          <w:color w:val="000000"/>
        </w:rPr>
        <w:t>. Downregulation of piRNA-36712 expression is known to result in upregulation of SEPW1 expression, which in turn inhibits the expression of its downstream gene p53 and therefore it suppresses the formation of malignant tumors</w:t>
      </w:r>
      <w:r>
        <w:rPr>
          <w:rFonts w:ascii="Book Antiqua" w:eastAsia="Book Antiqua" w:hAnsi="Book Antiqua" w:cs="Book Antiqua"/>
          <w:color w:val="000000"/>
          <w:vertAlign w:val="superscript"/>
        </w:rPr>
        <w:t>[37]</w:t>
      </w:r>
      <w:r>
        <w:rPr>
          <w:rFonts w:ascii="Book Antiqua" w:eastAsia="Book Antiqua" w:hAnsi="Book Antiqua" w:cs="Book Antiqua"/>
          <w:color w:val="000000"/>
        </w:rPr>
        <w:t>. In addition, piRNA plays an important role in gastric cancer, liver cancer, glioma, and other diseases. Based on these correlations, piRNA is expected to serve as a new target for cancer treatment</w:t>
      </w:r>
      <w:r>
        <w:rPr>
          <w:rFonts w:ascii="Book Antiqua" w:eastAsia="Book Antiqua" w:hAnsi="Book Antiqua" w:cs="Book Antiqua"/>
          <w:color w:val="000000"/>
          <w:vertAlign w:val="superscript"/>
        </w:rPr>
        <w:t>[6,10,38]</w:t>
      </w:r>
      <w:r>
        <w:rPr>
          <w:rFonts w:ascii="Book Antiqua" w:eastAsia="Book Antiqua" w:hAnsi="Book Antiqua" w:cs="Book Antiqua"/>
          <w:color w:val="000000"/>
        </w:rPr>
        <w:t>.</w:t>
      </w:r>
    </w:p>
    <w:p w14:paraId="5B974641" w14:textId="4189B25F" w:rsidR="00A77B3E" w:rsidRDefault="001A6207" w:rsidP="000C09E3">
      <w:pPr>
        <w:spacing w:line="360" w:lineRule="auto"/>
        <w:ind w:firstLineChars="100" w:firstLine="240"/>
        <w:jc w:val="both"/>
      </w:pPr>
      <w:r>
        <w:rPr>
          <w:rFonts w:ascii="Book Antiqua" w:eastAsia="Book Antiqua" w:hAnsi="Book Antiqua" w:cs="Book Antiqua"/>
          <w:color w:val="000000"/>
          <w:szCs w:val="21"/>
        </w:rPr>
        <w:t xml:space="preserve">There are many models for the study of DR. At present, the model of </w:t>
      </w:r>
      <w:r w:rsidR="00C562CD">
        <w:rPr>
          <w:rFonts w:ascii="Book Antiqua" w:eastAsia="Book Antiqua" w:hAnsi="Book Antiqua" w:cs="Book Antiqua"/>
          <w:color w:val="000000"/>
        </w:rPr>
        <w:t>RNV</w:t>
      </w:r>
      <w:r>
        <w:rPr>
          <w:rFonts w:ascii="Book Antiqua" w:eastAsia="Book Antiqua" w:hAnsi="Book Antiqua" w:cs="Book Antiqua"/>
          <w:color w:val="000000"/>
          <w:szCs w:val="21"/>
        </w:rPr>
        <w:t xml:space="preserve"> and vascular leakage without hyperglycemia has been applied. This model simulates PDR or the process to be developed from </w:t>
      </w:r>
      <w:r w:rsidR="000C09E3">
        <w:rPr>
          <w:rFonts w:ascii="Book Antiqua" w:eastAsia="Book Antiqua" w:hAnsi="Book Antiqua" w:cs="Book Antiqua"/>
          <w:color w:val="000000"/>
        </w:rPr>
        <w:t>non-PDR (NPDR)</w:t>
      </w:r>
      <w:r>
        <w:rPr>
          <w:rFonts w:ascii="Book Antiqua" w:eastAsia="Book Antiqua" w:hAnsi="Book Antiqua" w:cs="Book Antiqua"/>
          <w:color w:val="000000"/>
          <w:szCs w:val="21"/>
        </w:rPr>
        <w:t xml:space="preserve"> to PDR. The retinopathy injury caused by hypoxia is due to the occurrence of the release of angiogenesis actors, presented with </w:t>
      </w:r>
      <w:commentRangeStart w:id="3"/>
      <w:r>
        <w:rPr>
          <w:rFonts w:ascii="Book Antiqua" w:eastAsia="Book Antiqua" w:hAnsi="Book Antiqua" w:cs="Book Antiqua"/>
          <w:color w:val="000000"/>
          <w:szCs w:val="21"/>
        </w:rPr>
        <w:t>microhemangiomas</w:t>
      </w:r>
      <w:commentRangeEnd w:id="3"/>
      <w:r w:rsidR="00FA7EE8">
        <w:rPr>
          <w:rStyle w:val="a3"/>
        </w:rPr>
        <w:commentReference w:id="3"/>
      </w:r>
      <w:r>
        <w:rPr>
          <w:rFonts w:ascii="Book Antiqua" w:eastAsia="Book Antiqua" w:hAnsi="Book Antiqua" w:cs="Book Antiqua"/>
          <w:color w:val="000000"/>
          <w:szCs w:val="21"/>
        </w:rPr>
        <w:t>, vascular leakage, venous occlusion, capillary in</w:t>
      </w:r>
      <w:r w:rsidR="000C09E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perfusion, neovascularization, and even vitreous hemorrhage, and retinal detachment</w:t>
      </w:r>
      <w:r>
        <w:rPr>
          <w:rFonts w:ascii="Book Antiqua" w:eastAsia="Book Antiqua" w:hAnsi="Book Antiqua" w:cs="Book Antiqua"/>
          <w:color w:val="000000"/>
          <w:vertAlign w:val="superscript"/>
        </w:rPr>
        <w:t>[16]</w:t>
      </w:r>
      <w:r>
        <w:rPr>
          <w:rFonts w:ascii="Book Antiqua" w:eastAsia="Book Antiqua" w:hAnsi="Book Antiqua" w:cs="Book Antiqua"/>
          <w:color w:val="000000"/>
          <w:szCs w:val="21"/>
        </w:rPr>
        <w:t>.</w:t>
      </w:r>
      <w:r w:rsidR="000C09E3">
        <w:rPr>
          <w:rFonts w:ascii="Book Antiqua" w:eastAsia="Book Antiqua" w:hAnsi="Book Antiqua" w:cs="Book Antiqua"/>
          <w:color w:val="000000"/>
          <w:szCs w:val="21"/>
        </w:rPr>
        <w:t xml:space="preserve"> </w:t>
      </w:r>
      <w:r>
        <w:rPr>
          <w:rFonts w:ascii="Book Antiqua" w:eastAsia="Book Antiqua" w:hAnsi="Book Antiqua" w:cs="Book Antiqua"/>
          <w:color w:val="000000"/>
        </w:rPr>
        <w:t>There are notable nonperfusion areas in the center of the retina, the central great vessels are tortuous, and the number of vascular nuclei breaking through the inner limiting membrane is significantly increased, which are important factors indicating the success of the EG</w:t>
      </w:r>
      <w:r>
        <w:rPr>
          <w:rFonts w:ascii="Book Antiqua" w:eastAsia="Book Antiqua" w:hAnsi="Book Antiqua" w:cs="Book Antiqua"/>
          <w:color w:val="000000"/>
          <w:vertAlign w:val="superscript"/>
        </w:rPr>
        <w:t>[</w:t>
      </w:r>
      <w:r w:rsidR="000C09E3">
        <w:rPr>
          <w:rFonts w:ascii="Book Antiqua" w:eastAsia="Book Antiqua" w:hAnsi="Book Antiqua" w:cs="Book Antiqua"/>
          <w:color w:val="000000"/>
          <w:vertAlign w:val="superscript"/>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HE staining of retinal slices and paraffin sections of EG samples showed that there were large areas of nonperfusion, neovascularization, and vascular endothelial cells breaking through the inner limiting membrane in the retina.</w:t>
      </w:r>
    </w:p>
    <w:p w14:paraId="047D6B8F" w14:textId="77777777" w:rsidR="00FA7EE8" w:rsidRDefault="001A6207" w:rsidP="000C09E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DR is one of the most common microvascular diseases of diabetes and also the main cause of blindness in diabetic patients</w:t>
      </w:r>
      <w:r>
        <w:rPr>
          <w:rFonts w:ascii="Book Antiqua" w:eastAsia="Book Antiqua" w:hAnsi="Book Antiqua" w:cs="Book Antiqua"/>
          <w:color w:val="000000"/>
          <w:vertAlign w:val="superscript"/>
        </w:rPr>
        <w:t>[</w:t>
      </w:r>
      <w:r w:rsidR="000C09E3">
        <w:rPr>
          <w:rFonts w:ascii="Book Antiqua" w:eastAsia="Book Antiqua" w:hAnsi="Book Antiqua" w:cs="Book Antiqua"/>
          <w:color w:val="00000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Studies have shown that DR occurs in both type 1 diabetes and type 2 diabetes</w:t>
      </w:r>
      <w:r>
        <w:rPr>
          <w:rFonts w:ascii="Book Antiqua" w:eastAsia="Book Antiqua" w:hAnsi="Book Antiqua" w:cs="Book Antiqua"/>
          <w:color w:val="000000"/>
          <w:vertAlign w:val="superscript"/>
        </w:rPr>
        <w:t>[41]</w:t>
      </w:r>
      <w:r>
        <w:rPr>
          <w:rFonts w:ascii="Book Antiqua" w:eastAsia="Book Antiqua" w:hAnsi="Book Antiqua" w:cs="Book Antiqua"/>
          <w:color w:val="000000"/>
        </w:rPr>
        <w:t>. With the increase in the number of diabetic patients, DR has become the main cause of visual impairment in diabetic patients</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The whole pathological process of DR includes important pathological changes such as loss of retinal </w:t>
      </w:r>
      <w:r>
        <w:rPr>
          <w:rFonts w:ascii="Book Antiqua" w:eastAsia="Book Antiqua" w:hAnsi="Book Antiqua" w:cs="Book Antiqua"/>
          <w:color w:val="000000"/>
        </w:rPr>
        <w:lastRenderedPageBreak/>
        <w:t xml:space="preserve">capillary pericytes, thickening of basement membrane, loss of endothelial barrier function, destruction of blood-retinal barrier, and lead to retinal ischemia, which will increase the level of VEGF. Studies have shown that overexpression of VEGF is associated with </w:t>
      </w:r>
      <w:r w:rsidR="00C562CD">
        <w:rPr>
          <w:rFonts w:ascii="Book Antiqua" w:eastAsia="Book Antiqua" w:hAnsi="Book Antiqua" w:cs="Book Antiqua"/>
          <w:color w:val="000000"/>
        </w:rPr>
        <w:t>RNV</w:t>
      </w:r>
      <w:r>
        <w:rPr>
          <w:rFonts w:ascii="Book Antiqua" w:eastAsia="Book Antiqua" w:hAnsi="Book Antiqua" w:cs="Book Antiqua"/>
          <w:color w:val="000000"/>
        </w:rPr>
        <w:t xml:space="preserve">, which can cause retinal hemorrhage, macular edema, retinal detachment, and neovascularization glaucoma, </w:t>
      </w:r>
      <w:r>
        <w:rPr>
          <w:rFonts w:ascii="Book Antiqua" w:eastAsia="Book Antiqua" w:hAnsi="Book Antiqua" w:cs="Book Antiqua"/>
          <w:i/>
          <w:iCs/>
          <w:color w:val="000000"/>
          <w:szCs w:val="21"/>
        </w:rPr>
        <w:t>etc.</w:t>
      </w:r>
      <w:r>
        <w:rPr>
          <w:rFonts w:ascii="Book Antiqua" w:eastAsia="Book Antiqua" w:hAnsi="Book Antiqua" w:cs="Book Antiqua"/>
          <w:color w:val="000000"/>
        </w:rPr>
        <w:t xml:space="preserve">, leading to severe visual impairment and eventually blindness. </w:t>
      </w:r>
    </w:p>
    <w:p w14:paraId="4647B6D6" w14:textId="6C65ED6B" w:rsidR="00FA7EE8" w:rsidRDefault="001A6207" w:rsidP="000C09E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development of DR </w:t>
      </w:r>
      <w:r w:rsidR="00ED78C4">
        <w:rPr>
          <w:rFonts w:ascii="Book Antiqua" w:eastAsia="Book Antiqua" w:hAnsi="Book Antiqua" w:cs="Book Antiqua" w:hint="eastAsia"/>
          <w:color w:val="000000"/>
          <w:lang w:eastAsia="zh-CN"/>
        </w:rPr>
        <w:t>in</w:t>
      </w:r>
      <w:r w:rsidR="00147335">
        <w:rPr>
          <w:rFonts w:ascii="Book Antiqua" w:eastAsia="Book Antiqua" w:hAnsi="Book Antiqua" w:cs="Book Antiqua"/>
          <w:color w:val="000000"/>
          <w:lang w:eastAsia="zh-CN"/>
        </w:rPr>
        <w:t>volves</w:t>
      </w:r>
      <w:r>
        <w:rPr>
          <w:rFonts w:ascii="Book Antiqua" w:eastAsia="Book Antiqua" w:hAnsi="Book Antiqua" w:cs="Book Antiqua"/>
          <w:color w:val="000000"/>
        </w:rPr>
        <w:t xml:space="preserve"> two stages:</w:t>
      </w:r>
      <w:r w:rsidR="000C09E3">
        <w:rPr>
          <w:rFonts w:ascii="Book Antiqua" w:eastAsia="Book Antiqua" w:hAnsi="Book Antiqua" w:cs="Book Antiqua"/>
          <w:color w:val="000000"/>
        </w:rPr>
        <w:t xml:space="preserve"> </w:t>
      </w:r>
      <w:r>
        <w:rPr>
          <w:rFonts w:ascii="Book Antiqua" w:eastAsia="Book Antiqua" w:hAnsi="Book Antiqua" w:cs="Book Antiqua"/>
          <w:color w:val="000000"/>
        </w:rPr>
        <w:t xml:space="preserve">early NPDR and advanced PDR. The former is mainly characterized by increased retinal permeability and intraretinal hemorrhage, while the latter is mainly manifested by </w:t>
      </w:r>
      <w:r w:rsidR="00C562CD">
        <w:rPr>
          <w:rFonts w:ascii="Book Antiqua" w:eastAsia="Book Antiqua" w:hAnsi="Book Antiqua" w:cs="Book Antiqua"/>
          <w:color w:val="000000"/>
        </w:rPr>
        <w:t>RNV</w:t>
      </w:r>
      <w:r>
        <w:rPr>
          <w:rFonts w:ascii="Book Antiqua" w:eastAsia="Book Antiqua" w:hAnsi="Book Antiqua" w:cs="Book Antiqua"/>
          <w:color w:val="000000"/>
        </w:rPr>
        <w:t>. In NPDR, high glucose induced retinopathy mainly includes loss of capillary pericytes, thinning of the vascular layer and destruction of the blood-retinal barrier, which further leads to retinal ischemia and hypoxia. When the disease progresses to PDR, neovascularization occurs and eventually leads to severe visual impairment.</w:t>
      </w:r>
      <w:r w:rsidR="008A102F">
        <w:rPr>
          <w:rFonts w:ascii="Book Antiqua" w:eastAsia="Book Antiqua" w:hAnsi="Book Antiqua" w:cs="Book Antiqua"/>
          <w:color w:val="000000"/>
        </w:rPr>
        <w:t xml:space="preserve"> </w:t>
      </w:r>
      <w:r>
        <w:rPr>
          <w:rFonts w:ascii="Book Antiqua" w:eastAsia="Book Antiqua" w:hAnsi="Book Antiqua" w:cs="Book Antiqua"/>
          <w:color w:val="000000"/>
        </w:rPr>
        <w:t xml:space="preserve">RNV is a common pathological change in many retinopathies, including </w:t>
      </w:r>
      <w:r w:rsidR="00C562CD">
        <w:rPr>
          <w:rFonts w:ascii="Book Antiqua" w:eastAsia="Book Antiqua" w:hAnsi="Book Antiqua" w:cs="Book Antiqua"/>
          <w:color w:val="000000"/>
        </w:rPr>
        <w:t>DR</w:t>
      </w:r>
      <w:r>
        <w:rPr>
          <w:rFonts w:ascii="Book Antiqua" w:eastAsia="Book Antiqua" w:hAnsi="Book Antiqua" w:cs="Book Antiqua"/>
          <w:color w:val="000000"/>
        </w:rPr>
        <w:t xml:space="preserve">, retinopathy of prematurity, and age-related macular degeneration. </w:t>
      </w:r>
    </w:p>
    <w:p w14:paraId="556F12F0" w14:textId="59C71A45" w:rsidR="00A77B3E" w:rsidRDefault="001A6207" w:rsidP="000C09E3">
      <w:pPr>
        <w:spacing w:line="360" w:lineRule="auto"/>
        <w:ind w:firstLineChars="100" w:firstLine="240"/>
        <w:jc w:val="both"/>
      </w:pPr>
      <w:r>
        <w:rPr>
          <w:rFonts w:ascii="Book Antiqua" w:eastAsia="Book Antiqua" w:hAnsi="Book Antiqua" w:cs="Book Antiqua"/>
          <w:color w:val="000000"/>
        </w:rPr>
        <w:t xml:space="preserve">The common feature of clinical treatment of RNV as well as malignant tumors is treatment with targeted drugs, mainly anti-VEGF drugs. However, targeted drugs against RNV have short action time and require multiple intraocular injections, creating safety risks. Based on of the findings of previous studies on the role of piRNA in cancers and neovascularization-related diseases, we compared piRNA expression levels between the DR model and </w:t>
      </w:r>
      <w:r w:rsidR="00C562CD">
        <w:rPr>
          <w:rFonts w:ascii="Book Antiqua" w:eastAsia="Book Antiqua" w:hAnsi="Book Antiqua" w:cs="Book Antiqua"/>
          <w:color w:val="000000"/>
        </w:rPr>
        <w:t>CG</w:t>
      </w:r>
      <w:r>
        <w:rPr>
          <w:rFonts w:ascii="Book Antiqua" w:eastAsia="Book Antiqua" w:hAnsi="Book Antiqua" w:cs="Book Antiqua"/>
          <w:color w:val="000000"/>
        </w:rPr>
        <w:t xml:space="preserve">s. The results revealed </w:t>
      </w:r>
      <w:r w:rsidR="00785BAF">
        <w:rPr>
          <w:rFonts w:ascii="Book Antiqua" w:eastAsia="Book Antiqua" w:hAnsi="Book Antiqua" w:cs="Book Antiqua"/>
          <w:color w:val="000000"/>
        </w:rPr>
        <w:t xml:space="preserve">79 </w:t>
      </w:r>
      <w:r>
        <w:rPr>
          <w:rFonts w:ascii="Book Antiqua" w:eastAsia="Book Antiqua" w:hAnsi="Book Antiqua" w:cs="Book Antiqua"/>
          <w:color w:val="000000"/>
        </w:rPr>
        <w:t xml:space="preserve">piRNAs with differential expression in </w:t>
      </w:r>
      <w:r w:rsidR="00785BAF">
        <w:rPr>
          <w:rFonts w:ascii="Book Antiqua" w:eastAsia="Book Antiqua" w:hAnsi="Book Antiqua" w:cs="Book Antiqua"/>
          <w:color w:val="000000"/>
        </w:rPr>
        <w:t xml:space="preserve">EG </w:t>
      </w:r>
      <w:r>
        <w:rPr>
          <w:rFonts w:ascii="Book Antiqua" w:eastAsia="Book Antiqua" w:hAnsi="Book Antiqua" w:cs="Book Antiqua"/>
          <w:color w:val="000000"/>
        </w:rPr>
        <w:t xml:space="preserve">and </w:t>
      </w:r>
      <w:r w:rsidR="00785BAF">
        <w:rPr>
          <w:rFonts w:ascii="Book Antiqua" w:eastAsia="Book Antiqua" w:hAnsi="Book Antiqua" w:cs="Book Antiqua"/>
          <w:color w:val="000000"/>
        </w:rPr>
        <w:t>CG.</w:t>
      </w:r>
      <w:r>
        <w:rPr>
          <w:rFonts w:ascii="Book Antiqua" w:eastAsia="Book Antiqua" w:hAnsi="Book Antiqua" w:cs="Book Antiqua"/>
          <w:color w:val="000000"/>
        </w:rPr>
        <w:t xml:space="preserve"> Through GO and KEGG analysis, we established that the mRNA of the differentially expressed piRNAs was involved in processes such as angiogenesis, optic nerve development, inflammation, and proliferation of cells. Among them, </w:t>
      </w:r>
      <w:r w:rsidRPr="008A102F">
        <w:rPr>
          <w:rFonts w:ascii="Book Antiqua" w:eastAsia="Book Antiqua" w:hAnsi="Book Antiqua" w:cs="Book Antiqua"/>
          <w:i/>
          <w:iCs/>
          <w:color w:val="000000"/>
        </w:rPr>
        <w:t>EPO</w:t>
      </w:r>
      <w:r w:rsidRPr="008A102F">
        <w:rPr>
          <w:rFonts w:ascii="Book Antiqua" w:eastAsia="Book Antiqua" w:hAnsi="Book Antiqua" w:cs="Book Antiqua"/>
          <w:color w:val="000000"/>
        </w:rPr>
        <w:t xml:space="preserve">, </w:t>
      </w:r>
      <w:r w:rsidRPr="008A102F">
        <w:rPr>
          <w:rFonts w:ascii="Book Antiqua" w:eastAsia="Book Antiqua" w:hAnsi="Book Antiqua" w:cs="Book Antiqua"/>
          <w:i/>
          <w:iCs/>
          <w:color w:val="000000"/>
        </w:rPr>
        <w:t>HIF-1α</w:t>
      </w:r>
      <w:r w:rsidRPr="008A102F">
        <w:rPr>
          <w:rFonts w:ascii="Book Antiqua" w:eastAsia="Book Antiqua" w:hAnsi="Book Antiqua" w:cs="Book Antiqua"/>
          <w:color w:val="000000"/>
        </w:rPr>
        <w:t xml:space="preserve">, </w:t>
      </w:r>
      <w:r w:rsidRPr="008A102F">
        <w:rPr>
          <w:rFonts w:ascii="Book Antiqua" w:eastAsia="Book Antiqua" w:hAnsi="Book Antiqua" w:cs="Book Antiqua"/>
          <w:i/>
          <w:iCs/>
          <w:color w:val="000000"/>
        </w:rPr>
        <w:t>IGF1</w:t>
      </w:r>
      <w:r w:rsidRPr="008A102F">
        <w:rPr>
          <w:rFonts w:ascii="Book Antiqua" w:eastAsia="Book Antiqua" w:hAnsi="Book Antiqua" w:cs="Book Antiqua"/>
          <w:color w:val="000000"/>
        </w:rPr>
        <w:t xml:space="preserve">, </w:t>
      </w:r>
      <w:r w:rsidRPr="008A102F">
        <w:rPr>
          <w:rFonts w:ascii="Book Antiqua" w:eastAsia="Book Antiqua" w:hAnsi="Book Antiqua" w:cs="Book Antiqua"/>
          <w:i/>
          <w:iCs/>
          <w:color w:val="000000"/>
        </w:rPr>
        <w:t>TGF-β2</w:t>
      </w:r>
      <w:r w:rsidRPr="008A102F">
        <w:rPr>
          <w:rFonts w:ascii="Book Antiqua" w:eastAsia="Book Antiqua" w:hAnsi="Book Antiqua" w:cs="Book Antiqua"/>
          <w:color w:val="000000"/>
        </w:rPr>
        <w:t xml:space="preserve">, </w:t>
      </w:r>
      <w:r>
        <w:rPr>
          <w:rFonts w:ascii="Book Antiqua" w:eastAsia="Book Antiqua" w:hAnsi="Book Antiqua" w:cs="Book Antiqua"/>
          <w:color w:val="000000"/>
        </w:rPr>
        <w:t xml:space="preserve">and other genes are closely related to angiogenesis. Interestingly, a change in </w:t>
      </w:r>
      <w:r w:rsidRPr="008A102F">
        <w:rPr>
          <w:rFonts w:ascii="Book Antiqua" w:eastAsia="Book Antiqua" w:hAnsi="Book Antiqua" w:cs="Book Antiqua"/>
          <w:i/>
          <w:iCs/>
          <w:color w:val="000000"/>
        </w:rPr>
        <w:t>EPO</w:t>
      </w:r>
      <w:r>
        <w:rPr>
          <w:rFonts w:ascii="Book Antiqua" w:eastAsia="Book Antiqua" w:hAnsi="Book Antiqua" w:cs="Book Antiqua"/>
          <w:color w:val="000000"/>
        </w:rPr>
        <w:t xml:space="preserve"> expression is considered as an important factor affecting the retinopathy of prematurity. </w:t>
      </w:r>
      <w:r w:rsidRPr="008A102F">
        <w:rPr>
          <w:rFonts w:ascii="Book Antiqua" w:eastAsia="Book Antiqua" w:hAnsi="Book Antiqua" w:cs="Book Antiqua"/>
          <w:i/>
          <w:iCs/>
          <w:color w:val="000000"/>
        </w:rPr>
        <w:t>EPO</w:t>
      </w:r>
      <w:r>
        <w:rPr>
          <w:rFonts w:ascii="Book Antiqua" w:eastAsia="Book Antiqua" w:hAnsi="Book Antiqua" w:cs="Book Antiqua"/>
          <w:color w:val="000000"/>
        </w:rPr>
        <w:t xml:space="preserve"> treatment can effectively protect the nervous system and optic nerve development of premature infants</w:t>
      </w:r>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w:t>
      </w:r>
      <w:r w:rsidRPr="008A102F">
        <w:rPr>
          <w:rFonts w:ascii="Book Antiqua" w:eastAsia="Book Antiqua" w:hAnsi="Book Antiqua" w:cs="Book Antiqua"/>
          <w:i/>
          <w:iCs/>
          <w:color w:val="000000"/>
        </w:rPr>
        <w:t>HIF-1α</w:t>
      </w:r>
      <w:r>
        <w:rPr>
          <w:rFonts w:ascii="Book Antiqua" w:eastAsia="Book Antiqua" w:hAnsi="Book Antiqua" w:cs="Book Antiqua"/>
          <w:color w:val="000000"/>
        </w:rPr>
        <w:t xml:space="preserve"> is stably expressed under hypoxia; it can regulate </w:t>
      </w:r>
      <w:r w:rsidRPr="008A102F">
        <w:rPr>
          <w:rFonts w:ascii="Book Antiqua" w:eastAsia="Book Antiqua" w:hAnsi="Book Antiqua" w:cs="Book Antiqua"/>
          <w:i/>
          <w:iCs/>
          <w:color w:val="000000"/>
        </w:rPr>
        <w:t>EPO</w:t>
      </w:r>
      <w:r>
        <w:rPr>
          <w:rFonts w:ascii="Book Antiqua" w:eastAsia="Book Antiqua" w:hAnsi="Book Antiqua" w:cs="Book Antiqua"/>
          <w:color w:val="000000"/>
        </w:rPr>
        <w:t xml:space="preserve"> and VEGF expression and promote RNV</w:t>
      </w:r>
      <w:r>
        <w:rPr>
          <w:rFonts w:ascii="Book Antiqua" w:eastAsia="Book Antiqua" w:hAnsi="Book Antiqua" w:cs="Book Antiqua"/>
          <w:color w:val="000000"/>
          <w:vertAlign w:val="superscript"/>
        </w:rPr>
        <w:t>[44,45]</w:t>
      </w:r>
      <w:r>
        <w:rPr>
          <w:rFonts w:ascii="Book Antiqua" w:eastAsia="Book Antiqua" w:hAnsi="Book Antiqua" w:cs="Book Antiqua"/>
          <w:color w:val="000000"/>
        </w:rPr>
        <w:t xml:space="preserve">. Inhibiting the </w:t>
      </w:r>
      <w:r>
        <w:rPr>
          <w:rFonts w:ascii="Book Antiqua" w:eastAsia="Book Antiqua" w:hAnsi="Book Antiqua" w:cs="Book Antiqua"/>
          <w:color w:val="000000"/>
        </w:rPr>
        <w:lastRenderedPageBreak/>
        <w:t>VEGF/VEGFR2 and HIF-1α/VEGF signaling pathways can prevent angiogenesis</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TGF-β2 is a pro-inflammatory cytokine precursor related to the pathogenesis of </w:t>
      </w:r>
      <w:r w:rsidR="00C562CD">
        <w:rPr>
          <w:rFonts w:ascii="Book Antiqua" w:eastAsia="Book Antiqua" w:hAnsi="Book Antiqua" w:cs="Book Antiqua"/>
          <w:color w:val="000000"/>
        </w:rPr>
        <w:t>DR</w:t>
      </w:r>
      <w:r>
        <w:rPr>
          <w:rFonts w:ascii="Book Antiqua" w:eastAsia="Book Antiqua" w:hAnsi="Book Antiqua" w:cs="Book Antiqua"/>
          <w:color w:val="000000"/>
        </w:rPr>
        <w:t xml:space="preserve">. IGF1 has been identified as the direct target of miR-142-5p. It can reduce the level of miR-142-5p by activating the IGF1/IGF1R median signaling pathway (involving p-PI3K, p-ERK, p-Akt, and VEGF activation), eventually leading to cell proliferation and is involved in the pathological process of </w:t>
      </w:r>
      <w:r w:rsidR="00C562CD">
        <w:rPr>
          <w:rFonts w:ascii="Book Antiqua" w:eastAsia="Book Antiqua" w:hAnsi="Book Antiqua" w:cs="Book Antiqua"/>
          <w:color w:val="000000"/>
        </w:rPr>
        <w:t>DR</w:t>
      </w:r>
      <w:r>
        <w:rPr>
          <w:rFonts w:ascii="Book Antiqua" w:eastAsia="Book Antiqua" w:hAnsi="Book Antiqua" w:cs="Book Antiqua"/>
          <w:color w:val="000000"/>
          <w:vertAlign w:val="superscript"/>
        </w:rPr>
        <w:t>[47,48]</w:t>
      </w:r>
      <w:r>
        <w:rPr>
          <w:rFonts w:ascii="Book Antiqua" w:eastAsia="Book Antiqua" w:hAnsi="Book Antiqua" w:cs="Book Antiqua"/>
          <w:color w:val="000000"/>
        </w:rPr>
        <w:t>.</w:t>
      </w:r>
    </w:p>
    <w:p w14:paraId="21366D89" w14:textId="7C725D98" w:rsidR="00A77B3E" w:rsidRDefault="008A102F" w:rsidP="008A102F">
      <w:pPr>
        <w:spacing w:line="360" w:lineRule="auto"/>
        <w:ind w:firstLineChars="100" w:firstLine="240"/>
        <w:jc w:val="both"/>
      </w:pPr>
      <w:r>
        <w:rPr>
          <w:rFonts w:ascii="Book Antiqua" w:eastAsia="Book Antiqua" w:hAnsi="Book Antiqua" w:cs="Book Antiqua"/>
          <w:color w:val="000000"/>
          <w:szCs w:val="21"/>
        </w:rPr>
        <w:t>p</w:t>
      </w:r>
      <w:r w:rsidR="001A6207">
        <w:rPr>
          <w:rFonts w:ascii="Book Antiqua" w:eastAsia="Book Antiqua" w:hAnsi="Book Antiqua" w:cs="Book Antiqua"/>
          <w:color w:val="000000"/>
          <w:szCs w:val="21"/>
        </w:rPr>
        <w:t>iRNA plays an important role in various diseases. By interacting with PIWI protein, piRNA can participate in cancer formation and neovascularization through DNA methylation. It can also affect the expression of target genes. We examined the differential expression of piRNA in an oxygen-induced retinopathy mouse model and the potential cellular pathways involved in this process. The study identified a set of target genes that can enhance the theoretical understanding of the role of piRNA in RNV. Because the specific mechanism of action has not been studied in detail, studies are needed to explore its mechanism in a larger sample size. Moreover, it can drive further research on new strategies for clinical treatment. We plan to predict the downstream targets of each differentially expressed piRNA and verify the predicted targets using molecular biology methods. These results provide a foundation for further exploration of the molecular mechanism underlying the development of PDR.</w:t>
      </w:r>
    </w:p>
    <w:p w14:paraId="4014ED46" w14:textId="77777777" w:rsidR="00A77B3E" w:rsidRDefault="00A77B3E" w:rsidP="008A102F">
      <w:pPr>
        <w:spacing w:line="360" w:lineRule="auto"/>
        <w:jc w:val="both"/>
      </w:pPr>
    </w:p>
    <w:p w14:paraId="7DDF5B5C" w14:textId="77777777" w:rsidR="00A77B3E" w:rsidRDefault="001A6207">
      <w:pPr>
        <w:spacing w:line="360" w:lineRule="auto"/>
        <w:jc w:val="both"/>
      </w:pPr>
      <w:r>
        <w:rPr>
          <w:rFonts w:ascii="Book Antiqua" w:eastAsia="Book Antiqua" w:hAnsi="Book Antiqua" w:cs="Book Antiqua"/>
          <w:b/>
          <w:caps/>
          <w:color w:val="000000"/>
          <w:u w:val="single"/>
        </w:rPr>
        <w:t>CONCLUSION</w:t>
      </w:r>
    </w:p>
    <w:p w14:paraId="7CC0DCD1" w14:textId="35095C8C" w:rsidR="00A77B3E" w:rsidRDefault="001A6207">
      <w:pPr>
        <w:spacing w:line="360" w:lineRule="auto"/>
        <w:jc w:val="both"/>
      </w:pPr>
      <w:r>
        <w:rPr>
          <w:rFonts w:ascii="Book Antiqua" w:eastAsia="Book Antiqua" w:hAnsi="Book Antiqua" w:cs="Book Antiqua"/>
          <w:color w:val="000000"/>
        </w:rPr>
        <w:t xml:space="preserve">Abnormal expression of the piRNAs are involved in pathways of angiogenesis and cell proliferation, which suggests that piRNAs may regulate some functions in proliferative </w:t>
      </w:r>
      <w:r w:rsidR="00C562CD">
        <w:rPr>
          <w:rFonts w:ascii="Book Antiqua" w:eastAsia="Book Antiqua" w:hAnsi="Book Antiqua" w:cs="Book Antiqua"/>
          <w:color w:val="000000"/>
        </w:rPr>
        <w:t>DR</w:t>
      </w:r>
      <w:r>
        <w:rPr>
          <w:rFonts w:ascii="Book Antiqua" w:eastAsia="Book Antiqua" w:hAnsi="Book Antiqua" w:cs="Book Antiqua"/>
          <w:color w:val="000000"/>
        </w:rPr>
        <w:t>.</w:t>
      </w:r>
    </w:p>
    <w:p w14:paraId="0DE43CA2" w14:textId="77777777" w:rsidR="00A77B3E" w:rsidRDefault="00A77B3E">
      <w:pPr>
        <w:spacing w:line="360" w:lineRule="auto"/>
        <w:jc w:val="both"/>
      </w:pPr>
    </w:p>
    <w:p w14:paraId="07F6CC53" w14:textId="77777777" w:rsidR="00A77B3E" w:rsidRDefault="001A6207">
      <w:pPr>
        <w:spacing w:line="360" w:lineRule="auto"/>
        <w:jc w:val="both"/>
      </w:pPr>
      <w:r>
        <w:rPr>
          <w:rFonts w:ascii="Book Antiqua" w:eastAsia="Book Antiqua" w:hAnsi="Book Antiqua" w:cs="Book Antiqua"/>
          <w:b/>
          <w:caps/>
          <w:color w:val="000000"/>
          <w:u w:val="single"/>
        </w:rPr>
        <w:t>ARTICLE HIGHLIGHTS</w:t>
      </w:r>
    </w:p>
    <w:p w14:paraId="22094BD8" w14:textId="77777777" w:rsidR="00A77B3E" w:rsidRDefault="001A6207">
      <w:pPr>
        <w:spacing w:line="360" w:lineRule="auto"/>
        <w:jc w:val="both"/>
      </w:pPr>
      <w:r>
        <w:rPr>
          <w:rFonts w:ascii="Book Antiqua" w:eastAsia="Book Antiqua" w:hAnsi="Book Antiqua" w:cs="Book Antiqua"/>
          <w:b/>
          <w:i/>
          <w:color w:val="000000"/>
        </w:rPr>
        <w:t>Research background</w:t>
      </w:r>
    </w:p>
    <w:p w14:paraId="59AF6014" w14:textId="77777777" w:rsidR="00A77B3E" w:rsidRDefault="001A6207">
      <w:pPr>
        <w:spacing w:line="360" w:lineRule="auto"/>
        <w:jc w:val="both"/>
      </w:pPr>
      <w:r>
        <w:rPr>
          <w:rFonts w:ascii="Book Antiqua" w:eastAsia="Book Antiqua" w:hAnsi="Book Antiqua" w:cs="Book Antiqua"/>
          <w:color w:val="000000"/>
        </w:rPr>
        <w:t xml:space="preserve">Retinal neovascularization is caused by the progression of ischemic retinal diseases, including diabetic retinopathy, retinopathy of prematurity, age-related macular </w:t>
      </w:r>
      <w:r>
        <w:rPr>
          <w:rFonts w:ascii="Book Antiqua" w:eastAsia="Book Antiqua" w:hAnsi="Book Antiqua" w:cs="Book Antiqua"/>
          <w:color w:val="000000"/>
        </w:rPr>
        <w:lastRenderedPageBreak/>
        <w:t>degeneration, and retinal vein occlusion. Complications of retinal neovascularization can severely impair vision or lead to permanent blindness.</w:t>
      </w:r>
    </w:p>
    <w:p w14:paraId="3805CB76" w14:textId="77777777" w:rsidR="00A77B3E" w:rsidRDefault="00A77B3E">
      <w:pPr>
        <w:spacing w:line="360" w:lineRule="auto"/>
        <w:jc w:val="both"/>
      </w:pPr>
    </w:p>
    <w:p w14:paraId="515B52CB" w14:textId="77777777" w:rsidR="00A77B3E" w:rsidRDefault="001A6207">
      <w:pPr>
        <w:spacing w:line="360" w:lineRule="auto"/>
        <w:jc w:val="both"/>
      </w:pPr>
      <w:r>
        <w:rPr>
          <w:rFonts w:ascii="Book Antiqua" w:eastAsia="Book Antiqua" w:hAnsi="Book Antiqua" w:cs="Book Antiqua"/>
          <w:b/>
          <w:i/>
          <w:color w:val="000000"/>
        </w:rPr>
        <w:t>Research motivation</w:t>
      </w:r>
    </w:p>
    <w:p w14:paraId="37842949" w14:textId="4DDC7659" w:rsidR="00A77B3E" w:rsidRDefault="001A6207">
      <w:pPr>
        <w:spacing w:line="360" w:lineRule="auto"/>
        <w:jc w:val="both"/>
      </w:pPr>
      <w:r>
        <w:rPr>
          <w:rStyle w:val="dxdefaultcursor"/>
          <w:rFonts w:ascii="Book Antiqua" w:eastAsia="Book Antiqua" w:hAnsi="Book Antiqua" w:cs="Book Antiqua"/>
          <w:color w:val="000000"/>
        </w:rPr>
        <w:t xml:space="preserve">To explore the upstream molecules of </w:t>
      </w:r>
      <w:r w:rsidR="008A102F">
        <w:rPr>
          <w:rFonts w:ascii="Book Antiqua" w:eastAsia="Book Antiqua" w:hAnsi="Book Antiqua" w:cs="Book Antiqua"/>
          <w:color w:val="000000"/>
        </w:rPr>
        <w:t>vascular endothelial growth factor</w:t>
      </w:r>
      <w:r>
        <w:rPr>
          <w:rStyle w:val="dxdefaultcursor"/>
          <w:rFonts w:ascii="Book Antiqua" w:eastAsia="Book Antiqua" w:hAnsi="Book Antiqua" w:cs="Book Antiqua"/>
          <w:color w:val="000000"/>
        </w:rPr>
        <w:t xml:space="preserve"> or rate-limiting steps of angiogenesis, and to reveal new approaches to the treatment of diabetic retinal.</w:t>
      </w:r>
    </w:p>
    <w:p w14:paraId="6430B2CE" w14:textId="77777777" w:rsidR="00A77B3E" w:rsidRDefault="00A77B3E">
      <w:pPr>
        <w:spacing w:line="360" w:lineRule="auto"/>
        <w:jc w:val="both"/>
      </w:pPr>
    </w:p>
    <w:p w14:paraId="3B486825" w14:textId="77777777" w:rsidR="00A77B3E" w:rsidRDefault="001A6207">
      <w:pPr>
        <w:spacing w:line="360" w:lineRule="auto"/>
        <w:jc w:val="both"/>
      </w:pPr>
      <w:r>
        <w:rPr>
          <w:rFonts w:ascii="Book Antiqua" w:eastAsia="Book Antiqua" w:hAnsi="Book Antiqua" w:cs="Book Antiqua"/>
          <w:b/>
          <w:i/>
          <w:color w:val="000000"/>
        </w:rPr>
        <w:t>Research objectives</w:t>
      </w:r>
    </w:p>
    <w:p w14:paraId="63D02F14" w14:textId="5D511475" w:rsidR="00A77B3E" w:rsidRDefault="001A6207">
      <w:pPr>
        <w:spacing w:line="360" w:lineRule="auto"/>
        <w:jc w:val="both"/>
      </w:pPr>
      <w:r>
        <w:rPr>
          <w:rFonts w:ascii="Book Antiqua" w:eastAsia="Book Antiqua" w:hAnsi="Book Antiqua" w:cs="Book Antiqua"/>
          <w:color w:val="000000"/>
        </w:rPr>
        <w:t xml:space="preserve">The research on the role of piRNAs </w:t>
      </w:r>
      <w:r w:rsidR="008A102F">
        <w:rPr>
          <w:rFonts w:ascii="Book Antiqua" w:eastAsia="Book Antiqua" w:hAnsi="Book Antiqua" w:cs="Book Antiqua"/>
          <w:color w:val="000000"/>
        </w:rPr>
        <w:t xml:space="preserve">(p-Element-induced wimpy testis-interacting RNAs) </w:t>
      </w:r>
      <w:r>
        <w:rPr>
          <w:rFonts w:ascii="Book Antiqua" w:eastAsia="Book Antiqua" w:hAnsi="Book Antiqua" w:cs="Book Antiqua"/>
          <w:color w:val="000000"/>
        </w:rPr>
        <w:t>in retinal neovascularization disease is expected to provide theoretical support for the clinical treatment of diabetic retina.</w:t>
      </w:r>
    </w:p>
    <w:p w14:paraId="44AAF1B9" w14:textId="77777777" w:rsidR="00A77B3E" w:rsidRDefault="00A77B3E">
      <w:pPr>
        <w:spacing w:line="360" w:lineRule="auto"/>
        <w:jc w:val="both"/>
      </w:pPr>
    </w:p>
    <w:p w14:paraId="6D082FC7" w14:textId="77777777" w:rsidR="00A77B3E" w:rsidRDefault="001A6207">
      <w:pPr>
        <w:spacing w:line="360" w:lineRule="auto"/>
        <w:jc w:val="both"/>
      </w:pPr>
      <w:r>
        <w:rPr>
          <w:rFonts w:ascii="Book Antiqua" w:eastAsia="Book Antiqua" w:hAnsi="Book Antiqua" w:cs="Book Antiqua"/>
          <w:b/>
          <w:i/>
          <w:color w:val="000000"/>
        </w:rPr>
        <w:t>Research methods</w:t>
      </w:r>
    </w:p>
    <w:p w14:paraId="6E1DE2DF" w14:textId="4AE3CEBF" w:rsidR="00A77B3E" w:rsidRDefault="001A6207">
      <w:pPr>
        <w:spacing w:line="360" w:lineRule="auto"/>
        <w:jc w:val="both"/>
      </w:pPr>
      <w:r>
        <w:rPr>
          <w:rFonts w:ascii="Book Antiqua" w:eastAsia="Book Antiqua" w:hAnsi="Book Antiqua" w:cs="Book Antiqua"/>
          <w:color w:val="000000"/>
        </w:rPr>
        <w:t xml:space="preserve">A diabetic retinopathy model was established. The differentially expressed piRNA was screened by high-throughput sequencing, and the differentially expressed piRNA was selected according to the sequencing results, and verified by </w:t>
      </w:r>
      <w:r w:rsidR="008A102F">
        <w:rPr>
          <w:rFonts w:ascii="Book Antiqua" w:eastAsia="Book Antiqua" w:hAnsi="Book Antiqua" w:cs="Book Antiqua"/>
          <w:color w:val="000000"/>
          <w:szCs w:val="21"/>
        </w:rPr>
        <w:t>polymerase chain reaction</w:t>
      </w:r>
      <w:r>
        <w:rPr>
          <w:rFonts w:ascii="Book Antiqua" w:eastAsia="Book Antiqua" w:hAnsi="Book Antiqua" w:cs="Book Antiqua"/>
          <w:color w:val="000000"/>
        </w:rPr>
        <w:t>.</w:t>
      </w:r>
    </w:p>
    <w:p w14:paraId="0B956F57" w14:textId="77777777" w:rsidR="00A77B3E" w:rsidRDefault="00A77B3E">
      <w:pPr>
        <w:spacing w:line="360" w:lineRule="auto"/>
        <w:jc w:val="both"/>
      </w:pPr>
    </w:p>
    <w:p w14:paraId="7EDD067D" w14:textId="77777777" w:rsidR="00A77B3E" w:rsidRDefault="001A6207">
      <w:pPr>
        <w:spacing w:line="360" w:lineRule="auto"/>
        <w:jc w:val="both"/>
      </w:pPr>
      <w:r>
        <w:rPr>
          <w:rFonts w:ascii="Book Antiqua" w:eastAsia="Book Antiqua" w:hAnsi="Book Antiqua" w:cs="Book Antiqua"/>
          <w:b/>
          <w:i/>
          <w:color w:val="000000"/>
        </w:rPr>
        <w:t>Research results</w:t>
      </w:r>
    </w:p>
    <w:p w14:paraId="004ED7DC" w14:textId="16D91965" w:rsidR="00A77B3E" w:rsidRDefault="001A6207">
      <w:pPr>
        <w:spacing w:line="360" w:lineRule="auto"/>
        <w:jc w:val="both"/>
      </w:pPr>
      <w:r>
        <w:rPr>
          <w:rFonts w:ascii="Book Antiqua" w:eastAsia="Book Antiqua" w:hAnsi="Book Antiqua" w:cs="Book Antiqua"/>
          <w:color w:val="000000"/>
        </w:rPr>
        <w:t xml:space="preserve">A total of 79 piRNAs were differentially expressed in </w:t>
      </w:r>
      <w:r w:rsidR="008A102F">
        <w:rPr>
          <w:rFonts w:ascii="Book Antiqua" w:eastAsia="Book Antiqua" w:hAnsi="Book Antiqua" w:cs="Book Antiqua"/>
          <w:color w:val="000000"/>
        </w:rPr>
        <w:t>experimental group</w:t>
      </w:r>
      <w:r>
        <w:rPr>
          <w:rFonts w:ascii="Book Antiqua" w:eastAsia="Book Antiqua" w:hAnsi="Book Antiqua" w:cs="Book Antiqua"/>
          <w:color w:val="000000"/>
        </w:rPr>
        <w:t>, of which 43 were upregulated and 36 were down-regulated.</w:t>
      </w:r>
    </w:p>
    <w:p w14:paraId="6BBBBC81" w14:textId="77777777" w:rsidR="00A77B3E" w:rsidRDefault="00A77B3E">
      <w:pPr>
        <w:spacing w:line="360" w:lineRule="auto"/>
        <w:jc w:val="both"/>
      </w:pPr>
    </w:p>
    <w:p w14:paraId="1C3B99CD" w14:textId="77777777" w:rsidR="00A77B3E" w:rsidRDefault="001A6207">
      <w:pPr>
        <w:spacing w:line="360" w:lineRule="auto"/>
        <w:jc w:val="both"/>
      </w:pPr>
      <w:r>
        <w:rPr>
          <w:rFonts w:ascii="Book Antiqua" w:eastAsia="Book Antiqua" w:hAnsi="Book Antiqua" w:cs="Book Antiqua"/>
          <w:b/>
          <w:i/>
          <w:color w:val="000000"/>
        </w:rPr>
        <w:t>Research conclusions</w:t>
      </w:r>
    </w:p>
    <w:p w14:paraId="358815C8" w14:textId="77777777" w:rsidR="00A77B3E" w:rsidRDefault="001A6207">
      <w:pPr>
        <w:spacing w:line="360" w:lineRule="auto"/>
        <w:jc w:val="both"/>
      </w:pPr>
      <w:r>
        <w:rPr>
          <w:rFonts w:ascii="Book Antiqua" w:eastAsia="Book Antiqua" w:hAnsi="Book Antiqua" w:cs="Book Antiqua"/>
          <w:color w:val="000000"/>
        </w:rPr>
        <w:t>piRNAs were differentially expressed in DR model. Differentially expressed piRNAs is involved in the formation of retinal neovascularization. Differentially expressed piRNAs can regulate retinal development and retinal angiopathy through a variety of signaling pathways.</w:t>
      </w:r>
    </w:p>
    <w:p w14:paraId="40B857FF" w14:textId="77777777" w:rsidR="00A77B3E" w:rsidRDefault="00A77B3E">
      <w:pPr>
        <w:spacing w:line="360" w:lineRule="auto"/>
        <w:jc w:val="both"/>
      </w:pPr>
    </w:p>
    <w:p w14:paraId="7B14B045" w14:textId="77777777" w:rsidR="00A77B3E" w:rsidRDefault="001A6207">
      <w:pPr>
        <w:spacing w:line="360" w:lineRule="auto"/>
        <w:jc w:val="both"/>
      </w:pPr>
      <w:r>
        <w:rPr>
          <w:rFonts w:ascii="Book Antiqua" w:eastAsia="Book Antiqua" w:hAnsi="Book Antiqua" w:cs="Book Antiqua"/>
          <w:b/>
          <w:i/>
          <w:color w:val="000000"/>
        </w:rPr>
        <w:t>Research perspectives</w:t>
      </w:r>
    </w:p>
    <w:p w14:paraId="63BB30B7" w14:textId="77777777" w:rsidR="00A77B3E" w:rsidRDefault="001A6207">
      <w:pPr>
        <w:spacing w:line="360" w:lineRule="auto"/>
        <w:jc w:val="both"/>
      </w:pPr>
      <w:r>
        <w:rPr>
          <w:rFonts w:ascii="Book Antiqua" w:eastAsia="Book Antiqua" w:hAnsi="Book Antiqua" w:cs="Book Antiqua"/>
          <w:color w:val="000000"/>
        </w:rPr>
        <w:lastRenderedPageBreak/>
        <w:t>Drugs targeting piRNAs may be novel candidates for the treatment of diabetic retinopathy.</w:t>
      </w:r>
    </w:p>
    <w:p w14:paraId="1F48BAD1" w14:textId="77777777" w:rsidR="00A77B3E" w:rsidRDefault="00A77B3E">
      <w:pPr>
        <w:spacing w:line="360" w:lineRule="auto"/>
        <w:jc w:val="both"/>
      </w:pPr>
    </w:p>
    <w:p w14:paraId="4433B1B4" w14:textId="77777777" w:rsidR="00A77B3E" w:rsidRDefault="001A6207">
      <w:pPr>
        <w:spacing w:line="360" w:lineRule="auto"/>
        <w:jc w:val="both"/>
      </w:pPr>
      <w:r>
        <w:rPr>
          <w:rFonts w:ascii="Book Antiqua" w:eastAsia="Book Antiqua" w:hAnsi="Book Antiqua" w:cs="Book Antiqua"/>
          <w:b/>
          <w:color w:val="000000"/>
        </w:rPr>
        <w:t>REFERENCES</w:t>
      </w:r>
    </w:p>
    <w:p w14:paraId="0E350EB3" w14:textId="77777777" w:rsidR="00A77B3E" w:rsidRDefault="001A620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Hou L</w:t>
      </w:r>
      <w:r>
        <w:rPr>
          <w:rFonts w:ascii="Book Antiqua" w:eastAsia="Book Antiqua" w:hAnsi="Book Antiqua" w:cs="Book Antiqua"/>
          <w:color w:val="000000"/>
        </w:rPr>
        <w:t xml:space="preserve">, Shi Y, Wang S, Chen Q, Li Q, Zhao M, Zhou X. Associations of serum uric acid level with diabetic retinopathy and albuminuria in patients with type 2 diabetes mellitus.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300060520963980 [PMID: 33334216 DOI: 10.1177/0300060520963980]</w:t>
      </w:r>
    </w:p>
    <w:p w14:paraId="2481A75F" w14:textId="77777777" w:rsidR="00A77B3E" w:rsidRDefault="001A620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Park W</w:t>
      </w:r>
      <w:r>
        <w:rPr>
          <w:rFonts w:ascii="Book Antiqua" w:eastAsia="Book Antiqua" w:hAnsi="Book Antiqua" w:cs="Book Antiqua"/>
          <w:color w:val="000000"/>
        </w:rPr>
        <w:t xml:space="preserve">, Kim J, Choi S, Kim T, Park M, Kim S, You JC, Kim JH, Ha KS, Lee JH, Kwon YG, Kim YM. Human plasminogen-derived N-acetyl-Arg-Leu-Tyr-Glu antagonizes VEGFR-2 to prevent blood-retinal barrier breakdown in diabetic mice.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134</w:t>
      </w:r>
      <w:r>
        <w:rPr>
          <w:rFonts w:ascii="Book Antiqua" w:eastAsia="Book Antiqua" w:hAnsi="Book Antiqua" w:cs="Book Antiqua"/>
          <w:color w:val="000000"/>
        </w:rPr>
        <w:t>: 111110 [PMID: 33338749 DOI: 10.1016/j.biopha.2020.111110]</w:t>
      </w:r>
    </w:p>
    <w:p w14:paraId="1CFE9FC9" w14:textId="77777777" w:rsidR="00A77B3E" w:rsidRDefault="001A620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Delu S</w:t>
      </w:r>
      <w:r>
        <w:rPr>
          <w:rFonts w:ascii="Book Antiqua" w:eastAsia="Book Antiqua" w:hAnsi="Book Antiqua" w:cs="Book Antiqua"/>
          <w:color w:val="000000"/>
        </w:rPr>
        <w:t xml:space="preserve">, Peiying H, Brian L V, Joshua L D, Juan E G, Ebenezer D, Maureen G M, Daniel F M, Gui-Shuang Y; and the CATT Research Group. Systemic Medication Use and the Incidence and Growth of Geographic Atrophy in the Comparison of Age-related Macular Degeneration Treatments Trials (CATT). </w:t>
      </w:r>
      <w:r>
        <w:rPr>
          <w:rFonts w:ascii="Book Antiqua" w:eastAsia="Book Antiqua" w:hAnsi="Book Antiqua" w:cs="Book Antiqua"/>
          <w:i/>
          <w:iCs/>
          <w:color w:val="000000"/>
        </w:rPr>
        <w:t>Retina</w:t>
      </w:r>
      <w:r>
        <w:rPr>
          <w:rFonts w:ascii="Book Antiqua" w:eastAsia="Book Antiqua" w:hAnsi="Book Antiqua" w:cs="Book Antiqua"/>
          <w:color w:val="000000"/>
        </w:rPr>
        <w:t xml:space="preserve"> 2020; </w:t>
      </w:r>
      <w:r>
        <w:rPr>
          <w:rFonts w:ascii="Book Antiqua" w:eastAsia="Book Antiqua" w:hAnsi="Book Antiqua" w:cs="Book Antiqua"/>
          <w:b/>
          <w:bCs/>
          <w:color w:val="000000"/>
        </w:rPr>
        <w:t>Publish Ahead of Print</w:t>
      </w:r>
      <w:r>
        <w:rPr>
          <w:rFonts w:ascii="Book Antiqua" w:eastAsia="Book Antiqua" w:hAnsi="Book Antiqua" w:cs="Book Antiqua"/>
          <w:color w:val="000000"/>
        </w:rPr>
        <w:t xml:space="preserve"> [PMID: 33332813 DOI: 10.1097/IAE.0000000000003075]</w:t>
      </w:r>
    </w:p>
    <w:p w14:paraId="6F44A54D" w14:textId="77777777" w:rsidR="00A77B3E" w:rsidRDefault="001A620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Infeld DA</w:t>
      </w:r>
      <w:r>
        <w:rPr>
          <w:rFonts w:ascii="Book Antiqua" w:eastAsia="Book Antiqua" w:hAnsi="Book Antiqua" w:cs="Book Antiqua"/>
          <w:color w:val="000000"/>
        </w:rPr>
        <w:t xml:space="preserve">, O'Shea JG. Diabetic retinopathy. </w:t>
      </w:r>
      <w:r>
        <w:rPr>
          <w:rFonts w:ascii="Book Antiqua" w:eastAsia="Book Antiqua" w:hAnsi="Book Antiqua" w:cs="Book Antiqua"/>
          <w:i/>
          <w:iCs/>
          <w:color w:val="000000"/>
        </w:rPr>
        <w:t>Postgrad Med J</w:t>
      </w:r>
      <w:r>
        <w:rPr>
          <w:rFonts w:ascii="Book Antiqua" w:eastAsia="Book Antiqua" w:hAnsi="Book Antiqua" w:cs="Book Antiqua"/>
          <w:color w:val="000000"/>
        </w:rPr>
        <w:t xml:space="preserve"> 1998; </w:t>
      </w:r>
      <w:r>
        <w:rPr>
          <w:rFonts w:ascii="Book Antiqua" w:eastAsia="Book Antiqua" w:hAnsi="Book Antiqua" w:cs="Book Antiqua"/>
          <w:b/>
          <w:bCs/>
          <w:color w:val="000000"/>
        </w:rPr>
        <w:t>74</w:t>
      </w:r>
      <w:r>
        <w:rPr>
          <w:rFonts w:ascii="Book Antiqua" w:eastAsia="Book Antiqua" w:hAnsi="Book Antiqua" w:cs="Book Antiqua"/>
          <w:color w:val="000000"/>
        </w:rPr>
        <w:t>: 129-133 [PMID: 9640436 DOI: 10.1136/pgmj.74.869.129]</w:t>
      </w:r>
    </w:p>
    <w:p w14:paraId="37867F86" w14:textId="77777777" w:rsidR="00A77B3E" w:rsidRDefault="001A620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Girard A</w:t>
      </w:r>
      <w:r>
        <w:rPr>
          <w:rFonts w:ascii="Book Antiqua" w:eastAsia="Book Antiqua" w:hAnsi="Book Antiqua" w:cs="Book Antiqua"/>
          <w:color w:val="000000"/>
        </w:rPr>
        <w:t xml:space="preserve">, Sachidanandam R, Hannon GJ, Carmell MA. A germline-specific class of small RNAs binds mammalian Piwi proteins.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442</w:t>
      </w:r>
      <w:r>
        <w:rPr>
          <w:rFonts w:ascii="Book Antiqua" w:eastAsia="Book Antiqua" w:hAnsi="Book Antiqua" w:cs="Book Antiqua"/>
          <w:color w:val="000000"/>
        </w:rPr>
        <w:t>: 199-202 [PMID: 16751776 DOI: 10.1038/nature04917]</w:t>
      </w:r>
    </w:p>
    <w:p w14:paraId="3DD6F798" w14:textId="77777777" w:rsidR="00A77B3E" w:rsidRDefault="001A620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Tamtaji OR</w:t>
      </w:r>
      <w:r>
        <w:rPr>
          <w:rFonts w:ascii="Book Antiqua" w:eastAsia="Book Antiqua" w:hAnsi="Book Antiqua" w:cs="Book Antiqua"/>
          <w:color w:val="000000"/>
        </w:rPr>
        <w:t xml:space="preserve">, Behnam M, Pourattar MA, Hamblin MR, Mahjoubin-Tehran M, Mirzaei H, Asemi Z. PIWI-interacting RNAs and PIWI proteins in glioma: molecular pathogenesis and role as biomarkers. </w:t>
      </w:r>
      <w:r>
        <w:rPr>
          <w:rFonts w:ascii="Book Antiqua" w:eastAsia="Book Antiqua" w:hAnsi="Book Antiqua" w:cs="Book Antiqua"/>
          <w:i/>
          <w:iCs/>
          <w:color w:val="000000"/>
        </w:rPr>
        <w:t>Cell Commun Signal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168 [PMID: 33109195 DOI: 10.1186/s12964-020-00657-z]</w:t>
      </w:r>
    </w:p>
    <w:p w14:paraId="7AE559BB" w14:textId="77777777" w:rsidR="00A77B3E" w:rsidRDefault="001A620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Vinasco-Sandoval T</w:t>
      </w:r>
      <w:r>
        <w:rPr>
          <w:rFonts w:ascii="Book Antiqua" w:eastAsia="Book Antiqua" w:hAnsi="Book Antiqua" w:cs="Book Antiqua"/>
          <w:color w:val="000000"/>
        </w:rPr>
        <w:t>, Moreira FC, F Vidal A, Pinto P, Ribeiro-Dos-Santos AM, Cruz RLS, Fonseca Cabral G, Anaissi AKM, Lopes KP, Ribeiro-Dos-Santos A, Demachki S, de Assumpção PP, Ribeiro-Dos-Santos Â, Santos S. Global Analyses of Expressed Piwi-</w:t>
      </w:r>
      <w:r>
        <w:rPr>
          <w:rFonts w:ascii="Book Antiqua" w:eastAsia="Book Antiqua" w:hAnsi="Book Antiqua" w:cs="Book Antiqua"/>
          <w:color w:val="000000"/>
        </w:rPr>
        <w:lastRenderedPageBreak/>
        <w:t xml:space="preserve">Interacting RNAs in Gastric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33081152 DOI: 10.3390/ijms21207656]</w:t>
      </w:r>
    </w:p>
    <w:p w14:paraId="4BB06121" w14:textId="77777777" w:rsidR="00A77B3E" w:rsidRDefault="001A620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Zou GL</w:t>
      </w:r>
      <w:r>
        <w:rPr>
          <w:rFonts w:ascii="Book Antiqua" w:eastAsia="Book Antiqua" w:hAnsi="Book Antiqua" w:cs="Book Antiqua"/>
          <w:color w:val="000000"/>
        </w:rPr>
        <w:t xml:space="preserve">, Zhang XR, Ma YL, Lu Q, Zhao R, Zhu YZ, Wang YY. The role of Nrf2/PIWIL2/purine metabolism axis in controlling radiation-induced lung fibrosis.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2752-2767 [PMID: 33042615]</w:t>
      </w:r>
    </w:p>
    <w:p w14:paraId="488B151E" w14:textId="77777777" w:rsidR="00A77B3E" w:rsidRDefault="001A620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Rayford KJ</w:t>
      </w:r>
      <w:r>
        <w:rPr>
          <w:rFonts w:ascii="Book Antiqua" w:eastAsia="Book Antiqua" w:hAnsi="Book Antiqua" w:cs="Book Antiqua"/>
          <w:color w:val="000000"/>
        </w:rPr>
        <w:t xml:space="preserve">, Cooley A, Arun A, Rachakonda G, Kleschenko Y, Villalta F, Pratap S, Lima MF, Nde PN. </w:t>
      </w:r>
      <w:r>
        <w:rPr>
          <w:rFonts w:ascii="Book Antiqua" w:eastAsia="Book Antiqua" w:hAnsi="Book Antiqua" w:cs="Book Antiqua"/>
          <w:i/>
          <w:iCs/>
          <w:color w:val="000000"/>
        </w:rPr>
        <w:t>Trypanosoma cruzi</w:t>
      </w:r>
      <w:r>
        <w:rPr>
          <w:rFonts w:ascii="Book Antiqua" w:eastAsia="Book Antiqua" w:hAnsi="Book Antiqua" w:cs="Book Antiqua"/>
          <w:color w:val="000000"/>
        </w:rPr>
        <w:t xml:space="preserve"> Modulates PIWI-Interacting RNA Expression in Primary Human Cardiac Myocytes during the Early Phase of Infection.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33322418 DOI: 10.3390/ijms21249439]</w:t>
      </w:r>
    </w:p>
    <w:p w14:paraId="1AB5E97B" w14:textId="77777777" w:rsidR="00A77B3E" w:rsidRDefault="001A620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Beltran T</w:t>
      </w:r>
      <w:r>
        <w:rPr>
          <w:rFonts w:ascii="Book Antiqua" w:eastAsia="Book Antiqua" w:hAnsi="Book Antiqua" w:cs="Book Antiqua"/>
          <w:color w:val="000000"/>
        </w:rPr>
        <w:t xml:space="preserve">, Pahita E, Ghosh S, Lenhard B, Sarkies P. Integrator is recruited to promoter-proximally paused RNA Pol II to generate Caenorhabditis elegans piRNA precursors.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e105564 [PMID: 33340372 DOI: 10.15252/embj.2020105564]</w:t>
      </w:r>
    </w:p>
    <w:p w14:paraId="4FCAD565" w14:textId="77777777" w:rsidR="00A77B3E" w:rsidRDefault="001A620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Toden S</w:t>
      </w:r>
      <w:r>
        <w:rPr>
          <w:rFonts w:ascii="Book Antiqua" w:eastAsia="Book Antiqua" w:hAnsi="Book Antiqua" w:cs="Book Antiqua"/>
          <w:color w:val="000000"/>
        </w:rPr>
        <w:t xml:space="preserve">, Zumwalt TJ, Goel A. Non-coding RNAs and potential therapeutic targeting in cancer. </w:t>
      </w:r>
      <w:r>
        <w:rPr>
          <w:rFonts w:ascii="Book Antiqua" w:eastAsia="Book Antiqua" w:hAnsi="Book Antiqua" w:cs="Book Antiqua"/>
          <w:i/>
          <w:iCs/>
          <w:color w:val="000000"/>
        </w:rPr>
        <w:t>Biochim Biophys Acta Rev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1875</w:t>
      </w:r>
      <w:r>
        <w:rPr>
          <w:rFonts w:ascii="Book Antiqua" w:eastAsia="Book Antiqua" w:hAnsi="Book Antiqua" w:cs="Book Antiqua"/>
          <w:color w:val="000000"/>
        </w:rPr>
        <w:t>: 188491 [PMID: 33316377 DOI: 10.1016/j.bbcan.2020.188491]</w:t>
      </w:r>
    </w:p>
    <w:p w14:paraId="336968FF" w14:textId="77777777" w:rsidR="00A77B3E" w:rsidRDefault="001A620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Onishi R</w:t>
      </w:r>
      <w:r>
        <w:rPr>
          <w:rFonts w:ascii="Book Antiqua" w:eastAsia="Book Antiqua" w:hAnsi="Book Antiqua" w:cs="Book Antiqua"/>
          <w:color w:val="000000"/>
        </w:rPr>
        <w:t xml:space="preserve">, Sato K, Murano K, Negishi L, Siomi H, Siomi MC. Piwi suppresses transcription of Brahma-dependent transposons </w:t>
      </w:r>
      <w:r>
        <w:rPr>
          <w:rFonts w:ascii="Book Antiqua" w:eastAsia="Book Antiqua" w:hAnsi="Book Antiqua" w:cs="Book Antiqua"/>
          <w:i/>
          <w:iCs/>
          <w:color w:val="000000"/>
        </w:rPr>
        <w:t>via</w:t>
      </w:r>
      <w:r>
        <w:rPr>
          <w:rFonts w:ascii="Book Antiqua" w:eastAsia="Book Antiqua" w:hAnsi="Book Antiqua" w:cs="Book Antiqua"/>
          <w:color w:val="000000"/>
        </w:rPr>
        <w:t xml:space="preserve"> Maelstrom in ovarian somatic cells. </w:t>
      </w:r>
      <w:r>
        <w:rPr>
          <w:rFonts w:ascii="Book Antiqua" w:eastAsia="Book Antiqua" w:hAnsi="Book Antiqua" w:cs="Book Antiqua"/>
          <w:i/>
          <w:iCs/>
          <w:color w:val="000000"/>
        </w:rPr>
        <w:t>Sci Adv</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xml:space="preserve"> [PMID: 33310860 DOI: 10.1126/sciadv.aaz7420]</w:t>
      </w:r>
    </w:p>
    <w:p w14:paraId="6DEDC84A" w14:textId="77777777" w:rsidR="00A77B3E" w:rsidRDefault="001A620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YJ</w:t>
      </w:r>
      <w:r>
        <w:rPr>
          <w:rFonts w:ascii="Book Antiqua" w:eastAsia="Book Antiqua" w:hAnsi="Book Antiqua" w:cs="Book Antiqua"/>
          <w:color w:val="000000"/>
        </w:rPr>
        <w:t xml:space="preserve">, Moon SU, Park MG, Jung WY, Park YK, Song SK, Ryu JG, Lee YS, Heo HJ, Gu HN, Cho SJ, Ali BA, Al-Khedhairy AA, Lee I, Kim S. Multiplex bioimaging of piRNA molecular pathway-regulated theragnostic effects in a single breast cancer cell using a piRNA molecular beacon.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101</w:t>
      </w:r>
      <w:r>
        <w:rPr>
          <w:rFonts w:ascii="Book Antiqua" w:eastAsia="Book Antiqua" w:hAnsi="Book Antiqua" w:cs="Book Antiqua"/>
          <w:color w:val="000000"/>
        </w:rPr>
        <w:t>: 143-155 [PMID: 27289065 DOI: 10.1016/j.biomaterials.2016.05.052]</w:t>
      </w:r>
    </w:p>
    <w:p w14:paraId="5629ADED" w14:textId="77777777" w:rsidR="00A77B3E" w:rsidRDefault="001A620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Supe S</w:t>
      </w:r>
      <w:r>
        <w:rPr>
          <w:rFonts w:ascii="Book Antiqua" w:eastAsia="Book Antiqua" w:hAnsi="Book Antiqua" w:cs="Book Antiqua"/>
          <w:color w:val="000000"/>
        </w:rPr>
        <w:t xml:space="preserve">, Upadhya A, Singh K. Role of small interfering RNA (siRNA) in targeting ocular neovascularization: A review. </w:t>
      </w:r>
      <w:r>
        <w:rPr>
          <w:rFonts w:ascii="Book Antiqua" w:eastAsia="Book Antiqua" w:hAnsi="Book Antiqua" w:cs="Book Antiqua"/>
          <w:i/>
          <w:iCs/>
          <w:color w:val="000000"/>
        </w:rPr>
        <w:t>Exp Eye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w:t>
      </w:r>
      <w:r>
        <w:rPr>
          <w:rFonts w:ascii="Book Antiqua" w:eastAsia="Book Antiqua" w:hAnsi="Book Antiqua" w:cs="Book Antiqua"/>
          <w:color w:val="000000"/>
        </w:rPr>
        <w:t>: 108329 [PMID: 33198953 DOI: 10.1016/j.exer.2020.108329]</w:t>
      </w:r>
    </w:p>
    <w:p w14:paraId="18023E6F" w14:textId="77777777" w:rsidR="00A77B3E" w:rsidRDefault="001A620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Masjedi A</w:t>
      </w:r>
      <w:r>
        <w:rPr>
          <w:rFonts w:ascii="Book Antiqua" w:eastAsia="Book Antiqua" w:hAnsi="Book Antiqua" w:cs="Book Antiqua"/>
          <w:color w:val="000000"/>
        </w:rPr>
        <w:t xml:space="preserve">, Ahmadi A, Atyabi F, Farhadi S, Irandoust M, Khazaei-Poul Y, Ghasemi Chaleshtari M, Edalati Fathabad M, Baghaei M, Haghnavaz N, Baradaran B, Hojjat-Farsangi M, Ghalamfarsa G, Sabz G, Hasanzadeh S, Jadidi-Niaragh F. Silencing of IL-6 </w:t>
      </w:r>
      <w:r>
        <w:rPr>
          <w:rFonts w:ascii="Book Antiqua" w:eastAsia="Book Antiqua" w:hAnsi="Book Antiqua" w:cs="Book Antiqua"/>
          <w:color w:val="000000"/>
        </w:rPr>
        <w:lastRenderedPageBreak/>
        <w:t xml:space="preserve">and STAT3 by siRNA loaded hyaluronate-N,N,N-trimethyl chitosan nanoparticles potently reduces cancer cell progression. </w:t>
      </w:r>
      <w:r>
        <w:rPr>
          <w:rFonts w:ascii="Book Antiqua" w:eastAsia="Book Antiqua" w:hAnsi="Book Antiqua" w:cs="Book Antiqua"/>
          <w:i/>
          <w:iCs/>
          <w:color w:val="000000"/>
        </w:rPr>
        <w:t>Int J Biol Macromol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149</w:t>
      </w:r>
      <w:r>
        <w:rPr>
          <w:rFonts w:ascii="Book Antiqua" w:eastAsia="Book Antiqua" w:hAnsi="Book Antiqua" w:cs="Book Antiqua"/>
          <w:color w:val="000000"/>
        </w:rPr>
        <w:t>: 487-500 [PMID: 32004600 DOI: 10.1016/j.ijbiomac.2020.01.273]</w:t>
      </w:r>
    </w:p>
    <w:p w14:paraId="2921D9EE" w14:textId="77777777" w:rsidR="00A77B3E" w:rsidRDefault="001A620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Olivares AM</w:t>
      </w:r>
      <w:r>
        <w:rPr>
          <w:rFonts w:ascii="Book Antiqua" w:eastAsia="Book Antiqua" w:hAnsi="Book Antiqua" w:cs="Book Antiqua"/>
          <w:color w:val="000000"/>
        </w:rPr>
        <w:t xml:space="preserve">, Althoff K, Chen GF, Wu S, Morrisson MA, DeAngelis MM, Haider N. Animal Models of Diabetic Retinopathy. </w:t>
      </w:r>
      <w:r>
        <w:rPr>
          <w:rFonts w:ascii="Book Antiqua" w:eastAsia="Book Antiqua" w:hAnsi="Book Antiqua" w:cs="Book Antiqua"/>
          <w:i/>
          <w:iCs/>
          <w:color w:val="000000"/>
        </w:rPr>
        <w:t>Curr Diab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93 [PMID: 28836097 DOI: 10.1007/s11892-017-0913-0]</w:t>
      </w:r>
    </w:p>
    <w:p w14:paraId="12B23C61" w14:textId="77777777" w:rsidR="00A77B3E" w:rsidRDefault="001A620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Cheung N</w:t>
      </w:r>
      <w:r>
        <w:rPr>
          <w:rFonts w:ascii="Book Antiqua" w:eastAsia="Book Antiqua" w:hAnsi="Book Antiqua" w:cs="Book Antiqua"/>
          <w:color w:val="000000"/>
        </w:rPr>
        <w:t xml:space="preserve">, Mitchell P, Wong TY. Diabetic retinopathy.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2010; </w:t>
      </w:r>
      <w:r>
        <w:rPr>
          <w:rFonts w:ascii="Book Antiqua" w:eastAsia="Book Antiqua" w:hAnsi="Book Antiqua" w:cs="Book Antiqua"/>
          <w:b/>
          <w:bCs/>
          <w:color w:val="000000"/>
        </w:rPr>
        <w:t>376</w:t>
      </w:r>
      <w:r>
        <w:rPr>
          <w:rFonts w:ascii="Book Antiqua" w:eastAsia="Book Antiqua" w:hAnsi="Book Antiqua" w:cs="Book Antiqua"/>
          <w:color w:val="000000"/>
        </w:rPr>
        <w:t>: 124-136 [PMID: 20580421 DOI: 10.1016/S0140-6736(09)62124-3]</w:t>
      </w:r>
    </w:p>
    <w:p w14:paraId="5AC32290" w14:textId="77777777" w:rsidR="00A77B3E" w:rsidRDefault="001A620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Geng W</w:t>
      </w:r>
      <w:r>
        <w:rPr>
          <w:rFonts w:ascii="Book Antiqua" w:eastAsia="Book Antiqua" w:hAnsi="Book Antiqua" w:cs="Book Antiqua"/>
          <w:color w:val="000000"/>
        </w:rPr>
        <w:t xml:space="preserve">, Qin F, Ren J, Xiao S, Wang A. Mini-peptide RPL41 attenuated retinal neovascularization by inducing degradation of ATF4 in oxygen-induced retinopathy mice.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369</w:t>
      </w:r>
      <w:r>
        <w:rPr>
          <w:rFonts w:ascii="Book Antiqua" w:eastAsia="Book Antiqua" w:hAnsi="Book Antiqua" w:cs="Book Antiqua"/>
          <w:color w:val="000000"/>
        </w:rPr>
        <w:t>: 243-250 [PMID: 29803741 DOI: 10.1016/j.yexcr.2018.05.027]</w:t>
      </w:r>
    </w:p>
    <w:p w14:paraId="0B11D98A" w14:textId="77777777" w:rsidR="00A77B3E" w:rsidRDefault="001A620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Wang X, Ma Y, Wang YX, Di Y. Expression profiles of long noncoding RNAs in retinopathy of prematurity.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1962-1968 [PMID: 32246647 DOI: 10.4103/1673-5374.280328]</w:t>
      </w:r>
    </w:p>
    <w:p w14:paraId="46D333D6" w14:textId="77777777" w:rsidR="00A77B3E" w:rsidRDefault="001A620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Pelikánová T</w:t>
      </w:r>
      <w:r>
        <w:rPr>
          <w:rFonts w:ascii="Book Antiqua" w:eastAsia="Book Antiqua" w:hAnsi="Book Antiqua" w:cs="Book Antiqua"/>
          <w:color w:val="000000"/>
        </w:rPr>
        <w:t xml:space="preserve">. [Diabetic retinopathy: pathogenesis and therapeutic implications]. </w:t>
      </w:r>
      <w:r>
        <w:rPr>
          <w:rFonts w:ascii="Book Antiqua" w:eastAsia="Book Antiqua" w:hAnsi="Book Antiqua" w:cs="Book Antiqua"/>
          <w:i/>
          <w:iCs/>
          <w:color w:val="000000"/>
        </w:rPr>
        <w:t>Vnitr Lek</w:t>
      </w:r>
      <w:r>
        <w:rPr>
          <w:rFonts w:ascii="Book Antiqua" w:eastAsia="Book Antiqua" w:hAnsi="Book Antiqua" w:cs="Book Antiqua"/>
          <w:color w:val="000000"/>
        </w:rPr>
        <w:t xml:space="preserve"> Fall; </w:t>
      </w:r>
      <w:r>
        <w:rPr>
          <w:rFonts w:ascii="Book Antiqua" w:eastAsia="Book Antiqua" w:hAnsi="Book Antiqua" w:cs="Book Antiqua"/>
          <w:b/>
          <w:bCs/>
          <w:color w:val="000000"/>
        </w:rPr>
        <w:t>62</w:t>
      </w:r>
      <w:r>
        <w:rPr>
          <w:rFonts w:ascii="Book Antiqua" w:eastAsia="Book Antiqua" w:hAnsi="Book Antiqua" w:cs="Book Antiqua"/>
          <w:color w:val="000000"/>
        </w:rPr>
        <w:t>: 620-628 [PMID: 27627088]</w:t>
      </w:r>
    </w:p>
    <w:p w14:paraId="2F787521" w14:textId="77777777" w:rsidR="00A77B3E" w:rsidRDefault="001A620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Scott A</w:t>
      </w:r>
      <w:r>
        <w:rPr>
          <w:rFonts w:ascii="Book Antiqua" w:eastAsia="Book Antiqua" w:hAnsi="Book Antiqua" w:cs="Book Antiqua"/>
          <w:color w:val="000000"/>
        </w:rPr>
        <w:t xml:space="preserve">, Powner MB, Fruttiger M. Quantification of vascular tortuosity as an early outcome measure in oxygen induced retinopathy (OIR). </w:t>
      </w:r>
      <w:r>
        <w:rPr>
          <w:rFonts w:ascii="Book Antiqua" w:eastAsia="Book Antiqua" w:hAnsi="Book Antiqua" w:cs="Book Antiqua"/>
          <w:i/>
          <w:iCs/>
          <w:color w:val="000000"/>
        </w:rPr>
        <w:t>Exp Eye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120</w:t>
      </w:r>
      <w:r>
        <w:rPr>
          <w:rFonts w:ascii="Book Antiqua" w:eastAsia="Book Antiqua" w:hAnsi="Book Antiqua" w:cs="Book Antiqua"/>
          <w:color w:val="000000"/>
        </w:rPr>
        <w:t>: 55-60 [PMID: 24418725 DOI: 10.1016/j.exer.2013.12.020]</w:t>
      </w:r>
    </w:p>
    <w:p w14:paraId="3B324B67" w14:textId="77777777" w:rsidR="00A77B3E" w:rsidRDefault="001A620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Y</w:t>
      </w:r>
      <w:r>
        <w:rPr>
          <w:rFonts w:ascii="Book Antiqua" w:eastAsia="Book Antiqua" w:hAnsi="Book Antiqua" w:cs="Book Antiqua"/>
          <w:color w:val="000000"/>
        </w:rPr>
        <w:t xml:space="preserve">, Min Cheng, Zhao Y, Wang J, Wang J. Effects of fluoride on PIWI-interacting RNA expression profiling in testis of mice. </w:t>
      </w:r>
      <w:r>
        <w:rPr>
          <w:rFonts w:ascii="Book Antiqua" w:eastAsia="Book Antiqua" w:hAnsi="Book Antiqua" w:cs="Book Antiqua"/>
          <w:i/>
          <w:iCs/>
          <w:color w:val="000000"/>
        </w:rPr>
        <w:t>Chemosphere</w:t>
      </w:r>
      <w:r>
        <w:rPr>
          <w:rFonts w:ascii="Book Antiqua" w:eastAsia="Book Antiqua" w:hAnsi="Book Antiqua" w:cs="Book Antiqua"/>
          <w:color w:val="000000"/>
        </w:rPr>
        <w:t xml:space="preserve"> 2021; </w:t>
      </w:r>
      <w:r>
        <w:rPr>
          <w:rFonts w:ascii="Book Antiqua" w:eastAsia="Book Antiqua" w:hAnsi="Book Antiqua" w:cs="Book Antiqua"/>
          <w:b/>
          <w:bCs/>
          <w:color w:val="000000"/>
        </w:rPr>
        <w:t>269</w:t>
      </w:r>
      <w:r>
        <w:rPr>
          <w:rFonts w:ascii="Book Antiqua" w:eastAsia="Book Antiqua" w:hAnsi="Book Antiqua" w:cs="Book Antiqua"/>
          <w:color w:val="000000"/>
        </w:rPr>
        <w:t>: 128727 [PMID: 33213873 DOI: 10.1016/j.chemosphere.2020.128727]</w:t>
      </w:r>
    </w:p>
    <w:p w14:paraId="13839526" w14:textId="77777777" w:rsidR="00A77B3E" w:rsidRDefault="001A620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Gonzalez EA, Rameshwar P, Etchegaray JP. Non-Coding RNAs as Mediators of Epigenetic Changes in Malignancies.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33291485 DOI: 10.3390/cancers12123657]</w:t>
      </w:r>
    </w:p>
    <w:p w14:paraId="39FD8768" w14:textId="77777777" w:rsidR="00A77B3E" w:rsidRDefault="001A620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Xin J</w:t>
      </w:r>
      <w:r>
        <w:rPr>
          <w:rFonts w:ascii="Book Antiqua" w:eastAsia="Book Antiqua" w:hAnsi="Book Antiqua" w:cs="Book Antiqua"/>
          <w:color w:val="000000"/>
        </w:rPr>
        <w:t xml:space="preserve">, Du M, Jiang X, Wu Y, Ben S, Zheng R, Chu H, Li S, Zhang Z, Wang M. Systematic evaluation of the effects of genetic variants on PIWI-interacting RNA expression across 33 cancer types.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49</w:t>
      </w:r>
      <w:r>
        <w:rPr>
          <w:rFonts w:ascii="Book Antiqua" w:eastAsia="Book Antiqua" w:hAnsi="Book Antiqua" w:cs="Book Antiqua"/>
          <w:color w:val="000000"/>
        </w:rPr>
        <w:t>: 90-97 [PMID: 33330918 DOI: 10.1093/nar/gkaa1190]</w:t>
      </w:r>
    </w:p>
    <w:p w14:paraId="4E4067E3" w14:textId="77777777" w:rsidR="00A77B3E" w:rsidRDefault="001A6207">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Martinez VD</w:t>
      </w:r>
      <w:r>
        <w:rPr>
          <w:rFonts w:ascii="Book Antiqua" w:eastAsia="Book Antiqua" w:hAnsi="Book Antiqua" w:cs="Book Antiqua"/>
          <w:color w:val="000000"/>
        </w:rPr>
        <w:t xml:space="preserve">, Vucic EA, Thu KL, Hubaux R, Enfield KS, Pikor LA, Becker-Santos DD, Brown CJ, Lam S, Lam WL. Unique somatic and malignant expression patterns implicate PIWI-interacting RNAs in cancer-type specific biology.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10423 [PMID: 26013764 DOI: 10.1038/srep10423]</w:t>
      </w:r>
    </w:p>
    <w:p w14:paraId="17DE57C5" w14:textId="77777777" w:rsidR="00A77B3E" w:rsidRDefault="001A620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Moyano M</w:t>
      </w:r>
      <w:r>
        <w:rPr>
          <w:rFonts w:ascii="Book Antiqua" w:eastAsia="Book Antiqua" w:hAnsi="Book Antiqua" w:cs="Book Antiqua"/>
          <w:color w:val="000000"/>
        </w:rPr>
        <w:t xml:space="preserve">, Stefani G. piRNA involvement in genome stability and human cancer.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38 [PMID: 25895683 DOI: 10.1186/s13045-015-0133-5]</w:t>
      </w:r>
    </w:p>
    <w:p w14:paraId="47D9CE0C" w14:textId="77777777" w:rsidR="00A77B3E" w:rsidRDefault="001A620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Czech B</w:t>
      </w:r>
      <w:r>
        <w:rPr>
          <w:rFonts w:ascii="Book Antiqua" w:eastAsia="Book Antiqua" w:hAnsi="Book Antiqua" w:cs="Book Antiqua"/>
          <w:color w:val="000000"/>
        </w:rPr>
        <w:t xml:space="preserve">, Hannon GJ. One Loop to Rule Them All: The Ping-Pong Cycle and piRNA-Guided Silencing. </w:t>
      </w:r>
      <w:r>
        <w:rPr>
          <w:rFonts w:ascii="Book Antiqua" w:eastAsia="Book Antiqua" w:hAnsi="Book Antiqua" w:cs="Book Antiqua"/>
          <w:i/>
          <w:iCs/>
          <w:color w:val="000000"/>
        </w:rPr>
        <w:t>Trends Biochem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324-337 [PMID: 26810602 DOI: 10.1016/j.tibs.2015.12.008]</w:t>
      </w:r>
    </w:p>
    <w:p w14:paraId="09C28605" w14:textId="77777777" w:rsidR="00A77B3E" w:rsidRDefault="001A620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Iwasaki YW</w:t>
      </w:r>
      <w:r>
        <w:rPr>
          <w:rFonts w:ascii="Book Antiqua" w:eastAsia="Book Antiqua" w:hAnsi="Book Antiqua" w:cs="Book Antiqua"/>
          <w:color w:val="000000"/>
        </w:rPr>
        <w:t xml:space="preserve">, Siomi MC, Siomi H. PIWI-Interacting RNA: Its Biogenesis and Functions. </w:t>
      </w:r>
      <w:r>
        <w:rPr>
          <w:rFonts w:ascii="Book Antiqua" w:eastAsia="Book Antiqua" w:hAnsi="Book Antiqua" w:cs="Book Antiqua"/>
          <w:i/>
          <w:iCs/>
          <w:color w:val="000000"/>
        </w:rPr>
        <w:t>Annu Rev Biochem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405-433 [PMID: 25747396 DOI: 10.1146/annurev-biochem-060614-034258]</w:t>
      </w:r>
    </w:p>
    <w:p w14:paraId="069C1143" w14:textId="77777777" w:rsidR="00A77B3E" w:rsidRDefault="001A620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Luteijn MJ</w:t>
      </w:r>
      <w:r>
        <w:rPr>
          <w:rFonts w:ascii="Book Antiqua" w:eastAsia="Book Antiqua" w:hAnsi="Book Antiqua" w:cs="Book Antiqua"/>
          <w:color w:val="000000"/>
        </w:rPr>
        <w:t xml:space="preserve">, Ketting RF. PIWI-interacting RNAs: from generation to transgenerational epigenetics.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523-534 [PMID: 23797853 DOI: 10.1038/nrg3495]</w:t>
      </w:r>
    </w:p>
    <w:p w14:paraId="2C4EE798" w14:textId="77777777" w:rsidR="00A77B3E" w:rsidRDefault="001A620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Watanabe T</w:t>
      </w:r>
      <w:r>
        <w:rPr>
          <w:rFonts w:ascii="Book Antiqua" w:eastAsia="Book Antiqua" w:hAnsi="Book Antiqua" w:cs="Book Antiqua"/>
          <w:color w:val="000000"/>
        </w:rPr>
        <w:t xml:space="preserve">, Lin H. Posttranscriptional regulation of gene expression by Piwi proteins and piRNAs.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56</w:t>
      </w:r>
      <w:r>
        <w:rPr>
          <w:rFonts w:ascii="Book Antiqua" w:eastAsia="Book Antiqua" w:hAnsi="Book Antiqua" w:cs="Book Antiqua"/>
          <w:color w:val="000000"/>
        </w:rPr>
        <w:t>: 18-27 [PMID: 25280102 DOI: 10.1016/j.molcel.2014.09.012]</w:t>
      </w:r>
    </w:p>
    <w:p w14:paraId="6A178B28" w14:textId="77777777" w:rsidR="00A77B3E" w:rsidRDefault="001A620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Balaratnam S</w:t>
      </w:r>
      <w:r>
        <w:rPr>
          <w:rFonts w:ascii="Book Antiqua" w:eastAsia="Book Antiqua" w:hAnsi="Book Antiqua" w:cs="Book Antiqua"/>
          <w:color w:val="000000"/>
        </w:rPr>
        <w:t xml:space="preserve">, West N, Basu S. A piRNA utilizes HILI and HIWI2 mediated pathway to down-regulate ferritin heavy chain 1 mRNA in human somatic cells.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10635-10648 [PMID: 30102404 DOI: 10.1093/nar/gky728]</w:t>
      </w:r>
    </w:p>
    <w:p w14:paraId="24426EAD" w14:textId="77777777" w:rsidR="00A77B3E" w:rsidRDefault="001A620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Lin Y</w:t>
      </w:r>
      <w:r>
        <w:rPr>
          <w:rFonts w:ascii="Book Antiqua" w:eastAsia="Book Antiqua" w:hAnsi="Book Antiqua" w:cs="Book Antiqua"/>
          <w:color w:val="000000"/>
        </w:rPr>
        <w:t xml:space="preserve">, Zheng J, Lin D. PIWI-interacting RNAs in human cancer.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2020 [PMID: 32877760 DOI: 10.1016/j.semcancer.2020.08.012]</w:t>
      </w:r>
    </w:p>
    <w:p w14:paraId="239CA0F7" w14:textId="77777777" w:rsidR="00A77B3E" w:rsidRDefault="001A620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Siddiqi S</w:t>
      </w:r>
      <w:r>
        <w:rPr>
          <w:rFonts w:ascii="Book Antiqua" w:eastAsia="Book Antiqua" w:hAnsi="Book Antiqua" w:cs="Book Antiqua"/>
          <w:color w:val="000000"/>
        </w:rPr>
        <w:t xml:space="preserve">, Matushansky I. Piwis and piwi-interacting RNAs in the epigenetics of cancer.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113</w:t>
      </w:r>
      <w:r>
        <w:rPr>
          <w:rFonts w:ascii="Book Antiqua" w:eastAsia="Book Antiqua" w:hAnsi="Book Antiqua" w:cs="Book Antiqua"/>
          <w:color w:val="000000"/>
        </w:rPr>
        <w:t>: 373-380 [PMID: 21928326 DOI: 10.1002/jcb.23363]</w:t>
      </w:r>
    </w:p>
    <w:p w14:paraId="4AD7ED76" w14:textId="77777777" w:rsidR="00A77B3E" w:rsidRDefault="001A620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Han H</w:t>
      </w:r>
      <w:r>
        <w:rPr>
          <w:rFonts w:ascii="Book Antiqua" w:eastAsia="Book Antiqua" w:hAnsi="Book Antiqua" w:cs="Book Antiqua"/>
          <w:color w:val="000000"/>
        </w:rPr>
        <w:t xml:space="preserve">, Fan G, Song S, Jiang Y, Qian C, Zhang W, Su Q, Xue X, Zhuang W, Li B. piRNA-30473 contributes to tumorigenesis and poor prognosis by regulating m6A RNA methylation in DLBCL.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2021; </w:t>
      </w:r>
      <w:r>
        <w:rPr>
          <w:rFonts w:ascii="Book Antiqua" w:eastAsia="Book Antiqua" w:hAnsi="Book Antiqua" w:cs="Book Antiqua"/>
          <w:b/>
          <w:bCs/>
          <w:color w:val="000000"/>
        </w:rPr>
        <w:t>137</w:t>
      </w:r>
      <w:r>
        <w:rPr>
          <w:rFonts w:ascii="Book Antiqua" w:eastAsia="Book Antiqua" w:hAnsi="Book Antiqua" w:cs="Book Antiqua"/>
          <w:color w:val="000000"/>
        </w:rPr>
        <w:t>: 1603-1614 [PMID: 32967010 DOI: 10.1182/blood.2019003764]</w:t>
      </w:r>
    </w:p>
    <w:p w14:paraId="58BD9784" w14:textId="77777777" w:rsidR="00A77B3E" w:rsidRDefault="001A6207">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Qi T</w:t>
      </w:r>
      <w:r>
        <w:rPr>
          <w:rFonts w:ascii="Book Antiqua" w:eastAsia="Book Antiqua" w:hAnsi="Book Antiqua" w:cs="Book Antiqua"/>
          <w:color w:val="000000"/>
        </w:rPr>
        <w:t xml:space="preserve">, Cao H, Sun H, Feng H, Li N, Wang C, Wang L. piR-19166 inhibits migration and metastasis through CTTN/MMPs pathway in prostate carcinoma.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18209-18220 [PMID: 32881713 DOI: 10.18632/aging.103677]</w:t>
      </w:r>
    </w:p>
    <w:p w14:paraId="7C6A8003" w14:textId="53EAB3F1" w:rsidR="00A77B3E" w:rsidRDefault="001A620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Yan H</w:t>
      </w:r>
      <w:r>
        <w:rPr>
          <w:rFonts w:ascii="Book Antiqua" w:eastAsia="Book Antiqua" w:hAnsi="Book Antiqua" w:cs="Book Antiqua"/>
          <w:color w:val="000000"/>
        </w:rPr>
        <w:t xml:space="preserve">, Wu QL, Sun CY, Ai LS, Deng J, Zhang L, Chen L, Chu ZB, Tang B, Wang K, Wu XF, Xu J, Hu Y. piRNA-823 contributes to tumorigenesis by regulating de novo DNA methylation and angiogenesis in multiple myeloma.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196-206 [PMID: 24732595 DOI: 10.1038/</w:t>
      </w:r>
      <w:r w:rsidR="004F1259">
        <w:rPr>
          <w:rFonts w:ascii="Book Antiqua" w:eastAsia="Book Antiqua" w:hAnsi="Book Antiqua" w:cs="Book Antiqua"/>
          <w:color w:val="000000"/>
        </w:rPr>
        <w:t>l</w:t>
      </w:r>
      <w:r>
        <w:rPr>
          <w:rFonts w:ascii="Book Antiqua" w:eastAsia="Book Antiqua" w:hAnsi="Book Antiqua" w:cs="Book Antiqua"/>
          <w:color w:val="000000"/>
        </w:rPr>
        <w:t>eu.2014.135]</w:t>
      </w:r>
    </w:p>
    <w:p w14:paraId="1CBDE3DC" w14:textId="77777777" w:rsidR="00A77B3E" w:rsidRDefault="001A620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Tan L</w:t>
      </w:r>
      <w:r>
        <w:rPr>
          <w:rFonts w:ascii="Book Antiqua" w:eastAsia="Book Antiqua" w:hAnsi="Book Antiqua" w:cs="Book Antiqua"/>
          <w:color w:val="000000"/>
        </w:rPr>
        <w:t xml:space="preserve">, Mai D, Zhang B, Jiang X, Zhang J, Bai R, Ye Y, Li M, Pan L, Su J, Zheng Y, Liu Z, Zuo Z, Zhao Q, Li X, Huang X, Yang J, Tan W, Zheng J, Lin D. PIWI-interacting RNA-36712 restrains breast cancer progression and chemoresistance by interaction with SEPW1 pseudogene SEPW1P RNA.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9 [PMID: 30636640 DOI: 10.1186/s12943-019-0940-3]</w:t>
      </w:r>
    </w:p>
    <w:p w14:paraId="3BDB30A2" w14:textId="77BDA5D3" w:rsidR="00A77B3E" w:rsidRDefault="001A620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38 </w:t>
      </w:r>
      <w:r>
        <w:rPr>
          <w:rFonts w:ascii="Book Antiqua" w:eastAsia="Book Antiqua" w:hAnsi="Book Antiqua" w:cs="Book Antiqua"/>
          <w:b/>
          <w:bCs/>
          <w:color w:val="000000"/>
        </w:rPr>
        <w:t>Zhou J</w:t>
      </w:r>
      <w:r>
        <w:rPr>
          <w:rFonts w:ascii="Book Antiqua" w:eastAsia="Book Antiqua" w:hAnsi="Book Antiqua" w:cs="Book Antiqua"/>
          <w:color w:val="000000"/>
        </w:rPr>
        <w:t xml:space="preserve">, Zhou W, Zhang R. The potential mechanisms of piRNA to induce hepatocellular carcinoma in human.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146</w:t>
      </w:r>
      <w:r>
        <w:rPr>
          <w:rFonts w:ascii="Book Antiqua" w:eastAsia="Book Antiqua" w:hAnsi="Book Antiqua" w:cs="Book Antiqua"/>
          <w:color w:val="000000"/>
        </w:rPr>
        <w:t>: 110400 [PMID: 33229192 DOI: 10.1016/j.mehy.2020.110400]</w:t>
      </w:r>
    </w:p>
    <w:p w14:paraId="418F8118" w14:textId="66515C21" w:rsidR="000C09E3" w:rsidRDefault="000C09E3">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Solomon SD</w:t>
      </w:r>
      <w:r>
        <w:rPr>
          <w:rFonts w:ascii="Book Antiqua" w:eastAsia="Book Antiqua" w:hAnsi="Book Antiqua" w:cs="Book Antiqua"/>
          <w:color w:val="000000"/>
        </w:rPr>
        <w:t xml:space="preserve">, Chew E, Duh EJ, Sobrin L, Sun JK, VanderBeek BL, Wykoff CC, Gardner TW. Diabetic Retinopathy: A Position Statement by the American Diabetes Association.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412-418 [PMID: 28223445 DOI: 10.2337/dc16-2641]</w:t>
      </w:r>
    </w:p>
    <w:p w14:paraId="62E59C27" w14:textId="5A48581F" w:rsidR="00A77B3E" w:rsidRDefault="000C09E3">
      <w:pPr>
        <w:spacing w:line="360" w:lineRule="auto"/>
        <w:jc w:val="both"/>
      </w:pPr>
      <w:r>
        <w:rPr>
          <w:rFonts w:ascii="Book Antiqua" w:eastAsia="Book Antiqua" w:hAnsi="Book Antiqua" w:cs="Book Antiqua"/>
          <w:color w:val="000000"/>
        </w:rPr>
        <w:t xml:space="preserve">40 </w:t>
      </w:r>
      <w:r w:rsidR="001A6207">
        <w:rPr>
          <w:rFonts w:ascii="Book Antiqua" w:eastAsia="Book Antiqua" w:hAnsi="Book Antiqua" w:cs="Book Antiqua"/>
          <w:b/>
          <w:bCs/>
          <w:color w:val="000000"/>
        </w:rPr>
        <w:t>Recchia FM</w:t>
      </w:r>
      <w:r w:rsidR="001A6207">
        <w:rPr>
          <w:rFonts w:ascii="Book Antiqua" w:eastAsia="Book Antiqua" w:hAnsi="Book Antiqua" w:cs="Book Antiqua"/>
          <w:color w:val="000000"/>
        </w:rPr>
        <w:t xml:space="preserve">, Xu L, Penn JS, Boone B, Dexheimer PJ. Identification of genes and pathways involved in retinal neovascularization by microarray analysis of two animal models of retinal angiogenesis. </w:t>
      </w:r>
      <w:r w:rsidR="001A6207">
        <w:rPr>
          <w:rFonts w:ascii="Book Antiqua" w:eastAsia="Book Antiqua" w:hAnsi="Book Antiqua" w:cs="Book Antiqua"/>
          <w:i/>
          <w:iCs/>
          <w:color w:val="000000"/>
        </w:rPr>
        <w:t>Invest Ophthalmol Vis Sci</w:t>
      </w:r>
      <w:r w:rsidR="001A6207">
        <w:rPr>
          <w:rFonts w:ascii="Book Antiqua" w:eastAsia="Book Antiqua" w:hAnsi="Book Antiqua" w:cs="Book Antiqua"/>
          <w:color w:val="000000"/>
        </w:rPr>
        <w:t xml:space="preserve"> 2010; </w:t>
      </w:r>
      <w:r w:rsidR="001A6207">
        <w:rPr>
          <w:rFonts w:ascii="Book Antiqua" w:eastAsia="Book Antiqua" w:hAnsi="Book Antiqua" w:cs="Book Antiqua"/>
          <w:b/>
          <w:bCs/>
          <w:color w:val="000000"/>
        </w:rPr>
        <w:t>51</w:t>
      </w:r>
      <w:r w:rsidR="001A6207">
        <w:rPr>
          <w:rFonts w:ascii="Book Antiqua" w:eastAsia="Book Antiqua" w:hAnsi="Book Antiqua" w:cs="Book Antiqua"/>
          <w:color w:val="000000"/>
        </w:rPr>
        <w:t>: 1098-1105 [PMID: 19834031 DOI: 10.1167/iovs.09-4006]</w:t>
      </w:r>
    </w:p>
    <w:p w14:paraId="490A1E1E" w14:textId="77777777" w:rsidR="00A77B3E" w:rsidRDefault="001A620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Yoshida S</w:t>
      </w:r>
      <w:r>
        <w:rPr>
          <w:rFonts w:ascii="Book Antiqua" w:eastAsia="Book Antiqua" w:hAnsi="Book Antiqua" w:cs="Book Antiqua"/>
          <w:color w:val="000000"/>
        </w:rPr>
        <w:t xml:space="preserve">, Nakama T, Ishikawa K, Arima M, Tachibana T, Nakao S, Sassa Y, Yasuda M, Enaida H, Oshima Y, Kono T, Ishibashi T. Antiangiogenic shift in vitreous after vitrectomy in patients with proliferative diabetic retinopathy. </w:t>
      </w:r>
      <w:r>
        <w:rPr>
          <w:rFonts w:ascii="Book Antiqua" w:eastAsia="Book Antiqua" w:hAnsi="Book Antiqua" w:cs="Book Antiqua"/>
          <w:i/>
          <w:iCs/>
          <w:color w:val="000000"/>
        </w:rPr>
        <w:t>Invest Ophthalmol Vis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6997-7003 [PMID: 22977138 DOI: 10.1167/iovs.12-9671]</w:t>
      </w:r>
    </w:p>
    <w:p w14:paraId="24324615" w14:textId="77777777" w:rsidR="00A77B3E" w:rsidRDefault="001A620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Natalucci G</w:t>
      </w:r>
      <w:r>
        <w:rPr>
          <w:rFonts w:ascii="Book Antiqua" w:eastAsia="Book Antiqua" w:hAnsi="Book Antiqua" w:cs="Book Antiqua"/>
          <w:color w:val="000000"/>
        </w:rPr>
        <w:t xml:space="preserve">, Latal B, Koller B, Rüegger C, Sick B, Held L, Fauchère JC; Swiss EPO Neuroprotection Trial Group. Neurodevelopmental Outcomes at Age 5 Years After Prophylactic Early High-Dose Recombinant Human Erythropoietin for Neuroprotection </w:t>
      </w:r>
      <w:r>
        <w:rPr>
          <w:rFonts w:ascii="Book Antiqua" w:eastAsia="Book Antiqua" w:hAnsi="Book Antiqua" w:cs="Book Antiqua"/>
          <w:color w:val="000000"/>
        </w:rPr>
        <w:lastRenderedPageBreak/>
        <w:t xml:space="preserve">in Very Preterm Infants.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2324-2327 [PMID: 33289818 DOI: 10.1001/jama.2020.19395]</w:t>
      </w:r>
    </w:p>
    <w:p w14:paraId="37B75DA9" w14:textId="77777777" w:rsidR="00A77B3E" w:rsidRDefault="001A620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Arellano-Buendía AS</w:t>
      </w:r>
      <w:r>
        <w:rPr>
          <w:rFonts w:ascii="Book Antiqua" w:eastAsia="Book Antiqua" w:hAnsi="Book Antiqua" w:cs="Book Antiqua"/>
          <w:color w:val="000000"/>
        </w:rPr>
        <w:t xml:space="preserve">, Castañeda-Lara LG, Loredo-Mendoza ML, García-Arroyo FE, Rojas-Morales P, Argüello-García R, Juárez-Rojas JG, Tapia E, Pedraza-Chaverri J, Sánchez-Lozada LG, Osorio-Alonso H. Effects of Allicin on Pathophysiological Mechanisms during the Progression of Nephropathy Associated to Diabetes.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33203103 DOI: 10.3390/antiox9111134]</w:t>
      </w:r>
    </w:p>
    <w:p w14:paraId="1090E18E" w14:textId="77777777" w:rsidR="00A77B3E" w:rsidRDefault="001A620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Wang H</w:t>
      </w:r>
      <w:r>
        <w:rPr>
          <w:rFonts w:ascii="Book Antiqua" w:eastAsia="Book Antiqua" w:hAnsi="Book Antiqua" w:cs="Book Antiqua"/>
          <w:color w:val="000000"/>
        </w:rPr>
        <w:t xml:space="preserve">, Xu X, Yin Y, Yu S, Ren H, Xue Q, Xu X. Catalpol protects vascular structure and promotes angiogenesis in cerebral ischemic rats by targeting HIF-1α/VEGF.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78</w:t>
      </w:r>
      <w:r>
        <w:rPr>
          <w:rFonts w:ascii="Book Antiqua" w:eastAsia="Book Antiqua" w:hAnsi="Book Antiqua" w:cs="Book Antiqua"/>
          <w:color w:val="000000"/>
        </w:rPr>
        <w:t>: 153300 [PMID: 32866905 DOI: 10.1016/j.phymed.2020.153300]</w:t>
      </w:r>
    </w:p>
    <w:p w14:paraId="2129D12A" w14:textId="77777777" w:rsidR="00A77B3E" w:rsidRDefault="001A6207">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Lazzara F</w:t>
      </w:r>
      <w:r>
        <w:rPr>
          <w:rFonts w:ascii="Book Antiqua" w:eastAsia="Book Antiqua" w:hAnsi="Book Antiqua" w:cs="Book Antiqua"/>
          <w:color w:val="000000"/>
        </w:rPr>
        <w:t xml:space="preserve">, Trotta MC, Platania CBM, D'Amico M, Petrillo F, Galdiero M, Gesualdo C, Rossi S, Drago F, Bucolo C. Stabilization of HIF-1α in Human Retinal Endothelial Cells Modulates Expression of miRNAs and Proangiogenic Growth Factors.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1063 [PMID: 32848728 DOI: 10.3389/fphar.2020.01063]</w:t>
      </w:r>
    </w:p>
    <w:p w14:paraId="5C4A0429" w14:textId="77777777" w:rsidR="00A77B3E" w:rsidRDefault="001A620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Han JM</w:t>
      </w:r>
      <w:r>
        <w:rPr>
          <w:rFonts w:ascii="Book Antiqua" w:eastAsia="Book Antiqua" w:hAnsi="Book Antiqua" w:cs="Book Antiqua"/>
          <w:color w:val="000000"/>
        </w:rPr>
        <w:t xml:space="preserve">, Choi YS, Dhakal D, Sohng JK, Jung HJ. Novel Nargenicin A1 Analog Inhibits Angiogenesis by Downregulating the Endothelial VEGF/VEGFR2 Signaling and Tumoral HIF-1α/VEGF Pathway.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32751120 DOI: 10.3390/biomedicines8080252]</w:t>
      </w:r>
    </w:p>
    <w:p w14:paraId="1E8E72D0" w14:textId="77777777" w:rsidR="00A77B3E" w:rsidRDefault="001A620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Bonfiglio V</w:t>
      </w:r>
      <w:r>
        <w:rPr>
          <w:rFonts w:ascii="Book Antiqua" w:eastAsia="Book Antiqua" w:hAnsi="Book Antiqua" w:cs="Book Antiqua"/>
          <w:color w:val="000000"/>
        </w:rPr>
        <w:t xml:space="preserve">, Platania CBM, Lazzara F, Conti F, Pizzo C, Reibaldi M, Russo A, Fallico M, Ortisi E, Pignatelli F, Longo A, Avitabile T, Drago F, Bucolo C. TGF-β Serum Levels in Diabetic Retinopathy Patients and the Role of Anti-VEGF Therapy.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33334029 DOI: 10.3390/ijms21249558]</w:t>
      </w:r>
    </w:p>
    <w:p w14:paraId="59D747D7" w14:textId="77777777" w:rsidR="00A77B3E" w:rsidRDefault="001A620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Liu X</w:t>
      </w:r>
      <w:r>
        <w:rPr>
          <w:rFonts w:ascii="Book Antiqua" w:eastAsia="Book Antiqua" w:hAnsi="Book Antiqua" w:cs="Book Antiqua"/>
          <w:color w:val="000000"/>
        </w:rPr>
        <w:t xml:space="preserve">, Li J, Li X. miR-142-5p regulates the progression of diabetic retinopathy by targeting IGF1. </w:t>
      </w:r>
      <w:r>
        <w:rPr>
          <w:rFonts w:ascii="Book Antiqua" w:eastAsia="Book Antiqua" w:hAnsi="Book Antiqua" w:cs="Book Antiqua"/>
          <w:i/>
          <w:iCs/>
          <w:color w:val="000000"/>
        </w:rPr>
        <w:t>Int J Immunopathol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2058738420909041 [PMID: 32116075 DOI: 10.1177/2058738420909041]</w:t>
      </w:r>
    </w:p>
    <w:p w14:paraId="32EBD86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D8A97A" w14:textId="77777777" w:rsidR="00A77B3E" w:rsidRDefault="001A6207">
      <w:pPr>
        <w:spacing w:line="360" w:lineRule="auto"/>
        <w:jc w:val="both"/>
      </w:pPr>
      <w:r>
        <w:rPr>
          <w:rFonts w:ascii="Book Antiqua" w:eastAsia="Book Antiqua" w:hAnsi="Book Antiqua" w:cs="Book Antiqua"/>
          <w:b/>
          <w:color w:val="000000"/>
        </w:rPr>
        <w:lastRenderedPageBreak/>
        <w:t>Footnotes</w:t>
      </w:r>
    </w:p>
    <w:p w14:paraId="4BB5BCC2" w14:textId="37C5C7B0" w:rsidR="00A77B3E" w:rsidRDefault="001A6207">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 xml:space="preserve">The study was reviewed and approved by the </w:t>
      </w:r>
      <w:r>
        <w:rPr>
          <w:rFonts w:ascii="Book Antiqua" w:eastAsia="Book Antiqua" w:hAnsi="Book Antiqua" w:cs="Book Antiqua"/>
          <w:color w:val="000000"/>
        </w:rPr>
        <w:t xml:space="preserve">Institutional Review Board of Shengjing </w:t>
      </w:r>
      <w:r w:rsidR="00862AD3">
        <w:rPr>
          <w:rFonts w:ascii="Book Antiqua" w:eastAsia="Book Antiqua" w:hAnsi="Book Antiqua" w:cs="Book Antiqua"/>
          <w:color w:val="000000"/>
        </w:rPr>
        <w:t>H</w:t>
      </w:r>
      <w:r>
        <w:rPr>
          <w:rFonts w:ascii="Book Antiqua" w:eastAsia="Book Antiqua" w:hAnsi="Book Antiqua" w:cs="Book Antiqua"/>
          <w:color w:val="000000"/>
        </w:rPr>
        <w:t xml:space="preserve">ospital of China </w:t>
      </w:r>
      <w:r w:rsidR="00862AD3">
        <w:rPr>
          <w:rFonts w:ascii="Book Antiqua" w:eastAsia="Book Antiqua" w:hAnsi="Book Antiqua" w:cs="Book Antiqua"/>
          <w:color w:val="000000"/>
        </w:rPr>
        <w:t>Medical Universit</w:t>
      </w:r>
      <w:r>
        <w:rPr>
          <w:rFonts w:ascii="Book Antiqua" w:eastAsia="Book Antiqua" w:hAnsi="Book Antiqua" w:cs="Book Antiqua"/>
          <w:color w:val="000000"/>
        </w:rPr>
        <w:t>y (Approval No. 2020PS078K).</w:t>
      </w:r>
    </w:p>
    <w:p w14:paraId="161747C1" w14:textId="77777777" w:rsidR="00A77B3E" w:rsidRDefault="00A77B3E">
      <w:pPr>
        <w:spacing w:line="360" w:lineRule="auto"/>
        <w:jc w:val="both"/>
      </w:pPr>
    </w:p>
    <w:p w14:paraId="16287276" w14:textId="77777777" w:rsidR="00A77B3E" w:rsidRDefault="001A620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potential conflicts of interest relevant to this article are reported.</w:t>
      </w:r>
    </w:p>
    <w:p w14:paraId="28BBC6F3" w14:textId="77777777" w:rsidR="00A77B3E" w:rsidRDefault="00A77B3E">
      <w:pPr>
        <w:spacing w:line="360" w:lineRule="auto"/>
        <w:jc w:val="both"/>
      </w:pPr>
    </w:p>
    <w:p w14:paraId="46CC26F4" w14:textId="77777777" w:rsidR="00A77B3E" w:rsidRDefault="001A620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0FF2DD8" w14:textId="77777777" w:rsidR="00A77B3E" w:rsidRDefault="00A77B3E">
      <w:pPr>
        <w:spacing w:line="360" w:lineRule="auto"/>
        <w:jc w:val="both"/>
      </w:pPr>
    </w:p>
    <w:p w14:paraId="788E6AB7" w14:textId="77777777" w:rsidR="00A77B3E" w:rsidRDefault="001A6207">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AA0F7FA" w14:textId="77777777" w:rsidR="00A77B3E" w:rsidRDefault="00A77B3E">
      <w:pPr>
        <w:spacing w:line="360" w:lineRule="auto"/>
        <w:jc w:val="both"/>
      </w:pPr>
    </w:p>
    <w:p w14:paraId="5C55F148" w14:textId="77777777" w:rsidR="00A77B3E" w:rsidRDefault="001A620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165196" w14:textId="77777777" w:rsidR="00A77B3E" w:rsidRDefault="00A77B3E">
      <w:pPr>
        <w:spacing w:line="360" w:lineRule="auto"/>
        <w:jc w:val="both"/>
      </w:pPr>
    </w:p>
    <w:p w14:paraId="3B44E00D" w14:textId="7ED69DA2" w:rsidR="00A77B3E" w:rsidRDefault="001A620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C562CD">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C543687" w14:textId="77777777" w:rsidR="00A77B3E" w:rsidRDefault="00A77B3E">
      <w:pPr>
        <w:spacing w:line="360" w:lineRule="auto"/>
        <w:jc w:val="both"/>
      </w:pPr>
    </w:p>
    <w:p w14:paraId="25BCB0C9" w14:textId="77777777" w:rsidR="00A77B3E" w:rsidRDefault="001A620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52D6DD65" w14:textId="77777777" w:rsidR="00A77B3E" w:rsidRDefault="001A620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17F84562" w14:textId="77777777" w:rsidR="00A77B3E" w:rsidRDefault="001A6207">
      <w:pPr>
        <w:spacing w:line="360" w:lineRule="auto"/>
        <w:jc w:val="both"/>
      </w:pPr>
      <w:r>
        <w:rPr>
          <w:rFonts w:ascii="Book Antiqua" w:eastAsia="Book Antiqua" w:hAnsi="Book Antiqua" w:cs="Book Antiqua"/>
          <w:b/>
          <w:color w:val="000000"/>
        </w:rPr>
        <w:t xml:space="preserve">Article in press: </w:t>
      </w:r>
    </w:p>
    <w:p w14:paraId="2A8A8457" w14:textId="77777777" w:rsidR="00A77B3E" w:rsidRDefault="00A77B3E">
      <w:pPr>
        <w:spacing w:line="360" w:lineRule="auto"/>
        <w:jc w:val="both"/>
      </w:pPr>
    </w:p>
    <w:p w14:paraId="1F03B8E0" w14:textId="5C1D04E0" w:rsidR="00A77B3E" w:rsidRDefault="001A6207">
      <w:pPr>
        <w:spacing w:line="360" w:lineRule="auto"/>
        <w:jc w:val="both"/>
      </w:pPr>
      <w:r>
        <w:rPr>
          <w:rFonts w:ascii="Book Antiqua" w:eastAsia="Book Antiqua" w:hAnsi="Book Antiqua" w:cs="Book Antiqua"/>
          <w:b/>
          <w:color w:val="000000"/>
        </w:rPr>
        <w:t xml:space="preserve">Specialty type: </w:t>
      </w:r>
      <w:r w:rsidR="00C562CD" w:rsidRPr="00E700C2">
        <w:rPr>
          <w:rFonts w:ascii="Book Antiqua" w:eastAsia="Microsoft YaHei" w:hAnsi="Book Antiqua" w:cs="宋体"/>
        </w:rPr>
        <w:t>Endocrinology and metabolism</w:t>
      </w:r>
    </w:p>
    <w:p w14:paraId="6CD836D9" w14:textId="77777777" w:rsidR="00A77B3E" w:rsidRDefault="001A620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BD1BFE" w14:textId="77777777" w:rsidR="00A77B3E" w:rsidRDefault="001A6207">
      <w:pPr>
        <w:spacing w:line="360" w:lineRule="auto"/>
        <w:jc w:val="both"/>
      </w:pPr>
      <w:r>
        <w:rPr>
          <w:rFonts w:ascii="Book Antiqua" w:eastAsia="Book Antiqua" w:hAnsi="Book Antiqua" w:cs="Book Antiqua"/>
          <w:b/>
          <w:color w:val="000000"/>
        </w:rPr>
        <w:t>Peer-review report’s scientific quality classification</w:t>
      </w:r>
    </w:p>
    <w:p w14:paraId="1AE7AE2D" w14:textId="77777777" w:rsidR="00A77B3E" w:rsidRDefault="001A6207">
      <w:pPr>
        <w:spacing w:line="360" w:lineRule="auto"/>
        <w:jc w:val="both"/>
      </w:pPr>
      <w:r>
        <w:rPr>
          <w:rFonts w:ascii="Book Antiqua" w:eastAsia="Book Antiqua" w:hAnsi="Book Antiqua" w:cs="Book Antiqua"/>
          <w:color w:val="000000"/>
        </w:rPr>
        <w:lastRenderedPageBreak/>
        <w:t>Grade A (Excellent): 0</w:t>
      </w:r>
    </w:p>
    <w:p w14:paraId="4511B217" w14:textId="77777777" w:rsidR="00A77B3E" w:rsidRDefault="001A6207">
      <w:pPr>
        <w:spacing w:line="360" w:lineRule="auto"/>
        <w:jc w:val="both"/>
      </w:pPr>
      <w:r>
        <w:rPr>
          <w:rFonts w:ascii="Book Antiqua" w:eastAsia="Book Antiqua" w:hAnsi="Book Antiqua" w:cs="Book Antiqua"/>
          <w:color w:val="000000"/>
        </w:rPr>
        <w:t>Grade B (Very good): B, B</w:t>
      </w:r>
    </w:p>
    <w:p w14:paraId="52E9E99B" w14:textId="77777777" w:rsidR="00A77B3E" w:rsidRDefault="001A6207">
      <w:pPr>
        <w:spacing w:line="360" w:lineRule="auto"/>
        <w:jc w:val="both"/>
      </w:pPr>
      <w:r>
        <w:rPr>
          <w:rFonts w:ascii="Book Antiqua" w:eastAsia="Book Antiqua" w:hAnsi="Book Antiqua" w:cs="Book Antiqua"/>
          <w:color w:val="000000"/>
        </w:rPr>
        <w:t>Grade C (Good): 0</w:t>
      </w:r>
    </w:p>
    <w:p w14:paraId="72B3C38F" w14:textId="77777777" w:rsidR="00A77B3E" w:rsidRDefault="001A6207">
      <w:pPr>
        <w:spacing w:line="360" w:lineRule="auto"/>
        <w:jc w:val="both"/>
      </w:pPr>
      <w:r>
        <w:rPr>
          <w:rFonts w:ascii="Book Antiqua" w:eastAsia="Book Antiqua" w:hAnsi="Book Antiqua" w:cs="Book Antiqua"/>
          <w:color w:val="000000"/>
        </w:rPr>
        <w:t>Grade D (Fair): 0</w:t>
      </w:r>
    </w:p>
    <w:p w14:paraId="7562467F" w14:textId="77777777" w:rsidR="00A77B3E" w:rsidRDefault="001A6207">
      <w:pPr>
        <w:spacing w:line="360" w:lineRule="auto"/>
        <w:jc w:val="both"/>
      </w:pPr>
      <w:r>
        <w:rPr>
          <w:rFonts w:ascii="Book Antiqua" w:eastAsia="Book Antiqua" w:hAnsi="Book Antiqua" w:cs="Book Antiqua"/>
          <w:color w:val="000000"/>
        </w:rPr>
        <w:t>Grade E (Poor): 0</w:t>
      </w:r>
    </w:p>
    <w:p w14:paraId="56377896" w14:textId="77777777" w:rsidR="00A77B3E" w:rsidRDefault="00A77B3E">
      <w:pPr>
        <w:spacing w:line="360" w:lineRule="auto"/>
        <w:jc w:val="both"/>
      </w:pPr>
    </w:p>
    <w:p w14:paraId="2919F579" w14:textId="49736604" w:rsidR="00A77B3E" w:rsidRDefault="001A620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Armellini E, Fires 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620708">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3EAFAC5" w14:textId="7722482B" w:rsidR="00A77B3E" w:rsidRDefault="001A620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9377E8C" w14:textId="31A90BC4" w:rsidR="008A102F" w:rsidRDefault="008A102F">
      <w:pPr>
        <w:spacing w:line="360" w:lineRule="auto"/>
        <w:jc w:val="both"/>
      </w:pPr>
      <w:r>
        <w:rPr>
          <w:noProof/>
          <w:lang w:eastAsia="zh-CN"/>
        </w:rPr>
        <w:drawing>
          <wp:inline distT="0" distB="0" distL="0" distR="0" wp14:anchorId="3D3538CB" wp14:editId="537BE65E">
            <wp:extent cx="5943600" cy="28435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43530"/>
                    </a:xfrm>
                    <a:prstGeom prst="rect">
                      <a:avLst/>
                    </a:prstGeom>
                  </pic:spPr>
                </pic:pic>
              </a:graphicData>
            </a:graphic>
          </wp:inline>
        </w:drawing>
      </w:r>
    </w:p>
    <w:p w14:paraId="48A35346" w14:textId="2D60DFD4" w:rsidR="00A77B3E" w:rsidRDefault="001A6207">
      <w:pPr>
        <w:spacing w:line="360" w:lineRule="auto"/>
        <w:jc w:val="both"/>
      </w:pPr>
      <w:r w:rsidRPr="00C10862">
        <w:rPr>
          <w:rFonts w:ascii="Book Antiqua" w:eastAsia="Book Antiqua" w:hAnsi="Book Antiqua" w:cs="Book Antiqua"/>
          <w:b/>
          <w:bCs/>
          <w:color w:val="000000"/>
          <w:szCs w:val="21"/>
        </w:rPr>
        <w:t>Figure</w:t>
      </w:r>
      <w:r w:rsidR="008A102F" w:rsidRPr="00C10862">
        <w:rPr>
          <w:rFonts w:ascii="Book Antiqua" w:eastAsia="Book Antiqua" w:hAnsi="Book Antiqua" w:cs="Book Antiqua"/>
          <w:b/>
          <w:bCs/>
          <w:color w:val="000000"/>
          <w:szCs w:val="21"/>
        </w:rPr>
        <w:t xml:space="preserve"> </w:t>
      </w:r>
      <w:r w:rsidRPr="00C10862">
        <w:rPr>
          <w:rFonts w:ascii="Book Antiqua" w:eastAsia="Book Antiqua" w:hAnsi="Book Antiqua" w:cs="Book Antiqua"/>
          <w:b/>
          <w:bCs/>
          <w:color w:val="000000"/>
          <w:szCs w:val="21"/>
        </w:rPr>
        <w:t>1</w:t>
      </w:r>
      <w:r w:rsidR="00294B85" w:rsidRPr="00294B85">
        <w:t xml:space="preserve"> </w:t>
      </w:r>
      <w:r w:rsidR="00294B85" w:rsidRPr="00294B85">
        <w:rPr>
          <w:rFonts w:ascii="Book Antiqua" w:eastAsia="Book Antiqua" w:hAnsi="Book Antiqua" w:cs="Book Antiqua"/>
          <w:b/>
          <w:bCs/>
          <w:color w:val="000000"/>
          <w:szCs w:val="21"/>
        </w:rPr>
        <w:t>Evaluation of retinal neovascularization</w:t>
      </w:r>
      <w:r w:rsidR="00C10862" w:rsidRPr="00C10862">
        <w:rPr>
          <w:rFonts w:ascii="Book Antiqua" w:eastAsia="Book Antiqua" w:hAnsi="Book Antiqua" w:cs="Book Antiqua"/>
          <w:b/>
          <w:bCs/>
          <w:color w:val="000000"/>
          <w:szCs w:val="21"/>
        </w:rPr>
        <w:t>.</w:t>
      </w:r>
      <w:r w:rsidR="008A102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 Retina patch morphology of </w:t>
      </w:r>
      <w:r w:rsidR="00C10862">
        <w:rPr>
          <w:rFonts w:ascii="Book Antiqua" w:eastAsia="Book Antiqua" w:hAnsi="Book Antiqua" w:cs="Book Antiqua"/>
          <w:color w:val="000000"/>
        </w:rPr>
        <w:t>control group (CG)</w:t>
      </w:r>
      <w:r>
        <w:rPr>
          <w:rFonts w:ascii="Book Antiqua" w:eastAsia="Book Antiqua" w:hAnsi="Book Antiqua" w:cs="Book Antiqua"/>
          <w:color w:val="000000"/>
          <w:szCs w:val="21"/>
        </w:rPr>
        <w:t xml:space="preserve">; B: </w:t>
      </w:r>
      <w:r w:rsidR="00C10862">
        <w:rPr>
          <w:rFonts w:ascii="Book Antiqua" w:eastAsia="Book Antiqua" w:hAnsi="Book Antiqua" w:cs="Book Antiqua"/>
          <w:color w:val="000000"/>
          <w:szCs w:val="21"/>
        </w:rPr>
        <w:t>R</w:t>
      </w:r>
      <w:r>
        <w:rPr>
          <w:rFonts w:ascii="Book Antiqua" w:eastAsia="Book Antiqua" w:hAnsi="Book Antiqua" w:cs="Book Antiqua"/>
          <w:color w:val="000000"/>
          <w:szCs w:val="21"/>
        </w:rPr>
        <w:t xml:space="preserve">etina tissue morphology of </w:t>
      </w:r>
      <w:r w:rsidR="00C10862">
        <w:rPr>
          <w:rFonts w:ascii="Book Antiqua" w:eastAsia="Book Antiqua" w:hAnsi="Book Antiqua" w:cs="Book Antiqua"/>
          <w:color w:val="000000"/>
        </w:rPr>
        <w:t>experimental group (EG)</w:t>
      </w:r>
      <w:r>
        <w:rPr>
          <w:rFonts w:ascii="Book Antiqua" w:eastAsia="Book Antiqua" w:hAnsi="Book Antiqua" w:cs="Book Antiqua"/>
          <w:color w:val="000000"/>
          <w:szCs w:val="21"/>
        </w:rPr>
        <w:t xml:space="preserve"> (white arrow indicates no perfusion area, blue arrow indicates neovascularization); C: Retina local enlarged map of CG; D: Retina local enlarged map of EG; E: Retina no perfusion area statistical map; F: Retina neovascularization cluster area statistical map.</w:t>
      </w:r>
      <w:r w:rsidR="00C10862">
        <w:rPr>
          <w:rFonts w:ascii="Book Antiqua" w:eastAsia="Book Antiqua" w:hAnsi="Book Antiqua" w:cs="Book Antiqua"/>
          <w:color w:val="000000"/>
          <w:szCs w:val="21"/>
        </w:rPr>
        <w:t xml:space="preserve"> </w:t>
      </w:r>
      <w:r w:rsidR="00C10862" w:rsidRPr="00C10862">
        <w:rPr>
          <w:rFonts w:ascii="Book Antiqua" w:eastAsia="Book Antiqua" w:hAnsi="Book Antiqua" w:cs="Book Antiqua"/>
          <w:color w:val="000000"/>
          <w:szCs w:val="21"/>
          <w:vertAlign w:val="superscript"/>
        </w:rPr>
        <w:t>b</w:t>
      </w:r>
      <w:r w:rsidR="00C10862" w:rsidRPr="00C10862">
        <w:rPr>
          <w:rFonts w:ascii="Book Antiqua" w:eastAsia="Book Antiqua" w:hAnsi="Book Antiqua" w:cs="Book Antiqua"/>
          <w:i/>
          <w:iCs/>
          <w:color w:val="000000"/>
          <w:szCs w:val="21"/>
        </w:rPr>
        <w:t>P</w:t>
      </w:r>
      <w:r w:rsidR="00C10862">
        <w:rPr>
          <w:rFonts w:ascii="Book Antiqua" w:eastAsia="Book Antiqua" w:hAnsi="Book Antiqua" w:cs="Book Antiqua"/>
          <w:color w:val="000000"/>
          <w:szCs w:val="21"/>
        </w:rPr>
        <w:t xml:space="preserve"> &lt; 0.01. </w:t>
      </w:r>
    </w:p>
    <w:p w14:paraId="3CBE7A00" w14:textId="378A8D5C" w:rsidR="00A77B3E" w:rsidRDefault="00C10862">
      <w:pPr>
        <w:spacing w:line="360" w:lineRule="auto"/>
        <w:jc w:val="both"/>
      </w:pPr>
      <w:r>
        <w:br w:type="page"/>
      </w:r>
      <w:r>
        <w:rPr>
          <w:noProof/>
          <w:lang w:eastAsia="zh-CN"/>
        </w:rPr>
        <w:lastRenderedPageBreak/>
        <w:drawing>
          <wp:inline distT="0" distB="0" distL="0" distR="0" wp14:anchorId="595DD0A5" wp14:editId="462E6451">
            <wp:extent cx="5943600" cy="1998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98980"/>
                    </a:xfrm>
                    <a:prstGeom prst="rect">
                      <a:avLst/>
                    </a:prstGeom>
                  </pic:spPr>
                </pic:pic>
              </a:graphicData>
            </a:graphic>
          </wp:inline>
        </w:drawing>
      </w:r>
    </w:p>
    <w:p w14:paraId="725B161B" w14:textId="2C5522AB" w:rsidR="00A77B3E" w:rsidRDefault="001A6207">
      <w:pPr>
        <w:spacing w:line="360" w:lineRule="auto"/>
        <w:jc w:val="both"/>
      </w:pPr>
      <w:r w:rsidRPr="00C10862">
        <w:rPr>
          <w:rFonts w:ascii="Book Antiqua" w:eastAsia="Book Antiqua" w:hAnsi="Book Antiqua" w:cs="Book Antiqua"/>
          <w:b/>
          <w:bCs/>
          <w:color w:val="000000"/>
          <w:szCs w:val="21"/>
        </w:rPr>
        <w:t>Figure 2</w:t>
      </w:r>
      <w:r w:rsidR="00294B85" w:rsidRPr="00294B85">
        <w:t xml:space="preserve"> </w:t>
      </w:r>
      <w:r w:rsidR="00294B85" w:rsidRPr="00294B85">
        <w:rPr>
          <w:rFonts w:ascii="Book Antiqua" w:eastAsia="Book Antiqua" w:hAnsi="Book Antiqua" w:cs="Book Antiqua"/>
          <w:b/>
          <w:bCs/>
          <w:color w:val="000000"/>
          <w:szCs w:val="21"/>
        </w:rPr>
        <w:t>Quantitative analysis of vascular endothelial cells</w:t>
      </w:r>
      <w:r w:rsidR="00C10862" w:rsidRPr="00C10862">
        <w:rPr>
          <w:rFonts w:ascii="Book Antiqua" w:eastAsia="Book Antiqua" w:hAnsi="Book Antiqua" w:cs="Book Antiqua"/>
          <w:b/>
          <w:bCs/>
          <w:color w:val="000000"/>
          <w:szCs w:val="21"/>
        </w:rPr>
        <w:t>.</w:t>
      </w:r>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 </w:t>
      </w:r>
      <w:r w:rsidR="003F3935" w:rsidRPr="003F3935">
        <w:rPr>
          <w:rFonts w:ascii="Book Antiqua" w:eastAsia="Book Antiqua" w:hAnsi="Book Antiqua" w:cs="Book Antiqua"/>
          <w:color w:val="000000"/>
          <w:szCs w:val="21"/>
        </w:rPr>
        <w:t>Hematoxylin and eosin (HE)</w:t>
      </w:r>
      <w:r>
        <w:rPr>
          <w:rFonts w:ascii="Book Antiqua" w:eastAsia="Book Antiqua" w:hAnsi="Book Antiqua" w:cs="Book Antiqua"/>
          <w:color w:val="000000"/>
          <w:szCs w:val="21"/>
        </w:rPr>
        <w:t xml:space="preserve"> staining of paraffin-embedded retina sections in the </w:t>
      </w:r>
      <w:r w:rsidR="00C10862">
        <w:rPr>
          <w:rFonts w:ascii="Book Antiqua" w:eastAsia="Book Antiqua" w:hAnsi="Book Antiqua" w:cs="Book Antiqua"/>
          <w:color w:val="000000"/>
        </w:rPr>
        <w:t>control group</w:t>
      </w:r>
      <w:r>
        <w:rPr>
          <w:rFonts w:ascii="Book Antiqua" w:eastAsia="Book Antiqua" w:hAnsi="Book Antiqua" w:cs="Book Antiqua"/>
          <w:color w:val="000000"/>
          <w:szCs w:val="21"/>
        </w:rPr>
        <w:t xml:space="preserve"> </w:t>
      </w:r>
      <w:r w:rsidR="00C26B8F">
        <w:rPr>
          <w:rFonts w:ascii="Book Antiqua" w:eastAsia="Book Antiqua" w:hAnsi="Book Antiqua" w:cs="Book Antiqua"/>
          <w:color w:val="000000"/>
          <w:szCs w:val="21"/>
        </w:rPr>
        <w:t xml:space="preserve">(CG) </w:t>
      </w:r>
      <w:r>
        <w:rPr>
          <w:rFonts w:ascii="Book Antiqua" w:eastAsia="Book Antiqua" w:hAnsi="Book Antiqua" w:cs="Book Antiqua"/>
          <w:color w:val="000000"/>
          <w:szCs w:val="21"/>
        </w:rPr>
        <w:t>(200</w:t>
      </w:r>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HE staining of paraffin-embedded retina sections in the </w:t>
      </w:r>
      <w:r w:rsidR="00C10862">
        <w:rPr>
          <w:rFonts w:ascii="Book Antiqua" w:eastAsia="Book Antiqua" w:hAnsi="Book Antiqua" w:cs="Book Antiqua"/>
          <w:color w:val="000000"/>
        </w:rPr>
        <w:t>experimental group</w:t>
      </w:r>
      <w:r>
        <w:rPr>
          <w:rFonts w:ascii="Book Antiqua" w:eastAsia="Book Antiqua" w:hAnsi="Book Antiqua" w:cs="Book Antiqua"/>
          <w:color w:val="000000"/>
          <w:szCs w:val="21"/>
        </w:rPr>
        <w:t xml:space="preserve"> </w:t>
      </w:r>
      <w:r w:rsidR="00C26B8F">
        <w:rPr>
          <w:rFonts w:ascii="Book Antiqua" w:eastAsia="Book Antiqua" w:hAnsi="Book Antiqua" w:cs="Book Antiqua"/>
          <w:color w:val="000000"/>
          <w:szCs w:val="21"/>
        </w:rPr>
        <w:t xml:space="preserve">(EG) </w:t>
      </w:r>
      <w:r>
        <w:rPr>
          <w:rFonts w:ascii="Book Antiqua" w:eastAsia="Book Antiqua" w:hAnsi="Book Antiqua" w:cs="Book Antiqua"/>
          <w:color w:val="000000"/>
          <w:szCs w:val="21"/>
        </w:rPr>
        <w:t>(200</w:t>
      </w:r>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black arrow indicates that endothelial cell nucleus breaks through the inner limiting membrane)</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Number of nuclei breaking through the inner limiting membrane in the two groups.</w:t>
      </w:r>
      <w:r w:rsidR="00C10862">
        <w:rPr>
          <w:rFonts w:ascii="Book Antiqua" w:eastAsia="Book Antiqua" w:hAnsi="Book Antiqua" w:cs="Book Antiqua"/>
          <w:color w:val="000000"/>
          <w:szCs w:val="21"/>
        </w:rPr>
        <w:t xml:space="preserve"> </w:t>
      </w:r>
      <w:r w:rsidR="00C10862" w:rsidRPr="00C10862">
        <w:rPr>
          <w:rFonts w:ascii="Book Antiqua" w:eastAsia="Book Antiqua" w:hAnsi="Book Antiqua" w:cs="Book Antiqua"/>
          <w:color w:val="000000"/>
          <w:szCs w:val="21"/>
          <w:vertAlign w:val="superscript"/>
        </w:rPr>
        <w:t>b</w:t>
      </w:r>
      <w:r w:rsidR="00C10862" w:rsidRPr="00C10862">
        <w:rPr>
          <w:rFonts w:ascii="Book Antiqua" w:eastAsia="Book Antiqua" w:hAnsi="Book Antiqua" w:cs="Book Antiqua"/>
          <w:i/>
          <w:iCs/>
          <w:color w:val="000000"/>
          <w:szCs w:val="21"/>
        </w:rPr>
        <w:t>P</w:t>
      </w:r>
      <w:r w:rsidR="00C10862">
        <w:rPr>
          <w:rFonts w:ascii="Book Antiqua" w:eastAsia="Book Antiqua" w:hAnsi="Book Antiqua" w:cs="Book Antiqua"/>
          <w:color w:val="000000"/>
          <w:szCs w:val="21"/>
        </w:rPr>
        <w:t xml:space="preserve"> &lt; 0.01. </w:t>
      </w:r>
    </w:p>
    <w:p w14:paraId="2B6C0E49" w14:textId="68BCBB5E" w:rsidR="00A77B3E" w:rsidRDefault="00C10862">
      <w:pPr>
        <w:spacing w:line="360" w:lineRule="auto"/>
        <w:jc w:val="both"/>
      </w:pPr>
      <w:r>
        <w:br w:type="page"/>
      </w:r>
      <w:r>
        <w:rPr>
          <w:noProof/>
          <w:lang w:eastAsia="zh-CN"/>
        </w:rPr>
        <w:lastRenderedPageBreak/>
        <w:drawing>
          <wp:inline distT="0" distB="0" distL="0" distR="0" wp14:anchorId="2B6CE6B5" wp14:editId="7305FC75">
            <wp:extent cx="5943600" cy="2124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4075"/>
                    </a:xfrm>
                    <a:prstGeom prst="rect">
                      <a:avLst/>
                    </a:prstGeom>
                  </pic:spPr>
                </pic:pic>
              </a:graphicData>
            </a:graphic>
          </wp:inline>
        </w:drawing>
      </w:r>
    </w:p>
    <w:p w14:paraId="6B6CBF63" w14:textId="30291907" w:rsidR="00A77B3E" w:rsidRDefault="001A6207">
      <w:pPr>
        <w:spacing w:line="360" w:lineRule="auto"/>
        <w:jc w:val="both"/>
      </w:pPr>
      <w:r w:rsidRPr="00C10862">
        <w:rPr>
          <w:rFonts w:ascii="Book Antiqua" w:eastAsia="Book Antiqua" w:hAnsi="Book Antiqua" w:cs="Book Antiqua"/>
          <w:b/>
          <w:bCs/>
          <w:color w:val="000000"/>
          <w:szCs w:val="21"/>
        </w:rPr>
        <w:t>Figure 3</w:t>
      </w:r>
      <w:r w:rsidR="002C2ECA" w:rsidRPr="002C2ECA">
        <w:t xml:space="preserve"> </w:t>
      </w:r>
      <w:r w:rsidR="002C2ECA" w:rsidRPr="002C2ECA">
        <w:rPr>
          <w:rFonts w:ascii="Book Antiqua" w:eastAsia="Book Antiqua" w:hAnsi="Book Antiqua" w:cs="Book Antiqua"/>
          <w:b/>
          <w:bCs/>
          <w:color w:val="000000"/>
          <w:szCs w:val="21"/>
        </w:rPr>
        <w:t>Screening results of differentially expressed genes</w:t>
      </w:r>
      <w:r w:rsidR="00C10862" w:rsidRPr="00C10862">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Number of differentially expressed piRNAs between </w:t>
      </w:r>
      <w:r w:rsidR="00C10862">
        <w:rPr>
          <w:rFonts w:ascii="Book Antiqua" w:eastAsia="Book Antiqua" w:hAnsi="Book Antiqua" w:cs="Book Antiqua"/>
          <w:color w:val="000000"/>
        </w:rPr>
        <w:t>experimental group</w:t>
      </w:r>
      <w:r>
        <w:rPr>
          <w:rFonts w:ascii="Book Antiqua" w:eastAsia="Book Antiqua" w:hAnsi="Book Antiqua" w:cs="Book Antiqua"/>
          <w:color w:val="000000"/>
          <w:szCs w:val="21"/>
        </w:rPr>
        <w:t xml:space="preserve"> </w:t>
      </w:r>
      <w:r w:rsidR="00C26B8F">
        <w:rPr>
          <w:rFonts w:ascii="Book Antiqua" w:eastAsia="Book Antiqua" w:hAnsi="Book Antiqua" w:cs="Book Antiqua"/>
          <w:color w:val="000000"/>
          <w:szCs w:val="21"/>
        </w:rPr>
        <w:t xml:space="preserve">(EG) </w:t>
      </w:r>
      <w:r>
        <w:rPr>
          <w:rFonts w:ascii="Book Antiqua" w:eastAsia="Book Antiqua" w:hAnsi="Book Antiqua" w:cs="Book Antiqua"/>
          <w:color w:val="000000"/>
          <w:szCs w:val="21"/>
        </w:rPr>
        <w:t xml:space="preserve">and </w:t>
      </w:r>
      <w:r w:rsidR="00C10862">
        <w:rPr>
          <w:rFonts w:ascii="Book Antiqua" w:eastAsia="Book Antiqua" w:hAnsi="Book Antiqua" w:cs="Book Antiqua"/>
          <w:color w:val="000000"/>
        </w:rPr>
        <w:t>control group</w:t>
      </w:r>
      <w:r w:rsidR="00C26B8F">
        <w:rPr>
          <w:rFonts w:ascii="Book Antiqua" w:eastAsia="Book Antiqua" w:hAnsi="Book Antiqua" w:cs="Book Antiqua"/>
          <w:color w:val="000000"/>
        </w:rPr>
        <w:t xml:space="preserve"> (CG)</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Clustering analysis of differentially expressed piRNAs</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Volcano map of differentially expressed piRNAs.</w:t>
      </w:r>
      <w:r w:rsidR="00C10862">
        <w:rPr>
          <w:rFonts w:ascii="Book Antiqua" w:eastAsia="Book Antiqua" w:hAnsi="Book Antiqua" w:cs="Book Antiqua"/>
          <w:color w:val="000000"/>
          <w:szCs w:val="21"/>
        </w:rPr>
        <w:t xml:space="preserve"> </w:t>
      </w:r>
    </w:p>
    <w:p w14:paraId="0B258FCB" w14:textId="60464F63" w:rsidR="00C10862" w:rsidRDefault="00C10862">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14:anchorId="0460601C" wp14:editId="0053CF2B">
            <wp:extent cx="5657891" cy="33575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7891" cy="3357587"/>
                    </a:xfrm>
                    <a:prstGeom prst="rect">
                      <a:avLst/>
                    </a:prstGeom>
                  </pic:spPr>
                </pic:pic>
              </a:graphicData>
            </a:graphic>
          </wp:inline>
        </w:drawing>
      </w:r>
    </w:p>
    <w:p w14:paraId="445DB014" w14:textId="33B1F158" w:rsidR="00C10862" w:rsidRDefault="001A6207" w:rsidP="00C10862">
      <w:pPr>
        <w:spacing w:line="360" w:lineRule="auto"/>
        <w:jc w:val="both"/>
      </w:pPr>
      <w:r w:rsidRPr="00C10862">
        <w:rPr>
          <w:rFonts w:ascii="Book Antiqua" w:eastAsia="Book Antiqua" w:hAnsi="Book Antiqua" w:cs="Book Antiqua"/>
          <w:b/>
          <w:bCs/>
          <w:color w:val="000000"/>
          <w:szCs w:val="21"/>
        </w:rPr>
        <w:t>Figure 4</w:t>
      </w:r>
      <w:r w:rsidR="00C10862" w:rsidRPr="00C10862">
        <w:rPr>
          <w:rFonts w:ascii="Book Antiqua" w:eastAsia="Book Antiqua" w:hAnsi="Book Antiqua" w:cs="Book Antiqua"/>
          <w:b/>
          <w:bCs/>
          <w:color w:val="000000"/>
          <w:szCs w:val="21"/>
        </w:rPr>
        <w:t xml:space="preserve"> </w:t>
      </w:r>
      <w:r w:rsidRPr="00C10862">
        <w:rPr>
          <w:rFonts w:ascii="Book Antiqua" w:eastAsia="Book Antiqua" w:hAnsi="Book Antiqua" w:cs="Book Antiqua"/>
          <w:b/>
          <w:bCs/>
          <w:color w:val="000000"/>
          <w:szCs w:val="21"/>
        </w:rPr>
        <w:t>Statistics of ten piRNA validation results.</w:t>
      </w:r>
      <w:r w:rsidR="00C10862">
        <w:rPr>
          <w:rFonts w:ascii="Book Antiqua" w:eastAsia="Book Antiqua" w:hAnsi="Book Antiqua" w:cs="Book Antiqua"/>
          <w:b/>
          <w:bCs/>
          <w:color w:val="000000"/>
          <w:szCs w:val="21"/>
        </w:rPr>
        <w:t xml:space="preserve"> </w:t>
      </w:r>
      <w:r w:rsidR="00C10862">
        <w:rPr>
          <w:rFonts w:ascii="Book Antiqua" w:eastAsia="Book Antiqua" w:hAnsi="Book Antiqua" w:cs="Book Antiqua"/>
          <w:color w:val="000000"/>
          <w:szCs w:val="21"/>
          <w:vertAlign w:val="superscript"/>
        </w:rPr>
        <w:t>a</w:t>
      </w:r>
      <w:r w:rsidR="00C10862" w:rsidRPr="00C10862">
        <w:rPr>
          <w:rFonts w:ascii="Book Antiqua" w:eastAsia="Book Antiqua" w:hAnsi="Book Antiqua" w:cs="Book Antiqua"/>
          <w:i/>
          <w:iCs/>
          <w:color w:val="000000"/>
          <w:szCs w:val="21"/>
        </w:rPr>
        <w:t>P</w:t>
      </w:r>
      <w:r w:rsidR="00C10862">
        <w:rPr>
          <w:rFonts w:ascii="Book Antiqua" w:eastAsia="Book Antiqua" w:hAnsi="Book Antiqua" w:cs="Book Antiqua"/>
          <w:color w:val="000000"/>
          <w:szCs w:val="21"/>
        </w:rPr>
        <w:t xml:space="preserve"> &lt; 0.05</w:t>
      </w:r>
      <w:r w:rsidR="00C26B8F">
        <w:rPr>
          <w:rFonts w:ascii="Book Antiqua" w:eastAsia="Book Antiqua" w:hAnsi="Book Antiqua" w:cs="Book Antiqua"/>
          <w:color w:val="000000"/>
          <w:szCs w:val="21"/>
        </w:rPr>
        <w:t>;</w:t>
      </w:r>
      <w:r w:rsidR="00C10862">
        <w:rPr>
          <w:rFonts w:ascii="Book Antiqua" w:eastAsia="Book Antiqua" w:hAnsi="Book Antiqua" w:cs="Book Antiqua"/>
          <w:color w:val="000000"/>
          <w:szCs w:val="21"/>
        </w:rPr>
        <w:t xml:space="preserve"> </w:t>
      </w:r>
      <w:r w:rsidR="00C10862" w:rsidRPr="00C10862">
        <w:rPr>
          <w:rFonts w:ascii="Book Antiqua" w:eastAsia="Book Antiqua" w:hAnsi="Book Antiqua" w:cs="Book Antiqua"/>
          <w:color w:val="000000"/>
          <w:szCs w:val="21"/>
          <w:vertAlign w:val="superscript"/>
        </w:rPr>
        <w:t>b</w:t>
      </w:r>
      <w:r w:rsidR="00C10862" w:rsidRPr="00C10862">
        <w:rPr>
          <w:rFonts w:ascii="Book Antiqua" w:eastAsia="Book Antiqua" w:hAnsi="Book Antiqua" w:cs="Book Antiqua"/>
          <w:i/>
          <w:iCs/>
          <w:color w:val="000000"/>
          <w:szCs w:val="21"/>
        </w:rPr>
        <w:t>P</w:t>
      </w:r>
      <w:r w:rsidR="00C10862">
        <w:rPr>
          <w:rFonts w:ascii="Book Antiqua" w:eastAsia="Book Antiqua" w:hAnsi="Book Antiqua" w:cs="Book Antiqua"/>
          <w:color w:val="000000"/>
          <w:szCs w:val="21"/>
        </w:rPr>
        <w:t xml:space="preserve"> &lt; 0.01. CG: </w:t>
      </w:r>
      <w:r w:rsidR="00C10862">
        <w:rPr>
          <w:rFonts w:ascii="Book Antiqua" w:eastAsia="Book Antiqua" w:hAnsi="Book Antiqua" w:cs="Book Antiqua"/>
          <w:color w:val="000000"/>
        </w:rPr>
        <w:t>Control group</w:t>
      </w:r>
      <w:r w:rsidR="00C10862">
        <w:rPr>
          <w:rFonts w:ascii="Book Antiqua" w:eastAsia="Book Antiqua" w:hAnsi="Book Antiqua" w:cs="Book Antiqua"/>
          <w:color w:val="000000"/>
          <w:szCs w:val="21"/>
        </w:rPr>
        <w:t xml:space="preserve">; EG: </w:t>
      </w:r>
      <w:r w:rsidR="00C10862">
        <w:rPr>
          <w:rFonts w:ascii="Book Antiqua" w:eastAsia="Book Antiqua" w:hAnsi="Book Antiqua" w:cs="Book Antiqua"/>
          <w:color w:val="000000"/>
        </w:rPr>
        <w:t>Experimental group.</w:t>
      </w:r>
    </w:p>
    <w:p w14:paraId="3748DBC0" w14:textId="13D8A9B9" w:rsidR="00A77B3E" w:rsidRDefault="00C10862">
      <w:pPr>
        <w:spacing w:line="360" w:lineRule="auto"/>
        <w:jc w:val="both"/>
      </w:pPr>
      <w:r>
        <w:rPr>
          <w:b/>
          <w:bCs/>
        </w:rPr>
        <w:br w:type="page"/>
      </w:r>
      <w:r>
        <w:rPr>
          <w:noProof/>
          <w:lang w:eastAsia="zh-CN"/>
        </w:rPr>
        <w:lastRenderedPageBreak/>
        <w:drawing>
          <wp:inline distT="0" distB="0" distL="0" distR="0" wp14:anchorId="47ADC925" wp14:editId="18B28658">
            <wp:extent cx="5943600" cy="4408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08805"/>
                    </a:xfrm>
                    <a:prstGeom prst="rect">
                      <a:avLst/>
                    </a:prstGeom>
                  </pic:spPr>
                </pic:pic>
              </a:graphicData>
            </a:graphic>
          </wp:inline>
        </w:drawing>
      </w:r>
    </w:p>
    <w:p w14:paraId="01231C03" w14:textId="2BA736F4" w:rsidR="00A77B3E" w:rsidRDefault="001A6207">
      <w:pPr>
        <w:spacing w:line="360" w:lineRule="auto"/>
        <w:jc w:val="both"/>
      </w:pPr>
      <w:r w:rsidRPr="00C10862">
        <w:rPr>
          <w:rFonts w:ascii="Book Antiqua" w:eastAsia="Book Antiqua" w:hAnsi="Book Antiqua" w:cs="Book Antiqua"/>
          <w:b/>
          <w:bCs/>
          <w:color w:val="000000"/>
          <w:szCs w:val="21"/>
        </w:rPr>
        <w:t>Figure 5</w:t>
      </w:r>
      <w:r w:rsidR="002C2ECA" w:rsidRPr="002C2ECA">
        <w:t xml:space="preserve"> </w:t>
      </w:r>
      <w:r w:rsidR="0050144B" w:rsidRPr="0050144B">
        <w:rPr>
          <w:rFonts w:ascii="Book Antiqua" w:eastAsia="Book Antiqua" w:hAnsi="Book Antiqua" w:cs="Book Antiqua"/>
          <w:b/>
          <w:bCs/>
          <w:color w:val="000000"/>
          <w:szCs w:val="21"/>
        </w:rPr>
        <w:t>Gene Ontology</w:t>
      </w:r>
      <w:r w:rsidR="002C2ECA" w:rsidRPr="002C2ECA">
        <w:rPr>
          <w:rFonts w:ascii="Book Antiqua" w:eastAsia="Book Antiqua" w:hAnsi="Book Antiqua" w:cs="Book Antiqua"/>
          <w:b/>
          <w:bCs/>
          <w:color w:val="000000"/>
          <w:szCs w:val="21"/>
        </w:rPr>
        <w:t xml:space="preserve"> analysis results</w:t>
      </w:r>
      <w:r w:rsidR="00C10862" w:rsidRPr="00C10862">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w:t>
      </w:r>
      <w:bookmarkStart w:id="4" w:name="_Hlk71789178"/>
      <w:r w:rsidR="00C10862">
        <w:rPr>
          <w:rFonts w:ascii="Book Antiqua" w:eastAsia="Book Antiqua" w:hAnsi="Book Antiqua" w:cs="Book Antiqua"/>
          <w:color w:val="000000"/>
        </w:rPr>
        <w:t>Gene Ontology</w:t>
      </w:r>
      <w:bookmarkEnd w:id="4"/>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GO</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enrichment circle diagram (first circle: top 20 GO terms, the coordinate scale of gene number is presented outside the circle. Second circle: number and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of the GO term in the background gene. Third circle: number of GO term piRNA target genes. Fourth circle: rich factor value of each GO term piRNA)</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Bar graph of GO enrichment (abscissa shows the level 2 GO term, whereas the ordinate shows the number of genes in the term)</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Bar graph of GO enrichment (a darker color, results in a smaller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the value in the column is the number and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of the GO term)</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 GO enrichment bubble chart (size indicates the quantity; a redder color leads to a smaller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w:t>
      </w:r>
    </w:p>
    <w:p w14:paraId="3AF6489A" w14:textId="6B0C726C" w:rsidR="00A77B3E" w:rsidRDefault="00C10862">
      <w:pPr>
        <w:spacing w:line="360" w:lineRule="auto"/>
        <w:jc w:val="both"/>
      </w:pPr>
      <w:r>
        <w:br w:type="page"/>
      </w:r>
      <w:r>
        <w:rPr>
          <w:noProof/>
          <w:lang w:eastAsia="zh-CN"/>
        </w:rPr>
        <w:lastRenderedPageBreak/>
        <w:drawing>
          <wp:inline distT="0" distB="0" distL="0" distR="0" wp14:anchorId="578E8BB9" wp14:editId="2481AE9C">
            <wp:extent cx="5943600" cy="45396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39615"/>
                    </a:xfrm>
                    <a:prstGeom prst="rect">
                      <a:avLst/>
                    </a:prstGeom>
                  </pic:spPr>
                </pic:pic>
              </a:graphicData>
            </a:graphic>
          </wp:inline>
        </w:drawing>
      </w:r>
    </w:p>
    <w:p w14:paraId="121341AE" w14:textId="53FEF37A" w:rsidR="00A77B3E" w:rsidRDefault="001A6207">
      <w:pPr>
        <w:spacing w:line="360" w:lineRule="auto"/>
        <w:jc w:val="both"/>
      </w:pPr>
      <w:r w:rsidRPr="00C10862">
        <w:rPr>
          <w:rFonts w:ascii="Book Antiqua" w:eastAsia="Book Antiqua" w:hAnsi="Book Antiqua" w:cs="Book Antiqua"/>
          <w:b/>
          <w:bCs/>
          <w:color w:val="000000"/>
          <w:szCs w:val="21"/>
        </w:rPr>
        <w:t>Figure 6</w:t>
      </w:r>
      <w:r w:rsidR="00E92A02" w:rsidRPr="00E92A02">
        <w:t xml:space="preserve"> </w:t>
      </w:r>
      <w:r w:rsidR="00E92A02">
        <w:rPr>
          <w:rFonts w:ascii="Book Antiqua" w:eastAsia="Book Antiqua" w:hAnsi="Book Antiqua" w:cs="Book Antiqua"/>
          <w:b/>
          <w:bCs/>
          <w:color w:val="000000"/>
          <w:szCs w:val="21"/>
        </w:rPr>
        <w:t>K</w:t>
      </w:r>
      <w:r w:rsidR="00E92A02" w:rsidRPr="00E92A02">
        <w:rPr>
          <w:rFonts w:ascii="Book Antiqua" w:eastAsia="Book Antiqua" w:hAnsi="Book Antiqua" w:cs="Book Antiqua"/>
          <w:b/>
          <w:bCs/>
          <w:color w:val="000000"/>
          <w:szCs w:val="21"/>
        </w:rPr>
        <w:t>O analysis results</w:t>
      </w:r>
      <w:r w:rsidR="00C10862" w:rsidRPr="00C10862">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KO enrichment bar chart (top 20 pathways with the lowest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were used to draw the chart. The ordinate represents the pathways, whereas the abscissa shows the percentage of the number of pathways in all piRNA target genes; a darker color correlates with a smaller the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The value in the column is the number and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of the pathways)</w:t>
      </w:r>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B: KO enrichment bubble chart </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top 20 pathways with the lowest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were used to plot. The ordinate shows the pathway, whereas the abscissa shows the enrichment factor (the number of piRNA target genes in the pathway divided by all numbers). The size indicates the number; a redder color indicates a smaller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w:t>
      </w:r>
      <w:r w:rsidR="00C10862">
        <w:rPr>
          <w:rFonts w:ascii="Book Antiqua" w:eastAsia="Book Antiqua" w:hAnsi="Book Antiqua" w:cs="Book Antiqua"/>
          <w:color w:val="000000"/>
          <w:szCs w:val="21"/>
        </w:rPr>
        <w:t xml:space="preserve">]; C: </w:t>
      </w:r>
      <w:r>
        <w:rPr>
          <w:rFonts w:ascii="Book Antiqua" w:eastAsia="Book Antiqua" w:hAnsi="Book Antiqua" w:cs="Book Antiqua"/>
          <w:color w:val="000000"/>
          <w:szCs w:val="21"/>
        </w:rPr>
        <w:t xml:space="preserve">KO enrichment circle diagram </w:t>
      </w:r>
      <w:r w:rsidR="002665E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first circle: top 20 enriched pathways; outside the circle is the coordinate scale of gene number, and different colors represent different classes. Second circle: number and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of the pathway in the background gene; the more the number of genes, a longer bar and smaller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leads to a redder color. Third circle: number of piRNA target genes in the pathway. Fourth circle: rich factor value of </w:t>
      </w:r>
      <w:r>
        <w:rPr>
          <w:rFonts w:ascii="Book Antiqua" w:eastAsia="Book Antiqua" w:hAnsi="Book Antiqua" w:cs="Book Antiqua"/>
          <w:color w:val="000000"/>
          <w:szCs w:val="21"/>
        </w:rPr>
        <w:lastRenderedPageBreak/>
        <w:t>each pathway (number of piRNA target genes in the pathway divided by all numbers); background grid line, each grid represents 0.1</w:t>
      </w:r>
      <w:r w:rsidR="002665EF">
        <w:rPr>
          <w:rFonts w:ascii="Book Antiqua" w:eastAsia="Book Antiqua" w:hAnsi="Book Antiqua" w:cs="Book Antiqua"/>
          <w:color w:val="000000"/>
          <w:szCs w:val="21"/>
        </w:rPr>
        <w:t>].</w:t>
      </w:r>
    </w:p>
    <w:p w14:paraId="07CB7347" w14:textId="77ABA2FA" w:rsidR="00A77B3E" w:rsidRDefault="002665EF">
      <w:pPr>
        <w:spacing w:line="360" w:lineRule="auto"/>
        <w:jc w:val="both"/>
      </w:pPr>
      <w:r>
        <w:br w:type="page"/>
      </w:r>
      <w:r>
        <w:rPr>
          <w:noProof/>
          <w:lang w:eastAsia="zh-CN"/>
        </w:rPr>
        <w:lastRenderedPageBreak/>
        <w:drawing>
          <wp:inline distT="0" distB="0" distL="0" distR="0" wp14:anchorId="0E9845E6" wp14:editId="1A761EA7">
            <wp:extent cx="4600572" cy="51279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5836" cy="5133822"/>
                    </a:xfrm>
                    <a:prstGeom prst="rect">
                      <a:avLst/>
                    </a:prstGeom>
                  </pic:spPr>
                </pic:pic>
              </a:graphicData>
            </a:graphic>
          </wp:inline>
        </w:drawing>
      </w:r>
    </w:p>
    <w:p w14:paraId="23120DB6" w14:textId="5B48E366" w:rsidR="00DE4882" w:rsidRDefault="001A6207">
      <w:pPr>
        <w:spacing w:line="360" w:lineRule="auto"/>
        <w:jc w:val="both"/>
        <w:rPr>
          <w:rFonts w:ascii="Book Antiqua" w:eastAsia="Book Antiqua" w:hAnsi="Book Antiqua" w:cs="Book Antiqua"/>
          <w:color w:val="000000"/>
          <w:szCs w:val="21"/>
        </w:rPr>
      </w:pPr>
      <w:r w:rsidRPr="002665EF">
        <w:rPr>
          <w:rFonts w:ascii="Book Antiqua" w:eastAsia="Book Antiqua" w:hAnsi="Book Antiqua" w:cs="Book Antiqua"/>
          <w:b/>
          <w:bCs/>
          <w:color w:val="000000"/>
          <w:szCs w:val="21"/>
        </w:rPr>
        <w:t>Figure 7</w:t>
      </w:r>
      <w:r w:rsidR="002665EF" w:rsidRPr="002665EF">
        <w:rPr>
          <w:rFonts w:ascii="Book Antiqua" w:eastAsia="Book Antiqua" w:hAnsi="Book Antiqua" w:cs="Book Antiqua"/>
          <w:b/>
          <w:bCs/>
          <w:color w:val="000000"/>
          <w:szCs w:val="21"/>
        </w:rPr>
        <w:t xml:space="preserve"> </w:t>
      </w:r>
      <w:r w:rsidRPr="002665EF">
        <w:rPr>
          <w:rFonts w:ascii="Book Antiqua" w:eastAsia="Book Antiqua" w:hAnsi="Book Antiqua" w:cs="Book Antiqua"/>
          <w:b/>
          <w:bCs/>
          <w:color w:val="000000"/>
          <w:szCs w:val="21"/>
        </w:rPr>
        <w:t>Protein interaction network analysis</w:t>
      </w:r>
      <w:r w:rsidR="002665EF" w:rsidRPr="002665EF">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w:t>
      </w:r>
      <w:r w:rsidR="002665EF">
        <w:rPr>
          <w:rFonts w:ascii="Book Antiqua" w:hAnsi="Book Antiqua" w:cs="Book Antiqua" w:hint="eastAsia"/>
          <w:color w:val="000000"/>
          <w:szCs w:val="21"/>
          <w:lang w:eastAsia="zh-CN"/>
        </w:rPr>
        <w:t>-</w:t>
      </w:r>
      <w:r>
        <w:rPr>
          <w:rFonts w:ascii="Book Antiqua" w:eastAsia="Book Antiqua" w:hAnsi="Book Antiqua" w:cs="Book Antiqua"/>
          <w:color w:val="000000"/>
          <w:szCs w:val="21"/>
        </w:rPr>
        <w:t>D</w:t>
      </w:r>
      <w:r w:rsidR="002665E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2665EF">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tand for differential expression results of piRNA and </w:t>
      </w:r>
      <w:r w:rsidRPr="002665EF">
        <w:rPr>
          <w:rFonts w:ascii="Book Antiqua" w:eastAsia="Book Antiqua" w:hAnsi="Book Antiqua" w:cs="Book Antiqua"/>
          <w:i/>
          <w:iCs/>
          <w:color w:val="000000"/>
          <w:szCs w:val="21"/>
        </w:rPr>
        <w:t>EPO</w:t>
      </w:r>
      <w:r w:rsidR="002665EF">
        <w:rPr>
          <w:rFonts w:ascii="Book Antiqua" w:eastAsia="Book Antiqua" w:hAnsi="Book Antiqua" w:cs="Book Antiqua"/>
          <w:color w:val="000000"/>
          <w:szCs w:val="21"/>
        </w:rPr>
        <w:t xml:space="preserve"> (B)</w:t>
      </w:r>
      <w:r>
        <w:rPr>
          <w:rFonts w:ascii="Book Antiqua" w:eastAsia="Book Antiqua" w:hAnsi="Book Antiqua" w:cs="Book Antiqua"/>
          <w:color w:val="000000"/>
          <w:szCs w:val="21"/>
        </w:rPr>
        <w:t xml:space="preserve">, </w:t>
      </w:r>
      <w:r w:rsidRPr="002665EF">
        <w:rPr>
          <w:rFonts w:ascii="Book Antiqua" w:eastAsia="Book Antiqua" w:hAnsi="Book Antiqua" w:cs="Book Antiqua"/>
          <w:i/>
          <w:iCs/>
          <w:color w:val="000000"/>
          <w:szCs w:val="21"/>
        </w:rPr>
        <w:t>HIF-1α</w:t>
      </w:r>
      <w:r w:rsidR="002665EF">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 xml:space="preserve">, </w:t>
      </w:r>
      <w:r w:rsidRPr="002665EF">
        <w:rPr>
          <w:rFonts w:ascii="Book Antiqua" w:eastAsia="Book Antiqua" w:hAnsi="Book Antiqua" w:cs="Book Antiqua"/>
          <w:i/>
          <w:iCs/>
          <w:color w:val="000000"/>
          <w:szCs w:val="21"/>
        </w:rPr>
        <w:t>IGF1</w:t>
      </w:r>
      <w:r w:rsidR="002665EF">
        <w:rPr>
          <w:rFonts w:ascii="Book Antiqua" w:eastAsia="Book Antiqua" w:hAnsi="Book Antiqua" w:cs="Book Antiqua"/>
          <w:color w:val="000000"/>
          <w:szCs w:val="21"/>
        </w:rPr>
        <w:t xml:space="preserve"> (C)</w:t>
      </w:r>
      <w:r>
        <w:rPr>
          <w:rFonts w:ascii="Book Antiqua" w:eastAsia="Book Antiqua" w:hAnsi="Book Antiqua" w:cs="Book Antiqua"/>
          <w:color w:val="000000"/>
          <w:szCs w:val="21"/>
        </w:rPr>
        <w:t xml:space="preserve">, </w:t>
      </w:r>
      <w:r w:rsidRPr="002665EF">
        <w:rPr>
          <w:rFonts w:ascii="Book Antiqua" w:eastAsia="Book Antiqua" w:hAnsi="Book Antiqua" w:cs="Book Antiqua"/>
          <w:i/>
          <w:iCs/>
          <w:color w:val="000000"/>
          <w:szCs w:val="21"/>
        </w:rPr>
        <w:t>TGF-β2</w:t>
      </w:r>
      <w:r w:rsidR="002665EF">
        <w:rPr>
          <w:rFonts w:ascii="Book Antiqua" w:eastAsia="Book Antiqua" w:hAnsi="Book Antiqua" w:cs="Book Antiqua"/>
          <w:color w:val="000000"/>
          <w:szCs w:val="21"/>
        </w:rPr>
        <w:t xml:space="preserve"> (D)</w:t>
      </w:r>
      <w:r>
        <w:rPr>
          <w:rFonts w:ascii="Book Antiqua" w:eastAsia="Book Antiqua" w:hAnsi="Book Antiqua" w:cs="Book Antiqua"/>
          <w:color w:val="000000"/>
          <w:szCs w:val="21"/>
        </w:rPr>
        <w:t xml:space="preserve"> which are associated with retinal neovascularization.</w:t>
      </w:r>
    </w:p>
    <w:p w14:paraId="482C01AB" w14:textId="41C2DEF3" w:rsidR="00A77B3E" w:rsidRDefault="00DE4882">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sidRPr="00DE4882">
        <w:rPr>
          <w:rFonts w:ascii="Book Antiqua" w:eastAsia="Book Antiqua" w:hAnsi="Book Antiqua" w:cs="Book Antiqua"/>
          <w:b/>
          <w:bCs/>
          <w:color w:val="000000"/>
          <w:szCs w:val="21"/>
        </w:rPr>
        <w:lastRenderedPageBreak/>
        <w:t>Table 1 Real-time polymerase chain reaction verification results of piRNA expression and list of primer sequences used</w:t>
      </w:r>
      <w:r w:rsidR="0031437F">
        <w:rPr>
          <w:rFonts w:ascii="Book Antiqua" w:eastAsia="Book Antiqua" w:hAnsi="Book Antiqua" w:cs="Book Antiqua"/>
          <w:b/>
          <w:bCs/>
          <w:color w:val="000000"/>
          <w:szCs w:val="21"/>
        </w:rPr>
        <w:t>.</w:t>
      </w:r>
    </w:p>
    <w:tbl>
      <w:tblPr>
        <w:tblW w:w="4942" w:type="pct"/>
        <w:tblLayout w:type="fixed"/>
        <w:tblLook w:val="04A0" w:firstRow="1" w:lastRow="0" w:firstColumn="1" w:lastColumn="0" w:noHBand="0" w:noVBand="1"/>
      </w:tblPr>
      <w:tblGrid>
        <w:gridCol w:w="1723"/>
        <w:gridCol w:w="1575"/>
        <w:gridCol w:w="1386"/>
        <w:gridCol w:w="4567"/>
      </w:tblGrid>
      <w:tr w:rsidR="00DE4882" w:rsidRPr="00DE4882" w14:paraId="19AE490C" w14:textId="77777777" w:rsidTr="00646FB7">
        <w:tc>
          <w:tcPr>
            <w:tcW w:w="1760" w:type="dxa"/>
            <w:tcBorders>
              <w:top w:val="single" w:sz="4" w:space="0" w:color="auto"/>
              <w:bottom w:val="single" w:sz="4" w:space="0" w:color="auto"/>
            </w:tcBorders>
            <w:shd w:val="clear" w:color="auto" w:fill="auto"/>
          </w:tcPr>
          <w:p w14:paraId="5CE03F72" w14:textId="77777777" w:rsidR="00DE4882" w:rsidRPr="00DE4882" w:rsidRDefault="00DE4882" w:rsidP="00DE4882">
            <w:pPr>
              <w:spacing w:line="360" w:lineRule="auto"/>
              <w:jc w:val="both"/>
              <w:rPr>
                <w:rFonts w:ascii="Book Antiqua" w:hAnsi="Book Antiqua" w:cs="Arial"/>
                <w:b/>
                <w:bCs/>
                <w:color w:val="000000"/>
                <w:spacing w:val="1"/>
              </w:rPr>
            </w:pPr>
            <w:r w:rsidRPr="00DE4882">
              <w:rPr>
                <w:rFonts w:ascii="Book Antiqua" w:hAnsi="Book Antiqua" w:cs="Arial"/>
                <w:b/>
                <w:bCs/>
                <w:color w:val="000000"/>
                <w:spacing w:val="1"/>
              </w:rPr>
              <w:t>Gene ID</w:t>
            </w:r>
          </w:p>
        </w:tc>
        <w:tc>
          <w:tcPr>
            <w:tcW w:w="1610" w:type="dxa"/>
            <w:tcBorders>
              <w:top w:val="single" w:sz="4" w:space="0" w:color="auto"/>
              <w:bottom w:val="single" w:sz="4" w:space="0" w:color="auto"/>
            </w:tcBorders>
            <w:shd w:val="clear" w:color="auto" w:fill="auto"/>
          </w:tcPr>
          <w:p w14:paraId="21EEE1D7" w14:textId="77777777" w:rsidR="00DE4882" w:rsidRPr="00DE4882" w:rsidRDefault="00DE4882" w:rsidP="00DE4882">
            <w:pPr>
              <w:spacing w:line="360" w:lineRule="auto"/>
              <w:jc w:val="both"/>
              <w:rPr>
                <w:rFonts w:ascii="Book Antiqua" w:hAnsi="Book Antiqua" w:cs="Arial"/>
                <w:b/>
                <w:bCs/>
                <w:color w:val="000000"/>
                <w:spacing w:val="1"/>
              </w:rPr>
            </w:pPr>
            <w:r w:rsidRPr="00DE4882">
              <w:rPr>
                <w:rFonts w:ascii="Book Antiqua" w:hAnsi="Book Antiqua" w:cs="Arial"/>
                <w:b/>
                <w:bCs/>
                <w:color w:val="000000"/>
                <w:spacing w:val="1"/>
              </w:rPr>
              <w:t>Fold-change</w:t>
            </w:r>
          </w:p>
        </w:tc>
        <w:tc>
          <w:tcPr>
            <w:tcW w:w="1416" w:type="dxa"/>
            <w:tcBorders>
              <w:top w:val="single" w:sz="4" w:space="0" w:color="auto"/>
              <w:bottom w:val="single" w:sz="4" w:space="0" w:color="auto"/>
            </w:tcBorders>
            <w:shd w:val="clear" w:color="auto" w:fill="auto"/>
          </w:tcPr>
          <w:p w14:paraId="645ABE62" w14:textId="4C84819A" w:rsidR="00DE4882" w:rsidRPr="00DE4882" w:rsidRDefault="00DE4882" w:rsidP="00DE4882">
            <w:pPr>
              <w:spacing w:line="360" w:lineRule="auto"/>
              <w:jc w:val="both"/>
              <w:rPr>
                <w:rFonts w:ascii="Book Antiqua" w:hAnsi="Book Antiqua" w:cs="Arial"/>
                <w:b/>
                <w:bCs/>
                <w:color w:val="000000"/>
                <w:spacing w:val="1"/>
              </w:rPr>
            </w:pPr>
            <w:r w:rsidRPr="00DE4882">
              <w:rPr>
                <w:rFonts w:ascii="Book Antiqua" w:hAnsi="Book Antiqua" w:cs="Arial"/>
                <w:b/>
                <w:bCs/>
                <w:color w:val="000000"/>
                <w:spacing w:val="1"/>
              </w:rPr>
              <w:t>U</w:t>
            </w:r>
            <w:r w:rsidR="00885420">
              <w:rPr>
                <w:rFonts w:ascii="Book Antiqua" w:hAnsi="Book Antiqua" w:cs="Arial"/>
                <w:b/>
                <w:bCs/>
                <w:color w:val="000000"/>
                <w:spacing w:val="1"/>
              </w:rPr>
              <w:t>p</w:t>
            </w:r>
            <w:r w:rsidRPr="00DE4882">
              <w:rPr>
                <w:rFonts w:ascii="Book Antiqua" w:hAnsi="Book Antiqua" w:cs="Arial"/>
                <w:b/>
                <w:bCs/>
                <w:color w:val="000000"/>
                <w:spacing w:val="1"/>
              </w:rPr>
              <w:t>/</w:t>
            </w:r>
            <w:r>
              <w:rPr>
                <w:rFonts w:ascii="Book Antiqua" w:hAnsi="Book Antiqua" w:cs="Arial"/>
                <w:b/>
                <w:bCs/>
                <w:color w:val="000000"/>
                <w:spacing w:val="1"/>
              </w:rPr>
              <w:t>d</w:t>
            </w:r>
            <w:r w:rsidRPr="00DE4882">
              <w:rPr>
                <w:rFonts w:ascii="Book Antiqua" w:hAnsi="Book Antiqua" w:cs="Arial"/>
                <w:b/>
                <w:bCs/>
                <w:color w:val="000000"/>
                <w:spacing w:val="1"/>
              </w:rPr>
              <w:t>own</w:t>
            </w:r>
          </w:p>
        </w:tc>
        <w:tc>
          <w:tcPr>
            <w:tcW w:w="4679" w:type="dxa"/>
            <w:tcBorders>
              <w:top w:val="single" w:sz="4" w:space="0" w:color="auto"/>
              <w:bottom w:val="single" w:sz="4" w:space="0" w:color="auto"/>
            </w:tcBorders>
            <w:shd w:val="clear" w:color="auto" w:fill="auto"/>
          </w:tcPr>
          <w:p w14:paraId="0846A82C" w14:textId="4CA06761" w:rsidR="00DE4882" w:rsidRPr="00DE4882" w:rsidRDefault="00DE4882" w:rsidP="00DE4882">
            <w:pPr>
              <w:spacing w:line="360" w:lineRule="auto"/>
              <w:jc w:val="both"/>
              <w:rPr>
                <w:rFonts w:ascii="Book Antiqua" w:hAnsi="Book Antiqua" w:cs="Arial"/>
                <w:b/>
                <w:bCs/>
                <w:color w:val="000000"/>
                <w:spacing w:val="1"/>
              </w:rPr>
            </w:pPr>
            <w:r w:rsidRPr="00DE4882">
              <w:rPr>
                <w:rFonts w:ascii="Book Antiqua" w:hAnsi="Book Antiqua" w:cs="Arial"/>
                <w:b/>
                <w:bCs/>
                <w:color w:val="000000"/>
                <w:spacing w:val="1"/>
              </w:rPr>
              <w:t>Primer (5′-3′)</w:t>
            </w:r>
          </w:p>
        </w:tc>
      </w:tr>
      <w:tr w:rsidR="00DE4882" w:rsidRPr="00DE4882" w14:paraId="207B8BC7" w14:textId="77777777" w:rsidTr="00646FB7">
        <w:tc>
          <w:tcPr>
            <w:tcW w:w="1760" w:type="dxa"/>
            <w:tcBorders>
              <w:top w:val="single" w:sz="4" w:space="0" w:color="auto"/>
            </w:tcBorders>
            <w:shd w:val="clear" w:color="auto" w:fill="auto"/>
          </w:tcPr>
          <w:p w14:paraId="6620B3B8" w14:textId="565B368D" w:rsidR="00DE4882" w:rsidRPr="00DE4882" w:rsidRDefault="00DE4882" w:rsidP="00DE4882">
            <w:pPr>
              <w:spacing w:line="360" w:lineRule="auto"/>
              <w:jc w:val="both"/>
              <w:rPr>
                <w:rFonts w:ascii="Book Antiqua" w:hAnsi="Book Antiqua" w:cs="Arial"/>
                <w:color w:val="000000"/>
              </w:rPr>
            </w:pPr>
            <w:r w:rsidRPr="00DE4882">
              <w:rPr>
                <w:rFonts w:ascii="Book Antiqua" w:hAnsi="Book Antiqua" w:cs="Arial"/>
                <w:color w:val="000000"/>
              </w:rPr>
              <w:t>piR-mmu-40373735</w:t>
            </w:r>
          </w:p>
        </w:tc>
        <w:tc>
          <w:tcPr>
            <w:tcW w:w="1610" w:type="dxa"/>
            <w:tcBorders>
              <w:top w:val="single" w:sz="4" w:space="0" w:color="auto"/>
            </w:tcBorders>
            <w:shd w:val="clear" w:color="auto" w:fill="auto"/>
          </w:tcPr>
          <w:p w14:paraId="0F9B80B9"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17.4426</w:t>
            </w:r>
          </w:p>
        </w:tc>
        <w:tc>
          <w:tcPr>
            <w:tcW w:w="1416" w:type="dxa"/>
            <w:tcBorders>
              <w:top w:val="single" w:sz="4" w:space="0" w:color="auto"/>
            </w:tcBorders>
            <w:shd w:val="clear" w:color="auto" w:fill="auto"/>
          </w:tcPr>
          <w:p w14:paraId="5BA5FBBE" w14:textId="126CD979"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4679" w:type="dxa"/>
            <w:tcBorders>
              <w:top w:val="single" w:sz="4" w:space="0" w:color="auto"/>
            </w:tcBorders>
            <w:shd w:val="clear" w:color="auto" w:fill="auto"/>
          </w:tcPr>
          <w:p w14:paraId="61B2B94C" w14:textId="1D1449CC"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CCGGACCTCAAGCAGCC</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4006398E" w14:textId="77777777" w:rsidTr="00646FB7">
        <w:tc>
          <w:tcPr>
            <w:tcW w:w="1760" w:type="dxa"/>
            <w:shd w:val="clear" w:color="auto" w:fill="auto"/>
          </w:tcPr>
          <w:p w14:paraId="3EAE0BB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piR-mmu-61121420</w:t>
            </w:r>
          </w:p>
        </w:tc>
        <w:tc>
          <w:tcPr>
            <w:tcW w:w="1610" w:type="dxa"/>
            <w:shd w:val="clear" w:color="auto" w:fill="auto"/>
          </w:tcPr>
          <w:p w14:paraId="36051F36"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17.5967</w:t>
            </w:r>
          </w:p>
        </w:tc>
        <w:tc>
          <w:tcPr>
            <w:tcW w:w="1416" w:type="dxa"/>
            <w:shd w:val="clear" w:color="auto" w:fill="auto"/>
          </w:tcPr>
          <w:p w14:paraId="7D8B3461" w14:textId="74DFB95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4679" w:type="dxa"/>
            <w:shd w:val="clear" w:color="auto" w:fill="auto"/>
          </w:tcPr>
          <w:p w14:paraId="2BDFB3EC" w14:textId="7FDB91C3"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GGCCAGCCGGGGTACA</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6F374A40" w14:textId="77777777" w:rsidTr="00646FB7">
        <w:tc>
          <w:tcPr>
            <w:tcW w:w="1760" w:type="dxa"/>
            <w:shd w:val="clear" w:color="auto" w:fill="auto"/>
          </w:tcPr>
          <w:p w14:paraId="49DAC7B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piR-mmu-55687822</w:t>
            </w:r>
          </w:p>
        </w:tc>
        <w:tc>
          <w:tcPr>
            <w:tcW w:w="1610" w:type="dxa"/>
            <w:shd w:val="clear" w:color="auto" w:fill="auto"/>
          </w:tcPr>
          <w:p w14:paraId="692D7E9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17.5982</w:t>
            </w:r>
          </w:p>
        </w:tc>
        <w:tc>
          <w:tcPr>
            <w:tcW w:w="1416" w:type="dxa"/>
            <w:shd w:val="clear" w:color="auto" w:fill="auto"/>
          </w:tcPr>
          <w:p w14:paraId="115F4EE4" w14:textId="45D63C43"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4679" w:type="dxa"/>
            <w:shd w:val="clear" w:color="auto" w:fill="auto"/>
          </w:tcPr>
          <w:p w14:paraId="213E545D" w14:textId="31649EB4"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CGCACTGCTTCACTTGACCAG</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2F66AD71" w14:textId="77777777" w:rsidTr="00646FB7">
        <w:tc>
          <w:tcPr>
            <w:tcW w:w="1760" w:type="dxa"/>
            <w:shd w:val="clear" w:color="auto" w:fill="auto"/>
          </w:tcPr>
          <w:p w14:paraId="37286A9E"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piR-mmu-1373887</w:t>
            </w:r>
          </w:p>
        </w:tc>
        <w:tc>
          <w:tcPr>
            <w:tcW w:w="1610" w:type="dxa"/>
            <w:shd w:val="clear" w:color="auto" w:fill="auto"/>
          </w:tcPr>
          <w:p w14:paraId="248F027F"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18.0930</w:t>
            </w:r>
          </w:p>
        </w:tc>
        <w:tc>
          <w:tcPr>
            <w:tcW w:w="1416" w:type="dxa"/>
            <w:shd w:val="clear" w:color="auto" w:fill="auto"/>
          </w:tcPr>
          <w:p w14:paraId="1D5F8679" w14:textId="46D2A158"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4679" w:type="dxa"/>
            <w:shd w:val="clear" w:color="auto" w:fill="auto"/>
          </w:tcPr>
          <w:p w14:paraId="1CA2DF8C" w14:textId="1826B7A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AATGATGAACCTTTTGACGGG</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6667319C" w14:textId="77777777" w:rsidTr="00646FB7">
        <w:tc>
          <w:tcPr>
            <w:tcW w:w="1760" w:type="dxa"/>
            <w:shd w:val="clear" w:color="auto" w:fill="auto"/>
          </w:tcPr>
          <w:p w14:paraId="111888A4"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piR-mmu-52367843</w:t>
            </w:r>
          </w:p>
        </w:tc>
        <w:tc>
          <w:tcPr>
            <w:tcW w:w="1610" w:type="dxa"/>
            <w:shd w:val="clear" w:color="auto" w:fill="auto"/>
          </w:tcPr>
          <w:p w14:paraId="753EC514"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18.4806</w:t>
            </w:r>
          </w:p>
        </w:tc>
        <w:tc>
          <w:tcPr>
            <w:tcW w:w="1416" w:type="dxa"/>
            <w:shd w:val="clear" w:color="auto" w:fill="auto"/>
          </w:tcPr>
          <w:p w14:paraId="041B97BD" w14:textId="19847FFE"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4679" w:type="dxa"/>
            <w:shd w:val="clear" w:color="auto" w:fill="auto"/>
          </w:tcPr>
          <w:p w14:paraId="5357B27C" w14:textId="18A12018"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Pr>
                <w:rFonts w:ascii="Book Antiqua" w:hAnsi="Book Antiqua" w:cs="Arial"/>
                <w:color w:val="000000"/>
                <w:spacing w:val="1"/>
              </w:rPr>
              <w:t xml:space="preserve"> </w:t>
            </w:r>
            <w:r w:rsidRPr="00DE4882">
              <w:rPr>
                <w:rFonts w:ascii="Book Antiqua" w:hAnsi="Book Antiqua" w:cs="Arial"/>
                <w:color w:val="000000"/>
                <w:spacing w:val="1"/>
              </w:rPr>
              <w:t>CGAGGACAGCCTGGTCTACACA</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6C836598" w14:textId="77777777" w:rsidTr="00646FB7">
        <w:tc>
          <w:tcPr>
            <w:tcW w:w="1760" w:type="dxa"/>
            <w:shd w:val="clear" w:color="auto" w:fill="auto"/>
          </w:tcPr>
          <w:p w14:paraId="1FE72376"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piR-mmu-7401535</w:t>
            </w:r>
          </w:p>
        </w:tc>
        <w:tc>
          <w:tcPr>
            <w:tcW w:w="1610" w:type="dxa"/>
            <w:shd w:val="clear" w:color="auto" w:fill="auto"/>
          </w:tcPr>
          <w:p w14:paraId="01482E07"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-18.5696</w:t>
            </w:r>
          </w:p>
        </w:tc>
        <w:tc>
          <w:tcPr>
            <w:tcW w:w="1416" w:type="dxa"/>
            <w:shd w:val="clear" w:color="auto" w:fill="auto"/>
          </w:tcPr>
          <w:p w14:paraId="491A72F2"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4679" w:type="dxa"/>
            <w:shd w:val="clear" w:color="auto" w:fill="auto"/>
          </w:tcPr>
          <w:p w14:paraId="4230FDBF" w14:textId="54D3EE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CAGCCCTCGACACAAGGG</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6DDF5E3A" w14:textId="77777777" w:rsidTr="00646FB7">
        <w:tc>
          <w:tcPr>
            <w:tcW w:w="1760" w:type="dxa"/>
            <w:shd w:val="clear" w:color="auto" w:fill="auto"/>
          </w:tcPr>
          <w:p w14:paraId="07DD76E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piR-mmu-4773779</w:t>
            </w:r>
          </w:p>
        </w:tc>
        <w:tc>
          <w:tcPr>
            <w:tcW w:w="1610" w:type="dxa"/>
            <w:shd w:val="clear" w:color="auto" w:fill="auto"/>
          </w:tcPr>
          <w:p w14:paraId="56281B91"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-18.2665</w:t>
            </w:r>
          </w:p>
        </w:tc>
        <w:tc>
          <w:tcPr>
            <w:tcW w:w="1416" w:type="dxa"/>
            <w:shd w:val="clear" w:color="auto" w:fill="auto"/>
          </w:tcPr>
          <w:p w14:paraId="5BB66FBA"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4679" w:type="dxa"/>
            <w:shd w:val="clear" w:color="auto" w:fill="auto"/>
          </w:tcPr>
          <w:p w14:paraId="09D28FB2" w14:textId="6F23D85B"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GCACCATGATGACGGAAATT</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50840771" w14:textId="77777777" w:rsidTr="00646FB7">
        <w:tc>
          <w:tcPr>
            <w:tcW w:w="1760" w:type="dxa"/>
            <w:shd w:val="clear" w:color="auto" w:fill="auto"/>
          </w:tcPr>
          <w:p w14:paraId="2D2ED61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piR-mmu-1304999</w:t>
            </w:r>
          </w:p>
        </w:tc>
        <w:tc>
          <w:tcPr>
            <w:tcW w:w="1610" w:type="dxa"/>
            <w:shd w:val="clear" w:color="auto" w:fill="auto"/>
          </w:tcPr>
          <w:p w14:paraId="78D8DC24"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-17.8006</w:t>
            </w:r>
          </w:p>
        </w:tc>
        <w:tc>
          <w:tcPr>
            <w:tcW w:w="1416" w:type="dxa"/>
            <w:shd w:val="clear" w:color="auto" w:fill="auto"/>
          </w:tcPr>
          <w:p w14:paraId="32824777"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4679" w:type="dxa"/>
            <w:shd w:val="clear" w:color="auto" w:fill="auto"/>
          </w:tcPr>
          <w:p w14:paraId="52D856BA" w14:textId="76D8B95D"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Pr>
                <w:rFonts w:ascii="Book Antiqua" w:hAnsi="Book Antiqua" w:cs="Arial"/>
                <w:color w:val="000000"/>
                <w:spacing w:val="1"/>
              </w:rPr>
              <w:t xml:space="preserve"> </w:t>
            </w:r>
            <w:r w:rsidRPr="00DE4882">
              <w:rPr>
                <w:rFonts w:ascii="Book Antiqua" w:hAnsi="Book Antiqua" w:cs="Arial"/>
                <w:color w:val="000000"/>
                <w:spacing w:val="1"/>
              </w:rPr>
              <w:t>GCATGCAGGAGCATCAGTAGAC</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5DED72D4" w14:textId="77777777" w:rsidTr="00646FB7">
        <w:tc>
          <w:tcPr>
            <w:tcW w:w="1760" w:type="dxa"/>
            <w:shd w:val="clear" w:color="auto" w:fill="auto"/>
          </w:tcPr>
          <w:p w14:paraId="741E6D23"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piR-mmu-7422255</w:t>
            </w:r>
          </w:p>
        </w:tc>
        <w:tc>
          <w:tcPr>
            <w:tcW w:w="1610" w:type="dxa"/>
            <w:shd w:val="clear" w:color="auto" w:fill="auto"/>
          </w:tcPr>
          <w:p w14:paraId="4E4DD7EB"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-17.5913</w:t>
            </w:r>
          </w:p>
        </w:tc>
        <w:tc>
          <w:tcPr>
            <w:tcW w:w="1416" w:type="dxa"/>
            <w:shd w:val="clear" w:color="auto" w:fill="auto"/>
          </w:tcPr>
          <w:p w14:paraId="1B61241F"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4679" w:type="dxa"/>
            <w:shd w:val="clear" w:color="auto" w:fill="auto"/>
          </w:tcPr>
          <w:p w14:paraId="17597515" w14:textId="6F65CC9D"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Pr>
                <w:rFonts w:ascii="Book Antiqua" w:hAnsi="Book Antiqua" w:cs="Arial"/>
                <w:color w:val="000000"/>
                <w:spacing w:val="1"/>
              </w:rPr>
              <w:t xml:space="preserve"> </w:t>
            </w:r>
            <w:r w:rsidRPr="00DE4882">
              <w:rPr>
                <w:rFonts w:ascii="Book Antiqua" w:hAnsi="Book Antiqua" w:cs="Arial"/>
                <w:color w:val="000000"/>
                <w:spacing w:val="1"/>
              </w:rPr>
              <w:t>CCACATGATGATCCATAACGAGAT</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3149C80F" w14:textId="77777777" w:rsidTr="00646FB7">
        <w:tc>
          <w:tcPr>
            <w:tcW w:w="1760" w:type="dxa"/>
            <w:tcBorders>
              <w:bottom w:val="single" w:sz="4" w:space="0" w:color="auto"/>
            </w:tcBorders>
            <w:shd w:val="clear" w:color="auto" w:fill="auto"/>
          </w:tcPr>
          <w:p w14:paraId="795B24C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piR-mmu-5160126</w:t>
            </w:r>
          </w:p>
        </w:tc>
        <w:tc>
          <w:tcPr>
            <w:tcW w:w="1610" w:type="dxa"/>
            <w:tcBorders>
              <w:bottom w:val="single" w:sz="4" w:space="0" w:color="auto"/>
            </w:tcBorders>
            <w:shd w:val="clear" w:color="auto" w:fill="auto"/>
          </w:tcPr>
          <w:p w14:paraId="389FBAFE"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-17.4335</w:t>
            </w:r>
          </w:p>
        </w:tc>
        <w:tc>
          <w:tcPr>
            <w:tcW w:w="1416" w:type="dxa"/>
            <w:tcBorders>
              <w:bottom w:val="single" w:sz="4" w:space="0" w:color="auto"/>
            </w:tcBorders>
            <w:shd w:val="clear" w:color="auto" w:fill="auto"/>
          </w:tcPr>
          <w:p w14:paraId="62D5791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4679" w:type="dxa"/>
            <w:tcBorders>
              <w:bottom w:val="single" w:sz="4" w:space="0" w:color="auto"/>
            </w:tcBorders>
            <w:shd w:val="clear" w:color="auto" w:fill="auto"/>
          </w:tcPr>
          <w:p w14:paraId="7BB6DD03" w14:textId="2179AC59"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GCTGAGACAGGAGGATCGCT</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bl>
    <w:p w14:paraId="1054799B" w14:textId="77777777" w:rsidR="00DE4882" w:rsidRPr="00DE4882" w:rsidRDefault="00DE4882" w:rsidP="00DE4882">
      <w:pPr>
        <w:spacing w:line="360" w:lineRule="auto"/>
        <w:jc w:val="both"/>
        <w:rPr>
          <w:b/>
          <w:bCs/>
        </w:rPr>
      </w:pPr>
    </w:p>
    <w:sectPr w:rsidR="00DE4882" w:rsidRPr="00DE488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Sarah Kohler" w:date="2021-05-24T20:13:00Z" w:initials="SK">
    <w:p w14:paraId="7BF04207" w14:textId="59960C15" w:rsidR="00FA7EE8" w:rsidRDefault="00FA7EE8">
      <w:pPr>
        <w:pStyle w:val="a4"/>
      </w:pPr>
      <w:r>
        <w:rPr>
          <w:rStyle w:val="a3"/>
        </w:rPr>
        <w:annotationRef/>
      </w:r>
      <w:r>
        <w:rPr>
          <w:rStyle w:val="a3"/>
        </w:rPr>
        <w:t xml:space="preserve">I can’t find this word on google. Is this supposed to be </w:t>
      </w:r>
      <w:r>
        <w:rPr>
          <w:rFonts w:ascii="Book Antiqua" w:eastAsia="Book Antiqua" w:hAnsi="Book Antiqua" w:cs="Book Antiqua"/>
          <w:color w:val="000000"/>
          <w:szCs w:val="21"/>
        </w:rPr>
        <w:t>microvenular hemangiomas? May be correct – but I can’t find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F042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6877F" w16cex:dateUtc="2021-05-25T0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F04207" w16cid:durableId="245687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735B5" w14:textId="77777777" w:rsidR="00E2349C" w:rsidRDefault="00E2349C" w:rsidP="00964BC7">
      <w:r>
        <w:separator/>
      </w:r>
    </w:p>
  </w:endnote>
  <w:endnote w:type="continuationSeparator" w:id="0">
    <w:p w14:paraId="164B2517" w14:textId="77777777" w:rsidR="00E2349C" w:rsidRDefault="00E2349C" w:rsidP="00964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93430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F1F3B59" w14:textId="76BD4FD4" w:rsidR="00964BC7" w:rsidRPr="00964BC7" w:rsidRDefault="00964BC7" w:rsidP="00964BC7">
            <w:pPr>
              <w:pStyle w:val="aa"/>
              <w:jc w:val="right"/>
              <w:rPr>
                <w:rFonts w:ascii="Book Antiqua" w:hAnsi="Book Antiqua"/>
                <w:sz w:val="24"/>
                <w:szCs w:val="24"/>
              </w:rPr>
            </w:pPr>
            <w:r w:rsidRPr="00964BC7">
              <w:rPr>
                <w:rFonts w:ascii="Book Antiqua" w:hAnsi="Book Antiqua"/>
                <w:sz w:val="24"/>
                <w:szCs w:val="24"/>
                <w:lang w:val="zh-CN" w:eastAsia="zh-CN"/>
              </w:rPr>
              <w:t xml:space="preserve"> </w:t>
            </w:r>
            <w:r w:rsidRPr="00964BC7">
              <w:rPr>
                <w:rFonts w:ascii="Book Antiqua" w:hAnsi="Book Antiqua"/>
                <w:sz w:val="24"/>
                <w:szCs w:val="24"/>
              </w:rPr>
              <w:fldChar w:fldCharType="begin"/>
            </w:r>
            <w:r w:rsidRPr="00964BC7">
              <w:rPr>
                <w:rFonts w:ascii="Book Antiqua" w:hAnsi="Book Antiqua"/>
                <w:sz w:val="24"/>
                <w:szCs w:val="24"/>
              </w:rPr>
              <w:instrText>PAGE</w:instrText>
            </w:r>
            <w:r w:rsidRPr="00964BC7">
              <w:rPr>
                <w:rFonts w:ascii="Book Antiqua" w:hAnsi="Book Antiqua"/>
                <w:sz w:val="24"/>
                <w:szCs w:val="24"/>
              </w:rPr>
              <w:fldChar w:fldCharType="separate"/>
            </w:r>
            <w:r w:rsidR="002A2FC5">
              <w:rPr>
                <w:rFonts w:ascii="Book Antiqua" w:hAnsi="Book Antiqua"/>
                <w:noProof/>
                <w:sz w:val="24"/>
                <w:szCs w:val="24"/>
              </w:rPr>
              <w:t>23</w:t>
            </w:r>
            <w:r w:rsidRPr="00964BC7">
              <w:rPr>
                <w:rFonts w:ascii="Book Antiqua" w:hAnsi="Book Antiqua"/>
                <w:sz w:val="24"/>
                <w:szCs w:val="24"/>
              </w:rPr>
              <w:fldChar w:fldCharType="end"/>
            </w:r>
            <w:r w:rsidRPr="00964BC7">
              <w:rPr>
                <w:rFonts w:ascii="Book Antiqua" w:hAnsi="Book Antiqua"/>
                <w:sz w:val="24"/>
                <w:szCs w:val="24"/>
                <w:lang w:val="zh-CN" w:eastAsia="zh-CN"/>
              </w:rPr>
              <w:t xml:space="preserve"> / </w:t>
            </w:r>
            <w:r w:rsidRPr="00964BC7">
              <w:rPr>
                <w:rFonts w:ascii="Book Antiqua" w:hAnsi="Book Antiqua"/>
                <w:sz w:val="24"/>
                <w:szCs w:val="24"/>
              </w:rPr>
              <w:fldChar w:fldCharType="begin"/>
            </w:r>
            <w:r w:rsidRPr="00964BC7">
              <w:rPr>
                <w:rFonts w:ascii="Book Antiqua" w:hAnsi="Book Antiqua"/>
                <w:sz w:val="24"/>
                <w:szCs w:val="24"/>
              </w:rPr>
              <w:instrText>NUMPAGES</w:instrText>
            </w:r>
            <w:r w:rsidRPr="00964BC7">
              <w:rPr>
                <w:rFonts w:ascii="Book Antiqua" w:hAnsi="Book Antiqua"/>
                <w:sz w:val="24"/>
                <w:szCs w:val="24"/>
              </w:rPr>
              <w:fldChar w:fldCharType="separate"/>
            </w:r>
            <w:r w:rsidR="002A2FC5">
              <w:rPr>
                <w:rFonts w:ascii="Book Antiqua" w:hAnsi="Book Antiqua"/>
                <w:noProof/>
                <w:sz w:val="24"/>
                <w:szCs w:val="24"/>
              </w:rPr>
              <w:t>31</w:t>
            </w:r>
            <w:r w:rsidRPr="00964BC7">
              <w:rPr>
                <w:rFonts w:ascii="Book Antiqua" w:hAnsi="Book Antiqua"/>
                <w:sz w:val="24"/>
                <w:szCs w:val="24"/>
              </w:rPr>
              <w:fldChar w:fldCharType="end"/>
            </w:r>
          </w:p>
        </w:sdtContent>
      </w:sdt>
    </w:sdtContent>
  </w:sdt>
  <w:p w14:paraId="1B6F0832" w14:textId="77777777" w:rsidR="00964BC7" w:rsidRPr="00964BC7" w:rsidRDefault="00964BC7" w:rsidP="00964BC7">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21465" w14:textId="77777777" w:rsidR="00E2349C" w:rsidRDefault="00E2349C" w:rsidP="00964BC7">
      <w:r>
        <w:separator/>
      </w:r>
    </w:p>
  </w:footnote>
  <w:footnote w:type="continuationSeparator" w:id="0">
    <w:p w14:paraId="3170256D" w14:textId="77777777" w:rsidR="00E2349C" w:rsidRDefault="00E2349C" w:rsidP="00964BC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Kohler">
    <w15:presenceInfo w15:providerId="Windows Live" w15:userId="7d541a8d79698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59F"/>
    <w:rsid w:val="00046618"/>
    <w:rsid w:val="000A257C"/>
    <w:rsid w:val="000C09E3"/>
    <w:rsid w:val="000F6BD7"/>
    <w:rsid w:val="00147335"/>
    <w:rsid w:val="00195A6F"/>
    <w:rsid w:val="001A6207"/>
    <w:rsid w:val="002665EF"/>
    <w:rsid w:val="00275E1C"/>
    <w:rsid w:val="00294B85"/>
    <w:rsid w:val="002A2FC5"/>
    <w:rsid w:val="002B595E"/>
    <w:rsid w:val="002C2ECA"/>
    <w:rsid w:val="00306C08"/>
    <w:rsid w:val="0031437F"/>
    <w:rsid w:val="00340765"/>
    <w:rsid w:val="003F3935"/>
    <w:rsid w:val="00443E33"/>
    <w:rsid w:val="0045272F"/>
    <w:rsid w:val="004C59D1"/>
    <w:rsid w:val="004F1259"/>
    <w:rsid w:val="0050144B"/>
    <w:rsid w:val="00620708"/>
    <w:rsid w:val="00646FB7"/>
    <w:rsid w:val="00675C78"/>
    <w:rsid w:val="006C1E5B"/>
    <w:rsid w:val="006E7945"/>
    <w:rsid w:val="00743257"/>
    <w:rsid w:val="00785BAF"/>
    <w:rsid w:val="007C7BD4"/>
    <w:rsid w:val="007E16FC"/>
    <w:rsid w:val="007E52AF"/>
    <w:rsid w:val="007E6268"/>
    <w:rsid w:val="00862AD3"/>
    <w:rsid w:val="00885420"/>
    <w:rsid w:val="008A102F"/>
    <w:rsid w:val="008B7847"/>
    <w:rsid w:val="00964BC7"/>
    <w:rsid w:val="00967FE2"/>
    <w:rsid w:val="00A77B3E"/>
    <w:rsid w:val="00AE222E"/>
    <w:rsid w:val="00B26784"/>
    <w:rsid w:val="00B40FEC"/>
    <w:rsid w:val="00B841A4"/>
    <w:rsid w:val="00B9672E"/>
    <w:rsid w:val="00BC5050"/>
    <w:rsid w:val="00C10862"/>
    <w:rsid w:val="00C10C1D"/>
    <w:rsid w:val="00C11678"/>
    <w:rsid w:val="00C26B8F"/>
    <w:rsid w:val="00C562CD"/>
    <w:rsid w:val="00CA2A55"/>
    <w:rsid w:val="00D029A0"/>
    <w:rsid w:val="00D14545"/>
    <w:rsid w:val="00D1738F"/>
    <w:rsid w:val="00D628E3"/>
    <w:rsid w:val="00D946BA"/>
    <w:rsid w:val="00DE4882"/>
    <w:rsid w:val="00E2349C"/>
    <w:rsid w:val="00E92A02"/>
    <w:rsid w:val="00ED00F6"/>
    <w:rsid w:val="00ED78C4"/>
    <w:rsid w:val="00FA7E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8D836"/>
  <w15:docId w15:val="{D7D0453F-B484-4E70-8190-B80F9680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
    <w:name w:val="dxdefaultcursor"/>
    <w:basedOn w:val="a0"/>
  </w:style>
  <w:style w:type="character" w:styleId="a3">
    <w:name w:val="annotation reference"/>
    <w:basedOn w:val="a0"/>
    <w:semiHidden/>
    <w:unhideWhenUsed/>
    <w:rsid w:val="000C09E3"/>
    <w:rPr>
      <w:sz w:val="21"/>
      <w:szCs w:val="21"/>
    </w:rPr>
  </w:style>
  <w:style w:type="paragraph" w:styleId="a4">
    <w:name w:val="annotation text"/>
    <w:basedOn w:val="a"/>
    <w:link w:val="a5"/>
    <w:semiHidden/>
    <w:unhideWhenUsed/>
    <w:rsid w:val="000C09E3"/>
  </w:style>
  <w:style w:type="character" w:customStyle="1" w:styleId="a5">
    <w:name w:val="批注文字 字符"/>
    <w:basedOn w:val="a0"/>
    <w:link w:val="a4"/>
    <w:semiHidden/>
    <w:rsid w:val="000C09E3"/>
    <w:rPr>
      <w:sz w:val="24"/>
      <w:szCs w:val="24"/>
    </w:rPr>
  </w:style>
  <w:style w:type="paragraph" w:styleId="a6">
    <w:name w:val="annotation subject"/>
    <w:basedOn w:val="a4"/>
    <w:next w:val="a4"/>
    <w:link w:val="a7"/>
    <w:semiHidden/>
    <w:unhideWhenUsed/>
    <w:rsid w:val="000C09E3"/>
    <w:rPr>
      <w:b/>
      <w:bCs/>
    </w:rPr>
  </w:style>
  <w:style w:type="character" w:customStyle="1" w:styleId="a7">
    <w:name w:val="批注主题 字符"/>
    <w:basedOn w:val="a5"/>
    <w:link w:val="a6"/>
    <w:semiHidden/>
    <w:rsid w:val="000C09E3"/>
    <w:rPr>
      <w:b/>
      <w:bCs/>
      <w:sz w:val="24"/>
      <w:szCs w:val="24"/>
    </w:rPr>
  </w:style>
  <w:style w:type="paragraph" w:styleId="a8">
    <w:name w:val="header"/>
    <w:basedOn w:val="a"/>
    <w:link w:val="a9"/>
    <w:unhideWhenUsed/>
    <w:rsid w:val="00964BC7"/>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964BC7"/>
    <w:rPr>
      <w:sz w:val="18"/>
      <w:szCs w:val="18"/>
    </w:rPr>
  </w:style>
  <w:style w:type="paragraph" w:styleId="aa">
    <w:name w:val="footer"/>
    <w:basedOn w:val="a"/>
    <w:link w:val="ab"/>
    <w:uiPriority w:val="99"/>
    <w:unhideWhenUsed/>
    <w:rsid w:val="00964BC7"/>
    <w:pPr>
      <w:tabs>
        <w:tab w:val="center" w:pos="4153"/>
        <w:tab w:val="right" w:pos="8306"/>
      </w:tabs>
      <w:snapToGrid w:val="0"/>
    </w:pPr>
    <w:rPr>
      <w:sz w:val="18"/>
      <w:szCs w:val="18"/>
    </w:rPr>
  </w:style>
  <w:style w:type="character" w:customStyle="1" w:styleId="ab">
    <w:name w:val="页脚 字符"/>
    <w:basedOn w:val="a0"/>
    <w:link w:val="aa"/>
    <w:uiPriority w:val="99"/>
    <w:rsid w:val="00964BC7"/>
    <w:rPr>
      <w:sz w:val="18"/>
      <w:szCs w:val="18"/>
    </w:rPr>
  </w:style>
  <w:style w:type="paragraph" w:styleId="ac">
    <w:name w:val="Balloon Text"/>
    <w:basedOn w:val="a"/>
    <w:link w:val="ad"/>
    <w:rsid w:val="007C7BD4"/>
    <w:rPr>
      <w:rFonts w:ascii="宋体" w:eastAsia="宋体"/>
      <w:sz w:val="18"/>
      <w:szCs w:val="18"/>
    </w:rPr>
  </w:style>
  <w:style w:type="character" w:customStyle="1" w:styleId="ad">
    <w:name w:val="批注框文本 字符"/>
    <w:basedOn w:val="a0"/>
    <w:link w:val="ac"/>
    <w:rsid w:val="007C7BD4"/>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6337</Words>
  <Characters>36125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Linyutong</cp:lastModifiedBy>
  <cp:revision>6</cp:revision>
  <dcterms:created xsi:type="dcterms:W3CDTF">2021-05-25T02:22:00Z</dcterms:created>
  <dcterms:modified xsi:type="dcterms:W3CDTF">2021-06-08T03:27:00Z</dcterms:modified>
</cp:coreProperties>
</file>