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651BE"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color w:val="000000"/>
        </w:rPr>
        <w:t xml:space="preserve">Name of Journal: </w:t>
      </w:r>
      <w:r w:rsidRPr="00A01B3C">
        <w:rPr>
          <w:rFonts w:ascii="Book Antiqua" w:eastAsia="Book Antiqua" w:hAnsi="Book Antiqua" w:cs="Book Antiqua"/>
          <w:i/>
          <w:color w:val="000000"/>
        </w:rPr>
        <w:t>World Journal of Clinical Cases</w:t>
      </w:r>
    </w:p>
    <w:p w14:paraId="201AD90A"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color w:val="000000"/>
        </w:rPr>
        <w:t xml:space="preserve">Manuscript NO: </w:t>
      </w:r>
      <w:r w:rsidRPr="00A01B3C">
        <w:rPr>
          <w:rFonts w:ascii="Book Antiqua" w:eastAsia="Book Antiqua" w:hAnsi="Book Antiqua" w:cs="Book Antiqua"/>
          <w:color w:val="000000"/>
        </w:rPr>
        <w:t>64188</w:t>
      </w:r>
    </w:p>
    <w:p w14:paraId="41052794"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color w:val="000000"/>
        </w:rPr>
        <w:t xml:space="preserve">Manuscript Type: </w:t>
      </w:r>
      <w:r w:rsidRPr="00A01B3C">
        <w:rPr>
          <w:rFonts w:ascii="Book Antiqua" w:eastAsia="Book Antiqua" w:hAnsi="Book Antiqua" w:cs="Book Antiqua"/>
          <w:color w:val="000000"/>
        </w:rPr>
        <w:t>OPINION REVIEW</w:t>
      </w:r>
    </w:p>
    <w:p w14:paraId="7DCC3586" w14:textId="77777777" w:rsidR="00A77B3E" w:rsidRPr="00A01B3C" w:rsidRDefault="00A77B3E" w:rsidP="00A01B3C">
      <w:pPr>
        <w:spacing w:line="360" w:lineRule="auto"/>
        <w:jc w:val="both"/>
        <w:rPr>
          <w:rFonts w:ascii="Book Antiqua" w:hAnsi="Book Antiqua"/>
        </w:rPr>
      </w:pPr>
    </w:p>
    <w:p w14:paraId="1E2E50F0" w14:textId="77777777" w:rsidR="00A77B3E" w:rsidRPr="00A01B3C" w:rsidRDefault="002E53E1" w:rsidP="00A01B3C">
      <w:pPr>
        <w:spacing w:line="360" w:lineRule="auto"/>
        <w:jc w:val="both"/>
        <w:rPr>
          <w:rFonts w:ascii="Book Antiqua" w:hAnsi="Book Antiqua"/>
        </w:rPr>
      </w:pPr>
      <w:bookmarkStart w:id="0" w:name="OLE_LINK68"/>
      <w:r w:rsidRPr="00A01B3C">
        <w:rPr>
          <w:rFonts w:ascii="Book Antiqua" w:eastAsia="Book Antiqua" w:hAnsi="Book Antiqua" w:cs="Book Antiqua"/>
          <w:b/>
          <w:bCs/>
          <w:color w:val="000000"/>
        </w:rPr>
        <w:t>Reconsideration of recurrence and metastasis in colorectal cancer</w:t>
      </w:r>
    </w:p>
    <w:bookmarkEnd w:id="0"/>
    <w:p w14:paraId="71E3D962" w14:textId="77777777" w:rsidR="00A77B3E" w:rsidRPr="00A01B3C" w:rsidRDefault="00A77B3E" w:rsidP="00A01B3C">
      <w:pPr>
        <w:spacing w:line="360" w:lineRule="auto"/>
        <w:jc w:val="both"/>
        <w:rPr>
          <w:rFonts w:ascii="Book Antiqua" w:hAnsi="Book Antiqua"/>
        </w:rPr>
      </w:pPr>
    </w:p>
    <w:p w14:paraId="4D176868" w14:textId="361D4B74" w:rsidR="00A77B3E" w:rsidRPr="00A01B3C" w:rsidRDefault="006F337B" w:rsidP="00A01B3C">
      <w:pPr>
        <w:spacing w:line="360" w:lineRule="auto"/>
        <w:jc w:val="both"/>
        <w:rPr>
          <w:rFonts w:ascii="Book Antiqua" w:hAnsi="Book Antiqua"/>
        </w:rPr>
      </w:pPr>
      <w:r w:rsidRPr="00A01B3C">
        <w:rPr>
          <w:rFonts w:ascii="Book Antiqua" w:eastAsia="Book Antiqua" w:hAnsi="Book Antiqua" w:cs="Book Antiqua"/>
          <w:color w:val="000000"/>
        </w:rPr>
        <w:t xml:space="preserve">Wang R </w:t>
      </w:r>
      <w:r w:rsidRPr="00A01B3C">
        <w:rPr>
          <w:rFonts w:ascii="Book Antiqua" w:eastAsia="Book Antiqua" w:hAnsi="Book Antiqua" w:cs="Book Antiqua"/>
          <w:i/>
          <w:iCs/>
          <w:color w:val="000000"/>
        </w:rPr>
        <w:t>et al</w:t>
      </w:r>
      <w:r w:rsidRPr="00A01B3C">
        <w:rPr>
          <w:rFonts w:ascii="Book Antiqua" w:eastAsia="Book Antiqua" w:hAnsi="Book Antiqua" w:cs="Book Antiqua"/>
          <w:color w:val="000000"/>
        </w:rPr>
        <w:t xml:space="preserve">. </w:t>
      </w:r>
      <w:bookmarkStart w:id="1" w:name="OLE_LINK69"/>
      <w:r w:rsidR="002E53E1" w:rsidRPr="00A01B3C">
        <w:rPr>
          <w:rFonts w:ascii="Book Antiqua" w:eastAsia="Book Antiqua" w:hAnsi="Book Antiqua" w:cs="Book Antiqua"/>
          <w:color w:val="000000"/>
        </w:rPr>
        <w:t>Recurrence and metastasis in colorectal cancer</w:t>
      </w:r>
      <w:bookmarkEnd w:id="1"/>
    </w:p>
    <w:p w14:paraId="160D3586" w14:textId="77777777" w:rsidR="00A77B3E" w:rsidRPr="00A01B3C" w:rsidRDefault="00A77B3E" w:rsidP="00A01B3C">
      <w:pPr>
        <w:spacing w:line="360" w:lineRule="auto"/>
        <w:jc w:val="both"/>
        <w:rPr>
          <w:rFonts w:ascii="Book Antiqua" w:hAnsi="Book Antiqua"/>
        </w:rPr>
      </w:pPr>
    </w:p>
    <w:p w14:paraId="13CB240F"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color w:val="000000"/>
        </w:rPr>
        <w:t>Rui Wang, Qi Su, Zhao-Peng Yan</w:t>
      </w:r>
    </w:p>
    <w:p w14:paraId="733306C6" w14:textId="77777777" w:rsidR="00A77B3E" w:rsidRPr="00A01B3C" w:rsidRDefault="00A77B3E" w:rsidP="00A01B3C">
      <w:pPr>
        <w:spacing w:line="360" w:lineRule="auto"/>
        <w:jc w:val="both"/>
        <w:rPr>
          <w:rFonts w:ascii="Book Antiqua" w:hAnsi="Book Antiqua"/>
        </w:rPr>
      </w:pPr>
    </w:p>
    <w:p w14:paraId="0797C408"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bCs/>
          <w:color w:val="000000"/>
        </w:rPr>
        <w:t xml:space="preserve">Rui Wang, </w:t>
      </w:r>
      <w:r w:rsidRPr="00A01B3C">
        <w:rPr>
          <w:rFonts w:ascii="Book Antiqua" w:eastAsia="Book Antiqua" w:hAnsi="Book Antiqua" w:cs="Book Antiqua"/>
          <w:color w:val="000000"/>
        </w:rPr>
        <w:t>Department of Critical Care Medicine, Shengjing Hospital of China Medical University, Shenyang 110004, Liaoning Province, China</w:t>
      </w:r>
    </w:p>
    <w:p w14:paraId="6448222C" w14:textId="77777777" w:rsidR="00A77B3E" w:rsidRPr="00A01B3C" w:rsidRDefault="00A77B3E" w:rsidP="00A01B3C">
      <w:pPr>
        <w:spacing w:line="360" w:lineRule="auto"/>
        <w:jc w:val="both"/>
        <w:rPr>
          <w:rFonts w:ascii="Book Antiqua" w:hAnsi="Book Antiqua"/>
        </w:rPr>
      </w:pPr>
    </w:p>
    <w:p w14:paraId="3E53E5D3"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bCs/>
          <w:color w:val="000000"/>
        </w:rPr>
        <w:t xml:space="preserve">Qi Su, Zhao-Peng Yan, </w:t>
      </w:r>
      <w:r w:rsidRPr="00A01B3C">
        <w:rPr>
          <w:rFonts w:ascii="Book Antiqua" w:eastAsia="Book Antiqua" w:hAnsi="Book Antiqua" w:cs="Book Antiqua"/>
          <w:color w:val="000000"/>
        </w:rPr>
        <w:t>Department of General Surgery, Shengjing Hospital of China Medical University, Shenyang 110004, Liaoning Province, China</w:t>
      </w:r>
    </w:p>
    <w:p w14:paraId="33A4A273" w14:textId="77777777" w:rsidR="00A77B3E" w:rsidRPr="00A01B3C" w:rsidRDefault="00A77B3E" w:rsidP="00A01B3C">
      <w:pPr>
        <w:spacing w:line="360" w:lineRule="auto"/>
        <w:jc w:val="both"/>
        <w:rPr>
          <w:rFonts w:ascii="Book Antiqua" w:hAnsi="Book Antiqua"/>
        </w:rPr>
      </w:pPr>
    </w:p>
    <w:p w14:paraId="4DF8E49A" w14:textId="098990B8"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bCs/>
          <w:color w:val="000000"/>
        </w:rPr>
        <w:t xml:space="preserve">Author contributions: </w:t>
      </w:r>
      <w:bookmarkStart w:id="2" w:name="OLE_LINK70"/>
      <w:r w:rsidRPr="00A01B3C">
        <w:rPr>
          <w:rFonts w:ascii="Book Antiqua" w:eastAsia="Book Antiqua" w:hAnsi="Book Antiqua" w:cs="Book Antiqua"/>
          <w:color w:val="000000"/>
        </w:rPr>
        <w:t xml:space="preserve">Yan </w:t>
      </w:r>
      <w:r w:rsidR="006F337B" w:rsidRPr="00A01B3C">
        <w:rPr>
          <w:rFonts w:ascii="Book Antiqua" w:eastAsia="Book Antiqua" w:hAnsi="Book Antiqua" w:cs="Book Antiqua"/>
          <w:color w:val="000000"/>
        </w:rPr>
        <w:t xml:space="preserve">ZP </w:t>
      </w:r>
      <w:r w:rsidRPr="00A01B3C">
        <w:rPr>
          <w:rFonts w:ascii="Book Antiqua" w:eastAsia="Book Antiqua" w:hAnsi="Book Antiqua" w:cs="Book Antiqua"/>
          <w:color w:val="000000"/>
        </w:rPr>
        <w:t>contributed to the conception and design of the work</w:t>
      </w:r>
      <w:r w:rsidR="006F337B" w:rsidRPr="00A01B3C">
        <w:rPr>
          <w:rFonts w:ascii="Book Antiqua" w:eastAsia="Book Antiqua" w:hAnsi="Book Antiqua" w:cs="Book Antiqua"/>
          <w:color w:val="000000"/>
        </w:rPr>
        <w:t>;</w:t>
      </w:r>
      <w:r w:rsidRPr="00A01B3C">
        <w:rPr>
          <w:rFonts w:ascii="Book Antiqua" w:eastAsia="Book Antiqua" w:hAnsi="Book Antiqua" w:cs="Book Antiqua"/>
          <w:color w:val="000000"/>
        </w:rPr>
        <w:t xml:space="preserve"> Wang </w:t>
      </w:r>
      <w:r w:rsidR="006F337B" w:rsidRPr="00A01B3C">
        <w:rPr>
          <w:rFonts w:ascii="Book Antiqua" w:eastAsia="Book Antiqua" w:hAnsi="Book Antiqua" w:cs="Book Antiqua"/>
          <w:color w:val="000000"/>
        </w:rPr>
        <w:t xml:space="preserve">R </w:t>
      </w:r>
      <w:r w:rsidRPr="00A01B3C">
        <w:rPr>
          <w:rFonts w:ascii="Book Antiqua" w:eastAsia="Book Antiqua" w:hAnsi="Book Antiqua" w:cs="Book Antiqua"/>
          <w:color w:val="000000"/>
        </w:rPr>
        <w:t>drafted the work and revised it critically for important intellectual content</w:t>
      </w:r>
      <w:r w:rsidR="006F337B" w:rsidRPr="00A01B3C">
        <w:rPr>
          <w:rFonts w:ascii="Book Antiqua" w:eastAsia="Book Antiqua" w:hAnsi="Book Antiqua" w:cs="Book Antiqua"/>
          <w:color w:val="000000"/>
        </w:rPr>
        <w:t>;</w:t>
      </w:r>
      <w:r w:rsidRPr="00A01B3C">
        <w:rPr>
          <w:rFonts w:ascii="Book Antiqua" w:eastAsia="Book Antiqua" w:hAnsi="Book Antiqua" w:cs="Book Antiqua"/>
          <w:color w:val="000000"/>
        </w:rPr>
        <w:t xml:space="preserve"> Su </w:t>
      </w:r>
      <w:r w:rsidR="006F337B" w:rsidRPr="00A01B3C">
        <w:rPr>
          <w:rFonts w:ascii="Book Antiqua" w:eastAsia="Book Antiqua" w:hAnsi="Book Antiqua" w:cs="Book Antiqua"/>
          <w:color w:val="000000"/>
        </w:rPr>
        <w:t xml:space="preserve">Q </w:t>
      </w:r>
      <w:r w:rsidRPr="00A01B3C">
        <w:rPr>
          <w:rFonts w:ascii="Book Antiqua" w:eastAsia="Book Antiqua" w:hAnsi="Book Antiqua" w:cs="Book Antiqua"/>
          <w:color w:val="000000"/>
        </w:rPr>
        <w:t xml:space="preserve">was involved in the acquisition and analysis of the data. </w:t>
      </w:r>
    </w:p>
    <w:bookmarkEnd w:id="2"/>
    <w:p w14:paraId="6066C514" w14:textId="77777777" w:rsidR="00A77B3E" w:rsidRPr="00A01B3C" w:rsidRDefault="00A77B3E" w:rsidP="00A01B3C">
      <w:pPr>
        <w:spacing w:line="360" w:lineRule="auto"/>
        <w:jc w:val="both"/>
        <w:rPr>
          <w:rFonts w:ascii="Book Antiqua" w:hAnsi="Book Antiqua"/>
        </w:rPr>
      </w:pPr>
    </w:p>
    <w:p w14:paraId="61A38800" w14:textId="2E4B8DA2"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bCs/>
          <w:color w:val="000000"/>
        </w:rPr>
        <w:t xml:space="preserve">Supported by </w:t>
      </w:r>
      <w:bookmarkStart w:id="3" w:name="OLE_LINK71"/>
      <w:r w:rsidR="006F337B" w:rsidRPr="00A01B3C">
        <w:rPr>
          <w:rFonts w:ascii="Book Antiqua" w:eastAsia="Book Antiqua" w:hAnsi="Book Antiqua" w:cs="Book Antiqua"/>
          <w:color w:val="000000"/>
        </w:rPr>
        <w:t xml:space="preserve">the </w:t>
      </w:r>
      <w:r w:rsidRPr="00A01B3C">
        <w:rPr>
          <w:rFonts w:ascii="Book Antiqua" w:eastAsia="Book Antiqua" w:hAnsi="Book Antiqua" w:cs="Book Antiqua"/>
          <w:color w:val="000000"/>
        </w:rPr>
        <w:t>345 Talent Project of Shengjing Hospital of China Medical University</w:t>
      </w:r>
      <w:r w:rsidR="006F337B" w:rsidRPr="00A01B3C">
        <w:rPr>
          <w:rFonts w:ascii="Book Antiqua" w:eastAsia="Book Antiqua" w:hAnsi="Book Antiqua" w:cs="Book Antiqua"/>
          <w:color w:val="000000"/>
        </w:rPr>
        <w:t>.</w:t>
      </w:r>
      <w:bookmarkEnd w:id="3"/>
    </w:p>
    <w:p w14:paraId="59A54BE1" w14:textId="77777777" w:rsidR="00A77B3E" w:rsidRPr="00A01B3C" w:rsidRDefault="00A77B3E" w:rsidP="00A01B3C">
      <w:pPr>
        <w:spacing w:line="360" w:lineRule="auto"/>
        <w:jc w:val="both"/>
        <w:rPr>
          <w:rFonts w:ascii="Book Antiqua" w:hAnsi="Book Antiqua"/>
        </w:rPr>
      </w:pPr>
    </w:p>
    <w:p w14:paraId="4D5BB225" w14:textId="492E83B0" w:rsidR="006F337B" w:rsidRPr="00A01B3C" w:rsidRDefault="002E53E1" w:rsidP="00A01B3C">
      <w:pPr>
        <w:spacing w:line="360" w:lineRule="auto"/>
        <w:jc w:val="both"/>
        <w:rPr>
          <w:rFonts w:ascii="Book Antiqua" w:eastAsia="Book Antiqua" w:hAnsi="Book Antiqua" w:cs="Book Antiqua"/>
          <w:b/>
          <w:bCs/>
          <w:color w:val="000000"/>
        </w:rPr>
      </w:pPr>
      <w:r w:rsidRPr="00A01B3C">
        <w:rPr>
          <w:rFonts w:ascii="Book Antiqua" w:eastAsia="Book Antiqua" w:hAnsi="Book Antiqua" w:cs="Book Antiqua"/>
          <w:b/>
          <w:bCs/>
          <w:color w:val="000000"/>
        </w:rPr>
        <w:t xml:space="preserve">Corresponding author: Zhao-Peng Yan, MD, PhD, Associate Chief Physician, Associate Professor, Surgeon, </w:t>
      </w:r>
      <w:r w:rsidR="006F337B" w:rsidRPr="00A01B3C">
        <w:rPr>
          <w:rFonts w:ascii="Book Antiqua" w:eastAsia="Book Antiqua" w:hAnsi="Book Antiqua" w:cs="Book Antiqua"/>
          <w:color w:val="000000"/>
        </w:rPr>
        <w:t xml:space="preserve">Department of General Surgery, Shengjing Hospital of China Medical University, </w:t>
      </w:r>
      <w:bookmarkStart w:id="4" w:name="OLE_LINK67"/>
      <w:r w:rsidR="006F337B" w:rsidRPr="00A01B3C">
        <w:rPr>
          <w:rFonts w:ascii="Book Antiqua" w:eastAsia="Book Antiqua" w:hAnsi="Book Antiqua" w:cs="Book Antiqua"/>
          <w:color w:val="000000"/>
        </w:rPr>
        <w:t>No. 36 Sanhao Street, Heping District</w:t>
      </w:r>
      <w:bookmarkEnd w:id="4"/>
      <w:r w:rsidR="006F337B" w:rsidRPr="00A01B3C">
        <w:rPr>
          <w:rFonts w:ascii="Book Antiqua" w:eastAsia="Book Antiqua" w:hAnsi="Book Antiqua" w:cs="Book Antiqua"/>
          <w:color w:val="000000"/>
        </w:rPr>
        <w:t>, Shenyang 110004, Liaoning Province, China. yanzpus@outlook.com</w:t>
      </w:r>
    </w:p>
    <w:p w14:paraId="45756708" w14:textId="77777777" w:rsidR="00A77B3E" w:rsidRPr="00A01B3C" w:rsidRDefault="00A77B3E" w:rsidP="00A01B3C">
      <w:pPr>
        <w:spacing w:line="360" w:lineRule="auto"/>
        <w:jc w:val="both"/>
        <w:rPr>
          <w:rFonts w:ascii="Book Antiqua" w:hAnsi="Book Antiqua"/>
        </w:rPr>
      </w:pPr>
    </w:p>
    <w:p w14:paraId="43FE77F8"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bCs/>
          <w:color w:val="000000"/>
        </w:rPr>
        <w:t xml:space="preserve">Received: </w:t>
      </w:r>
      <w:r w:rsidRPr="00A01B3C">
        <w:rPr>
          <w:rFonts w:ascii="Book Antiqua" w:eastAsia="Book Antiqua" w:hAnsi="Book Antiqua" w:cs="Book Antiqua"/>
          <w:color w:val="000000"/>
        </w:rPr>
        <w:t>February 10, 2021</w:t>
      </w:r>
    </w:p>
    <w:p w14:paraId="144D4BAC"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bCs/>
          <w:color w:val="000000"/>
        </w:rPr>
        <w:t xml:space="preserve">Revised: </w:t>
      </w:r>
      <w:r w:rsidRPr="00A01B3C">
        <w:rPr>
          <w:rFonts w:ascii="Book Antiqua" w:eastAsia="Book Antiqua" w:hAnsi="Book Antiqua" w:cs="Book Antiqua"/>
          <w:color w:val="000000"/>
        </w:rPr>
        <w:t>March 31, 2021</w:t>
      </w:r>
    </w:p>
    <w:p w14:paraId="745CD282" w14:textId="124CDB26"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bCs/>
          <w:color w:val="000000"/>
        </w:rPr>
        <w:lastRenderedPageBreak/>
        <w:t xml:space="preserve">Accepted: </w:t>
      </w:r>
      <w:r w:rsidR="00D04CFC" w:rsidRPr="00D04CFC">
        <w:rPr>
          <w:rFonts w:ascii="Book Antiqua" w:eastAsia="Book Antiqua" w:hAnsi="Book Antiqua" w:cs="Book Antiqua"/>
          <w:bCs/>
          <w:color w:val="000000"/>
        </w:rPr>
        <w:t>July 6, 2021</w:t>
      </w:r>
    </w:p>
    <w:p w14:paraId="2804BAF1" w14:textId="53B20A40"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bCs/>
          <w:color w:val="000000"/>
        </w:rPr>
        <w:t xml:space="preserve">Published online: </w:t>
      </w:r>
      <w:r w:rsidR="00816211">
        <w:rPr>
          <w:rFonts w:ascii="Book Antiqua" w:eastAsia="Book Antiqua" w:hAnsi="Book Antiqua" w:cs="Book Antiqua"/>
          <w:color w:val="000000"/>
        </w:rPr>
        <w:t>August 26, 2021</w:t>
      </w:r>
    </w:p>
    <w:p w14:paraId="588470D0" w14:textId="77777777" w:rsidR="00A77B3E" w:rsidRPr="00A01B3C" w:rsidRDefault="00A77B3E" w:rsidP="00A01B3C">
      <w:pPr>
        <w:spacing w:line="360" w:lineRule="auto"/>
        <w:jc w:val="both"/>
        <w:rPr>
          <w:rFonts w:ascii="Book Antiqua" w:hAnsi="Book Antiqua"/>
        </w:rPr>
        <w:sectPr w:rsidR="00A77B3E" w:rsidRPr="00A01B3C">
          <w:footerReference w:type="default" r:id="rId7"/>
          <w:pgSz w:w="12240" w:h="15840"/>
          <w:pgMar w:top="1440" w:right="1440" w:bottom="1440" w:left="1440" w:header="720" w:footer="720" w:gutter="0"/>
          <w:cols w:space="720"/>
          <w:docGrid w:linePitch="360"/>
        </w:sectPr>
      </w:pPr>
    </w:p>
    <w:p w14:paraId="6BE8BD6B"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color w:val="000000"/>
        </w:rPr>
        <w:t>Abstract</w:t>
      </w:r>
    </w:p>
    <w:p w14:paraId="162D472A" w14:textId="6C498648" w:rsidR="00A77B3E" w:rsidRPr="00A01B3C" w:rsidRDefault="002E53E1" w:rsidP="00A01B3C">
      <w:pPr>
        <w:spacing w:line="360" w:lineRule="auto"/>
        <w:jc w:val="both"/>
        <w:rPr>
          <w:rFonts w:ascii="Book Antiqua" w:hAnsi="Book Antiqua"/>
        </w:rPr>
      </w:pPr>
      <w:bookmarkStart w:id="5" w:name="OLE_LINK74"/>
      <w:r w:rsidRPr="00A01B3C">
        <w:rPr>
          <w:rFonts w:ascii="Book Antiqua" w:eastAsia="Book Antiqua" w:hAnsi="Book Antiqua" w:cs="Book Antiqua"/>
          <w:color w:val="000000"/>
        </w:rPr>
        <w:t>To discuss recurrence patterns and their significance in colorectal cancer.</w:t>
      </w:r>
      <w:r w:rsidR="006F337B" w:rsidRPr="00A01B3C">
        <w:rPr>
          <w:rFonts w:ascii="Book Antiqua" w:hAnsi="Book Antiqua"/>
          <w:lang w:eastAsia="zh-CN"/>
        </w:rPr>
        <w:t xml:space="preserve"> </w:t>
      </w:r>
      <w:r w:rsidRPr="00A01B3C">
        <w:rPr>
          <w:rFonts w:ascii="Book Antiqua" w:eastAsia="Book Antiqua" w:hAnsi="Book Antiqua" w:cs="Book Antiqua"/>
          <w:color w:val="000000"/>
        </w:rPr>
        <w:t>Preexisting medical hypotheses and the clinical phenomena of recurrence in colorectal cancer were evaluated and integrated.</w:t>
      </w:r>
      <w:r w:rsidR="006F337B" w:rsidRPr="00A01B3C">
        <w:rPr>
          <w:rFonts w:ascii="Book Antiqua" w:hAnsi="Book Antiqua"/>
          <w:lang w:eastAsia="zh-CN"/>
        </w:rPr>
        <w:t xml:space="preserve"> </w:t>
      </w:r>
      <w:r w:rsidRPr="00A01B3C">
        <w:rPr>
          <w:rFonts w:ascii="Book Antiqua" w:eastAsia="Book Antiqua" w:hAnsi="Book Antiqua" w:cs="Book Antiqua"/>
          <w:color w:val="000000"/>
        </w:rPr>
        <w:t>Colorectal cancer recurrence/metastasis consists of two types: recurrence from the activation of dormant cancer cells and recurrence from postoperative residual cancer cells. These two recurrences have their own unique mechanisms, biological behaviors, responses to therapy, and prognoses. For type 1 recurrences, surgical resection should be considered. Type 2 recurrences should be managed systematically in addition to surgical resection.</w:t>
      </w:r>
      <w:r w:rsidR="006F337B" w:rsidRPr="00A01B3C">
        <w:rPr>
          <w:rFonts w:ascii="Book Antiqua" w:hAnsi="Book Antiqua"/>
          <w:lang w:eastAsia="zh-CN"/>
        </w:rPr>
        <w:t xml:space="preserve"> </w:t>
      </w:r>
      <w:r w:rsidRPr="00A01B3C">
        <w:rPr>
          <w:rFonts w:ascii="Book Antiqua" w:eastAsia="Book Antiqua" w:hAnsi="Book Antiqua" w:cs="Book Antiqua"/>
          <w:color w:val="000000"/>
        </w:rPr>
        <w:t>The two types of colorectal cancer recurrence should be evaluated and managed separately.</w:t>
      </w:r>
    </w:p>
    <w:bookmarkEnd w:id="5"/>
    <w:p w14:paraId="620FD0A0" w14:textId="77777777" w:rsidR="00A77B3E" w:rsidRPr="00A01B3C" w:rsidRDefault="00A77B3E" w:rsidP="00A01B3C">
      <w:pPr>
        <w:spacing w:line="360" w:lineRule="auto"/>
        <w:jc w:val="both"/>
        <w:rPr>
          <w:rFonts w:ascii="Book Antiqua" w:hAnsi="Book Antiqua"/>
        </w:rPr>
      </w:pPr>
    </w:p>
    <w:p w14:paraId="13C37713" w14:textId="57029EA2"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bCs/>
          <w:color w:val="000000"/>
        </w:rPr>
        <w:t xml:space="preserve">Key Words: </w:t>
      </w:r>
      <w:bookmarkStart w:id="6" w:name="OLE_LINK72"/>
      <w:r w:rsidR="006F337B" w:rsidRPr="00A01B3C">
        <w:rPr>
          <w:rFonts w:ascii="Book Antiqua" w:eastAsia="Book Antiqua" w:hAnsi="Book Antiqua" w:cs="Book Antiqua"/>
          <w:color w:val="000000"/>
        </w:rPr>
        <w:t>C</w:t>
      </w:r>
      <w:r w:rsidRPr="00A01B3C">
        <w:rPr>
          <w:rFonts w:ascii="Book Antiqua" w:eastAsia="Book Antiqua" w:hAnsi="Book Antiqua" w:cs="Book Antiqua"/>
          <w:color w:val="000000"/>
        </w:rPr>
        <w:t xml:space="preserve">olorectal cancer; </w:t>
      </w:r>
      <w:r w:rsidR="006F337B" w:rsidRPr="00A01B3C">
        <w:rPr>
          <w:rFonts w:ascii="Book Antiqua" w:eastAsia="Book Antiqua" w:hAnsi="Book Antiqua" w:cs="Book Antiqua"/>
          <w:color w:val="000000"/>
        </w:rPr>
        <w:t>C</w:t>
      </w:r>
      <w:r w:rsidRPr="00A01B3C">
        <w:rPr>
          <w:rFonts w:ascii="Book Antiqua" w:eastAsia="Book Antiqua" w:hAnsi="Book Antiqua" w:cs="Book Antiqua"/>
          <w:color w:val="000000"/>
        </w:rPr>
        <w:t xml:space="preserve">ancer recurrence; </w:t>
      </w:r>
      <w:r w:rsidR="006F337B" w:rsidRPr="00A01B3C">
        <w:rPr>
          <w:rFonts w:ascii="Book Antiqua" w:eastAsia="Book Antiqua" w:hAnsi="Book Antiqua" w:cs="Book Antiqua"/>
          <w:color w:val="000000"/>
        </w:rPr>
        <w:t>C</w:t>
      </w:r>
      <w:r w:rsidRPr="00A01B3C">
        <w:rPr>
          <w:rFonts w:ascii="Book Antiqua" w:eastAsia="Book Antiqua" w:hAnsi="Book Antiqua" w:cs="Book Antiqua"/>
          <w:color w:val="000000"/>
        </w:rPr>
        <w:t xml:space="preserve">ancer dormancy; </w:t>
      </w:r>
      <w:r w:rsidR="006F337B" w:rsidRPr="00A01B3C">
        <w:rPr>
          <w:rFonts w:ascii="Book Antiqua" w:eastAsia="Book Antiqua" w:hAnsi="Book Antiqua" w:cs="Book Antiqua"/>
          <w:color w:val="000000"/>
        </w:rPr>
        <w:t>M</w:t>
      </w:r>
      <w:r w:rsidRPr="00A01B3C">
        <w:rPr>
          <w:rFonts w:ascii="Book Antiqua" w:eastAsia="Book Antiqua" w:hAnsi="Book Antiqua" w:cs="Book Antiqua"/>
          <w:color w:val="000000"/>
        </w:rPr>
        <w:t xml:space="preserve">etastasis; </w:t>
      </w:r>
      <w:r w:rsidR="006F337B" w:rsidRPr="00A01B3C">
        <w:rPr>
          <w:rFonts w:ascii="Book Antiqua" w:eastAsia="Book Antiqua" w:hAnsi="Book Antiqua" w:cs="Book Antiqua"/>
          <w:color w:val="000000"/>
        </w:rPr>
        <w:t>C</w:t>
      </w:r>
      <w:r w:rsidRPr="00A01B3C">
        <w:rPr>
          <w:rFonts w:ascii="Book Antiqua" w:eastAsia="Book Antiqua" w:hAnsi="Book Antiqua" w:cs="Book Antiqua"/>
          <w:color w:val="000000"/>
        </w:rPr>
        <w:t>ancer relapse</w:t>
      </w:r>
    </w:p>
    <w:bookmarkEnd w:id="6"/>
    <w:p w14:paraId="6FF49321" w14:textId="77777777" w:rsidR="001E1DA4" w:rsidRDefault="001E1DA4" w:rsidP="001E1DA4">
      <w:pPr>
        <w:spacing w:line="360" w:lineRule="auto"/>
        <w:jc w:val="both"/>
        <w:rPr>
          <w:lang w:eastAsia="zh-CN"/>
        </w:rPr>
      </w:pPr>
    </w:p>
    <w:p w14:paraId="14BD3D05" w14:textId="77777777" w:rsidR="001E1DA4" w:rsidRPr="00026CB8" w:rsidRDefault="001E1DA4" w:rsidP="001E1DA4">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4CBBCB6C" w14:textId="77777777" w:rsidR="00A77B3E" w:rsidRPr="00A01B3C" w:rsidRDefault="00A77B3E" w:rsidP="00A01B3C">
      <w:pPr>
        <w:spacing w:line="360" w:lineRule="auto"/>
        <w:jc w:val="both"/>
        <w:rPr>
          <w:rFonts w:ascii="Book Antiqua" w:hAnsi="Book Antiqua"/>
        </w:rPr>
      </w:pPr>
    </w:p>
    <w:p w14:paraId="414162C1" w14:textId="5F305333" w:rsidR="009C0419" w:rsidRDefault="009C0419" w:rsidP="00EA64ED">
      <w:pPr>
        <w:adjustRightInd w:val="0"/>
        <w:snapToGrid w:val="0"/>
        <w:spacing w:line="360" w:lineRule="auto"/>
        <w:rPr>
          <w:rFonts w:ascii="Book Antiqua" w:hAnsi="Book Antiqua" w:cs="Book Antiqua" w:hint="eastAsia"/>
          <w:lang w:val="pt-BR" w:eastAsia="zh-CN"/>
        </w:rPr>
      </w:pPr>
      <w:r w:rsidRPr="009C0419">
        <w:rPr>
          <w:rFonts w:ascii="Book Antiqua" w:hAnsi="Book Antiqua" w:cs="Book Antiqua" w:hint="eastAsia"/>
          <w:b/>
          <w:color w:val="000000"/>
          <w:lang w:eastAsia="zh-CN"/>
        </w:rPr>
        <w:t xml:space="preserve">Citation: </w:t>
      </w:r>
      <w:r w:rsidR="002E53E1" w:rsidRPr="00A01B3C">
        <w:rPr>
          <w:rFonts w:ascii="Book Antiqua" w:eastAsia="Book Antiqua" w:hAnsi="Book Antiqua" w:cs="Book Antiqua"/>
          <w:color w:val="000000"/>
        </w:rPr>
        <w:t xml:space="preserve">Wang R, Su Q, Yan ZP. Reconsideration of recurrence and metastasis in colorectal cancer. </w:t>
      </w:r>
      <w:r w:rsidR="002E53E1" w:rsidRPr="00A01B3C">
        <w:rPr>
          <w:rFonts w:ascii="Book Antiqua" w:eastAsia="Book Antiqua" w:hAnsi="Book Antiqua" w:cs="Book Antiqua"/>
          <w:i/>
          <w:iCs/>
          <w:color w:val="000000"/>
        </w:rPr>
        <w:t>World J Clin Cases</w:t>
      </w:r>
      <w:r w:rsidR="002E53E1" w:rsidRPr="00A01B3C">
        <w:rPr>
          <w:rFonts w:ascii="Book Antiqua" w:eastAsia="Book Antiqua" w:hAnsi="Book Antiqua" w:cs="Book Antiqua"/>
          <w:color w:val="000000"/>
        </w:rPr>
        <w:t xml:space="preserve"> </w:t>
      </w:r>
      <w:bookmarkStart w:id="7" w:name="_Hlk56867303"/>
      <w:r w:rsidR="00EA64ED">
        <w:rPr>
          <w:rFonts w:ascii="Book Antiqua" w:eastAsia="Book Antiqua" w:hAnsi="Book Antiqua" w:cs="Book Antiqua"/>
          <w:lang w:val="pt-BR"/>
        </w:rPr>
        <w:t xml:space="preserve">2021; 9(24): </w:t>
      </w:r>
      <w:r w:rsidRPr="009C0419">
        <w:rPr>
          <w:rFonts w:ascii="Book Antiqua" w:eastAsia="Book Antiqua" w:hAnsi="Book Antiqua" w:cs="Book Antiqua"/>
          <w:lang w:val="pt-BR"/>
        </w:rPr>
        <w:t>6964-6968</w:t>
      </w:r>
      <w:r w:rsidR="00EA64ED">
        <w:rPr>
          <w:rFonts w:ascii="Book Antiqua" w:eastAsia="Book Antiqua" w:hAnsi="Book Antiqua" w:cs="Book Antiqua"/>
          <w:lang w:val="pt-BR"/>
        </w:rPr>
        <w:t xml:space="preserve"> </w:t>
      </w:r>
    </w:p>
    <w:p w14:paraId="499CE439" w14:textId="77777777" w:rsidR="009C0419" w:rsidRDefault="00EA64ED" w:rsidP="00EA64ED">
      <w:pPr>
        <w:adjustRightInd w:val="0"/>
        <w:snapToGrid w:val="0"/>
        <w:spacing w:line="360" w:lineRule="auto"/>
        <w:rPr>
          <w:rFonts w:ascii="Book Antiqua" w:hAnsi="Book Antiqua" w:cs="Book Antiqua" w:hint="eastAsia"/>
          <w:lang w:val="pt-BR" w:eastAsia="zh-CN"/>
        </w:rPr>
      </w:pPr>
      <w:r w:rsidRPr="009C0419">
        <w:rPr>
          <w:rFonts w:ascii="Book Antiqua" w:eastAsia="Book Antiqua" w:hAnsi="Book Antiqua" w:cs="Book Antiqua"/>
          <w:b/>
          <w:lang w:val="pt-BR"/>
        </w:rPr>
        <w:t xml:space="preserve">URL: </w:t>
      </w:r>
      <w:r>
        <w:rPr>
          <w:rFonts w:ascii="Book Antiqua" w:eastAsia="Book Antiqua" w:hAnsi="Book Antiqua" w:cs="Book Antiqua"/>
          <w:lang w:val="pt-BR"/>
        </w:rPr>
        <w:t>https://www.wjgnet.com/2307-8960/full/v9/i24/</w:t>
      </w:r>
      <w:r w:rsidR="009C0419" w:rsidRPr="009C0419">
        <w:rPr>
          <w:rFonts w:ascii="Book Antiqua" w:eastAsia="Book Antiqua" w:hAnsi="Book Antiqua" w:cs="Book Antiqua"/>
          <w:lang w:val="pt-BR"/>
        </w:rPr>
        <w:t>6964</w:t>
      </w:r>
      <w:r>
        <w:rPr>
          <w:rFonts w:ascii="Book Antiqua" w:eastAsia="Book Antiqua" w:hAnsi="Book Antiqua" w:cs="Book Antiqua"/>
          <w:lang w:val="pt-BR"/>
        </w:rPr>
        <w:t xml:space="preserve">.htm </w:t>
      </w:r>
    </w:p>
    <w:p w14:paraId="3A7E741E" w14:textId="22EC2B96" w:rsidR="00EA64ED" w:rsidRDefault="00EA64ED" w:rsidP="00EA64ED">
      <w:pPr>
        <w:adjustRightInd w:val="0"/>
        <w:snapToGrid w:val="0"/>
        <w:spacing w:line="360" w:lineRule="auto"/>
        <w:rPr>
          <w:rFonts w:ascii="Book Antiqua" w:hAnsi="Book Antiqua" w:cs="Book Antiqua"/>
          <w:lang w:val="pt-BR"/>
        </w:rPr>
      </w:pPr>
      <w:r w:rsidRPr="009C0419">
        <w:rPr>
          <w:rFonts w:ascii="Book Antiqua" w:eastAsia="Book Antiqua" w:hAnsi="Book Antiqua" w:cs="Book Antiqua"/>
          <w:b/>
          <w:lang w:val="pt-BR"/>
        </w:rPr>
        <w:t xml:space="preserve">DOI: </w:t>
      </w:r>
      <w:r>
        <w:rPr>
          <w:rFonts w:ascii="Book Antiqua" w:eastAsia="Book Antiqua" w:hAnsi="Book Antiqua" w:cs="Book Antiqua"/>
          <w:lang w:val="pt-BR"/>
        </w:rPr>
        <w:t>https://dx.doi.org/10.12998/wjcc.v9.i24.</w:t>
      </w:r>
      <w:bookmarkEnd w:id="7"/>
      <w:r w:rsidR="009C0419" w:rsidRPr="009C0419">
        <w:rPr>
          <w:rFonts w:ascii="Book Antiqua" w:eastAsia="Book Antiqua" w:hAnsi="Book Antiqua" w:cs="Book Antiqua"/>
          <w:lang w:val="pt-BR"/>
        </w:rPr>
        <w:t>6964</w:t>
      </w:r>
    </w:p>
    <w:p w14:paraId="20B00B22" w14:textId="20396BE2" w:rsidR="00A77B3E" w:rsidRPr="00EA64ED" w:rsidRDefault="00A77B3E" w:rsidP="00A01B3C">
      <w:pPr>
        <w:spacing w:line="360" w:lineRule="auto"/>
        <w:jc w:val="both"/>
        <w:rPr>
          <w:rFonts w:ascii="Book Antiqua" w:hAnsi="Book Antiqua"/>
          <w:lang w:val="pt-BR"/>
        </w:rPr>
      </w:pPr>
    </w:p>
    <w:p w14:paraId="1CA7D372" w14:textId="4FC02B7B"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bCs/>
          <w:color w:val="000000"/>
        </w:rPr>
        <w:t xml:space="preserve">Core Tip: </w:t>
      </w:r>
      <w:bookmarkStart w:id="8" w:name="OLE_LINK73"/>
      <w:r w:rsidRPr="00A01B3C">
        <w:rPr>
          <w:rFonts w:ascii="Book Antiqua" w:eastAsia="Book Antiqua" w:hAnsi="Book Antiqua" w:cs="Book Antiqua"/>
          <w:color w:val="000000"/>
        </w:rPr>
        <w:t xml:space="preserve">In this work, we proposed the recurrence/metastasis of colorectal cancer consists of two types: recurrence from activation of dormant cancer cells and recurrence from proliferation of post-operative residual cancer cells. These two recurrences have their own unique mechanisms, biological behaviors, response to therapy, and prognosis. For type 1 recurrences, surgical resection should be considered. Type 2 recurrences should be managed systematically, in addition to surgical resection. Our theory also suggests that the </w:t>
      </w:r>
      <w:bookmarkStart w:id="9" w:name="OLE_LINK40"/>
      <w:r w:rsidR="006F337B" w:rsidRPr="00A01B3C">
        <w:rPr>
          <w:rFonts w:ascii="Book Antiqua" w:eastAsia="Book Antiqua" w:hAnsi="Book Antiqua" w:cs="Book Antiqua"/>
          <w:color w:val="000000"/>
        </w:rPr>
        <w:t xml:space="preserve">tumor-node-metastasis </w:t>
      </w:r>
      <w:bookmarkEnd w:id="9"/>
      <w:r w:rsidRPr="00A01B3C">
        <w:rPr>
          <w:rFonts w:ascii="Book Antiqua" w:eastAsia="Book Antiqua" w:hAnsi="Book Antiqua" w:cs="Book Antiqua"/>
          <w:color w:val="000000"/>
        </w:rPr>
        <w:t>staging system should be re-evaluated.</w:t>
      </w:r>
      <w:bookmarkEnd w:id="8"/>
    </w:p>
    <w:p w14:paraId="78759477" w14:textId="77777777" w:rsidR="006F337B" w:rsidRPr="00A01B3C" w:rsidRDefault="006F337B" w:rsidP="00A01B3C">
      <w:pPr>
        <w:spacing w:line="360" w:lineRule="auto"/>
        <w:jc w:val="both"/>
        <w:rPr>
          <w:rFonts w:ascii="Book Antiqua" w:hAnsi="Book Antiqua"/>
        </w:rPr>
        <w:sectPr w:rsidR="006F337B" w:rsidRPr="00A01B3C">
          <w:pgSz w:w="12240" w:h="15840"/>
          <w:pgMar w:top="1440" w:right="1440" w:bottom="1440" w:left="1440" w:header="720" w:footer="720" w:gutter="0"/>
          <w:cols w:space="720"/>
          <w:docGrid w:linePitch="360"/>
        </w:sectPr>
      </w:pPr>
    </w:p>
    <w:p w14:paraId="381EE2C1"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caps/>
          <w:color w:val="000000"/>
          <w:u w:val="single"/>
        </w:rPr>
        <w:t>INTRODUCTION</w:t>
      </w:r>
    </w:p>
    <w:p w14:paraId="43CF60D3" w14:textId="77777777" w:rsidR="003E7DCE" w:rsidRDefault="002E53E1" w:rsidP="00A01B3C">
      <w:pPr>
        <w:spacing w:line="360" w:lineRule="auto"/>
        <w:jc w:val="both"/>
        <w:rPr>
          <w:rFonts w:ascii="Book Antiqua" w:eastAsia="Book Antiqua" w:hAnsi="Book Antiqua" w:cs="Book Antiqua"/>
          <w:color w:val="000000"/>
        </w:rPr>
      </w:pPr>
      <w:bookmarkStart w:id="10" w:name="OLE_LINK75"/>
      <w:r w:rsidRPr="00A01B3C">
        <w:rPr>
          <w:rFonts w:ascii="Book Antiqua" w:eastAsia="Book Antiqua" w:hAnsi="Book Antiqua" w:cs="Book Antiqua"/>
          <w:color w:val="000000"/>
        </w:rPr>
        <w:t>Cancer recurrence and metastasis are the major causes of death in colorectal cancer (CRC). Metastasis occurs when cancer cells migrate from the primary cancer to another site. Metastasis can exist at the time the cancer is diagnosed (synchronous) or at a later time (metachronous). Cancer recurrence is defined as a previously eliminated cancer appearing again after surgery or chemoradiotherapy; metastasis most commonly accompanies recurrence. The prognosis of patients with a recurrence of CRC is</w:t>
      </w:r>
      <w:r w:rsidRPr="00A01B3C">
        <w:rPr>
          <w:rFonts w:ascii="Book Antiqua" w:eastAsia="Book Antiqua" w:hAnsi="Book Antiqua" w:cs="Book Antiqua"/>
          <w:color w:val="000000"/>
          <w:shd w:val="clear" w:color="auto" w:fill="FFFFFF"/>
        </w:rPr>
        <w:t xml:space="preserve"> </w:t>
      </w:r>
      <w:r w:rsidRPr="00A01B3C">
        <w:rPr>
          <w:rFonts w:ascii="Book Antiqua" w:eastAsia="Book Antiqua" w:hAnsi="Book Antiqua" w:cs="Book Antiqua"/>
          <w:color w:val="000000"/>
        </w:rPr>
        <w:t xml:space="preserve">highly variable. At present, no theory can explain the variations in survival after recurrence, but there is much speculation concerning tumor biological behavior. </w:t>
      </w:r>
    </w:p>
    <w:p w14:paraId="13EDD910" w14:textId="19CF612B" w:rsidR="00A77B3E" w:rsidRPr="00A01B3C" w:rsidRDefault="002E53E1" w:rsidP="00F814A4">
      <w:pPr>
        <w:spacing w:line="360" w:lineRule="auto"/>
        <w:ind w:firstLine="270"/>
        <w:jc w:val="both"/>
        <w:rPr>
          <w:rFonts w:ascii="Book Antiqua" w:hAnsi="Book Antiqua"/>
        </w:rPr>
      </w:pPr>
      <w:r w:rsidRPr="00A01B3C">
        <w:rPr>
          <w:rFonts w:ascii="Book Antiqua" w:eastAsia="Book Antiqua" w:hAnsi="Book Antiqua" w:cs="Book Antiqua"/>
          <w:color w:val="000000"/>
        </w:rPr>
        <w:t xml:space="preserve">Here, we propose that there are two types of recurrence in CRC. The first type is recurrence from reactivation of dormant cancer cells, whereas the second type is recurrence from the proliferation of postoperative residual cancer cells or undetectable microcancer lesions present at the time that the </w:t>
      </w:r>
      <w:r w:rsidR="006F337B" w:rsidRPr="00A01B3C">
        <w:rPr>
          <w:rFonts w:ascii="Book Antiqua" w:eastAsia="Book Antiqua" w:hAnsi="Book Antiqua" w:cs="Book Antiqua"/>
          <w:color w:val="000000"/>
        </w:rPr>
        <w:t>CRC</w:t>
      </w:r>
      <w:r w:rsidRPr="00A01B3C">
        <w:rPr>
          <w:rFonts w:ascii="Book Antiqua" w:eastAsia="Book Antiqua" w:hAnsi="Book Antiqua" w:cs="Book Antiqua"/>
          <w:color w:val="000000"/>
        </w:rPr>
        <w:t xml:space="preserve"> is diagnosed. The characteristics of these two types of recurrence are different and they should therefore be evaluated and managed differently.</w:t>
      </w:r>
    </w:p>
    <w:bookmarkEnd w:id="10"/>
    <w:p w14:paraId="26ACF136" w14:textId="77777777" w:rsidR="00A77B3E" w:rsidRPr="00A01B3C" w:rsidRDefault="00A77B3E" w:rsidP="00A01B3C">
      <w:pPr>
        <w:spacing w:line="360" w:lineRule="auto"/>
        <w:jc w:val="both"/>
        <w:rPr>
          <w:rFonts w:ascii="Book Antiqua" w:hAnsi="Book Antiqua"/>
        </w:rPr>
      </w:pPr>
    </w:p>
    <w:p w14:paraId="53AE7983"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bCs/>
          <w:caps/>
          <w:color w:val="000000"/>
          <w:u w:val="single"/>
        </w:rPr>
        <w:t>Type 1 recurrence</w:t>
      </w:r>
    </w:p>
    <w:p w14:paraId="677868B6"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color w:val="000000"/>
        </w:rPr>
        <w:t>At present, there are many theories to explain the mechanism of cancer recurrence. The tumor dormancy theory holds that at the time the primary cancer is diagnosed, micrometastatic lesions already exist, and these dormant cancer cells can maintain a relatively stable status for months or years. During dormancy, the cancer cells either remain in the G0 stage or their proliferation and apoptosis maintain a balance, so the micrometastatic foci are stable and not large enough to be detected by imaging examinations, so the patient appears to be disease-free. When unknown factors alter the microenvironment or immune surveillance fails to inhibit the dormant cancer cells, the tumors grow. When dormant cancer foci grow large enough to be detected or cause symptoms, cancer recurrence can be confirmed.</w:t>
      </w:r>
    </w:p>
    <w:p w14:paraId="1155EAF5" w14:textId="77777777" w:rsidR="00A77B3E" w:rsidRPr="00A01B3C" w:rsidRDefault="00A77B3E" w:rsidP="00A01B3C">
      <w:pPr>
        <w:spacing w:line="360" w:lineRule="auto"/>
        <w:jc w:val="both"/>
        <w:rPr>
          <w:rFonts w:ascii="Book Antiqua" w:hAnsi="Book Antiqua"/>
        </w:rPr>
      </w:pPr>
    </w:p>
    <w:p w14:paraId="28236E81"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bCs/>
          <w:caps/>
          <w:color w:val="000000"/>
          <w:u w:val="single"/>
        </w:rPr>
        <w:t>Type 2 recurrence</w:t>
      </w:r>
    </w:p>
    <w:p w14:paraId="725318DC" w14:textId="3161AB10"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color w:val="000000"/>
        </w:rPr>
        <w:t xml:space="preserve">In clinical practice, there should be another type of recurrence in CRC, which we named type 2 recurrence. Type 2 recurrence includes two scenarios. Scenario 1: The primary surgery does not achieve complete radical resection; there are residual cancer cells in the surgical bed or adjacent to it. Just after the surgery, there were too few residual cancer cells to be detected. As the residual cancer cells continuously proliferate, they eventually form a recurrent/metastatic lesion that can be detected by imaging or that causes clinical symptoms. Scenario 2: </w:t>
      </w:r>
      <w:r w:rsidR="00A01B3C" w:rsidRPr="00A01B3C">
        <w:rPr>
          <w:rFonts w:ascii="Book Antiqua" w:eastAsia="Book Antiqua" w:hAnsi="Book Antiqua" w:cs="Book Antiqua"/>
          <w:color w:val="000000"/>
        </w:rPr>
        <w:t>W</w:t>
      </w:r>
      <w:r w:rsidRPr="00A01B3C">
        <w:rPr>
          <w:rFonts w:ascii="Book Antiqua" w:eastAsia="Book Antiqua" w:hAnsi="Book Antiqua" w:cs="Book Antiqua"/>
          <w:color w:val="000000"/>
        </w:rPr>
        <w:t>hen CRC is diagnosed, micrometastatic lesions already exist but are too tiny to be detected and are considered “no metastasis” when evaluated by imaging. Therefore, the surgery may miss these undetectable micrometastatic lesions. As these pre-existing undetectable micrometastatic lesions grow, they eventually form a recurrent/metastatic lesion that can be detected by imaging or cause clinical symptoms.</w:t>
      </w:r>
    </w:p>
    <w:p w14:paraId="78EDB37E" w14:textId="29C0859D" w:rsidR="00A77B3E" w:rsidRPr="00A01B3C" w:rsidRDefault="002E53E1" w:rsidP="00A01B3C">
      <w:pPr>
        <w:spacing w:line="360" w:lineRule="auto"/>
        <w:ind w:firstLineChars="100" w:firstLine="240"/>
        <w:jc w:val="both"/>
        <w:rPr>
          <w:rFonts w:ascii="Book Antiqua" w:hAnsi="Book Antiqua"/>
        </w:rPr>
      </w:pPr>
      <w:r w:rsidRPr="00A01B3C">
        <w:rPr>
          <w:rFonts w:ascii="Book Antiqua" w:eastAsia="Book Antiqua" w:hAnsi="Book Antiqua" w:cs="Book Antiqua"/>
          <w:color w:val="000000"/>
        </w:rPr>
        <w:t>Scenario 1 can happen in these conditions</w:t>
      </w:r>
      <w:r w:rsidR="003E7DCE">
        <w:rPr>
          <w:rFonts w:ascii="Book Antiqua" w:eastAsia="Book Antiqua" w:hAnsi="Book Antiqua" w:cs="Book Antiqua"/>
          <w:color w:val="000000"/>
        </w:rPr>
        <w:t>.</w:t>
      </w:r>
      <w:r w:rsidRPr="00A01B3C">
        <w:rPr>
          <w:rFonts w:ascii="Book Antiqua" w:eastAsia="Book Antiqua" w:hAnsi="Book Antiqua" w:cs="Book Antiqua"/>
          <w:color w:val="000000"/>
        </w:rPr>
        <w:t xml:space="preserve"> Radical resections could be incomplete for several reasons. Advanced lower rectal cancers are more prone to having positive circumferential resection margins. Total mesentery excision is the standard surgical procedure for rectal cancers, but the range of routine total mesentery excision does not include the lateral lymph nodes or para-aortic lymph nodes. Therefore, cancer cells in the lateral or para-aortic lymph nodes could be left behind if the resection range does not include them.</w:t>
      </w:r>
    </w:p>
    <w:p w14:paraId="520BE77A" w14:textId="77777777" w:rsidR="00A77B3E" w:rsidRPr="00A01B3C" w:rsidRDefault="00A77B3E" w:rsidP="00A01B3C">
      <w:pPr>
        <w:spacing w:line="360" w:lineRule="auto"/>
        <w:jc w:val="both"/>
        <w:rPr>
          <w:rFonts w:ascii="Book Antiqua" w:hAnsi="Book Antiqua"/>
        </w:rPr>
      </w:pPr>
    </w:p>
    <w:p w14:paraId="2DBC1328"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bCs/>
          <w:caps/>
          <w:color w:val="000000"/>
          <w:u w:val="single"/>
        </w:rPr>
        <w:t>The differences and significance between the two types of recurrences</w:t>
      </w:r>
    </w:p>
    <w:p w14:paraId="2337A539"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color w:val="000000"/>
        </w:rPr>
        <w:t>The key difference between the two types of recurrence is whether recurrent cancer cells experience a dormant stage. In type 1, the cancer cells experience a dormant stage, and the reactivation of the dormant cancer cells is an accidental or random event. This “accident” makes recurrence more likely to be an isolated disorder, so resection of the recurrent lesions is more likely to be curative. In type 2, as nonradical resection of a tumor is more akin to shrinking the tumor, the residual cancer cells in the surgical bed or adjacent tissues continue to proliferate and disseminate, and by the time a recurrent lesion can be detected, it has already become a comprehensive disease. Resection of a type 2 recurrence is not adequate to cure this disorder.</w:t>
      </w:r>
    </w:p>
    <w:p w14:paraId="28CA3E52" w14:textId="77777777" w:rsidR="00A77B3E" w:rsidRPr="00A01B3C" w:rsidRDefault="002E53E1" w:rsidP="00A01B3C">
      <w:pPr>
        <w:spacing w:line="360" w:lineRule="auto"/>
        <w:ind w:firstLineChars="100" w:firstLine="240"/>
        <w:jc w:val="both"/>
        <w:rPr>
          <w:rFonts w:ascii="Book Antiqua" w:hAnsi="Book Antiqua"/>
        </w:rPr>
      </w:pPr>
      <w:r w:rsidRPr="00A01B3C">
        <w:rPr>
          <w:rFonts w:ascii="Book Antiqua" w:eastAsia="Book Antiqua" w:hAnsi="Book Antiqua" w:cs="Book Antiqua"/>
          <w:color w:val="000000"/>
        </w:rPr>
        <w:t>It should be noted that for type 1, cancer recurrence means an altered microenvironment or failure of immune surveillance. In this case, it is possible that sequential recurrent lesions may appear.</w:t>
      </w:r>
    </w:p>
    <w:p w14:paraId="71C5959F" w14:textId="77777777" w:rsidR="00A77B3E" w:rsidRPr="00A01B3C" w:rsidRDefault="00A77B3E" w:rsidP="00A01B3C">
      <w:pPr>
        <w:spacing w:line="360" w:lineRule="auto"/>
        <w:ind w:firstLine="420"/>
        <w:jc w:val="both"/>
        <w:rPr>
          <w:rFonts w:ascii="Book Antiqua" w:hAnsi="Book Antiqua"/>
        </w:rPr>
      </w:pPr>
    </w:p>
    <w:p w14:paraId="4409D9B1"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bCs/>
          <w:caps/>
          <w:color w:val="000000"/>
          <w:u w:val="single"/>
        </w:rPr>
        <w:t>Discussion</w:t>
      </w:r>
    </w:p>
    <w:p w14:paraId="48F1288D" w14:textId="59D29540"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color w:val="000000"/>
        </w:rPr>
        <w:t>Typically, new metastatic lesions 3, 6, or 12 mo after primary surgery are defined as metachronous metastases. We propose that type 1 and type 2 recurrences have a crisscrossing relationship. Here, we evaluated liver metastasis of CRC as an example, as shown in Figure 1. For liver synchronous metastases, hematogenous disseminated cancer cells in liver lesions either experience a dormant stage or not, although they all manifest as intrahepatic lesions. For liver metachronous metastases, it may be that the cancer cells have already migrated to the liver and continuously proliferate, but at the time of imaging examination, the micrometastatic foci are not large enough to be detected; thus, it is considered as no metastasis (a false-negative). As proliferation continues, metastatic lesions appear. Alternatively, cancer cells maintain a dormant stage first, and after months or years, the dormant cancer cells reactivate to form detectable metastatic lesions.</w:t>
      </w:r>
    </w:p>
    <w:p w14:paraId="66AD8D7A" w14:textId="4A06ED66" w:rsidR="00A77B3E" w:rsidRPr="00A01B3C" w:rsidRDefault="002E53E1" w:rsidP="00A01B3C">
      <w:pPr>
        <w:spacing w:line="360" w:lineRule="auto"/>
        <w:ind w:firstLineChars="100" w:firstLine="240"/>
        <w:jc w:val="both"/>
        <w:rPr>
          <w:rFonts w:ascii="Book Antiqua" w:hAnsi="Book Antiqua"/>
        </w:rPr>
      </w:pPr>
      <w:r w:rsidRPr="00A01B3C">
        <w:rPr>
          <w:rFonts w:ascii="Book Antiqua" w:eastAsia="Book Antiqua" w:hAnsi="Book Antiqua" w:cs="Book Antiqua"/>
          <w:color w:val="000000"/>
        </w:rPr>
        <w:t>The longer the time interval from no recurrence/metastasis to recurrence/metastasis, the greater the possibility of a type 1 recurrence. We proposed that type 1 recurrence should have a relatively better prognosis than type 2 recurrence. We conclude that the prognosis of metachronous metastasis should be better than that of synchronous metastasis. It has been reported that the synchronous presence of primary colon cancer and liver metastasis may indicate a more disseminated disease status and is associated with a shorter disease-free survival than metachronous metastasis</w:t>
      </w:r>
      <w:r w:rsidRPr="00A01B3C">
        <w:rPr>
          <w:rFonts w:ascii="Book Antiqua" w:eastAsia="Book Antiqua" w:hAnsi="Book Antiqua" w:cs="Book Antiqua"/>
          <w:color w:val="000000"/>
          <w:vertAlign w:val="superscript"/>
        </w:rPr>
        <w:t>[1]</w:t>
      </w:r>
      <w:r w:rsidRPr="00A01B3C">
        <w:rPr>
          <w:rFonts w:ascii="Book Antiqua" w:eastAsia="Book Antiqua" w:hAnsi="Book Antiqua" w:cs="Book Antiqua"/>
          <w:color w:val="000000"/>
        </w:rPr>
        <w:t>, which is consistent with our theory.</w:t>
      </w:r>
    </w:p>
    <w:p w14:paraId="2B195C82" w14:textId="77777777" w:rsidR="00A77B3E" w:rsidRPr="00A01B3C" w:rsidRDefault="002E53E1" w:rsidP="00A01B3C">
      <w:pPr>
        <w:spacing w:line="360" w:lineRule="auto"/>
        <w:ind w:firstLineChars="100" w:firstLine="240"/>
        <w:jc w:val="both"/>
        <w:rPr>
          <w:rFonts w:ascii="Book Antiqua" w:hAnsi="Book Antiqua"/>
        </w:rPr>
      </w:pPr>
      <w:r w:rsidRPr="00A01B3C">
        <w:rPr>
          <w:rFonts w:ascii="Book Antiqua" w:eastAsia="Book Antiqua" w:hAnsi="Book Antiqua" w:cs="Book Antiqua"/>
          <w:color w:val="000000"/>
        </w:rPr>
        <w:t>According to the definitions of the two types of recurrence, type 1 recurrence is more likely to be seen in distal organs or in the nonroutine surgical resection range, while type 2 recurrence is more likely to be seen in sites adjacent to the tumor bed, especially in the lymph flow drainage range. Additionally, type 1 recurrence is more likely to have a metachronous pattern, while type 2 recurrence is more likely to have a synchronous metastasis pattern.</w:t>
      </w:r>
    </w:p>
    <w:p w14:paraId="06FEC33E" w14:textId="62020797" w:rsidR="00A77B3E" w:rsidRPr="00A01B3C" w:rsidRDefault="003E7DCE" w:rsidP="00A01B3C">
      <w:pPr>
        <w:spacing w:line="360" w:lineRule="auto"/>
        <w:ind w:firstLineChars="100" w:firstLine="240"/>
        <w:jc w:val="both"/>
        <w:rPr>
          <w:rFonts w:ascii="Book Antiqua" w:hAnsi="Book Antiqua"/>
        </w:rPr>
      </w:pPr>
      <w:r>
        <w:rPr>
          <w:rFonts w:ascii="Book Antiqua" w:eastAsia="Book Antiqua" w:hAnsi="Book Antiqua" w:cs="Book Antiqua"/>
          <w:color w:val="000000"/>
        </w:rPr>
        <w:t>T</w:t>
      </w:r>
      <w:r w:rsidR="002E53E1" w:rsidRPr="00A01B3C">
        <w:rPr>
          <w:rFonts w:ascii="Book Antiqua" w:eastAsia="Book Antiqua" w:hAnsi="Book Antiqua" w:cs="Book Antiqua"/>
          <w:color w:val="000000"/>
        </w:rPr>
        <w:t>he most common metastatic lesions of CRC are in the liver, lungs, and lymph nodes</w:t>
      </w:r>
      <w:r w:rsidR="002E53E1" w:rsidRPr="00A01B3C">
        <w:rPr>
          <w:rFonts w:ascii="Book Antiqua" w:eastAsia="Book Antiqua" w:hAnsi="Book Antiqua" w:cs="Book Antiqua"/>
          <w:color w:val="000000"/>
          <w:vertAlign w:val="superscript"/>
        </w:rPr>
        <w:t>[2]</w:t>
      </w:r>
      <w:r w:rsidR="002E53E1" w:rsidRPr="00A01B3C">
        <w:rPr>
          <w:rFonts w:ascii="Book Antiqua" w:eastAsia="Book Antiqua" w:hAnsi="Book Antiqua" w:cs="Book Antiqua"/>
          <w:color w:val="000000"/>
        </w:rPr>
        <w:t xml:space="preserve">. Less frequently observed metastatic lesions are in the ovaries or retroperitoneal lymph nodes. The different metastatic sites have varying prognoses. Ovary metastasis is a predictor of a poor prognosis, while lung metastasis has a relatively good prognosis. In selected patients, the resection of isolated para-aortic lymph node </w:t>
      </w:r>
      <w:r w:rsidR="00A01B3C" w:rsidRPr="00A01B3C">
        <w:rPr>
          <w:rFonts w:ascii="Book Antiqua" w:eastAsia="Book Antiqua" w:hAnsi="Book Antiqua" w:cs="Book Antiqua"/>
          <w:color w:val="000000"/>
        </w:rPr>
        <w:t xml:space="preserve">(IPLN) </w:t>
      </w:r>
      <w:r w:rsidR="002E53E1" w:rsidRPr="00A01B3C">
        <w:rPr>
          <w:rFonts w:ascii="Book Antiqua" w:eastAsia="Book Antiqua" w:hAnsi="Book Antiqua" w:cs="Book Antiqua"/>
          <w:color w:val="000000"/>
        </w:rPr>
        <w:t>metastases can achieve a good prognosis.</w:t>
      </w:r>
    </w:p>
    <w:p w14:paraId="7694D718" w14:textId="675773DC" w:rsidR="00A77B3E" w:rsidRPr="00A01B3C" w:rsidRDefault="002E53E1" w:rsidP="00A01B3C">
      <w:pPr>
        <w:spacing w:line="360" w:lineRule="auto"/>
        <w:ind w:firstLineChars="100" w:firstLine="240"/>
        <w:jc w:val="both"/>
        <w:rPr>
          <w:rFonts w:ascii="Book Antiqua" w:hAnsi="Book Antiqua"/>
        </w:rPr>
      </w:pPr>
      <w:r w:rsidRPr="00A01B3C">
        <w:rPr>
          <w:rFonts w:ascii="Book Antiqua" w:eastAsia="Book Antiqua" w:hAnsi="Book Antiqua" w:cs="Book Antiqua"/>
          <w:color w:val="000000"/>
        </w:rPr>
        <w:t xml:space="preserve">IPLN metastasis is relatively rare compared with other metastases in CRC. According to our theory, </w:t>
      </w:r>
      <w:hyperlink r:id="rId8" w:anchor="synchronous" w:tgtFrame="_blank" w:history="1">
        <w:r w:rsidRPr="00A01B3C">
          <w:rPr>
            <w:rFonts w:ascii="Book Antiqua" w:eastAsia="Book Antiqua" w:hAnsi="Book Antiqua" w:cs="Book Antiqua"/>
            <w:color w:val="000000"/>
          </w:rPr>
          <w:t>synchronous</w:t>
        </w:r>
      </w:hyperlink>
      <w:r w:rsidRPr="00A01B3C">
        <w:rPr>
          <w:rFonts w:ascii="Book Antiqua" w:eastAsia="Book Antiqua" w:hAnsi="Book Antiqua" w:cs="Book Antiqua"/>
          <w:color w:val="000000"/>
        </w:rPr>
        <w:t xml:space="preserve"> IPLN metastasis more likely comes from the proliferation and progression of postoperative residual cancer cells, while metachronous IPLN may originate from the reactivation of dormant cancer cells. Hence, metachronous IPLN should have a better prognosis than </w:t>
      </w:r>
      <w:hyperlink r:id="rId9" w:anchor="synchronous" w:tgtFrame="_blank" w:history="1">
        <w:r w:rsidRPr="00A01B3C">
          <w:rPr>
            <w:rFonts w:ascii="Book Antiqua" w:eastAsia="Book Antiqua" w:hAnsi="Book Antiqua" w:cs="Book Antiqua"/>
            <w:color w:val="000000"/>
          </w:rPr>
          <w:t>synchronous</w:t>
        </w:r>
      </w:hyperlink>
      <w:r w:rsidRPr="00A01B3C">
        <w:rPr>
          <w:rFonts w:ascii="Book Antiqua" w:eastAsia="Book Antiqua" w:hAnsi="Book Antiqua" w:cs="Book Antiqua"/>
          <w:color w:val="000000"/>
        </w:rPr>
        <w:t xml:space="preserve"> IPLN metastasis. This conclusion is consistent with previous literature reports</w:t>
      </w:r>
      <w:r w:rsidRPr="00A01B3C">
        <w:rPr>
          <w:rFonts w:ascii="Book Antiqua" w:eastAsia="Book Antiqua" w:hAnsi="Book Antiqua" w:cs="Book Antiqua"/>
          <w:color w:val="000000"/>
          <w:vertAlign w:val="superscript"/>
        </w:rPr>
        <w:t>[3]</w:t>
      </w:r>
      <w:r w:rsidRPr="00A01B3C">
        <w:rPr>
          <w:rFonts w:ascii="Book Antiqua" w:eastAsia="Book Antiqua" w:hAnsi="Book Antiqua" w:cs="Book Antiqua"/>
          <w:color w:val="000000"/>
        </w:rPr>
        <w:t xml:space="preserve">. However, a systematic review reported that 5-year overall survival and disease-free survival appear to be relatively similar in </w:t>
      </w:r>
      <w:hyperlink r:id="rId10" w:anchor="synchronous" w:tgtFrame="_blank" w:history="1">
        <w:r w:rsidRPr="00A01B3C">
          <w:rPr>
            <w:rFonts w:ascii="Book Antiqua" w:eastAsia="Book Antiqua" w:hAnsi="Book Antiqua" w:cs="Book Antiqua"/>
            <w:color w:val="000000"/>
          </w:rPr>
          <w:t>synchronous</w:t>
        </w:r>
      </w:hyperlink>
      <w:r w:rsidRPr="00A01B3C">
        <w:rPr>
          <w:rFonts w:ascii="Book Antiqua" w:eastAsia="Book Antiqua" w:hAnsi="Book Antiqua" w:cs="Book Antiqua"/>
          <w:color w:val="000000"/>
        </w:rPr>
        <w:t xml:space="preserve"> IPLN and metachronous IPLN</w:t>
      </w:r>
      <w:r w:rsidRPr="00A01B3C">
        <w:rPr>
          <w:rFonts w:ascii="Book Antiqua" w:eastAsia="Book Antiqua" w:hAnsi="Book Antiqua" w:cs="Book Antiqua"/>
          <w:color w:val="000000"/>
          <w:vertAlign w:val="superscript"/>
        </w:rPr>
        <w:t>[4]</w:t>
      </w:r>
      <w:r w:rsidRPr="00A01B3C">
        <w:rPr>
          <w:rFonts w:ascii="Book Antiqua" w:eastAsia="Book Antiqua" w:hAnsi="Book Antiqua" w:cs="Book Antiqua"/>
          <w:color w:val="000000"/>
        </w:rPr>
        <w:t>. One explanation is that IPLNs are adjacent to the tumor bed; thus, IPLN metastasis and recurrence are a hybrid of type 1 and type 2.</w:t>
      </w:r>
    </w:p>
    <w:p w14:paraId="470CAF0D" w14:textId="17306EA9" w:rsidR="00A77B3E" w:rsidRPr="00A01B3C" w:rsidRDefault="002E53E1" w:rsidP="00A01B3C">
      <w:pPr>
        <w:spacing w:line="360" w:lineRule="auto"/>
        <w:ind w:firstLineChars="100" w:firstLine="240"/>
        <w:jc w:val="both"/>
        <w:rPr>
          <w:rFonts w:ascii="Book Antiqua" w:hAnsi="Book Antiqua"/>
        </w:rPr>
      </w:pPr>
      <w:r w:rsidRPr="00A01B3C">
        <w:rPr>
          <w:rFonts w:ascii="Book Antiqua" w:eastAsia="Book Antiqua" w:hAnsi="Book Antiqua" w:cs="Book Antiqua"/>
          <w:color w:val="000000"/>
        </w:rPr>
        <w:t>Ovarian metastasis in CRC is a predictor of poor prognosis. It has been reported that this metastasis might occur through retrograde lymphatic spread and that the ovaries are among the first organs involved in this metastasis</w:t>
      </w:r>
      <w:r w:rsidRPr="00A01B3C">
        <w:rPr>
          <w:rFonts w:ascii="Book Antiqua" w:eastAsia="Book Antiqua" w:hAnsi="Book Antiqua" w:cs="Book Antiqua"/>
          <w:color w:val="000000"/>
          <w:vertAlign w:val="superscript"/>
        </w:rPr>
        <w:t>[5]</w:t>
      </w:r>
      <w:r w:rsidRPr="00A01B3C">
        <w:rPr>
          <w:rFonts w:ascii="Book Antiqua" w:eastAsia="Book Antiqua" w:hAnsi="Book Antiqua" w:cs="Book Antiqua"/>
          <w:color w:val="000000"/>
        </w:rPr>
        <w:t>. It is very likely for surgery to miss the retroperitoneal reticular lymph network and leave behind residual cancer cells. We can conclude that most ovarian recurrence/metastasis is from the proliferation of postoperative residual cancer cells, which is consistent with a poor prognosis.</w:t>
      </w:r>
    </w:p>
    <w:p w14:paraId="4CA45EF6" w14:textId="5C9EF085" w:rsidR="00A77B3E" w:rsidRPr="00A01B3C" w:rsidRDefault="002E53E1" w:rsidP="00A01B3C">
      <w:pPr>
        <w:spacing w:line="360" w:lineRule="auto"/>
        <w:ind w:firstLineChars="100" w:firstLine="240"/>
        <w:jc w:val="both"/>
        <w:rPr>
          <w:rFonts w:ascii="Book Antiqua" w:hAnsi="Book Antiqua"/>
        </w:rPr>
      </w:pPr>
      <w:r w:rsidRPr="00A01B3C">
        <w:rPr>
          <w:rFonts w:ascii="Book Antiqua" w:eastAsia="Book Antiqua" w:hAnsi="Book Antiqua" w:cs="Book Antiqua"/>
          <w:color w:val="000000"/>
        </w:rPr>
        <w:t>The lung is an extra-abdominal organ in which the physiological environment is very different from that in the abdomen; therefore, metastatic cancer cells dwelling in the lungs are more likely to maintain a dormant status because of maladaptation to the microenvironment. As a result, lung recurrence/metastasis, according to our theory, is more prone to type 1 recurrence, which should have a relatively better prognosis after the resection of metastatic lesions. It has been reported that for the disease-free interval between primary colorectal surgery and lung metastasectomy, the longer the interval, the better the survival</w:t>
      </w:r>
      <w:r w:rsidRPr="00A01B3C">
        <w:rPr>
          <w:rFonts w:ascii="Book Antiqua" w:eastAsia="Book Antiqua" w:hAnsi="Book Antiqua" w:cs="Book Antiqua"/>
          <w:color w:val="000000"/>
          <w:vertAlign w:val="superscript"/>
        </w:rPr>
        <w:t>[6]</w:t>
      </w:r>
      <w:r w:rsidRPr="00A01B3C">
        <w:rPr>
          <w:rFonts w:ascii="Book Antiqua" w:eastAsia="Book Antiqua" w:hAnsi="Book Antiqua" w:cs="Book Antiqua"/>
          <w:color w:val="000000"/>
        </w:rPr>
        <w:t>. One explanation is that the longer the interval, the more likely it is to be a type 1 recurrence.</w:t>
      </w:r>
    </w:p>
    <w:p w14:paraId="58DBEA05" w14:textId="2CB0597E" w:rsidR="00A77B3E" w:rsidRPr="00A01B3C" w:rsidRDefault="002E53E1" w:rsidP="00A01B3C">
      <w:pPr>
        <w:spacing w:line="360" w:lineRule="auto"/>
        <w:ind w:firstLineChars="100" w:firstLine="240"/>
        <w:jc w:val="both"/>
        <w:rPr>
          <w:rFonts w:ascii="Book Antiqua" w:hAnsi="Book Antiqua"/>
        </w:rPr>
      </w:pPr>
      <w:r w:rsidRPr="00A01B3C">
        <w:rPr>
          <w:rFonts w:ascii="Book Antiqua" w:eastAsia="Book Antiqua" w:hAnsi="Book Antiqua" w:cs="Book Antiqua"/>
          <w:color w:val="000000"/>
        </w:rPr>
        <w:t>Oligometastasis is a concept proposed in 1995 that holds that cancer metastasis can have intermediate metastatic potential. During this stage, surgical resection of a metastatic lesion results in a relatively good prognosis</w:t>
      </w:r>
      <w:r w:rsidRPr="00A01B3C">
        <w:rPr>
          <w:rFonts w:ascii="Book Antiqua" w:eastAsia="Book Antiqua" w:hAnsi="Book Antiqua" w:cs="Book Antiqua"/>
          <w:color w:val="000000"/>
          <w:vertAlign w:val="superscript"/>
        </w:rPr>
        <w:t>[7]</w:t>
      </w:r>
      <w:r w:rsidRPr="00A01B3C">
        <w:rPr>
          <w:rFonts w:ascii="Book Antiqua" w:eastAsia="Book Antiqua" w:hAnsi="Book Antiqua" w:cs="Book Antiqua"/>
          <w:color w:val="000000"/>
        </w:rPr>
        <w:t>. According to our theory, type 1 recurrence is an accidental event in which the lesions are relatively few and manifest an oligometastatic phenotype. Type 2 recurrence is a comprehensive process in which cancer cells disseminate by implantation, lymph system spread, or direct invasion, which may result in multifocal metastatic lesions that are not consistent with an oligometastasis pattern. Hence, there is another explanation for oligometastases: the resection of oligometastases has a better prognosis because oligometastases are a form of type 1 recurrence.</w:t>
      </w:r>
    </w:p>
    <w:p w14:paraId="07AD95D1" w14:textId="77777777" w:rsidR="00A77B3E" w:rsidRPr="00A01B3C" w:rsidRDefault="00A77B3E" w:rsidP="00A01B3C">
      <w:pPr>
        <w:spacing w:line="360" w:lineRule="auto"/>
        <w:jc w:val="both"/>
        <w:rPr>
          <w:rFonts w:ascii="Book Antiqua" w:hAnsi="Book Antiqua"/>
        </w:rPr>
      </w:pPr>
    </w:p>
    <w:p w14:paraId="295917CB"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caps/>
          <w:color w:val="000000"/>
          <w:u w:val="single"/>
        </w:rPr>
        <w:t>CONCLUSION</w:t>
      </w:r>
    </w:p>
    <w:p w14:paraId="59F2884F" w14:textId="2D433658" w:rsidR="00A77B3E" w:rsidRPr="00A01B3C" w:rsidRDefault="002E53E1" w:rsidP="00A01B3C">
      <w:pPr>
        <w:spacing w:line="360" w:lineRule="auto"/>
        <w:jc w:val="both"/>
        <w:rPr>
          <w:rFonts w:ascii="Book Antiqua" w:hAnsi="Book Antiqua"/>
        </w:rPr>
      </w:pPr>
      <w:bookmarkStart w:id="11" w:name="OLE_LINK76"/>
      <w:r w:rsidRPr="00A01B3C">
        <w:rPr>
          <w:rFonts w:ascii="Book Antiqua" w:eastAsia="Book Antiqua" w:hAnsi="Book Antiqua" w:cs="Book Antiqua"/>
          <w:color w:val="000000"/>
        </w:rPr>
        <w:t xml:space="preserve">Our theory presents a challenge to the </w:t>
      </w:r>
      <w:r w:rsidR="006F337B" w:rsidRPr="00A01B3C">
        <w:rPr>
          <w:rFonts w:ascii="Book Antiqua" w:eastAsia="Book Antiqua" w:hAnsi="Book Antiqua" w:cs="Book Antiqua"/>
          <w:color w:val="000000"/>
        </w:rPr>
        <w:t>tumor-node-metastasis (</w:t>
      </w:r>
      <w:r w:rsidRPr="00A01B3C">
        <w:rPr>
          <w:rFonts w:ascii="Book Antiqua" w:eastAsia="Book Antiqua" w:hAnsi="Book Antiqua" w:cs="Book Antiqua"/>
          <w:color w:val="000000"/>
        </w:rPr>
        <w:t>TNM</w:t>
      </w:r>
      <w:r w:rsidR="006F337B" w:rsidRPr="00A01B3C">
        <w:rPr>
          <w:rFonts w:ascii="Book Antiqua" w:eastAsia="Book Antiqua" w:hAnsi="Book Antiqua" w:cs="Book Antiqua"/>
          <w:color w:val="000000"/>
        </w:rPr>
        <w:t>)</w:t>
      </w:r>
      <w:r w:rsidRPr="00A01B3C">
        <w:rPr>
          <w:rFonts w:ascii="Book Antiqua" w:eastAsia="Book Antiqua" w:hAnsi="Book Antiqua" w:cs="Book Antiqua"/>
          <w:color w:val="000000"/>
        </w:rPr>
        <w:t xml:space="preserve"> staging system. Currently, metastases are considered to be M stage, indicating a poor prognosis. However, the TNM system neither distinguishes </w:t>
      </w:r>
      <w:hyperlink r:id="rId11" w:anchor="synchronous" w:tgtFrame="_blank" w:history="1">
        <w:r w:rsidRPr="00A01B3C">
          <w:rPr>
            <w:rFonts w:ascii="Book Antiqua" w:eastAsia="Book Antiqua" w:hAnsi="Book Antiqua" w:cs="Book Antiqua"/>
            <w:color w:val="000000"/>
          </w:rPr>
          <w:t>synchronous</w:t>
        </w:r>
      </w:hyperlink>
      <w:r w:rsidRPr="00A01B3C">
        <w:rPr>
          <w:rFonts w:ascii="Book Antiqua" w:eastAsia="Book Antiqua" w:hAnsi="Book Antiqua" w:cs="Book Antiqua"/>
          <w:color w:val="000000"/>
        </w:rPr>
        <w:t xml:space="preserve"> or metachronous metastases nor distinguishes different mechanisms of recurrence. We propose that most metachronous metastases and a small portion of synchronous metastases develop from dormant cancer cells and should therefore be considered isolated disorders. In such cases, surgical resection may be the better option.</w:t>
      </w:r>
    </w:p>
    <w:bookmarkEnd w:id="11"/>
    <w:p w14:paraId="48641611" w14:textId="77777777" w:rsidR="00A77B3E" w:rsidRPr="00A01B3C" w:rsidRDefault="00A77B3E" w:rsidP="00A01B3C">
      <w:pPr>
        <w:spacing w:line="360" w:lineRule="auto"/>
        <w:jc w:val="both"/>
        <w:rPr>
          <w:rFonts w:ascii="Book Antiqua" w:hAnsi="Book Antiqua"/>
        </w:rPr>
      </w:pPr>
    </w:p>
    <w:p w14:paraId="253AFD09" w14:textId="3B287075"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color w:val="000000"/>
        </w:rPr>
        <w:t>REFERENCES</w:t>
      </w:r>
    </w:p>
    <w:p w14:paraId="3860ACE1" w14:textId="77777777" w:rsidR="00A01B3C" w:rsidRPr="00A01B3C" w:rsidRDefault="00A01B3C" w:rsidP="00A01B3C">
      <w:pPr>
        <w:spacing w:line="360" w:lineRule="auto"/>
        <w:jc w:val="both"/>
        <w:rPr>
          <w:rFonts w:ascii="Book Antiqua" w:hAnsi="Book Antiqua"/>
        </w:rPr>
      </w:pPr>
      <w:bookmarkStart w:id="12" w:name="OLE_LINK77"/>
      <w:r w:rsidRPr="00A01B3C">
        <w:rPr>
          <w:rFonts w:ascii="Book Antiqua" w:hAnsi="Book Antiqua"/>
        </w:rPr>
        <w:t xml:space="preserve">1 </w:t>
      </w:r>
      <w:r w:rsidRPr="00A01B3C">
        <w:rPr>
          <w:rFonts w:ascii="Book Antiqua" w:hAnsi="Book Antiqua"/>
          <w:b/>
          <w:bCs/>
        </w:rPr>
        <w:t>Tsai MS</w:t>
      </w:r>
      <w:r w:rsidRPr="00A01B3C">
        <w:rPr>
          <w:rFonts w:ascii="Book Antiqua" w:hAnsi="Book Antiqua"/>
        </w:rPr>
        <w:t xml:space="preserve">, Su YH, Ho MC, Liang JT, Chen TP, Lai HS, Lee PH. Clinicopathological features and prognosis in resectable synchronous and metachronous colorectal liver metastasis. </w:t>
      </w:r>
      <w:r w:rsidRPr="00A01B3C">
        <w:rPr>
          <w:rFonts w:ascii="Book Antiqua" w:hAnsi="Book Antiqua"/>
          <w:i/>
          <w:iCs/>
        </w:rPr>
        <w:t>Ann Surg Oncol</w:t>
      </w:r>
      <w:r w:rsidRPr="00A01B3C">
        <w:rPr>
          <w:rFonts w:ascii="Book Antiqua" w:hAnsi="Book Antiqua"/>
        </w:rPr>
        <w:t xml:space="preserve"> 2007; </w:t>
      </w:r>
      <w:r w:rsidRPr="00A01B3C">
        <w:rPr>
          <w:rFonts w:ascii="Book Antiqua" w:hAnsi="Book Antiqua"/>
          <w:b/>
          <w:bCs/>
        </w:rPr>
        <w:t>14</w:t>
      </w:r>
      <w:r w:rsidRPr="00A01B3C">
        <w:rPr>
          <w:rFonts w:ascii="Book Antiqua" w:hAnsi="Book Antiqua"/>
        </w:rPr>
        <w:t>: 786-794 [PMID: 17103254 DOI: 10.1245/s10434-006-9215-5]</w:t>
      </w:r>
    </w:p>
    <w:p w14:paraId="6FD4FFF0" w14:textId="77777777" w:rsidR="00A01B3C" w:rsidRPr="00A01B3C" w:rsidRDefault="00A01B3C" w:rsidP="00A01B3C">
      <w:pPr>
        <w:spacing w:line="360" w:lineRule="auto"/>
        <w:jc w:val="both"/>
        <w:rPr>
          <w:rFonts w:ascii="Book Antiqua" w:hAnsi="Book Antiqua"/>
        </w:rPr>
      </w:pPr>
      <w:r w:rsidRPr="00A01B3C">
        <w:rPr>
          <w:rFonts w:ascii="Book Antiqua" w:hAnsi="Book Antiqua"/>
        </w:rPr>
        <w:t xml:space="preserve">2 </w:t>
      </w:r>
      <w:r w:rsidRPr="00A01B3C">
        <w:rPr>
          <w:rFonts w:ascii="Book Antiqua" w:hAnsi="Book Antiqua"/>
          <w:b/>
          <w:bCs/>
        </w:rPr>
        <w:t>Arru M</w:t>
      </w:r>
      <w:r w:rsidRPr="00A01B3C">
        <w:rPr>
          <w:rFonts w:ascii="Book Antiqua" w:hAnsi="Book Antiqua"/>
        </w:rPr>
        <w:t xml:space="preserve">, Aldrighetti L, Castoldi R, Di Palo S, Orsenigo E, Stella M, Pulitanò C, Gavazzi F, Ferla G, Di Carlo V, Staudacher C. Analysis of prognostic factors influencing long-term survival after hepatic resection for metastatic colorectal cancer. </w:t>
      </w:r>
      <w:r w:rsidRPr="00A01B3C">
        <w:rPr>
          <w:rFonts w:ascii="Book Antiqua" w:hAnsi="Book Antiqua"/>
          <w:i/>
          <w:iCs/>
        </w:rPr>
        <w:t>World J Surg</w:t>
      </w:r>
      <w:r w:rsidRPr="00A01B3C">
        <w:rPr>
          <w:rFonts w:ascii="Book Antiqua" w:hAnsi="Book Antiqua"/>
        </w:rPr>
        <w:t xml:space="preserve"> 2008; </w:t>
      </w:r>
      <w:r w:rsidRPr="00A01B3C">
        <w:rPr>
          <w:rFonts w:ascii="Book Antiqua" w:hAnsi="Book Antiqua"/>
          <w:b/>
          <w:bCs/>
        </w:rPr>
        <w:t>32</w:t>
      </w:r>
      <w:r w:rsidRPr="00A01B3C">
        <w:rPr>
          <w:rFonts w:ascii="Book Antiqua" w:hAnsi="Book Antiqua"/>
        </w:rPr>
        <w:t>: 93-103 [PMID: 18027020 DOI: 10.1007/s00268-007-9285-y]</w:t>
      </w:r>
    </w:p>
    <w:p w14:paraId="596B8FF9" w14:textId="77777777" w:rsidR="00A01B3C" w:rsidRPr="00A01B3C" w:rsidRDefault="00A01B3C" w:rsidP="00A01B3C">
      <w:pPr>
        <w:spacing w:line="360" w:lineRule="auto"/>
        <w:jc w:val="both"/>
        <w:rPr>
          <w:rFonts w:ascii="Book Antiqua" w:hAnsi="Book Antiqua"/>
        </w:rPr>
      </w:pPr>
      <w:r w:rsidRPr="00A01B3C">
        <w:rPr>
          <w:rFonts w:ascii="Book Antiqua" w:hAnsi="Book Antiqua"/>
        </w:rPr>
        <w:t xml:space="preserve">3 </w:t>
      </w:r>
      <w:r w:rsidRPr="00A01B3C">
        <w:rPr>
          <w:rFonts w:ascii="Book Antiqua" w:hAnsi="Book Antiqua"/>
          <w:b/>
          <w:bCs/>
        </w:rPr>
        <w:t>Choi PW</w:t>
      </w:r>
      <w:r w:rsidRPr="00A01B3C">
        <w:rPr>
          <w:rFonts w:ascii="Book Antiqua" w:hAnsi="Book Antiqua"/>
        </w:rPr>
        <w:t xml:space="preserve">, Kim HC, Kim AY, Jung SH, Yu CS, Kim JC. Extensive lymphadenectomy in colorectal cancer with isolated para-aortic lymph node metastasis below the level of renal vessels. </w:t>
      </w:r>
      <w:r w:rsidRPr="00A01B3C">
        <w:rPr>
          <w:rFonts w:ascii="Book Antiqua" w:hAnsi="Book Antiqua"/>
          <w:i/>
          <w:iCs/>
        </w:rPr>
        <w:t>J Surg Oncol</w:t>
      </w:r>
      <w:r w:rsidRPr="00A01B3C">
        <w:rPr>
          <w:rFonts w:ascii="Book Antiqua" w:hAnsi="Book Antiqua"/>
        </w:rPr>
        <w:t xml:space="preserve"> 2010; </w:t>
      </w:r>
      <w:r w:rsidRPr="00A01B3C">
        <w:rPr>
          <w:rFonts w:ascii="Book Antiqua" w:hAnsi="Book Antiqua"/>
          <w:b/>
          <w:bCs/>
        </w:rPr>
        <w:t>101</w:t>
      </w:r>
      <w:r w:rsidRPr="00A01B3C">
        <w:rPr>
          <w:rFonts w:ascii="Book Antiqua" w:hAnsi="Book Antiqua"/>
        </w:rPr>
        <w:t>: 66-71 [PMID: 19842140 DOI: 10.1002/jso.21421]</w:t>
      </w:r>
    </w:p>
    <w:p w14:paraId="0E7F31FB" w14:textId="77777777" w:rsidR="00A01B3C" w:rsidRPr="00A01B3C" w:rsidRDefault="00A01B3C" w:rsidP="00A01B3C">
      <w:pPr>
        <w:spacing w:line="360" w:lineRule="auto"/>
        <w:jc w:val="both"/>
        <w:rPr>
          <w:rFonts w:ascii="Book Antiqua" w:hAnsi="Book Antiqua"/>
        </w:rPr>
      </w:pPr>
      <w:r w:rsidRPr="00A01B3C">
        <w:rPr>
          <w:rFonts w:ascii="Book Antiqua" w:hAnsi="Book Antiqua"/>
        </w:rPr>
        <w:t xml:space="preserve">4 </w:t>
      </w:r>
      <w:r w:rsidRPr="00A01B3C">
        <w:rPr>
          <w:rFonts w:ascii="Book Antiqua" w:hAnsi="Book Antiqua"/>
          <w:b/>
          <w:bCs/>
        </w:rPr>
        <w:t>Wong JS</w:t>
      </w:r>
      <w:r w:rsidRPr="00A01B3C">
        <w:rPr>
          <w:rFonts w:ascii="Book Antiqua" w:hAnsi="Book Antiqua"/>
        </w:rPr>
        <w:t xml:space="preserve">, Tan GH, Teo MC. Management of para-aortic lymph node metastasis in colorectal patients: A systemic review. </w:t>
      </w:r>
      <w:r w:rsidRPr="00A01B3C">
        <w:rPr>
          <w:rFonts w:ascii="Book Antiqua" w:hAnsi="Book Antiqua"/>
          <w:i/>
          <w:iCs/>
        </w:rPr>
        <w:t>Surg Oncol</w:t>
      </w:r>
      <w:r w:rsidRPr="00A01B3C">
        <w:rPr>
          <w:rFonts w:ascii="Book Antiqua" w:hAnsi="Book Antiqua"/>
        </w:rPr>
        <w:t xml:space="preserve"> 2016; </w:t>
      </w:r>
      <w:r w:rsidRPr="00A01B3C">
        <w:rPr>
          <w:rFonts w:ascii="Book Antiqua" w:hAnsi="Book Antiqua"/>
          <w:b/>
          <w:bCs/>
        </w:rPr>
        <w:t>25</w:t>
      </w:r>
      <w:r w:rsidRPr="00A01B3C">
        <w:rPr>
          <w:rFonts w:ascii="Book Antiqua" w:hAnsi="Book Antiqua"/>
        </w:rPr>
        <w:t>: 411-418 [PMID: 27916174 DOI: 10.1016/j.suronc.2016.09.008]</w:t>
      </w:r>
    </w:p>
    <w:p w14:paraId="40AD1A96" w14:textId="77777777" w:rsidR="00A01B3C" w:rsidRPr="00A01B3C" w:rsidRDefault="00A01B3C" w:rsidP="00A01B3C">
      <w:pPr>
        <w:spacing w:line="360" w:lineRule="auto"/>
        <w:jc w:val="both"/>
        <w:rPr>
          <w:rFonts w:ascii="Book Antiqua" w:hAnsi="Book Antiqua"/>
        </w:rPr>
      </w:pPr>
      <w:r w:rsidRPr="00A01B3C">
        <w:rPr>
          <w:rFonts w:ascii="Book Antiqua" w:hAnsi="Book Antiqua"/>
        </w:rPr>
        <w:t xml:space="preserve">5 </w:t>
      </w:r>
      <w:r w:rsidRPr="00A01B3C">
        <w:rPr>
          <w:rFonts w:ascii="Book Antiqua" w:hAnsi="Book Antiqua"/>
          <w:b/>
          <w:bCs/>
        </w:rPr>
        <w:t>Chang TC</w:t>
      </w:r>
      <w:r w:rsidRPr="00A01B3C">
        <w:rPr>
          <w:rFonts w:ascii="Book Antiqua" w:hAnsi="Book Antiqua"/>
        </w:rPr>
        <w:t xml:space="preserve">, Changchien CC, Tseng CW, Lai CH, Tseng CJ, Lin SE, Wang CS, Huang KJ, Chou HH, Ma YY, Hsueh S, Eng HL, Fan HA. Retrograde lymphatic spread: a likely route for metastatic ovarian cancers of gastrointestinal origin. </w:t>
      </w:r>
      <w:r w:rsidRPr="00A01B3C">
        <w:rPr>
          <w:rFonts w:ascii="Book Antiqua" w:hAnsi="Book Antiqua"/>
          <w:i/>
          <w:iCs/>
        </w:rPr>
        <w:t>Gynecol Oncol</w:t>
      </w:r>
      <w:r w:rsidRPr="00A01B3C">
        <w:rPr>
          <w:rFonts w:ascii="Book Antiqua" w:hAnsi="Book Antiqua"/>
        </w:rPr>
        <w:t xml:space="preserve"> 1997; </w:t>
      </w:r>
      <w:r w:rsidRPr="00A01B3C">
        <w:rPr>
          <w:rFonts w:ascii="Book Antiqua" w:hAnsi="Book Antiqua"/>
          <w:b/>
          <w:bCs/>
        </w:rPr>
        <w:t>66</w:t>
      </w:r>
      <w:r w:rsidRPr="00A01B3C">
        <w:rPr>
          <w:rFonts w:ascii="Book Antiqua" w:hAnsi="Book Antiqua"/>
        </w:rPr>
        <w:t>: 372-377 [PMID: 9299248 DOI: 10.1006/gyno.1997.4793]</w:t>
      </w:r>
    </w:p>
    <w:p w14:paraId="4BE1D35E" w14:textId="77777777" w:rsidR="00A01B3C" w:rsidRPr="00A01B3C" w:rsidRDefault="00A01B3C" w:rsidP="00A01B3C">
      <w:pPr>
        <w:spacing w:line="360" w:lineRule="auto"/>
        <w:jc w:val="both"/>
        <w:rPr>
          <w:rFonts w:ascii="Book Antiqua" w:hAnsi="Book Antiqua"/>
        </w:rPr>
      </w:pPr>
      <w:r w:rsidRPr="00A01B3C">
        <w:rPr>
          <w:rFonts w:ascii="Book Antiqua" w:hAnsi="Book Antiqua"/>
        </w:rPr>
        <w:t xml:space="preserve">6 </w:t>
      </w:r>
      <w:r w:rsidRPr="00A01B3C">
        <w:rPr>
          <w:rFonts w:ascii="Book Antiqua" w:hAnsi="Book Antiqua"/>
          <w:b/>
          <w:bCs/>
        </w:rPr>
        <w:t>Zabaleta J</w:t>
      </w:r>
      <w:r w:rsidRPr="00A01B3C">
        <w:rPr>
          <w:rFonts w:ascii="Book Antiqua" w:hAnsi="Book Antiqua"/>
        </w:rPr>
        <w:t xml:space="preserve">, Aguinagalde B, Fuentes MG, Bazterargui N, Izquierdo JM, Hernández CJ, Enriquez-Navascués JM, Emparanza JI. Survival after lung metastasectomy for colorectal cancer: importance of previous liver metastasis as a prognostic factor. </w:t>
      </w:r>
      <w:r w:rsidRPr="00A01B3C">
        <w:rPr>
          <w:rFonts w:ascii="Book Antiqua" w:hAnsi="Book Antiqua"/>
          <w:i/>
          <w:iCs/>
        </w:rPr>
        <w:t>Eur J Surg Oncol</w:t>
      </w:r>
      <w:r w:rsidRPr="00A01B3C">
        <w:rPr>
          <w:rFonts w:ascii="Book Antiqua" w:hAnsi="Book Antiqua"/>
        </w:rPr>
        <w:t xml:space="preserve"> 2011; </w:t>
      </w:r>
      <w:r w:rsidRPr="00A01B3C">
        <w:rPr>
          <w:rFonts w:ascii="Book Antiqua" w:hAnsi="Book Antiqua"/>
          <w:b/>
          <w:bCs/>
        </w:rPr>
        <w:t>37</w:t>
      </w:r>
      <w:r w:rsidRPr="00A01B3C">
        <w:rPr>
          <w:rFonts w:ascii="Book Antiqua" w:hAnsi="Book Antiqua"/>
        </w:rPr>
        <w:t>: 786-790 [PMID: 21723689 DOI: 10.1016/j.ejso.2011.05.014]</w:t>
      </w:r>
    </w:p>
    <w:p w14:paraId="3176A60D" w14:textId="77777777" w:rsidR="00A01B3C" w:rsidRPr="00A01B3C" w:rsidRDefault="00A01B3C" w:rsidP="00A01B3C">
      <w:pPr>
        <w:spacing w:line="360" w:lineRule="auto"/>
        <w:jc w:val="both"/>
        <w:rPr>
          <w:rFonts w:ascii="Book Antiqua" w:hAnsi="Book Antiqua"/>
        </w:rPr>
      </w:pPr>
      <w:r w:rsidRPr="00A01B3C">
        <w:rPr>
          <w:rFonts w:ascii="Book Antiqua" w:hAnsi="Book Antiqua"/>
        </w:rPr>
        <w:t xml:space="preserve">7 </w:t>
      </w:r>
      <w:r w:rsidRPr="00A01B3C">
        <w:rPr>
          <w:rFonts w:ascii="Book Antiqua" w:hAnsi="Book Antiqua"/>
          <w:b/>
          <w:bCs/>
        </w:rPr>
        <w:t>Hellman S</w:t>
      </w:r>
      <w:r w:rsidRPr="00A01B3C">
        <w:rPr>
          <w:rFonts w:ascii="Book Antiqua" w:hAnsi="Book Antiqua"/>
        </w:rPr>
        <w:t xml:space="preserve">, Weichselbaum RR. Oligometastases. </w:t>
      </w:r>
      <w:r w:rsidRPr="00A01B3C">
        <w:rPr>
          <w:rFonts w:ascii="Book Antiqua" w:hAnsi="Book Antiqua"/>
          <w:i/>
          <w:iCs/>
        </w:rPr>
        <w:t>J Clin Oncol</w:t>
      </w:r>
      <w:r w:rsidRPr="00A01B3C">
        <w:rPr>
          <w:rFonts w:ascii="Book Antiqua" w:hAnsi="Book Antiqua"/>
        </w:rPr>
        <w:t xml:space="preserve"> 1995; </w:t>
      </w:r>
      <w:r w:rsidRPr="00A01B3C">
        <w:rPr>
          <w:rFonts w:ascii="Book Antiqua" w:hAnsi="Book Antiqua"/>
          <w:b/>
          <w:bCs/>
        </w:rPr>
        <w:t>13</w:t>
      </w:r>
      <w:r w:rsidRPr="00A01B3C">
        <w:rPr>
          <w:rFonts w:ascii="Book Antiqua" w:hAnsi="Book Antiqua"/>
        </w:rPr>
        <w:t>: 8-10 [PMID: 7799047 DOI: 10.1200/JCO.1995.13.1.8]</w:t>
      </w:r>
    </w:p>
    <w:bookmarkEnd w:id="12"/>
    <w:p w14:paraId="08F53494" w14:textId="091C7ED9" w:rsidR="00A01B3C" w:rsidRPr="00A01B3C" w:rsidRDefault="00A01B3C" w:rsidP="00A01B3C">
      <w:pPr>
        <w:spacing w:line="360" w:lineRule="auto"/>
        <w:jc w:val="both"/>
        <w:rPr>
          <w:rFonts w:ascii="Book Antiqua" w:hAnsi="Book Antiqua"/>
        </w:rPr>
        <w:sectPr w:rsidR="00A01B3C" w:rsidRPr="00A01B3C">
          <w:pgSz w:w="12240" w:h="15840"/>
          <w:pgMar w:top="1440" w:right="1440" w:bottom="1440" w:left="1440" w:header="720" w:footer="720" w:gutter="0"/>
          <w:cols w:space="720"/>
          <w:docGrid w:linePitch="360"/>
        </w:sectPr>
      </w:pPr>
    </w:p>
    <w:p w14:paraId="41EEB7C1"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color w:val="000000"/>
        </w:rPr>
        <w:t>Footnotes</w:t>
      </w:r>
    </w:p>
    <w:p w14:paraId="7E0C4478" w14:textId="242722E0"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bCs/>
          <w:color w:val="000000"/>
        </w:rPr>
        <w:t xml:space="preserve">Conflict-of-interest statement: </w:t>
      </w:r>
      <w:bookmarkStart w:id="13" w:name="OLE_LINK78"/>
      <w:r w:rsidRPr="00A01B3C">
        <w:rPr>
          <w:rFonts w:ascii="Book Antiqua" w:eastAsia="Book Antiqua" w:hAnsi="Book Antiqua" w:cs="Book Antiqua"/>
          <w:color w:val="000000"/>
        </w:rPr>
        <w:t>The authors have declared that no competing interest exists.</w:t>
      </w:r>
    </w:p>
    <w:bookmarkEnd w:id="13"/>
    <w:p w14:paraId="37ABBC3C" w14:textId="77777777" w:rsidR="00A77B3E" w:rsidRPr="00A01B3C" w:rsidRDefault="00A77B3E" w:rsidP="00A01B3C">
      <w:pPr>
        <w:spacing w:line="360" w:lineRule="auto"/>
        <w:jc w:val="both"/>
        <w:rPr>
          <w:rFonts w:ascii="Book Antiqua" w:hAnsi="Book Antiqua"/>
        </w:rPr>
      </w:pPr>
    </w:p>
    <w:p w14:paraId="52612163"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bCs/>
          <w:color w:val="000000"/>
        </w:rPr>
        <w:t xml:space="preserve">Open-Access: </w:t>
      </w:r>
      <w:r w:rsidRPr="00A01B3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34AB9C3" w14:textId="77777777" w:rsidR="00A77B3E" w:rsidRPr="00A01B3C" w:rsidRDefault="00A77B3E" w:rsidP="00A01B3C">
      <w:pPr>
        <w:spacing w:line="360" w:lineRule="auto"/>
        <w:jc w:val="both"/>
        <w:rPr>
          <w:rFonts w:ascii="Book Antiqua" w:hAnsi="Book Antiqua"/>
        </w:rPr>
      </w:pPr>
    </w:p>
    <w:p w14:paraId="14C57623" w14:textId="7E3B3F1D"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color w:val="000000"/>
        </w:rPr>
        <w:t xml:space="preserve">Manuscript source: </w:t>
      </w:r>
      <w:r w:rsidRPr="00A01B3C">
        <w:rPr>
          <w:rFonts w:ascii="Book Antiqua" w:eastAsia="Book Antiqua" w:hAnsi="Book Antiqua" w:cs="Book Antiqua"/>
          <w:color w:val="000000"/>
        </w:rPr>
        <w:t xml:space="preserve">Unsolicited </w:t>
      </w:r>
      <w:r w:rsidR="00A01B3C">
        <w:rPr>
          <w:rFonts w:ascii="Book Antiqua" w:eastAsia="Book Antiqua" w:hAnsi="Book Antiqua" w:cs="Book Antiqua"/>
          <w:color w:val="000000"/>
        </w:rPr>
        <w:t>m</w:t>
      </w:r>
      <w:r w:rsidRPr="00A01B3C">
        <w:rPr>
          <w:rFonts w:ascii="Book Antiqua" w:eastAsia="Book Antiqua" w:hAnsi="Book Antiqua" w:cs="Book Antiqua"/>
          <w:color w:val="000000"/>
        </w:rPr>
        <w:t>anuscript</w:t>
      </w:r>
    </w:p>
    <w:p w14:paraId="7651DFC6" w14:textId="77777777" w:rsidR="00A77B3E" w:rsidRPr="00A01B3C" w:rsidRDefault="00A77B3E" w:rsidP="00A01B3C">
      <w:pPr>
        <w:spacing w:line="360" w:lineRule="auto"/>
        <w:jc w:val="both"/>
        <w:rPr>
          <w:rFonts w:ascii="Book Antiqua" w:hAnsi="Book Antiqua"/>
        </w:rPr>
      </w:pPr>
    </w:p>
    <w:p w14:paraId="3E029E93"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color w:val="000000"/>
        </w:rPr>
        <w:t xml:space="preserve">Peer-review started: </w:t>
      </w:r>
      <w:r w:rsidRPr="00A01B3C">
        <w:rPr>
          <w:rFonts w:ascii="Book Antiqua" w:eastAsia="Book Antiqua" w:hAnsi="Book Antiqua" w:cs="Book Antiqua"/>
          <w:color w:val="000000"/>
        </w:rPr>
        <w:t>February 10, 2021</w:t>
      </w:r>
    </w:p>
    <w:p w14:paraId="058A39C2"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color w:val="000000"/>
        </w:rPr>
        <w:t xml:space="preserve">First decision: </w:t>
      </w:r>
      <w:r w:rsidRPr="00A01B3C">
        <w:rPr>
          <w:rFonts w:ascii="Book Antiqua" w:eastAsia="Book Antiqua" w:hAnsi="Book Antiqua" w:cs="Book Antiqua"/>
          <w:color w:val="000000"/>
        </w:rPr>
        <w:t>March 15, 2021</w:t>
      </w:r>
    </w:p>
    <w:p w14:paraId="22D67E7A" w14:textId="5375A060"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color w:val="000000"/>
        </w:rPr>
        <w:t xml:space="preserve">Article in press: </w:t>
      </w:r>
      <w:r w:rsidR="009520B7" w:rsidRPr="00D04CFC">
        <w:rPr>
          <w:rFonts w:ascii="Book Antiqua" w:eastAsia="Book Antiqua" w:hAnsi="Book Antiqua" w:cs="Book Antiqua"/>
          <w:bCs/>
          <w:color w:val="000000"/>
        </w:rPr>
        <w:t>July 6, 2021</w:t>
      </w:r>
    </w:p>
    <w:p w14:paraId="19BECE3D" w14:textId="77777777" w:rsidR="00A77B3E" w:rsidRPr="00A01B3C" w:rsidRDefault="00A77B3E" w:rsidP="00A01B3C">
      <w:pPr>
        <w:spacing w:line="360" w:lineRule="auto"/>
        <w:jc w:val="both"/>
        <w:rPr>
          <w:rFonts w:ascii="Book Antiqua" w:hAnsi="Book Antiqua"/>
        </w:rPr>
      </w:pPr>
    </w:p>
    <w:p w14:paraId="47FAAB50" w14:textId="5DD2BBE3"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color w:val="000000"/>
        </w:rPr>
        <w:t xml:space="preserve">Specialty type: </w:t>
      </w:r>
      <w:r w:rsidRPr="00A01B3C">
        <w:rPr>
          <w:rFonts w:ascii="Book Antiqua" w:eastAsia="Book Antiqua" w:hAnsi="Book Antiqua" w:cs="Book Antiqua"/>
          <w:color w:val="000000"/>
        </w:rPr>
        <w:t xml:space="preserve">Gastroenterology and </w:t>
      </w:r>
      <w:r w:rsidR="00A01B3C">
        <w:rPr>
          <w:rFonts w:ascii="Book Antiqua" w:eastAsia="Book Antiqua" w:hAnsi="Book Antiqua" w:cs="Book Antiqua"/>
          <w:color w:val="000000"/>
        </w:rPr>
        <w:t>h</w:t>
      </w:r>
      <w:r w:rsidRPr="00A01B3C">
        <w:rPr>
          <w:rFonts w:ascii="Book Antiqua" w:eastAsia="Book Antiqua" w:hAnsi="Book Antiqua" w:cs="Book Antiqua"/>
          <w:color w:val="000000"/>
        </w:rPr>
        <w:t>epatology</w:t>
      </w:r>
    </w:p>
    <w:p w14:paraId="768AFBE5"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color w:val="000000"/>
        </w:rPr>
        <w:t xml:space="preserve">Country/Territory of origin: </w:t>
      </w:r>
      <w:r w:rsidRPr="00A01B3C">
        <w:rPr>
          <w:rFonts w:ascii="Book Antiqua" w:eastAsia="Book Antiqua" w:hAnsi="Book Antiqua" w:cs="Book Antiqua"/>
          <w:color w:val="000000"/>
        </w:rPr>
        <w:t>China</w:t>
      </w:r>
    </w:p>
    <w:p w14:paraId="4CEE663E"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b/>
          <w:color w:val="000000"/>
        </w:rPr>
        <w:t>Peer-review report’s scientific quality classification</w:t>
      </w:r>
    </w:p>
    <w:p w14:paraId="70D541A5"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color w:val="000000"/>
        </w:rPr>
        <w:t>Grade A (Excellent): 0</w:t>
      </w:r>
    </w:p>
    <w:p w14:paraId="40445113" w14:textId="6B31107E"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color w:val="000000"/>
        </w:rPr>
        <w:t>Grade B (Very good): B</w:t>
      </w:r>
      <w:r w:rsidR="00A01B3C">
        <w:rPr>
          <w:rFonts w:ascii="Book Antiqua" w:eastAsia="Book Antiqua" w:hAnsi="Book Antiqua" w:cs="Book Antiqua"/>
          <w:color w:val="000000"/>
        </w:rPr>
        <w:t>, B</w:t>
      </w:r>
    </w:p>
    <w:p w14:paraId="17E722BE"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color w:val="000000"/>
        </w:rPr>
        <w:t>Grade C (Good): 0</w:t>
      </w:r>
    </w:p>
    <w:p w14:paraId="192C8886"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color w:val="000000"/>
        </w:rPr>
        <w:t>Grade D (Fair): 0</w:t>
      </w:r>
    </w:p>
    <w:p w14:paraId="5C7E4AAE" w14:textId="77777777" w:rsidR="00A77B3E" w:rsidRPr="00A01B3C" w:rsidRDefault="002E53E1" w:rsidP="00A01B3C">
      <w:pPr>
        <w:spacing w:line="360" w:lineRule="auto"/>
        <w:jc w:val="both"/>
        <w:rPr>
          <w:rFonts w:ascii="Book Antiqua" w:hAnsi="Book Antiqua"/>
        </w:rPr>
      </w:pPr>
      <w:r w:rsidRPr="00A01B3C">
        <w:rPr>
          <w:rFonts w:ascii="Book Antiqua" w:eastAsia="Book Antiqua" w:hAnsi="Book Antiqua" w:cs="Book Antiqua"/>
          <w:color w:val="000000"/>
        </w:rPr>
        <w:t>Grade E (Poor): 0</w:t>
      </w:r>
    </w:p>
    <w:p w14:paraId="7403D26B" w14:textId="77777777" w:rsidR="00A77B3E" w:rsidRPr="00A01B3C" w:rsidRDefault="00A77B3E" w:rsidP="00A01B3C">
      <w:pPr>
        <w:spacing w:line="360" w:lineRule="auto"/>
        <w:jc w:val="both"/>
        <w:rPr>
          <w:rFonts w:ascii="Book Antiqua" w:hAnsi="Book Antiqua"/>
        </w:rPr>
      </w:pPr>
    </w:p>
    <w:p w14:paraId="51AC5193" w14:textId="1D68BFFA" w:rsidR="00A77B3E" w:rsidRDefault="002E53E1" w:rsidP="00A01B3C">
      <w:pPr>
        <w:spacing w:line="360" w:lineRule="auto"/>
        <w:jc w:val="both"/>
        <w:rPr>
          <w:rFonts w:ascii="Book Antiqua" w:eastAsia="Book Antiqua" w:hAnsi="Book Antiqua" w:cs="Book Antiqua"/>
          <w:b/>
          <w:color w:val="000000"/>
        </w:rPr>
      </w:pPr>
      <w:r w:rsidRPr="00A01B3C">
        <w:rPr>
          <w:rFonts w:ascii="Book Antiqua" w:eastAsia="Book Antiqua" w:hAnsi="Book Antiqua" w:cs="Book Antiqua"/>
          <w:b/>
          <w:color w:val="000000"/>
        </w:rPr>
        <w:t xml:space="preserve">P-Reviewer: </w:t>
      </w:r>
      <w:r w:rsidRPr="00A01B3C">
        <w:rPr>
          <w:rFonts w:ascii="Book Antiqua" w:eastAsia="Book Antiqua" w:hAnsi="Book Antiqua" w:cs="Book Antiqua"/>
          <w:color w:val="000000"/>
        </w:rPr>
        <w:t>Ogino S</w:t>
      </w:r>
      <w:r w:rsidRPr="00A01B3C">
        <w:rPr>
          <w:rFonts w:ascii="Book Antiqua" w:eastAsia="Book Antiqua" w:hAnsi="Book Antiqua" w:cs="Book Antiqua"/>
          <w:b/>
          <w:color w:val="000000"/>
        </w:rPr>
        <w:t xml:space="preserve"> S-Editor: </w:t>
      </w:r>
      <w:r w:rsidRPr="00A01B3C">
        <w:rPr>
          <w:rFonts w:ascii="Book Antiqua" w:eastAsia="Book Antiqua" w:hAnsi="Book Antiqua" w:cs="Book Antiqua"/>
          <w:color w:val="000000"/>
        </w:rPr>
        <w:t>Yan JP</w:t>
      </w:r>
      <w:r w:rsidRPr="00A01B3C">
        <w:rPr>
          <w:rFonts w:ascii="Book Antiqua" w:eastAsia="Book Antiqua" w:hAnsi="Book Antiqua" w:cs="Book Antiqua"/>
          <w:b/>
          <w:color w:val="000000"/>
        </w:rPr>
        <w:t xml:space="preserve"> L-Editor: </w:t>
      </w:r>
      <w:r w:rsidR="007D11F6">
        <w:rPr>
          <w:rFonts w:ascii="Book Antiqua" w:eastAsia="Book Antiqua" w:hAnsi="Book Antiqua" w:cs="Book Antiqua"/>
          <w:bCs/>
          <w:color w:val="000000"/>
        </w:rPr>
        <w:t xml:space="preserve">Filipodia </w:t>
      </w:r>
      <w:r w:rsidRPr="00A01B3C">
        <w:rPr>
          <w:rFonts w:ascii="Book Antiqua" w:eastAsia="Book Antiqua" w:hAnsi="Book Antiqua" w:cs="Book Antiqua"/>
          <w:b/>
          <w:color w:val="000000"/>
        </w:rPr>
        <w:t xml:space="preserve">P-Editor: </w:t>
      </w:r>
      <w:r w:rsidR="0063536E">
        <w:rPr>
          <w:rFonts w:ascii="Book Antiqua" w:eastAsia="Book Antiqua" w:hAnsi="Book Antiqua" w:cs="Book Antiqua"/>
          <w:bCs/>
          <w:color w:val="000000"/>
        </w:rPr>
        <w:t>Wang LYT</w:t>
      </w:r>
    </w:p>
    <w:p w14:paraId="749D17A5" w14:textId="77777777" w:rsidR="00B64889" w:rsidRPr="00A01B3C" w:rsidRDefault="00B64889" w:rsidP="00A01B3C">
      <w:pPr>
        <w:spacing w:line="360" w:lineRule="auto"/>
        <w:jc w:val="both"/>
        <w:rPr>
          <w:rFonts w:ascii="Book Antiqua" w:hAnsi="Book Antiqua"/>
        </w:rPr>
        <w:sectPr w:rsidR="00B64889" w:rsidRPr="00A01B3C">
          <w:pgSz w:w="12240" w:h="15840"/>
          <w:pgMar w:top="1440" w:right="1440" w:bottom="1440" w:left="1440" w:header="720" w:footer="720" w:gutter="0"/>
          <w:cols w:space="720"/>
          <w:docGrid w:linePitch="360"/>
        </w:sectPr>
      </w:pPr>
    </w:p>
    <w:p w14:paraId="5AC2543C" w14:textId="5452A0AB" w:rsidR="00A77B3E" w:rsidRDefault="002E53E1" w:rsidP="00A01B3C">
      <w:pPr>
        <w:spacing w:line="360" w:lineRule="auto"/>
        <w:jc w:val="both"/>
        <w:rPr>
          <w:rFonts w:ascii="Book Antiqua" w:eastAsia="Book Antiqua" w:hAnsi="Book Antiqua" w:cs="Book Antiqua"/>
          <w:b/>
          <w:color w:val="000000"/>
        </w:rPr>
      </w:pPr>
      <w:r w:rsidRPr="00A01B3C">
        <w:rPr>
          <w:rFonts w:ascii="Book Antiqua" w:eastAsia="Book Antiqua" w:hAnsi="Book Antiqua" w:cs="Book Antiqua"/>
          <w:b/>
          <w:color w:val="000000"/>
        </w:rPr>
        <w:t>Figure Legends</w:t>
      </w:r>
    </w:p>
    <w:p w14:paraId="00EA935F" w14:textId="4F18BA21" w:rsidR="00A01B3C" w:rsidRDefault="00A01B3C" w:rsidP="00A01B3C">
      <w:pPr>
        <w:spacing w:line="360" w:lineRule="auto"/>
        <w:jc w:val="both"/>
        <w:rPr>
          <w:rFonts w:ascii="Book Antiqua" w:eastAsia="Book Antiqua" w:hAnsi="Book Antiqua" w:cs="Book Antiqua"/>
          <w:b/>
          <w:color w:val="000000"/>
        </w:rPr>
      </w:pPr>
    </w:p>
    <w:p w14:paraId="02A952F7" w14:textId="1F532C4F" w:rsidR="00A01B3C" w:rsidRPr="00A01B3C" w:rsidRDefault="00A01B3C" w:rsidP="00A01B3C">
      <w:pPr>
        <w:spacing w:line="360" w:lineRule="auto"/>
        <w:jc w:val="both"/>
        <w:rPr>
          <w:rFonts w:ascii="Book Antiqua" w:hAnsi="Book Antiqua"/>
        </w:rPr>
      </w:pPr>
      <w:r>
        <w:rPr>
          <w:rFonts w:ascii="Book Antiqua" w:hAnsi="Book Antiqua"/>
          <w:noProof/>
          <w:lang w:eastAsia="zh-CN"/>
        </w:rPr>
        <w:drawing>
          <wp:inline distT="0" distB="0" distL="0" distR="0" wp14:anchorId="07AB018B" wp14:editId="498C1D77">
            <wp:extent cx="5937250" cy="5346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250" cy="5346700"/>
                    </a:xfrm>
                    <a:prstGeom prst="rect">
                      <a:avLst/>
                    </a:prstGeom>
                    <a:noFill/>
                    <a:ln>
                      <a:noFill/>
                    </a:ln>
                  </pic:spPr>
                </pic:pic>
              </a:graphicData>
            </a:graphic>
          </wp:inline>
        </w:drawing>
      </w:r>
    </w:p>
    <w:p w14:paraId="6C2667D9" w14:textId="54266EBA" w:rsidR="00D01335" w:rsidRDefault="00A01B3C" w:rsidP="00A01B3C">
      <w:pPr>
        <w:spacing w:line="360" w:lineRule="auto"/>
        <w:jc w:val="both"/>
        <w:rPr>
          <w:rFonts w:ascii="Book Antiqua" w:eastAsia="Book Antiqua" w:hAnsi="Book Antiqua" w:cs="Book Antiqua"/>
          <w:color w:val="000000"/>
        </w:rPr>
      </w:pPr>
      <w:bookmarkStart w:id="14" w:name="OLE_LINK79"/>
      <w:r w:rsidRPr="00A01B3C">
        <w:rPr>
          <w:rFonts w:ascii="Book Antiqua" w:eastAsia="Book Antiqua" w:hAnsi="Book Antiqua" w:cs="Book Antiqua"/>
          <w:b/>
          <w:bCs/>
          <w:color w:val="000000"/>
        </w:rPr>
        <w:t>Figure 1 L</w:t>
      </w:r>
      <w:r w:rsidR="002E53E1" w:rsidRPr="00A01B3C">
        <w:rPr>
          <w:rFonts w:ascii="Book Antiqua" w:eastAsia="Book Antiqua" w:hAnsi="Book Antiqua" w:cs="Book Antiqua"/>
          <w:b/>
          <w:bCs/>
          <w:color w:val="000000"/>
        </w:rPr>
        <w:t xml:space="preserve">iver metastasis of </w:t>
      </w:r>
      <w:r w:rsidRPr="00A01B3C">
        <w:rPr>
          <w:rFonts w:ascii="Book Antiqua" w:eastAsia="Book Antiqua" w:hAnsi="Book Antiqua" w:cs="Book Antiqua"/>
          <w:b/>
          <w:bCs/>
          <w:color w:val="000000"/>
        </w:rPr>
        <w:t>colorectal cancer.</w:t>
      </w:r>
      <w:r>
        <w:rPr>
          <w:rFonts w:ascii="Book Antiqua" w:eastAsia="Book Antiqua" w:hAnsi="Book Antiqua" w:cs="Book Antiqua"/>
          <w:b/>
          <w:bCs/>
          <w:color w:val="000000"/>
        </w:rPr>
        <w:t xml:space="preserve"> </w:t>
      </w:r>
      <w:r w:rsidRPr="00A01B3C">
        <w:rPr>
          <w:rFonts w:ascii="Book Antiqua" w:eastAsia="Book Antiqua" w:hAnsi="Book Antiqua" w:cs="Book Antiqua"/>
          <w:color w:val="000000"/>
        </w:rPr>
        <w:t>CRC: Colorectal cancer.</w:t>
      </w:r>
      <w:bookmarkEnd w:id="14"/>
    </w:p>
    <w:p w14:paraId="6172AFEF" w14:textId="77777777" w:rsidR="00D01335" w:rsidRDefault="00D01335">
      <w:pPr>
        <w:rPr>
          <w:rFonts w:ascii="Book Antiqua" w:eastAsia="Book Antiqua" w:hAnsi="Book Antiqua" w:cs="Book Antiqua"/>
          <w:color w:val="000000"/>
        </w:rPr>
      </w:pPr>
      <w:r>
        <w:rPr>
          <w:rFonts w:ascii="Book Antiqua" w:eastAsia="Book Antiqua" w:hAnsi="Book Antiqua" w:cs="Book Antiqua"/>
          <w:color w:val="000000"/>
        </w:rPr>
        <w:br w:type="page"/>
      </w:r>
    </w:p>
    <w:p w14:paraId="4A4E79BE" w14:textId="77777777" w:rsidR="00D01335" w:rsidRDefault="00D01335" w:rsidP="00D01335">
      <w:pPr>
        <w:jc w:val="center"/>
        <w:rPr>
          <w:rFonts w:ascii="Book Antiqua" w:hAnsi="Book Antiqua"/>
          <w:lang w:eastAsia="zh-CN"/>
        </w:rPr>
      </w:pPr>
      <w:bookmarkStart w:id="15" w:name="OLE_LINK1"/>
      <w:bookmarkStart w:id="16" w:name="OLE_LINK2"/>
    </w:p>
    <w:p w14:paraId="3FA15D98" w14:textId="77777777" w:rsidR="00D01335" w:rsidRDefault="00D01335" w:rsidP="00D01335">
      <w:pPr>
        <w:jc w:val="center"/>
        <w:rPr>
          <w:rFonts w:ascii="Book Antiqua" w:hAnsi="Book Antiqua"/>
          <w:lang w:eastAsia="zh-CN"/>
        </w:rPr>
      </w:pPr>
    </w:p>
    <w:p w14:paraId="2C905574" w14:textId="77777777" w:rsidR="00D01335" w:rsidRDefault="00D01335" w:rsidP="00D01335">
      <w:pPr>
        <w:jc w:val="center"/>
        <w:rPr>
          <w:rFonts w:ascii="Book Antiqua" w:hAnsi="Book Antiqua"/>
          <w:lang w:eastAsia="zh-CN"/>
        </w:rPr>
      </w:pPr>
    </w:p>
    <w:p w14:paraId="382B16B0" w14:textId="77777777" w:rsidR="00D01335" w:rsidRDefault="00D01335" w:rsidP="00D01335">
      <w:pPr>
        <w:jc w:val="center"/>
        <w:rPr>
          <w:rFonts w:ascii="Book Antiqua" w:hAnsi="Book Antiqua"/>
          <w:lang w:eastAsia="zh-CN"/>
        </w:rPr>
      </w:pPr>
    </w:p>
    <w:p w14:paraId="681225B7" w14:textId="77777777" w:rsidR="00D01335" w:rsidRDefault="00D01335" w:rsidP="00D01335">
      <w:pPr>
        <w:jc w:val="center"/>
        <w:rPr>
          <w:rFonts w:ascii="Book Antiqua" w:hAnsi="Book Antiqua"/>
          <w:lang w:eastAsia="zh-CN"/>
        </w:rPr>
      </w:pPr>
    </w:p>
    <w:p w14:paraId="1B3DDE23" w14:textId="77777777" w:rsidR="00D01335" w:rsidRDefault="00D01335" w:rsidP="00D01335">
      <w:pPr>
        <w:jc w:val="center"/>
        <w:rPr>
          <w:rFonts w:ascii="Book Antiqua" w:hAnsi="Book Antiqua"/>
          <w:lang w:eastAsia="zh-CN"/>
        </w:rPr>
      </w:pPr>
      <w:r>
        <w:rPr>
          <w:rFonts w:ascii="Book Antiqua" w:hAnsi="Book Antiqua"/>
          <w:noProof/>
          <w:lang w:eastAsia="zh-CN"/>
        </w:rPr>
        <w:drawing>
          <wp:inline distT="0" distB="0" distL="0" distR="0" wp14:anchorId="0E149C2F" wp14:editId="47B86D6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F7F9379" w14:textId="77777777" w:rsidR="00D01335" w:rsidRDefault="00D01335" w:rsidP="00D01335">
      <w:pPr>
        <w:jc w:val="center"/>
        <w:rPr>
          <w:rFonts w:ascii="Book Antiqua" w:hAnsi="Book Antiqua"/>
          <w:lang w:eastAsia="zh-CN"/>
        </w:rPr>
      </w:pPr>
    </w:p>
    <w:p w14:paraId="4C49499F" w14:textId="77777777" w:rsidR="00D01335" w:rsidRPr="00763D22" w:rsidRDefault="00D01335" w:rsidP="00D0133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29A293C" w14:textId="77777777" w:rsidR="00D01335" w:rsidRPr="00763D22" w:rsidRDefault="00D01335" w:rsidP="00D0133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F2CBFC8" w14:textId="77777777" w:rsidR="00D01335" w:rsidRPr="00763D22" w:rsidRDefault="00D01335" w:rsidP="00D0133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2C64574" w14:textId="77777777" w:rsidR="00D01335" w:rsidRPr="00763D22" w:rsidRDefault="00D01335" w:rsidP="00D0133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B635F44" w14:textId="77777777" w:rsidR="00D01335" w:rsidRPr="00763D22" w:rsidRDefault="00D01335" w:rsidP="00D0133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E4A6B4D" w14:textId="77777777" w:rsidR="00D01335" w:rsidRPr="00763D22" w:rsidRDefault="00D01335" w:rsidP="00D01335">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8033A46" w14:textId="77777777" w:rsidR="00D01335" w:rsidRDefault="00D01335" w:rsidP="00D01335">
      <w:pPr>
        <w:jc w:val="center"/>
        <w:rPr>
          <w:rFonts w:ascii="Book Antiqua" w:hAnsi="Book Antiqua"/>
          <w:lang w:eastAsia="zh-CN"/>
        </w:rPr>
      </w:pPr>
    </w:p>
    <w:p w14:paraId="4EDF45FA" w14:textId="77777777" w:rsidR="00D01335" w:rsidRDefault="00D01335" w:rsidP="00D01335">
      <w:pPr>
        <w:jc w:val="center"/>
        <w:rPr>
          <w:rFonts w:ascii="Book Antiqua" w:hAnsi="Book Antiqua"/>
          <w:lang w:eastAsia="zh-CN"/>
        </w:rPr>
      </w:pPr>
    </w:p>
    <w:p w14:paraId="668C6AA6" w14:textId="77777777" w:rsidR="00D01335" w:rsidRDefault="00D01335" w:rsidP="00D01335">
      <w:pPr>
        <w:jc w:val="center"/>
        <w:rPr>
          <w:rFonts w:ascii="Book Antiqua" w:hAnsi="Book Antiqua"/>
          <w:lang w:eastAsia="zh-CN"/>
        </w:rPr>
      </w:pPr>
    </w:p>
    <w:p w14:paraId="33E4528C" w14:textId="77777777" w:rsidR="00D01335" w:rsidRDefault="00D01335" w:rsidP="00D01335">
      <w:pPr>
        <w:jc w:val="center"/>
        <w:rPr>
          <w:rFonts w:ascii="Book Antiqua" w:hAnsi="Book Antiqua"/>
          <w:lang w:eastAsia="zh-CN"/>
        </w:rPr>
      </w:pPr>
      <w:r>
        <w:rPr>
          <w:rFonts w:ascii="Book Antiqua" w:hAnsi="Book Antiqua"/>
          <w:noProof/>
          <w:lang w:eastAsia="zh-CN"/>
        </w:rPr>
        <w:drawing>
          <wp:inline distT="0" distB="0" distL="0" distR="0" wp14:anchorId="0949AFFC" wp14:editId="6AF1066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93FA272" w14:textId="77777777" w:rsidR="00D01335" w:rsidRDefault="00D01335" w:rsidP="00D01335">
      <w:pPr>
        <w:jc w:val="center"/>
        <w:rPr>
          <w:rFonts w:ascii="Book Antiqua" w:hAnsi="Book Antiqua"/>
          <w:lang w:eastAsia="zh-CN"/>
        </w:rPr>
      </w:pPr>
    </w:p>
    <w:p w14:paraId="7947C43B" w14:textId="77777777" w:rsidR="00D01335" w:rsidRDefault="00D01335" w:rsidP="00D01335">
      <w:pPr>
        <w:jc w:val="center"/>
        <w:rPr>
          <w:rFonts w:ascii="Book Antiqua" w:hAnsi="Book Antiqua"/>
          <w:lang w:eastAsia="zh-CN"/>
        </w:rPr>
      </w:pPr>
    </w:p>
    <w:p w14:paraId="513FFCF3" w14:textId="77777777" w:rsidR="00D01335" w:rsidRDefault="00D01335" w:rsidP="00D01335">
      <w:pPr>
        <w:jc w:val="center"/>
        <w:rPr>
          <w:rFonts w:ascii="Book Antiqua" w:hAnsi="Book Antiqua"/>
          <w:lang w:eastAsia="zh-CN"/>
        </w:rPr>
      </w:pPr>
    </w:p>
    <w:p w14:paraId="1ED7D750" w14:textId="77777777" w:rsidR="00D01335" w:rsidRDefault="00D01335" w:rsidP="00D01335">
      <w:pPr>
        <w:jc w:val="center"/>
        <w:rPr>
          <w:rFonts w:ascii="Book Antiqua" w:hAnsi="Book Antiqua"/>
          <w:lang w:eastAsia="zh-CN"/>
        </w:rPr>
      </w:pPr>
    </w:p>
    <w:p w14:paraId="596BD427" w14:textId="77777777" w:rsidR="00D01335" w:rsidRDefault="00D01335" w:rsidP="00D01335">
      <w:pPr>
        <w:jc w:val="center"/>
        <w:rPr>
          <w:rFonts w:ascii="Book Antiqua" w:hAnsi="Book Antiqua"/>
          <w:lang w:eastAsia="zh-CN"/>
        </w:rPr>
      </w:pPr>
    </w:p>
    <w:p w14:paraId="18B6CFEF" w14:textId="77777777" w:rsidR="00D01335" w:rsidRDefault="00D01335" w:rsidP="00D01335">
      <w:pPr>
        <w:jc w:val="center"/>
        <w:rPr>
          <w:rFonts w:ascii="Book Antiqua" w:hAnsi="Book Antiqua"/>
          <w:lang w:eastAsia="zh-CN"/>
        </w:rPr>
      </w:pPr>
    </w:p>
    <w:p w14:paraId="3853CFA7" w14:textId="77777777" w:rsidR="00D01335" w:rsidRDefault="00D01335" w:rsidP="00D01335">
      <w:pPr>
        <w:jc w:val="center"/>
        <w:rPr>
          <w:rFonts w:ascii="Book Antiqua" w:hAnsi="Book Antiqua"/>
          <w:lang w:eastAsia="zh-CN"/>
        </w:rPr>
      </w:pPr>
    </w:p>
    <w:p w14:paraId="02520C9E" w14:textId="77777777" w:rsidR="00D01335" w:rsidRDefault="00D01335" w:rsidP="00D01335">
      <w:pPr>
        <w:jc w:val="center"/>
        <w:rPr>
          <w:rFonts w:ascii="Book Antiqua" w:hAnsi="Book Antiqua"/>
          <w:lang w:eastAsia="zh-CN"/>
        </w:rPr>
      </w:pPr>
    </w:p>
    <w:p w14:paraId="20BABFCC" w14:textId="77777777" w:rsidR="00D01335" w:rsidRDefault="00D01335" w:rsidP="00D01335">
      <w:pPr>
        <w:jc w:val="center"/>
        <w:rPr>
          <w:rFonts w:ascii="Book Antiqua" w:hAnsi="Book Antiqua"/>
          <w:lang w:eastAsia="zh-CN"/>
        </w:rPr>
      </w:pPr>
    </w:p>
    <w:p w14:paraId="375CCA02" w14:textId="77777777" w:rsidR="00D01335" w:rsidRPr="00763D22" w:rsidRDefault="00D01335" w:rsidP="00D01335">
      <w:pPr>
        <w:jc w:val="right"/>
        <w:rPr>
          <w:rFonts w:ascii="Book Antiqua" w:hAnsi="Book Antiqua"/>
          <w:color w:val="000000" w:themeColor="text1"/>
          <w:lang w:eastAsia="zh-CN"/>
        </w:rPr>
      </w:pPr>
    </w:p>
    <w:p w14:paraId="7DBE717C" w14:textId="77777777" w:rsidR="00D01335" w:rsidRPr="00763D22" w:rsidRDefault="00D01335" w:rsidP="00D01335">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5"/>
      <w:bookmarkEnd w:id="16"/>
    </w:p>
    <w:p w14:paraId="1E87A089" w14:textId="77777777" w:rsidR="00A77B3E" w:rsidRPr="00A01B3C" w:rsidRDefault="00A77B3E" w:rsidP="00A01B3C">
      <w:pPr>
        <w:spacing w:line="360" w:lineRule="auto"/>
        <w:jc w:val="both"/>
        <w:rPr>
          <w:rFonts w:ascii="Book Antiqua" w:hAnsi="Book Antiqua"/>
          <w:b/>
          <w:bCs/>
        </w:rPr>
      </w:pPr>
      <w:bookmarkStart w:id="17" w:name="_GoBack"/>
      <w:bookmarkEnd w:id="17"/>
    </w:p>
    <w:sectPr w:rsidR="00A77B3E" w:rsidRPr="00A01B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018FD" w14:textId="77777777" w:rsidR="00C55EBB" w:rsidRDefault="00C55EBB" w:rsidP="006F337B">
      <w:r>
        <w:separator/>
      </w:r>
    </w:p>
  </w:endnote>
  <w:endnote w:type="continuationSeparator" w:id="0">
    <w:p w14:paraId="66EFBA86" w14:textId="77777777" w:rsidR="00C55EBB" w:rsidRDefault="00C55EBB" w:rsidP="006F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406AA" w14:textId="77777777" w:rsidR="006F337B" w:rsidRPr="006F337B" w:rsidRDefault="006F337B" w:rsidP="006F337B">
    <w:pPr>
      <w:pStyle w:val="a4"/>
      <w:jc w:val="right"/>
      <w:rPr>
        <w:rFonts w:ascii="Book Antiqua" w:hAnsi="Book Antiqua"/>
        <w:sz w:val="24"/>
        <w:szCs w:val="24"/>
      </w:rPr>
    </w:pPr>
    <w:r w:rsidRPr="006F337B">
      <w:rPr>
        <w:rFonts w:ascii="Book Antiqua" w:hAnsi="Book Antiqua"/>
        <w:sz w:val="24"/>
        <w:szCs w:val="24"/>
        <w:lang w:val="zh-CN" w:eastAsia="zh-CN"/>
      </w:rPr>
      <w:t xml:space="preserve"> </w:t>
    </w:r>
    <w:r w:rsidRPr="006F337B">
      <w:rPr>
        <w:rFonts w:ascii="Book Antiqua" w:hAnsi="Book Antiqua"/>
        <w:sz w:val="24"/>
        <w:szCs w:val="24"/>
      </w:rPr>
      <w:fldChar w:fldCharType="begin"/>
    </w:r>
    <w:r w:rsidRPr="006F337B">
      <w:rPr>
        <w:rFonts w:ascii="Book Antiqua" w:hAnsi="Book Antiqua"/>
        <w:sz w:val="24"/>
        <w:szCs w:val="24"/>
      </w:rPr>
      <w:instrText>PAGE  \* Arabic  \* MERGEFORMAT</w:instrText>
    </w:r>
    <w:r w:rsidRPr="006F337B">
      <w:rPr>
        <w:rFonts w:ascii="Book Antiqua" w:hAnsi="Book Antiqua"/>
        <w:sz w:val="24"/>
        <w:szCs w:val="24"/>
      </w:rPr>
      <w:fldChar w:fldCharType="separate"/>
    </w:r>
    <w:r w:rsidR="00C55EBB" w:rsidRPr="00C55EBB">
      <w:rPr>
        <w:rFonts w:ascii="Book Antiqua" w:hAnsi="Book Antiqua"/>
        <w:noProof/>
        <w:sz w:val="24"/>
        <w:szCs w:val="24"/>
        <w:lang w:val="zh-CN" w:eastAsia="zh-CN"/>
      </w:rPr>
      <w:t>1</w:t>
    </w:r>
    <w:r w:rsidRPr="006F337B">
      <w:rPr>
        <w:rFonts w:ascii="Book Antiqua" w:hAnsi="Book Antiqua"/>
        <w:sz w:val="24"/>
        <w:szCs w:val="24"/>
      </w:rPr>
      <w:fldChar w:fldCharType="end"/>
    </w:r>
    <w:r w:rsidRPr="006F337B">
      <w:rPr>
        <w:rFonts w:ascii="Book Antiqua" w:hAnsi="Book Antiqua"/>
        <w:sz w:val="24"/>
        <w:szCs w:val="24"/>
        <w:lang w:val="zh-CN" w:eastAsia="zh-CN"/>
      </w:rPr>
      <w:t xml:space="preserve"> / </w:t>
    </w:r>
    <w:r w:rsidRPr="006F337B">
      <w:rPr>
        <w:rFonts w:ascii="Book Antiqua" w:hAnsi="Book Antiqua"/>
        <w:sz w:val="24"/>
        <w:szCs w:val="24"/>
      </w:rPr>
      <w:fldChar w:fldCharType="begin"/>
    </w:r>
    <w:r w:rsidRPr="006F337B">
      <w:rPr>
        <w:rFonts w:ascii="Book Antiqua" w:hAnsi="Book Antiqua"/>
        <w:sz w:val="24"/>
        <w:szCs w:val="24"/>
      </w:rPr>
      <w:instrText>NUMPAGES  \* Arabic  \* MERGEFORMAT</w:instrText>
    </w:r>
    <w:r w:rsidRPr="006F337B">
      <w:rPr>
        <w:rFonts w:ascii="Book Antiqua" w:hAnsi="Book Antiqua"/>
        <w:sz w:val="24"/>
        <w:szCs w:val="24"/>
      </w:rPr>
      <w:fldChar w:fldCharType="separate"/>
    </w:r>
    <w:r w:rsidR="00C55EBB" w:rsidRPr="00C55EBB">
      <w:rPr>
        <w:rFonts w:ascii="Book Antiqua" w:hAnsi="Book Antiqua"/>
        <w:noProof/>
        <w:sz w:val="24"/>
        <w:szCs w:val="24"/>
        <w:lang w:val="zh-CN" w:eastAsia="zh-CN"/>
      </w:rPr>
      <w:t>1</w:t>
    </w:r>
    <w:r w:rsidRPr="006F337B">
      <w:rPr>
        <w:rFonts w:ascii="Book Antiqua" w:hAnsi="Book Antiqua"/>
        <w:sz w:val="24"/>
        <w:szCs w:val="24"/>
      </w:rPr>
      <w:fldChar w:fldCharType="end"/>
    </w:r>
  </w:p>
  <w:p w14:paraId="45A18C10" w14:textId="77777777" w:rsidR="006F337B" w:rsidRDefault="006F337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D6D96" w14:textId="77777777" w:rsidR="00C55EBB" w:rsidRDefault="00C55EBB" w:rsidP="006F337B">
      <w:r>
        <w:separator/>
      </w:r>
    </w:p>
  </w:footnote>
  <w:footnote w:type="continuationSeparator" w:id="0">
    <w:p w14:paraId="134F72CA" w14:textId="77777777" w:rsidR="00C55EBB" w:rsidRDefault="00C55EBB" w:rsidP="006F33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E0A5C"/>
    <w:rsid w:val="00142F5C"/>
    <w:rsid w:val="0015616F"/>
    <w:rsid w:val="00192456"/>
    <w:rsid w:val="001D4115"/>
    <w:rsid w:val="001E1DA4"/>
    <w:rsid w:val="002E53E1"/>
    <w:rsid w:val="003E7DCE"/>
    <w:rsid w:val="00577355"/>
    <w:rsid w:val="005E249B"/>
    <w:rsid w:val="00617789"/>
    <w:rsid w:val="0063536E"/>
    <w:rsid w:val="006F337B"/>
    <w:rsid w:val="007D11F6"/>
    <w:rsid w:val="00816211"/>
    <w:rsid w:val="009345E3"/>
    <w:rsid w:val="009422F3"/>
    <w:rsid w:val="009520B7"/>
    <w:rsid w:val="009C0419"/>
    <w:rsid w:val="00A01B3C"/>
    <w:rsid w:val="00A765F6"/>
    <w:rsid w:val="00A77B3E"/>
    <w:rsid w:val="00AC4326"/>
    <w:rsid w:val="00B164A8"/>
    <w:rsid w:val="00B64889"/>
    <w:rsid w:val="00C55EBB"/>
    <w:rsid w:val="00CA2A55"/>
    <w:rsid w:val="00D01335"/>
    <w:rsid w:val="00D04CFC"/>
    <w:rsid w:val="00D77C48"/>
    <w:rsid w:val="00E25ACF"/>
    <w:rsid w:val="00E34ED0"/>
    <w:rsid w:val="00E77C71"/>
    <w:rsid w:val="00EA64ED"/>
    <w:rsid w:val="00EF2473"/>
    <w:rsid w:val="00F81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0C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F33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F337B"/>
    <w:rPr>
      <w:sz w:val="18"/>
      <w:szCs w:val="18"/>
    </w:rPr>
  </w:style>
  <w:style w:type="paragraph" w:styleId="a4">
    <w:name w:val="footer"/>
    <w:basedOn w:val="a"/>
    <w:link w:val="Char0"/>
    <w:uiPriority w:val="99"/>
    <w:unhideWhenUsed/>
    <w:rsid w:val="006F337B"/>
    <w:pPr>
      <w:tabs>
        <w:tab w:val="center" w:pos="4153"/>
        <w:tab w:val="right" w:pos="8306"/>
      </w:tabs>
      <w:snapToGrid w:val="0"/>
    </w:pPr>
    <w:rPr>
      <w:sz w:val="18"/>
      <w:szCs w:val="18"/>
    </w:rPr>
  </w:style>
  <w:style w:type="character" w:customStyle="1" w:styleId="Char0">
    <w:name w:val="页脚 Char"/>
    <w:basedOn w:val="a0"/>
    <w:link w:val="a4"/>
    <w:uiPriority w:val="99"/>
    <w:rsid w:val="006F337B"/>
    <w:rPr>
      <w:sz w:val="18"/>
      <w:szCs w:val="18"/>
    </w:rPr>
  </w:style>
  <w:style w:type="character" w:styleId="a5">
    <w:name w:val="Hyperlink"/>
    <w:basedOn w:val="a0"/>
    <w:unhideWhenUsed/>
    <w:rsid w:val="009C0419"/>
    <w:rPr>
      <w:color w:val="0000FF" w:themeColor="hyperlink"/>
      <w:u w:val="single"/>
    </w:rPr>
  </w:style>
  <w:style w:type="paragraph" w:styleId="a6">
    <w:name w:val="Balloon Text"/>
    <w:basedOn w:val="a"/>
    <w:link w:val="Char1"/>
    <w:semiHidden/>
    <w:unhideWhenUsed/>
    <w:rsid w:val="00D01335"/>
    <w:rPr>
      <w:sz w:val="18"/>
      <w:szCs w:val="18"/>
    </w:rPr>
  </w:style>
  <w:style w:type="character" w:customStyle="1" w:styleId="Char1">
    <w:name w:val="批注框文本 Char"/>
    <w:basedOn w:val="a0"/>
    <w:link w:val="a6"/>
    <w:semiHidden/>
    <w:rsid w:val="00D0133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F33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F337B"/>
    <w:rPr>
      <w:sz w:val="18"/>
      <w:szCs w:val="18"/>
    </w:rPr>
  </w:style>
  <w:style w:type="paragraph" w:styleId="a4">
    <w:name w:val="footer"/>
    <w:basedOn w:val="a"/>
    <w:link w:val="Char0"/>
    <w:uiPriority w:val="99"/>
    <w:unhideWhenUsed/>
    <w:rsid w:val="006F337B"/>
    <w:pPr>
      <w:tabs>
        <w:tab w:val="center" w:pos="4153"/>
        <w:tab w:val="right" w:pos="8306"/>
      </w:tabs>
      <w:snapToGrid w:val="0"/>
    </w:pPr>
    <w:rPr>
      <w:sz w:val="18"/>
      <w:szCs w:val="18"/>
    </w:rPr>
  </w:style>
  <w:style w:type="character" w:customStyle="1" w:styleId="Char0">
    <w:name w:val="页脚 Char"/>
    <w:basedOn w:val="a0"/>
    <w:link w:val="a4"/>
    <w:uiPriority w:val="99"/>
    <w:rsid w:val="006F337B"/>
    <w:rPr>
      <w:sz w:val="18"/>
      <w:szCs w:val="18"/>
    </w:rPr>
  </w:style>
  <w:style w:type="character" w:styleId="a5">
    <w:name w:val="Hyperlink"/>
    <w:basedOn w:val="a0"/>
    <w:unhideWhenUsed/>
    <w:rsid w:val="009C0419"/>
    <w:rPr>
      <w:color w:val="0000FF" w:themeColor="hyperlink"/>
      <w:u w:val="single"/>
    </w:rPr>
  </w:style>
  <w:style w:type="paragraph" w:styleId="a6">
    <w:name w:val="Balloon Text"/>
    <w:basedOn w:val="a"/>
    <w:link w:val="Char1"/>
    <w:semiHidden/>
    <w:unhideWhenUsed/>
    <w:rsid w:val="00D01335"/>
    <w:rPr>
      <w:sz w:val="18"/>
      <w:szCs w:val="18"/>
    </w:rPr>
  </w:style>
  <w:style w:type="character" w:customStyle="1" w:styleId="Char1">
    <w:name w:val="批注框文本 Char"/>
    <w:basedOn w:val="a0"/>
    <w:link w:val="a6"/>
    <w:semiHidden/>
    <w:rsid w:val="00D013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7049">
      <w:bodyDiv w:val="1"/>
      <w:marLeft w:val="0"/>
      <w:marRight w:val="0"/>
      <w:marTop w:val="0"/>
      <w:marBottom w:val="0"/>
      <w:divBdr>
        <w:top w:val="none" w:sz="0" w:space="0" w:color="auto"/>
        <w:left w:val="none" w:sz="0" w:space="0" w:color="auto"/>
        <w:bottom w:val="none" w:sz="0" w:space="0" w:color="auto"/>
        <w:right w:val="none" w:sz="0" w:space="0" w:color="auto"/>
      </w:divBdr>
    </w:div>
    <w:div w:id="711924461">
      <w:bodyDiv w:val="1"/>
      <w:marLeft w:val="0"/>
      <w:marRight w:val="0"/>
      <w:marTop w:val="0"/>
      <w:marBottom w:val="0"/>
      <w:divBdr>
        <w:top w:val="none" w:sz="0" w:space="0" w:color="auto"/>
        <w:left w:val="none" w:sz="0" w:space="0" w:color="auto"/>
        <w:bottom w:val="none" w:sz="0" w:space="0" w:color="auto"/>
        <w:right w:val="none" w:sz="0" w:space="0" w:color="auto"/>
      </w:divBdr>
    </w:div>
    <w:div w:id="1807553353">
      <w:bodyDiv w:val="1"/>
      <w:marLeft w:val="0"/>
      <w:marRight w:val="0"/>
      <w:marTop w:val="0"/>
      <w:marBottom w:val="0"/>
      <w:divBdr>
        <w:top w:val="none" w:sz="0" w:space="0" w:color="auto"/>
        <w:left w:val="none" w:sz="0" w:space="0" w:color="auto"/>
        <w:bottom w:val="none" w:sz="0" w:space="0" w:color="auto"/>
        <w:right w:val="none" w:sz="0" w:space="0" w:color="auto"/>
      </w:divBdr>
      <w:divsChild>
        <w:div w:id="16642355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anyi.so.com/"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fanyi.so.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anyi.so.com/" TargetMode="External"/><Relationship Id="rId4" Type="http://schemas.openxmlformats.org/officeDocument/2006/relationships/webSettings" Target="webSettings.xml"/><Relationship Id="rId9" Type="http://schemas.openxmlformats.org/officeDocument/2006/relationships/hyperlink" Target="https://fanyi.so.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2538</Words>
  <Characters>14468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liujihong2008@qq.con</cp:lastModifiedBy>
  <cp:revision>13</cp:revision>
  <dcterms:created xsi:type="dcterms:W3CDTF">2021-07-15T00:41:00Z</dcterms:created>
  <dcterms:modified xsi:type="dcterms:W3CDTF">2021-08-18T01:51:00Z</dcterms:modified>
</cp:coreProperties>
</file>