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57E5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Name of Journal: </w:t>
      </w:r>
      <w:r w:rsidRPr="00C77471">
        <w:rPr>
          <w:rFonts w:ascii="Book Antiqua" w:eastAsia="Book Antiqua" w:hAnsi="Book Antiqua" w:cs="Book Antiqua"/>
          <w:i/>
        </w:rPr>
        <w:t>World Journal of Gastroenterology</w:t>
      </w:r>
    </w:p>
    <w:p w14:paraId="064D76E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Manuscript NO: </w:t>
      </w:r>
      <w:r w:rsidRPr="00C77471">
        <w:rPr>
          <w:rFonts w:ascii="Book Antiqua" w:eastAsia="Book Antiqua" w:hAnsi="Book Antiqua" w:cs="Book Antiqua"/>
        </w:rPr>
        <w:t>64223</w:t>
      </w:r>
    </w:p>
    <w:p w14:paraId="64D7298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Manuscript Type: </w:t>
      </w:r>
      <w:r w:rsidRPr="00C77471">
        <w:rPr>
          <w:rFonts w:ascii="Book Antiqua" w:eastAsia="Book Antiqua" w:hAnsi="Book Antiqua" w:cs="Book Antiqua"/>
        </w:rPr>
        <w:t>MINIREVIEWS</w:t>
      </w:r>
    </w:p>
    <w:p w14:paraId="2D61D174" w14:textId="77777777" w:rsidR="00A77B3E" w:rsidRPr="00C77471" w:rsidRDefault="00A77B3E">
      <w:pPr>
        <w:spacing w:line="360" w:lineRule="auto"/>
        <w:jc w:val="both"/>
        <w:rPr>
          <w:rFonts w:ascii="Book Antiqua" w:hAnsi="Book Antiqua"/>
        </w:rPr>
      </w:pPr>
    </w:p>
    <w:p w14:paraId="1CAD10B5"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Remaining issues of recommended management in current guidelines for asymptomatic common bile duct stones</w:t>
      </w:r>
    </w:p>
    <w:p w14:paraId="3666A0C2" w14:textId="77777777" w:rsidR="00A77B3E" w:rsidRPr="00C77471" w:rsidRDefault="00A77B3E">
      <w:pPr>
        <w:spacing w:line="360" w:lineRule="auto"/>
        <w:jc w:val="both"/>
        <w:rPr>
          <w:rFonts w:ascii="Book Antiqua" w:hAnsi="Book Antiqua"/>
        </w:rPr>
      </w:pPr>
    </w:p>
    <w:p w14:paraId="1A320460" w14:textId="77777777" w:rsidR="00A77B3E" w:rsidRPr="00C77471" w:rsidRDefault="002530E8">
      <w:pPr>
        <w:spacing w:line="360" w:lineRule="auto"/>
        <w:jc w:val="both"/>
        <w:rPr>
          <w:rFonts w:ascii="Book Antiqua" w:eastAsia="Book Antiqua" w:hAnsi="Book Antiqua" w:cs="Book Antiqua"/>
        </w:rPr>
      </w:pPr>
      <w:r w:rsidRPr="00C77471">
        <w:rPr>
          <w:rFonts w:ascii="Book Antiqua" w:eastAsia="Book Antiqua" w:hAnsi="Book Antiqua" w:cs="Book Antiqua"/>
        </w:rPr>
        <w:t>Saito H</w:t>
      </w:r>
      <w:r w:rsidRPr="00C77471">
        <w:rPr>
          <w:rFonts w:ascii="Book Antiqua" w:hAnsi="Book Antiqua" w:cs="Book Antiqua"/>
          <w:lang w:eastAsia="zh-CN"/>
        </w:rPr>
        <w:t xml:space="preserve"> </w:t>
      </w:r>
      <w:r w:rsidRPr="00C77471">
        <w:rPr>
          <w:rFonts w:ascii="Book Antiqua" w:hAnsi="Book Antiqua" w:cs="Book Antiqua"/>
          <w:i/>
          <w:lang w:eastAsia="zh-CN"/>
        </w:rPr>
        <w:t>et al</w:t>
      </w:r>
      <w:r w:rsidRPr="00C77471">
        <w:rPr>
          <w:rFonts w:ascii="Book Antiqua" w:hAnsi="Book Antiqua" w:cs="Book Antiqua"/>
          <w:lang w:eastAsia="zh-CN"/>
        </w:rPr>
        <w:t xml:space="preserve">. </w:t>
      </w:r>
      <w:r w:rsidR="00AC1F5E" w:rsidRPr="00C77471">
        <w:rPr>
          <w:rFonts w:ascii="Book Antiqua" w:eastAsia="Book Antiqua" w:hAnsi="Book Antiqua" w:cs="Book Antiqua"/>
        </w:rPr>
        <w:t>Guidelines for asymptomatic CBDS</w:t>
      </w:r>
    </w:p>
    <w:p w14:paraId="0BDE9ECF" w14:textId="77777777" w:rsidR="00A77B3E" w:rsidRPr="00C77471" w:rsidRDefault="00A77B3E">
      <w:pPr>
        <w:spacing w:line="360" w:lineRule="auto"/>
        <w:jc w:val="both"/>
        <w:rPr>
          <w:rFonts w:ascii="Book Antiqua" w:hAnsi="Book Antiqua"/>
        </w:rPr>
      </w:pPr>
    </w:p>
    <w:p w14:paraId="767F2D0F" w14:textId="77777777" w:rsidR="00A77B3E" w:rsidRPr="00C77471" w:rsidRDefault="00AC1F5E">
      <w:pPr>
        <w:spacing w:line="360" w:lineRule="auto"/>
        <w:jc w:val="both"/>
        <w:rPr>
          <w:rFonts w:ascii="Book Antiqua" w:hAnsi="Book Antiqua"/>
        </w:rPr>
      </w:pPr>
      <w:proofErr w:type="spellStart"/>
      <w:r w:rsidRPr="00C77471">
        <w:rPr>
          <w:rFonts w:ascii="Book Antiqua" w:eastAsia="Book Antiqua" w:hAnsi="Book Antiqua" w:cs="Book Antiqua"/>
        </w:rPr>
        <w:t>Hirokazu</w:t>
      </w:r>
      <w:proofErr w:type="spellEnd"/>
      <w:r w:rsidRPr="00C77471">
        <w:rPr>
          <w:rFonts w:ascii="Book Antiqua" w:eastAsia="Book Antiqua" w:hAnsi="Book Antiqua" w:cs="Book Antiqua"/>
        </w:rPr>
        <w:t xml:space="preserve"> Saito, Yoshihiro </w:t>
      </w:r>
      <w:proofErr w:type="spellStart"/>
      <w:r w:rsidRPr="00C77471">
        <w:rPr>
          <w:rFonts w:ascii="Book Antiqua" w:eastAsia="Book Antiqua" w:hAnsi="Book Antiqua" w:cs="Book Antiqua"/>
        </w:rPr>
        <w:t>Kadono</w:t>
      </w:r>
      <w:proofErr w:type="spellEnd"/>
      <w:r w:rsidRPr="00C77471">
        <w:rPr>
          <w:rFonts w:ascii="Book Antiqua" w:eastAsia="Book Antiqua" w:hAnsi="Book Antiqua" w:cs="Book Antiqua"/>
        </w:rPr>
        <w:t xml:space="preserve">, Takashi </w:t>
      </w:r>
      <w:proofErr w:type="spellStart"/>
      <w:r w:rsidRPr="00C77471">
        <w:rPr>
          <w:rFonts w:ascii="Book Antiqua" w:eastAsia="Book Antiqua" w:hAnsi="Book Antiqua" w:cs="Book Antiqua"/>
        </w:rPr>
        <w:t>Shono</w:t>
      </w:r>
      <w:proofErr w:type="spellEnd"/>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Kentaro</w:t>
      </w:r>
      <w:proofErr w:type="spellEnd"/>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Kamikawa</w:t>
      </w:r>
      <w:proofErr w:type="spellEnd"/>
      <w:r w:rsidRPr="00C77471">
        <w:rPr>
          <w:rFonts w:ascii="Book Antiqua" w:eastAsia="Book Antiqua" w:hAnsi="Book Antiqua" w:cs="Book Antiqua"/>
        </w:rPr>
        <w:t xml:space="preserve">, Atsushi Urata, Jiro </w:t>
      </w:r>
      <w:proofErr w:type="spellStart"/>
      <w:r w:rsidRPr="00C77471">
        <w:rPr>
          <w:rFonts w:ascii="Book Antiqua" w:eastAsia="Book Antiqua" w:hAnsi="Book Antiqua" w:cs="Book Antiqua"/>
        </w:rPr>
        <w:t>Nasu</w:t>
      </w:r>
      <w:proofErr w:type="spellEnd"/>
      <w:r w:rsidRPr="00C77471">
        <w:rPr>
          <w:rFonts w:ascii="Book Antiqua" w:eastAsia="Book Antiqua" w:hAnsi="Book Antiqua" w:cs="Book Antiqua"/>
        </w:rPr>
        <w:t xml:space="preserve">, Haruo Imamura, </w:t>
      </w:r>
      <w:proofErr w:type="spellStart"/>
      <w:r w:rsidRPr="00C77471">
        <w:rPr>
          <w:rFonts w:ascii="Book Antiqua" w:eastAsia="Book Antiqua" w:hAnsi="Book Antiqua" w:cs="Book Antiqua"/>
        </w:rPr>
        <w:t>Ikuo</w:t>
      </w:r>
      <w:proofErr w:type="spellEnd"/>
      <w:r w:rsidRPr="00C77471">
        <w:rPr>
          <w:rFonts w:ascii="Book Antiqua" w:eastAsia="Book Antiqua" w:hAnsi="Book Antiqua" w:cs="Book Antiqua"/>
        </w:rPr>
        <w:t xml:space="preserve"> Matsushita, Shuji Tada</w:t>
      </w:r>
    </w:p>
    <w:p w14:paraId="07F08BB1" w14:textId="77777777" w:rsidR="00A77B3E" w:rsidRPr="00C77471" w:rsidRDefault="00A77B3E">
      <w:pPr>
        <w:spacing w:line="360" w:lineRule="auto"/>
        <w:jc w:val="both"/>
        <w:rPr>
          <w:rFonts w:ascii="Book Antiqua" w:hAnsi="Book Antiqua"/>
        </w:rPr>
      </w:pPr>
    </w:p>
    <w:p w14:paraId="322BC6DD"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Hirokazu Saito, Shuji Tada, </w:t>
      </w:r>
      <w:r w:rsidRPr="00C77471">
        <w:rPr>
          <w:rFonts w:ascii="Book Antiqua" w:eastAsia="Book Antiqua" w:hAnsi="Book Antiqua" w:cs="Book Antiqua"/>
        </w:rPr>
        <w:t>Department of Gastroenterology, Kumamoto City Hospital, Kumamoto City 862-8505, Japan</w:t>
      </w:r>
    </w:p>
    <w:p w14:paraId="5478E3A7" w14:textId="77777777" w:rsidR="00A77B3E" w:rsidRPr="00C77471" w:rsidRDefault="00A77B3E">
      <w:pPr>
        <w:spacing w:line="360" w:lineRule="auto"/>
        <w:jc w:val="both"/>
        <w:rPr>
          <w:rFonts w:ascii="Book Antiqua" w:hAnsi="Book Antiqua"/>
        </w:rPr>
      </w:pPr>
    </w:p>
    <w:p w14:paraId="3CC24F91"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Yoshihiro </w:t>
      </w:r>
      <w:proofErr w:type="spellStart"/>
      <w:r w:rsidRPr="00C77471">
        <w:rPr>
          <w:rFonts w:ascii="Book Antiqua" w:eastAsia="Book Antiqua" w:hAnsi="Book Antiqua" w:cs="Book Antiqua"/>
          <w:b/>
          <w:bCs/>
        </w:rPr>
        <w:t>Kadono</w:t>
      </w:r>
      <w:proofErr w:type="spellEnd"/>
      <w:r w:rsidRPr="00C77471">
        <w:rPr>
          <w:rFonts w:ascii="Book Antiqua" w:eastAsia="Book Antiqua" w:hAnsi="Book Antiqua" w:cs="Book Antiqua"/>
          <w:b/>
          <w:bCs/>
        </w:rPr>
        <w:t xml:space="preserve">, </w:t>
      </w:r>
      <w:r w:rsidRPr="00C77471">
        <w:rPr>
          <w:rFonts w:ascii="Book Antiqua" w:eastAsia="Book Antiqua" w:hAnsi="Book Antiqua" w:cs="Book Antiqua"/>
        </w:rPr>
        <w:t>Department of Gastroenterology, Tsuruta Hospital, Kumamoto City 862-0925, Japan</w:t>
      </w:r>
    </w:p>
    <w:p w14:paraId="0573359C" w14:textId="77777777" w:rsidR="00A77B3E" w:rsidRPr="00C77471" w:rsidRDefault="00A77B3E">
      <w:pPr>
        <w:spacing w:line="360" w:lineRule="auto"/>
        <w:jc w:val="both"/>
        <w:rPr>
          <w:rFonts w:ascii="Book Antiqua" w:hAnsi="Book Antiqua"/>
        </w:rPr>
      </w:pPr>
    </w:p>
    <w:p w14:paraId="2FDC638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Takashi </w:t>
      </w:r>
      <w:proofErr w:type="spellStart"/>
      <w:r w:rsidRPr="00C77471">
        <w:rPr>
          <w:rFonts w:ascii="Book Antiqua" w:eastAsia="Book Antiqua" w:hAnsi="Book Antiqua" w:cs="Book Antiqua"/>
          <w:b/>
          <w:bCs/>
        </w:rPr>
        <w:t>Shono</w:t>
      </w:r>
      <w:proofErr w:type="spellEnd"/>
      <w:r w:rsidRPr="00C77471">
        <w:rPr>
          <w:rFonts w:ascii="Book Antiqua" w:eastAsia="Book Antiqua" w:hAnsi="Book Antiqua" w:cs="Book Antiqua"/>
          <w:b/>
          <w:bCs/>
        </w:rPr>
        <w:t xml:space="preserve">, </w:t>
      </w:r>
      <w:proofErr w:type="spellStart"/>
      <w:r w:rsidRPr="00C77471">
        <w:rPr>
          <w:rFonts w:ascii="Book Antiqua" w:eastAsia="Book Antiqua" w:hAnsi="Book Antiqua" w:cs="Book Antiqua"/>
          <w:b/>
          <w:bCs/>
        </w:rPr>
        <w:t>Ikuo</w:t>
      </w:r>
      <w:proofErr w:type="spellEnd"/>
      <w:r w:rsidRPr="00C77471">
        <w:rPr>
          <w:rFonts w:ascii="Book Antiqua" w:eastAsia="Book Antiqua" w:hAnsi="Book Antiqua" w:cs="Book Antiqua"/>
          <w:b/>
          <w:bCs/>
        </w:rPr>
        <w:t xml:space="preserve"> Matsushita, </w:t>
      </w:r>
      <w:r w:rsidRPr="00C77471">
        <w:rPr>
          <w:rFonts w:ascii="Book Antiqua" w:eastAsia="Book Antiqua" w:hAnsi="Book Antiqua" w:cs="Book Antiqua"/>
        </w:rPr>
        <w:t>Department of Gastroenterology, Kumamoto Chuo Hospital, Kumamoto City 862-0965, Japan</w:t>
      </w:r>
    </w:p>
    <w:p w14:paraId="34E34BA6" w14:textId="77777777" w:rsidR="00A77B3E" w:rsidRPr="00C77471" w:rsidRDefault="00A77B3E">
      <w:pPr>
        <w:spacing w:line="360" w:lineRule="auto"/>
        <w:jc w:val="both"/>
        <w:rPr>
          <w:rFonts w:ascii="Book Antiqua" w:hAnsi="Book Antiqua"/>
        </w:rPr>
      </w:pPr>
    </w:p>
    <w:p w14:paraId="0ED9E0B8" w14:textId="77777777" w:rsidR="00A77B3E" w:rsidRPr="00C77471" w:rsidRDefault="00AC1F5E">
      <w:pPr>
        <w:spacing w:line="360" w:lineRule="auto"/>
        <w:jc w:val="both"/>
        <w:rPr>
          <w:rFonts w:ascii="Book Antiqua" w:hAnsi="Book Antiqua"/>
        </w:rPr>
      </w:pPr>
      <w:proofErr w:type="spellStart"/>
      <w:r w:rsidRPr="00C77471">
        <w:rPr>
          <w:rFonts w:ascii="Book Antiqua" w:eastAsia="Book Antiqua" w:hAnsi="Book Antiqua" w:cs="Book Antiqua"/>
          <w:b/>
          <w:bCs/>
        </w:rPr>
        <w:t>Kentaro</w:t>
      </w:r>
      <w:proofErr w:type="spellEnd"/>
      <w:r w:rsidRPr="00C77471">
        <w:rPr>
          <w:rFonts w:ascii="Book Antiqua" w:eastAsia="Book Antiqua" w:hAnsi="Book Antiqua" w:cs="Book Antiqua"/>
          <w:b/>
          <w:bCs/>
        </w:rPr>
        <w:t xml:space="preserve"> </w:t>
      </w:r>
      <w:proofErr w:type="spellStart"/>
      <w:r w:rsidRPr="00C77471">
        <w:rPr>
          <w:rFonts w:ascii="Book Antiqua" w:eastAsia="Book Antiqua" w:hAnsi="Book Antiqua" w:cs="Book Antiqua"/>
          <w:b/>
          <w:bCs/>
        </w:rPr>
        <w:t>Kamikawa</w:t>
      </w:r>
      <w:proofErr w:type="spellEnd"/>
      <w:r w:rsidRPr="00C77471">
        <w:rPr>
          <w:rFonts w:ascii="Book Antiqua" w:eastAsia="Book Antiqua" w:hAnsi="Book Antiqua" w:cs="Book Antiqua"/>
          <w:b/>
          <w:bCs/>
        </w:rPr>
        <w:t xml:space="preserve">, Atsushi Urata, Haruo Imamura, </w:t>
      </w:r>
      <w:r w:rsidRPr="00C77471">
        <w:rPr>
          <w:rFonts w:ascii="Book Antiqua" w:eastAsia="Book Antiqua" w:hAnsi="Book Antiqua" w:cs="Book Antiqua"/>
        </w:rPr>
        <w:t xml:space="preserve">Department of Gastroenterology, </w:t>
      </w:r>
      <w:proofErr w:type="spellStart"/>
      <w:r w:rsidRPr="00C77471">
        <w:rPr>
          <w:rFonts w:ascii="Book Antiqua" w:eastAsia="Book Antiqua" w:hAnsi="Book Antiqua" w:cs="Book Antiqua"/>
        </w:rPr>
        <w:t>Saiseikai</w:t>
      </w:r>
      <w:proofErr w:type="spellEnd"/>
      <w:r w:rsidRPr="00C77471">
        <w:rPr>
          <w:rFonts w:ascii="Book Antiqua" w:eastAsia="Book Antiqua" w:hAnsi="Book Antiqua" w:cs="Book Antiqua"/>
        </w:rPr>
        <w:t xml:space="preserve"> Kumamoto Hospital, Kumamoto City 861-4193, Japan</w:t>
      </w:r>
    </w:p>
    <w:p w14:paraId="578EBC46" w14:textId="77777777" w:rsidR="00A77B3E" w:rsidRPr="00C77471" w:rsidRDefault="00A77B3E">
      <w:pPr>
        <w:spacing w:line="360" w:lineRule="auto"/>
        <w:jc w:val="both"/>
        <w:rPr>
          <w:rFonts w:ascii="Book Antiqua" w:hAnsi="Book Antiqua"/>
        </w:rPr>
      </w:pPr>
    </w:p>
    <w:p w14:paraId="19D9A392"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Jiro </w:t>
      </w:r>
      <w:proofErr w:type="spellStart"/>
      <w:r w:rsidRPr="00C77471">
        <w:rPr>
          <w:rFonts w:ascii="Book Antiqua" w:eastAsia="Book Antiqua" w:hAnsi="Book Antiqua" w:cs="Book Antiqua"/>
          <w:b/>
          <w:bCs/>
        </w:rPr>
        <w:t>Nasu</w:t>
      </w:r>
      <w:proofErr w:type="spellEnd"/>
      <w:r w:rsidRPr="00C77471">
        <w:rPr>
          <w:rFonts w:ascii="Book Antiqua" w:eastAsia="Book Antiqua" w:hAnsi="Book Antiqua" w:cs="Book Antiqua"/>
          <w:b/>
          <w:bCs/>
        </w:rPr>
        <w:t xml:space="preserve">, </w:t>
      </w:r>
      <w:r w:rsidRPr="00C77471">
        <w:rPr>
          <w:rFonts w:ascii="Book Antiqua" w:eastAsia="Book Antiqua" w:hAnsi="Book Antiqua" w:cs="Book Antiqua"/>
        </w:rPr>
        <w:t>Department of Gastroenterological Surgery, Kumamoto Chuo Hospital, Kumamoto City 862-0965, Japan</w:t>
      </w:r>
    </w:p>
    <w:p w14:paraId="4D64DF38" w14:textId="77777777" w:rsidR="00A77B3E" w:rsidRPr="00C77471" w:rsidRDefault="00A77B3E">
      <w:pPr>
        <w:spacing w:line="360" w:lineRule="auto"/>
        <w:jc w:val="both"/>
        <w:rPr>
          <w:rFonts w:ascii="Book Antiqua" w:hAnsi="Book Antiqua"/>
        </w:rPr>
      </w:pPr>
    </w:p>
    <w:p w14:paraId="31D4569D"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Author contributions: </w:t>
      </w:r>
      <w:r w:rsidRPr="00C77471">
        <w:rPr>
          <w:rFonts w:ascii="Book Antiqua" w:eastAsia="Book Antiqua" w:hAnsi="Book Antiqua" w:cs="Book Antiqua"/>
        </w:rPr>
        <w:t xml:space="preserve">Saito H, </w:t>
      </w:r>
      <w:proofErr w:type="spellStart"/>
      <w:r w:rsidRPr="00C77471">
        <w:rPr>
          <w:rFonts w:ascii="Book Antiqua" w:eastAsia="Book Antiqua" w:hAnsi="Book Antiqua" w:cs="Book Antiqua"/>
        </w:rPr>
        <w:t>Kadono</w:t>
      </w:r>
      <w:proofErr w:type="spellEnd"/>
      <w:r w:rsidRPr="00C77471">
        <w:rPr>
          <w:rFonts w:ascii="Book Antiqua" w:eastAsia="Book Antiqua" w:hAnsi="Book Antiqua" w:cs="Book Antiqua"/>
        </w:rPr>
        <w:t xml:space="preserve"> Y, </w:t>
      </w:r>
      <w:proofErr w:type="spellStart"/>
      <w:r w:rsidRPr="00C77471">
        <w:rPr>
          <w:rFonts w:ascii="Book Antiqua" w:eastAsia="Book Antiqua" w:hAnsi="Book Antiqua" w:cs="Book Antiqua"/>
        </w:rPr>
        <w:t>Shono</w:t>
      </w:r>
      <w:proofErr w:type="spellEnd"/>
      <w:r w:rsidRPr="00C77471">
        <w:rPr>
          <w:rFonts w:ascii="Book Antiqua" w:eastAsia="Book Antiqua" w:hAnsi="Book Antiqua" w:cs="Book Antiqua"/>
        </w:rPr>
        <w:t xml:space="preserve"> T, </w:t>
      </w:r>
      <w:proofErr w:type="spellStart"/>
      <w:r w:rsidRPr="00C77471">
        <w:rPr>
          <w:rFonts w:ascii="Book Antiqua" w:eastAsia="Book Antiqua" w:hAnsi="Book Antiqua" w:cs="Book Antiqua"/>
        </w:rPr>
        <w:t>Kamikawa</w:t>
      </w:r>
      <w:proofErr w:type="spellEnd"/>
      <w:r w:rsidRPr="00C77471">
        <w:rPr>
          <w:rFonts w:ascii="Book Antiqua" w:eastAsia="Book Antiqua" w:hAnsi="Book Antiqua" w:cs="Book Antiqua"/>
        </w:rPr>
        <w:t xml:space="preserve"> K, Urata A, </w:t>
      </w:r>
      <w:proofErr w:type="spellStart"/>
      <w:r w:rsidRPr="00C77471">
        <w:rPr>
          <w:rFonts w:ascii="Book Antiqua" w:eastAsia="Book Antiqua" w:hAnsi="Book Antiqua" w:cs="Book Antiqua"/>
        </w:rPr>
        <w:t>Nasu</w:t>
      </w:r>
      <w:proofErr w:type="spellEnd"/>
      <w:r w:rsidRPr="00C77471">
        <w:rPr>
          <w:rFonts w:ascii="Book Antiqua" w:eastAsia="Book Antiqua" w:hAnsi="Book Antiqua" w:cs="Book Antiqua"/>
        </w:rPr>
        <w:t xml:space="preserve"> J, Imamura H, Matsushita I and Tada S have been involved equally and have read and approved the final manuscript; Saito H, </w:t>
      </w:r>
      <w:proofErr w:type="spellStart"/>
      <w:r w:rsidRPr="00C77471">
        <w:rPr>
          <w:rFonts w:ascii="Book Antiqua" w:eastAsia="Book Antiqua" w:hAnsi="Book Antiqua" w:cs="Book Antiqua"/>
        </w:rPr>
        <w:t>Kadono</w:t>
      </w:r>
      <w:proofErr w:type="spellEnd"/>
      <w:r w:rsidRPr="00C77471">
        <w:rPr>
          <w:rFonts w:ascii="Book Antiqua" w:eastAsia="Book Antiqua" w:hAnsi="Book Antiqua" w:cs="Book Antiqua"/>
        </w:rPr>
        <w:t xml:space="preserve"> Y, </w:t>
      </w:r>
      <w:proofErr w:type="spellStart"/>
      <w:r w:rsidRPr="00C77471">
        <w:rPr>
          <w:rFonts w:ascii="Book Antiqua" w:eastAsia="Book Antiqua" w:hAnsi="Book Antiqua" w:cs="Book Antiqua"/>
        </w:rPr>
        <w:t>Shono</w:t>
      </w:r>
      <w:proofErr w:type="spellEnd"/>
      <w:r w:rsidRPr="00C77471">
        <w:rPr>
          <w:rFonts w:ascii="Book Antiqua" w:eastAsia="Book Antiqua" w:hAnsi="Book Antiqua" w:cs="Book Antiqua"/>
        </w:rPr>
        <w:t xml:space="preserve"> T, </w:t>
      </w:r>
      <w:proofErr w:type="spellStart"/>
      <w:r w:rsidRPr="00C77471">
        <w:rPr>
          <w:rFonts w:ascii="Book Antiqua" w:eastAsia="Book Antiqua" w:hAnsi="Book Antiqua" w:cs="Book Antiqua"/>
        </w:rPr>
        <w:t>Kamikawa</w:t>
      </w:r>
      <w:proofErr w:type="spellEnd"/>
      <w:r w:rsidRPr="00C77471">
        <w:rPr>
          <w:rFonts w:ascii="Book Antiqua" w:eastAsia="Book Antiqua" w:hAnsi="Book Antiqua" w:cs="Book Antiqua"/>
        </w:rPr>
        <w:t xml:space="preserve"> K, Urata A, </w:t>
      </w:r>
      <w:proofErr w:type="spellStart"/>
      <w:r w:rsidRPr="00C77471">
        <w:rPr>
          <w:rFonts w:ascii="Book Antiqua" w:eastAsia="Book Antiqua" w:hAnsi="Book Antiqua" w:cs="Book Antiqua"/>
        </w:rPr>
        <w:t>Nasu</w:t>
      </w:r>
      <w:proofErr w:type="spellEnd"/>
      <w:r w:rsidRPr="00C77471">
        <w:rPr>
          <w:rFonts w:ascii="Book Antiqua" w:eastAsia="Book Antiqua" w:hAnsi="Book Antiqua" w:cs="Book Antiqua"/>
        </w:rPr>
        <w:t xml:space="preserve"> </w:t>
      </w:r>
      <w:r w:rsidRPr="00C77471">
        <w:rPr>
          <w:rFonts w:ascii="Book Antiqua" w:eastAsia="Book Antiqua" w:hAnsi="Book Antiqua" w:cs="Book Antiqua"/>
        </w:rPr>
        <w:lastRenderedPageBreak/>
        <w:t>J, Imamura H, Matsushita I and Tada S meet the criteria for authorship established by the International Committee of Medical Journal Editors and verify the validity of the results reported.</w:t>
      </w:r>
    </w:p>
    <w:p w14:paraId="3A0B94C2" w14:textId="77777777" w:rsidR="00A77B3E" w:rsidRPr="00C77471" w:rsidRDefault="00A77B3E">
      <w:pPr>
        <w:spacing w:line="360" w:lineRule="auto"/>
        <w:jc w:val="both"/>
        <w:rPr>
          <w:rFonts w:ascii="Book Antiqua" w:hAnsi="Book Antiqua"/>
        </w:rPr>
      </w:pPr>
    </w:p>
    <w:p w14:paraId="6956BA81" w14:textId="3895EBF8"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Corresponding author: Hirokazu Saito, MD, Doctor, </w:t>
      </w:r>
      <w:r w:rsidRPr="00C77471">
        <w:rPr>
          <w:rFonts w:ascii="Book Antiqua" w:eastAsia="Book Antiqua" w:hAnsi="Book Antiqua" w:cs="Book Antiqua"/>
        </w:rPr>
        <w:t xml:space="preserve">Department of Gastroenterology, Kumamoto City Hospital, 4-1-60, </w:t>
      </w:r>
      <w:proofErr w:type="spellStart"/>
      <w:r w:rsidRPr="00C77471">
        <w:rPr>
          <w:rFonts w:ascii="Book Antiqua" w:eastAsia="Book Antiqua" w:hAnsi="Book Antiqua" w:cs="Book Antiqua"/>
        </w:rPr>
        <w:t>Higashimachi</w:t>
      </w:r>
      <w:proofErr w:type="spellEnd"/>
      <w:r w:rsidRPr="00C77471">
        <w:rPr>
          <w:rFonts w:ascii="Book Antiqua" w:eastAsia="Book Antiqua" w:hAnsi="Book Antiqua" w:cs="Book Antiqua"/>
        </w:rPr>
        <w:t>, Higashi-</w:t>
      </w:r>
      <w:proofErr w:type="spellStart"/>
      <w:r w:rsidRPr="00C77471">
        <w:rPr>
          <w:rFonts w:ascii="Book Antiqua" w:eastAsia="Book Antiqua" w:hAnsi="Book Antiqua" w:cs="Book Antiqua"/>
        </w:rPr>
        <w:t>ku</w:t>
      </w:r>
      <w:proofErr w:type="spellEnd"/>
      <w:r w:rsidRPr="00C77471">
        <w:rPr>
          <w:rFonts w:ascii="Book Antiqua" w:eastAsia="Book Antiqua" w:hAnsi="Book Antiqua" w:cs="Book Antiqua"/>
        </w:rPr>
        <w:t>, Kumamoto City 862-8505, Japan. arnestwest@yahoo.co.jp</w:t>
      </w:r>
    </w:p>
    <w:p w14:paraId="3F3DD382" w14:textId="77777777" w:rsidR="00A77B3E" w:rsidRPr="00C77471" w:rsidRDefault="00A77B3E">
      <w:pPr>
        <w:spacing w:line="360" w:lineRule="auto"/>
        <w:jc w:val="both"/>
        <w:rPr>
          <w:rFonts w:ascii="Book Antiqua" w:hAnsi="Book Antiqua"/>
        </w:rPr>
      </w:pPr>
    </w:p>
    <w:p w14:paraId="41E80A9A"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Received: </w:t>
      </w:r>
      <w:r w:rsidRPr="00C77471">
        <w:rPr>
          <w:rFonts w:ascii="Book Antiqua" w:eastAsia="Book Antiqua" w:hAnsi="Book Antiqua" w:cs="Book Antiqua"/>
        </w:rPr>
        <w:t>February 12, 2021</w:t>
      </w:r>
    </w:p>
    <w:p w14:paraId="7DEB90C1"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Revised: </w:t>
      </w:r>
      <w:r w:rsidRPr="00C77471">
        <w:rPr>
          <w:rFonts w:ascii="Book Antiqua" w:eastAsia="Book Antiqua" w:hAnsi="Book Antiqua" w:cs="Book Antiqua"/>
        </w:rPr>
        <w:t>April 1, 2021</w:t>
      </w:r>
    </w:p>
    <w:p w14:paraId="511D4202" w14:textId="1E2E9B8E"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Accepted: </w:t>
      </w:r>
      <w:r w:rsidR="00C403CD" w:rsidRPr="00C403CD">
        <w:rPr>
          <w:rFonts w:ascii="Book Antiqua" w:eastAsia="Book Antiqua" w:hAnsi="Book Antiqua" w:cs="Book Antiqua"/>
        </w:rPr>
        <w:t>April 21, 2021</w:t>
      </w:r>
    </w:p>
    <w:p w14:paraId="6A7A375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Published online: </w:t>
      </w:r>
    </w:p>
    <w:p w14:paraId="6DAA0508" w14:textId="77777777" w:rsidR="00A77B3E" w:rsidRPr="00C77471" w:rsidRDefault="00A77B3E">
      <w:pPr>
        <w:spacing w:line="360" w:lineRule="auto"/>
        <w:jc w:val="both"/>
        <w:rPr>
          <w:rFonts w:ascii="Book Antiqua" w:hAnsi="Book Antiqua"/>
        </w:rPr>
        <w:sectPr w:rsidR="00A77B3E" w:rsidRPr="00C77471">
          <w:footerReference w:type="default" r:id="rId7"/>
          <w:pgSz w:w="12240" w:h="15840"/>
          <w:pgMar w:top="1440" w:right="1440" w:bottom="1440" w:left="1440" w:header="720" w:footer="720" w:gutter="0"/>
          <w:cols w:space="720"/>
          <w:docGrid w:linePitch="360"/>
        </w:sectPr>
      </w:pPr>
    </w:p>
    <w:p w14:paraId="2E8FEA7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lastRenderedPageBreak/>
        <w:t>Abstract</w:t>
      </w:r>
    </w:p>
    <w:p w14:paraId="62236425" w14:textId="37F05018" w:rsidR="00A77B3E" w:rsidRPr="00C77471" w:rsidRDefault="00AC1F5E" w:rsidP="002F0670">
      <w:pPr>
        <w:spacing w:line="360" w:lineRule="auto"/>
        <w:jc w:val="both"/>
        <w:rPr>
          <w:rFonts w:ascii="Book Antiqua" w:hAnsi="Book Antiqua"/>
        </w:rPr>
      </w:pPr>
      <w:r w:rsidRPr="00C77471">
        <w:rPr>
          <w:rFonts w:ascii="Book Antiqua" w:eastAsia="Book Antiqua" w:hAnsi="Book Antiqua" w:cs="Book Antiqua"/>
        </w:rPr>
        <w:t>Current guidelines for treating asymptomatic common bile duct stones (CBDS) recommend stone removal, with endoscopic retrograde cholangiopancreatography (ERCP) being the first treatment choice.</w:t>
      </w:r>
      <w:r w:rsidR="005415CB" w:rsidRPr="00C77471">
        <w:rPr>
          <w:rFonts w:ascii="Book Antiqua" w:eastAsia="Book Antiqua" w:hAnsi="Book Antiqua" w:cs="Book Antiqua"/>
        </w:rPr>
        <w:t xml:space="preserve"> </w:t>
      </w:r>
      <w:r w:rsidRPr="00C77471">
        <w:rPr>
          <w:rFonts w:ascii="Book Antiqua" w:eastAsia="Book Antiqua" w:hAnsi="Book Antiqua" w:cs="Book Antiqua"/>
        </w:rPr>
        <w:t>When deciding on ERCP treatment for asymptomatic CBDS, the risk of ERCP-related complications and outcome of natural history of asymptomatic CBDS should be compared. The incidence rate of ERCP-related complications, particularly of post-ERCP pancreatitis for asymptomatic CBDS, was reportedly higher than that of symptomatic CBDS, increasing the risk of ERCP-related complications for asymptomatic CBDS compared with that previously reported for biliopancreatic diseases. Although studies have reported short- to middle-term outcomes of natural history of asymptomatic CBDS, its long-term natural history is not well known.</w:t>
      </w:r>
      <w:r w:rsidR="002F0670" w:rsidRPr="00C77471">
        <w:rPr>
          <w:rFonts w:ascii="Book Antiqua" w:hAnsi="Book Antiqua"/>
          <w:lang w:eastAsia="zh-CN"/>
        </w:rPr>
        <w:t xml:space="preserve"> </w:t>
      </w:r>
      <w:r w:rsidRPr="00C77471">
        <w:rPr>
          <w:rFonts w:ascii="Book Antiqua" w:eastAsia="Book Antiqua" w:hAnsi="Book Antiqua" w:cs="Book Antiqua"/>
          <w:shd w:val="clear" w:color="auto" w:fill="FFFFFF"/>
        </w:rPr>
        <w:t xml:space="preserve">Till date, there </w:t>
      </w:r>
      <w:r w:rsidR="00496962" w:rsidRPr="00C77471">
        <w:rPr>
          <w:rFonts w:eastAsia="MS Mincho" w:hint="cs"/>
          <w:shd w:val="clear" w:color="auto" w:fill="FFFFFF"/>
          <w:lang w:eastAsia="ja-JP"/>
        </w:rPr>
        <w:t>a</w:t>
      </w:r>
      <w:r w:rsidR="00496962" w:rsidRPr="00C77471">
        <w:rPr>
          <w:rFonts w:eastAsia="MS Mincho"/>
          <w:shd w:val="clear" w:color="auto" w:fill="FFFFFF"/>
          <w:lang w:eastAsia="ja-JP"/>
        </w:rPr>
        <w:t>re</w:t>
      </w:r>
      <w:r w:rsidRPr="00C77471">
        <w:rPr>
          <w:rFonts w:ascii="Book Antiqua" w:eastAsia="Book Antiqua" w:hAnsi="Book Antiqua" w:cs="Book Antiqua"/>
          <w:shd w:val="clear" w:color="auto" w:fill="FFFFFF"/>
        </w:rPr>
        <w:t xml:space="preserve"> no prospective stud</w:t>
      </w:r>
      <w:r w:rsidR="00496962" w:rsidRPr="00C77471">
        <w:rPr>
          <w:rFonts w:ascii="Book Antiqua" w:eastAsia="Book Antiqua" w:hAnsi="Book Antiqua" w:cs="Book Antiqua"/>
          <w:shd w:val="clear" w:color="auto" w:fill="FFFFFF"/>
        </w:rPr>
        <w:t>ies</w:t>
      </w:r>
      <w:r w:rsidRPr="00C77471">
        <w:rPr>
          <w:rFonts w:ascii="Book Antiqua" w:eastAsia="Book Antiqua" w:hAnsi="Book Antiqua" w:cs="Book Antiqua"/>
          <w:shd w:val="clear" w:color="auto" w:fill="FFFFFF"/>
        </w:rPr>
        <w:t xml:space="preserve"> that determined whether ERCP has a better outcome than no treatment in patients with asymptomatic CBDS or not. No randomized controlled trial has evaluated the risk of early and late ERCP-related complications </w:t>
      </w:r>
      <w:r w:rsidRPr="00C77471">
        <w:rPr>
          <w:rFonts w:ascii="Book Antiqua" w:eastAsia="Book Antiqua" w:hAnsi="Book Antiqua" w:cs="Book Antiqua"/>
          <w:i/>
          <w:iCs/>
          <w:shd w:val="clear" w:color="auto" w:fill="FFFFFF"/>
        </w:rPr>
        <w:t>vs</w:t>
      </w:r>
      <w:r w:rsidRPr="00C77471">
        <w:rPr>
          <w:rFonts w:ascii="Book Antiqua" w:eastAsia="Book Antiqua" w:hAnsi="Book Antiqua" w:cs="Book Antiqua"/>
          <w:shd w:val="clear" w:color="auto" w:fill="FFFFFF"/>
        </w:rPr>
        <w:t xml:space="preserve"> the risk of biliary complications in the wait-and-see approach, suggesting that a change is needed in our perspective on endoscopic treatment for asymptomatic CBDS.</w:t>
      </w:r>
      <w:r w:rsidR="002F0670" w:rsidRPr="00C77471">
        <w:rPr>
          <w:rFonts w:ascii="Book Antiqua" w:hAnsi="Book Antiqua"/>
          <w:lang w:eastAsia="zh-CN"/>
        </w:rPr>
        <w:t xml:space="preserve"> </w:t>
      </w:r>
      <w:r w:rsidRPr="00C77471">
        <w:rPr>
          <w:rFonts w:ascii="Book Antiqua" w:eastAsia="Book Antiqua" w:hAnsi="Book Antiqua" w:cs="Book Antiqua"/>
          <w:shd w:val="clear" w:color="auto" w:fill="FFFFFF"/>
        </w:rPr>
        <w:t>Further studies examining</w:t>
      </w:r>
      <w:r w:rsidRPr="00C77471">
        <w:rPr>
          <w:rFonts w:ascii="Book Antiqua" w:eastAsia="Book Antiqua" w:hAnsi="Book Antiqua" w:cs="Book Antiqua"/>
        </w:rPr>
        <w:t xml:space="preserve"> long-term complication risks of ERCP and wait-and-see groups for asymptomatic CBDS are warranted to discuss </w:t>
      </w:r>
      <w:r w:rsidRPr="00C77471">
        <w:rPr>
          <w:rFonts w:ascii="Book Antiqua" w:eastAsia="Book Antiqua" w:hAnsi="Book Antiqua" w:cs="Book Antiqua"/>
          <w:shd w:val="clear" w:color="auto" w:fill="FFFFFF"/>
        </w:rPr>
        <w:t>whether routine endoscopic treatment for asymptomatic CBDS is justified or not.</w:t>
      </w:r>
    </w:p>
    <w:p w14:paraId="02C5DC20" w14:textId="77777777" w:rsidR="00A77B3E" w:rsidRPr="00C77471" w:rsidRDefault="00A77B3E">
      <w:pPr>
        <w:spacing w:line="360" w:lineRule="auto"/>
        <w:ind w:firstLine="240"/>
        <w:jc w:val="both"/>
        <w:rPr>
          <w:rFonts w:ascii="Book Antiqua" w:hAnsi="Book Antiqua"/>
        </w:rPr>
      </w:pPr>
    </w:p>
    <w:p w14:paraId="7B9A74B0"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Key Words: </w:t>
      </w:r>
      <w:r w:rsidRPr="00C77471">
        <w:rPr>
          <w:rFonts w:ascii="Book Antiqua" w:eastAsia="Book Antiqua" w:hAnsi="Book Antiqua" w:cs="Book Antiqua"/>
        </w:rPr>
        <w:t>Asymptomatic common bile duct stone; Endoscopic retrograde cholangiopancreatography; Complication; Natural history of asymptomatic common bile duct stone; Guideline; Recommendation</w:t>
      </w:r>
    </w:p>
    <w:p w14:paraId="6F7B8590" w14:textId="77777777" w:rsidR="00A77B3E" w:rsidRPr="00C77471" w:rsidRDefault="00A77B3E">
      <w:pPr>
        <w:spacing w:line="360" w:lineRule="auto"/>
        <w:jc w:val="both"/>
        <w:rPr>
          <w:rFonts w:ascii="Book Antiqua" w:hAnsi="Book Antiqua"/>
        </w:rPr>
      </w:pPr>
    </w:p>
    <w:p w14:paraId="70BFDF5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Saito H, </w:t>
      </w:r>
      <w:proofErr w:type="spellStart"/>
      <w:r w:rsidRPr="00C77471">
        <w:rPr>
          <w:rFonts w:ascii="Book Antiqua" w:eastAsia="Book Antiqua" w:hAnsi="Book Antiqua" w:cs="Book Antiqua"/>
        </w:rPr>
        <w:t>Kadono</w:t>
      </w:r>
      <w:proofErr w:type="spellEnd"/>
      <w:r w:rsidRPr="00C77471">
        <w:rPr>
          <w:rFonts w:ascii="Book Antiqua" w:eastAsia="Book Antiqua" w:hAnsi="Book Antiqua" w:cs="Book Antiqua"/>
        </w:rPr>
        <w:t xml:space="preserve"> Y, </w:t>
      </w:r>
      <w:proofErr w:type="spellStart"/>
      <w:r w:rsidRPr="00C77471">
        <w:rPr>
          <w:rFonts w:ascii="Book Antiqua" w:eastAsia="Book Antiqua" w:hAnsi="Book Antiqua" w:cs="Book Antiqua"/>
        </w:rPr>
        <w:t>Shono</w:t>
      </w:r>
      <w:proofErr w:type="spellEnd"/>
      <w:r w:rsidRPr="00C77471">
        <w:rPr>
          <w:rFonts w:ascii="Book Antiqua" w:eastAsia="Book Antiqua" w:hAnsi="Book Antiqua" w:cs="Book Antiqua"/>
        </w:rPr>
        <w:t xml:space="preserve"> T, </w:t>
      </w:r>
      <w:proofErr w:type="spellStart"/>
      <w:r w:rsidRPr="00C77471">
        <w:rPr>
          <w:rFonts w:ascii="Book Antiqua" w:eastAsia="Book Antiqua" w:hAnsi="Book Antiqua" w:cs="Book Antiqua"/>
        </w:rPr>
        <w:t>Kamikawa</w:t>
      </w:r>
      <w:proofErr w:type="spellEnd"/>
      <w:r w:rsidRPr="00C77471">
        <w:rPr>
          <w:rFonts w:ascii="Book Antiqua" w:eastAsia="Book Antiqua" w:hAnsi="Book Antiqua" w:cs="Book Antiqua"/>
        </w:rPr>
        <w:t xml:space="preserve"> K, Urata A, </w:t>
      </w:r>
      <w:proofErr w:type="spellStart"/>
      <w:r w:rsidRPr="00C77471">
        <w:rPr>
          <w:rFonts w:ascii="Book Antiqua" w:eastAsia="Book Antiqua" w:hAnsi="Book Antiqua" w:cs="Book Antiqua"/>
        </w:rPr>
        <w:t>Nasu</w:t>
      </w:r>
      <w:proofErr w:type="spellEnd"/>
      <w:r w:rsidRPr="00C77471">
        <w:rPr>
          <w:rFonts w:ascii="Book Antiqua" w:eastAsia="Book Antiqua" w:hAnsi="Book Antiqua" w:cs="Book Antiqua"/>
        </w:rPr>
        <w:t xml:space="preserve"> J, Imamura H, Matsushita I, Tada S. Remaining issues of recommended management in current guidelines for asymptomatic common bile duct stones. </w:t>
      </w:r>
      <w:r w:rsidRPr="00C77471">
        <w:rPr>
          <w:rFonts w:ascii="Book Antiqua" w:eastAsia="Book Antiqua" w:hAnsi="Book Antiqua" w:cs="Book Antiqua"/>
          <w:i/>
          <w:iCs/>
        </w:rPr>
        <w:t>World J Gastroenterol</w:t>
      </w:r>
      <w:r w:rsidRPr="00C77471">
        <w:rPr>
          <w:rFonts w:ascii="Book Antiqua" w:eastAsia="Book Antiqua" w:hAnsi="Book Antiqua" w:cs="Book Antiqua"/>
        </w:rPr>
        <w:t xml:space="preserve"> 2021; In press</w:t>
      </w:r>
    </w:p>
    <w:p w14:paraId="0BE9154F" w14:textId="77777777" w:rsidR="00A77B3E" w:rsidRPr="00C77471" w:rsidRDefault="00A77B3E">
      <w:pPr>
        <w:spacing w:line="360" w:lineRule="auto"/>
        <w:jc w:val="both"/>
        <w:rPr>
          <w:rFonts w:ascii="Book Antiqua" w:hAnsi="Book Antiqua"/>
        </w:rPr>
      </w:pPr>
    </w:p>
    <w:p w14:paraId="07E32A6E" w14:textId="3D0D6F4F"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Core Tip: </w:t>
      </w:r>
      <w:r w:rsidRPr="00C77471">
        <w:rPr>
          <w:rFonts w:ascii="Book Antiqua" w:eastAsia="Book Antiqua" w:hAnsi="Book Antiqua" w:cs="Book Antiqua"/>
        </w:rPr>
        <w:t xml:space="preserve">Current guidelines recommend endoscopic stone removal for asymptomatic common bile duct stones (CBDS). However, the risks of </w:t>
      </w:r>
      <w:r w:rsidR="00A767AE" w:rsidRPr="00A767AE">
        <w:rPr>
          <w:rFonts w:ascii="Book Antiqua" w:eastAsia="Book Antiqua" w:hAnsi="Book Antiqua" w:cs="Book Antiqua"/>
        </w:rPr>
        <w:t xml:space="preserve">endoscopic retrograde </w:t>
      </w:r>
      <w:r w:rsidR="00A767AE" w:rsidRPr="00A767AE">
        <w:rPr>
          <w:rFonts w:ascii="Book Antiqua" w:eastAsia="Book Antiqua" w:hAnsi="Book Antiqua" w:cs="Book Antiqua"/>
        </w:rPr>
        <w:lastRenderedPageBreak/>
        <w:t>cholangiopancreatography (ERCP)</w:t>
      </w:r>
      <w:r w:rsidRPr="00C77471">
        <w:rPr>
          <w:rFonts w:ascii="Book Antiqua" w:eastAsia="Book Antiqua" w:hAnsi="Book Antiqua" w:cs="Book Antiqua"/>
        </w:rPr>
        <w:t xml:space="preserve">-related complication and natural history outcome of asymptomatic CBDS should be compared to decide on endoscopic treatment by </w:t>
      </w:r>
      <w:r w:rsidR="00A767AE">
        <w:rPr>
          <w:rFonts w:ascii="Book Antiqua" w:eastAsia="Book Antiqua" w:hAnsi="Book Antiqua" w:cs="Book Antiqua"/>
        </w:rPr>
        <w:t>ERCP</w:t>
      </w:r>
      <w:r w:rsidRPr="00C77471">
        <w:rPr>
          <w:rFonts w:ascii="Book Antiqua" w:eastAsia="Book Antiqua" w:hAnsi="Book Antiqua" w:cs="Book Antiqua"/>
        </w:rPr>
        <w:t>. ERCP for asymptomatic CBDS reportedly has a high risk of ERCP-related complications; post-ERCP pancreatitis risk being the most common. The long-term natural history of asymptomatic CBDS is not well known. Further studies examining long-term complication risks of ERCP and wait-and-see groups for asymptomatic CBDS are warranted to evaluate whether routine endoscopic stone removal for asymptomatic CBDS is justified or not.</w:t>
      </w:r>
    </w:p>
    <w:p w14:paraId="30DF7050" w14:textId="77777777" w:rsidR="00A77B3E" w:rsidRPr="00C77471" w:rsidRDefault="00A77B3E">
      <w:pPr>
        <w:spacing w:line="360" w:lineRule="auto"/>
        <w:jc w:val="both"/>
        <w:rPr>
          <w:rFonts w:ascii="Book Antiqua" w:hAnsi="Book Antiqua"/>
        </w:rPr>
      </w:pPr>
    </w:p>
    <w:p w14:paraId="06E4894E" w14:textId="77777777" w:rsidR="00A77B3E" w:rsidRPr="00C77471" w:rsidRDefault="00252A21">
      <w:pPr>
        <w:spacing w:line="360" w:lineRule="auto"/>
        <w:jc w:val="both"/>
        <w:rPr>
          <w:rFonts w:ascii="Book Antiqua" w:hAnsi="Book Antiqua"/>
        </w:rPr>
      </w:pPr>
      <w:r w:rsidRPr="00C77471">
        <w:rPr>
          <w:rFonts w:ascii="Book Antiqua" w:eastAsia="Book Antiqua" w:hAnsi="Book Antiqua" w:cs="Book Antiqua"/>
          <w:b/>
          <w:caps/>
          <w:u w:val="single"/>
        </w:rPr>
        <w:br w:type="page"/>
      </w:r>
      <w:r w:rsidR="00AC1F5E" w:rsidRPr="00C77471">
        <w:rPr>
          <w:rFonts w:ascii="Book Antiqua" w:eastAsia="Book Antiqua" w:hAnsi="Book Antiqua" w:cs="Book Antiqua"/>
          <w:b/>
          <w:caps/>
          <w:u w:val="single"/>
        </w:rPr>
        <w:lastRenderedPageBreak/>
        <w:t>INTRODUCTION</w:t>
      </w:r>
    </w:p>
    <w:p w14:paraId="08741975"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Common bile duct stones (CBDS) are a common biliary tract disease worldwide with secondary CBDS migrated from gallbladder into CBD, being one of major causes of </w:t>
      </w:r>
      <w:proofErr w:type="gramStart"/>
      <w:r w:rsidRPr="00C77471">
        <w:rPr>
          <w:rFonts w:ascii="Book Antiqua" w:eastAsia="Book Antiqua" w:hAnsi="Book Antiqua" w:cs="Book Antiqua"/>
        </w:rPr>
        <w:t>CBDS</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1]</w:t>
      </w:r>
      <w:r w:rsidRPr="00C77471">
        <w:rPr>
          <w:rFonts w:ascii="Book Antiqua" w:eastAsia="Book Antiqua" w:hAnsi="Book Antiqua" w:cs="Book Antiqua"/>
        </w:rPr>
        <w:t xml:space="preserve">. The prevalence of gallstones has increased in the elderly </w:t>
      </w:r>
      <w:proofErr w:type="gramStart"/>
      <w:r w:rsidRPr="00C77471">
        <w:rPr>
          <w:rFonts w:ascii="Book Antiqua" w:eastAsia="Book Antiqua" w:hAnsi="Book Antiqua" w:cs="Book Antiqua"/>
        </w:rPr>
        <w:t>population</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2]</w:t>
      </w:r>
      <w:r w:rsidRPr="00C77471">
        <w:rPr>
          <w:rFonts w:ascii="Book Antiqua" w:eastAsia="Book Antiqua" w:hAnsi="Book Antiqua" w:cs="Book Antiqua"/>
        </w:rPr>
        <w:t xml:space="preserve">, and for this reason, the number of patients with CBDS is likely to increase in the future as the world’s population ages. Owing to diagnostic modalities, such as computed tomography (CT), endoscopic ultrasonography (EUS) or magnetic resonance cholangiopancreatography (MRCP) recently developed, there is greater probability for asymptomatic CBDS to be discovered incidentally. </w:t>
      </w:r>
    </w:p>
    <w:p w14:paraId="69013FBE" w14:textId="77777777" w:rsidR="00A77B3E" w:rsidRPr="00C77471" w:rsidRDefault="00AC1F5E" w:rsidP="002724DE">
      <w:pPr>
        <w:spacing w:line="360" w:lineRule="auto"/>
        <w:ind w:firstLineChars="100" w:firstLine="240"/>
        <w:jc w:val="both"/>
        <w:rPr>
          <w:rFonts w:ascii="Book Antiqua" w:hAnsi="Book Antiqua"/>
        </w:rPr>
      </w:pPr>
      <w:r w:rsidRPr="00C77471">
        <w:rPr>
          <w:rFonts w:ascii="Book Antiqua" w:eastAsia="Book Antiqua" w:hAnsi="Book Antiqua" w:cs="Book Antiqua"/>
        </w:rPr>
        <w:t xml:space="preserve">Endoscopic management by endoscopic retrograde cholangiopancreatography (ERCP) is widely accepted as a first choice of treatment for </w:t>
      </w:r>
      <w:proofErr w:type="gramStart"/>
      <w:r w:rsidRPr="00C77471">
        <w:rPr>
          <w:rFonts w:ascii="Book Antiqua" w:eastAsia="Book Antiqua" w:hAnsi="Book Antiqua" w:cs="Book Antiqua"/>
        </w:rPr>
        <w:t>CBDS</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3]</w:t>
      </w:r>
      <w:r w:rsidRPr="00C77471">
        <w:rPr>
          <w:rFonts w:ascii="Book Antiqua" w:eastAsia="Book Antiqua" w:hAnsi="Book Antiqua" w:cs="Book Antiqua"/>
        </w:rPr>
        <w:t>. For asymptomatic CBDS, endoscopic treatment is consistently recommended in current guidelines</w:t>
      </w:r>
      <w:r w:rsidRPr="00C77471">
        <w:rPr>
          <w:rFonts w:ascii="Book Antiqua" w:eastAsia="Book Antiqua" w:hAnsi="Book Antiqua" w:cs="Book Antiqua"/>
          <w:vertAlign w:val="superscript"/>
        </w:rPr>
        <w:t>[1,3-5]</w:t>
      </w:r>
      <w:r w:rsidRPr="00C77471">
        <w:rPr>
          <w:rFonts w:ascii="Book Antiqua" w:eastAsia="Book Antiqua" w:hAnsi="Book Antiqua" w:cs="Book Antiqua"/>
        </w:rPr>
        <w:t xml:space="preserve">, and removal of asymptomatic CBDS is a common practice as asymptomatic CBDS have a potential risk of causing obstructive jaundice, acute cholangitis, and biliary pancreatitis. </w:t>
      </w:r>
    </w:p>
    <w:p w14:paraId="6FF75C99"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ERCP is however an endoscopic procedure with high risk of procedure-related complications. In general, an overall incidence of ERCP-related complications, including post-ERCP pancreatitis (PEP), cholangitis, bleeding, and perforation has been reported in 4.0%</w:t>
      </w:r>
      <w:r w:rsidR="002724DE" w:rsidRPr="00C77471">
        <w:rPr>
          <w:rFonts w:ascii="Book Antiqua" w:eastAsia="Book Antiqua" w:hAnsi="Book Antiqua" w:cs="Book Antiqua"/>
        </w:rPr>
        <w:t>-</w:t>
      </w:r>
      <w:r w:rsidRPr="00C77471">
        <w:rPr>
          <w:rFonts w:ascii="Book Antiqua" w:eastAsia="Book Antiqua" w:hAnsi="Book Antiqua" w:cs="Book Antiqua"/>
        </w:rPr>
        <w:t>15.9% of patients</w:t>
      </w:r>
      <w:r w:rsidRPr="00C77471">
        <w:rPr>
          <w:rFonts w:ascii="Book Antiqua" w:eastAsia="Book Antiqua" w:hAnsi="Book Antiqua" w:cs="Book Antiqua"/>
          <w:vertAlign w:val="superscript"/>
        </w:rPr>
        <w:t>[6,7]</w:t>
      </w:r>
      <w:r w:rsidRPr="00C77471">
        <w:rPr>
          <w:rFonts w:ascii="Book Antiqua" w:eastAsia="Book Antiqua" w:hAnsi="Book Antiqua" w:cs="Book Antiqua"/>
        </w:rPr>
        <w:t>, PEP being the most common. A systematic review of randomized controlled trials revealed an overall PEP incidence of 9.7</w:t>
      </w:r>
      <w:proofErr w:type="gramStart"/>
      <w:r w:rsidRPr="00C77471">
        <w:rPr>
          <w:rFonts w:ascii="Book Antiqua" w:eastAsia="Book Antiqua" w:hAnsi="Book Antiqua" w:cs="Book Antiqua"/>
        </w:rPr>
        <w:t>%</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8]</w:t>
      </w:r>
      <w:r w:rsidRPr="00C77471">
        <w:rPr>
          <w:rFonts w:ascii="Book Antiqua" w:eastAsia="Book Antiqua" w:hAnsi="Book Antiqua" w:cs="Book Antiqua"/>
        </w:rPr>
        <w:t xml:space="preserve">. </w:t>
      </w:r>
    </w:p>
    <w:p w14:paraId="7FA84E18"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When determining the indication of ERCP for asymptomatic CBDS, the risk of ERCP-related complications should be focused on asymptomatic CBDS rather than on average risk of ERCP-related complications of biliopancreatic diseases. </w:t>
      </w:r>
    </w:p>
    <w:p w14:paraId="76C8D9F0" w14:textId="7A4B85AF"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Some investigators recently reported the risk of ERCP-related complications focusing on asymptomatic CBDS. An overall incidence rate of ERCP-related complication for asymptomatic CBDS was reported to be approximately 15%</w:t>
      </w:r>
      <w:r w:rsidR="002724DE" w:rsidRPr="00C77471">
        <w:rPr>
          <w:rFonts w:ascii="Book Antiqua" w:eastAsia="Book Antiqua" w:hAnsi="Book Antiqua" w:cs="Book Antiqua"/>
        </w:rPr>
        <w:t>-</w:t>
      </w:r>
      <w:r w:rsidRPr="00C77471">
        <w:rPr>
          <w:rFonts w:ascii="Book Antiqua" w:eastAsia="Book Antiqua" w:hAnsi="Book Antiqua" w:cs="Book Antiqua"/>
        </w:rPr>
        <w:t>25%, with a PEP incidence of approximately 12%</w:t>
      </w:r>
      <w:r w:rsidR="002724DE" w:rsidRPr="00C77471">
        <w:rPr>
          <w:rFonts w:ascii="Book Antiqua" w:eastAsia="Book Antiqua" w:hAnsi="Book Antiqua" w:cs="Book Antiqua"/>
        </w:rPr>
        <w:t>-</w:t>
      </w:r>
      <w:r w:rsidRPr="00C77471">
        <w:rPr>
          <w:rFonts w:ascii="Book Antiqua" w:eastAsia="Book Antiqua" w:hAnsi="Book Antiqua" w:cs="Book Antiqua"/>
        </w:rPr>
        <w:t>20</w:t>
      </w:r>
      <w:proofErr w:type="gramStart"/>
      <w:r w:rsidRPr="00C77471">
        <w:rPr>
          <w:rFonts w:ascii="Book Antiqua" w:eastAsia="Book Antiqua" w:hAnsi="Book Antiqua" w:cs="Book Antiqua"/>
        </w:rPr>
        <w:t>%</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9-13]</w:t>
      </w:r>
      <w:r w:rsidRPr="00C77471">
        <w:rPr>
          <w:rFonts w:ascii="Book Antiqua" w:eastAsia="Book Antiqua" w:hAnsi="Book Antiqua" w:cs="Book Antiqua"/>
        </w:rPr>
        <w:t xml:space="preserve">. The risk of ERCP-related complications, in particular the risk of PEP, for asymptomatic CBDS appeared to be higher than that previously reported. The risk of ERCP-related complications for asymptomatic </w:t>
      </w:r>
      <w:r w:rsidR="00635E54">
        <w:rPr>
          <w:rFonts w:ascii="Book Antiqua" w:eastAsia="Book Antiqua" w:hAnsi="Book Antiqua" w:cs="Book Antiqua"/>
        </w:rPr>
        <w:t>c</w:t>
      </w:r>
      <w:r w:rsidR="00635E54" w:rsidRPr="00C77471">
        <w:rPr>
          <w:rFonts w:ascii="Book Antiqua" w:eastAsia="Book Antiqua" w:hAnsi="Book Antiqua" w:cs="Book Antiqua"/>
        </w:rPr>
        <w:t xml:space="preserve">ommon bile duct </w:t>
      </w:r>
      <w:r w:rsidR="00635E54">
        <w:rPr>
          <w:rFonts w:ascii="Book Antiqua" w:eastAsia="Book Antiqua" w:hAnsi="Book Antiqua" w:cs="Book Antiqua"/>
        </w:rPr>
        <w:t>(</w:t>
      </w:r>
      <w:r w:rsidRPr="00C77471">
        <w:rPr>
          <w:rFonts w:ascii="Book Antiqua" w:eastAsia="Book Antiqua" w:hAnsi="Book Antiqua" w:cs="Book Antiqua"/>
        </w:rPr>
        <w:t>CBD</w:t>
      </w:r>
      <w:r w:rsidR="00635E54">
        <w:rPr>
          <w:rFonts w:ascii="Book Antiqua" w:eastAsia="Book Antiqua" w:hAnsi="Book Antiqua" w:cs="Book Antiqua"/>
        </w:rPr>
        <w:t>)</w:t>
      </w:r>
      <w:r w:rsidRPr="00C77471">
        <w:rPr>
          <w:rFonts w:ascii="Book Antiqua" w:eastAsia="Book Antiqua" w:hAnsi="Book Antiqua" w:cs="Book Antiqua"/>
        </w:rPr>
        <w:t xml:space="preserve"> should therefore not be the same as the previously reported risk of ERCP-related complications for biliopancreatic diseases.</w:t>
      </w:r>
    </w:p>
    <w:p w14:paraId="125DC9B2" w14:textId="638C18C1"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lastRenderedPageBreak/>
        <w:t>When determining the indication of ERCP for asymptomatic CBDS, the risk of biliary complications in wait-and-see approach should be considered. Previous studies on the natural history of CBDS reported the biliary complication rates of wait-and-see approach for asymptomatic CBDS to vary between 0</w:t>
      </w:r>
      <w:r w:rsidR="002724DE" w:rsidRPr="00C77471">
        <w:rPr>
          <w:rFonts w:ascii="Book Antiqua" w:eastAsia="Book Antiqua" w:hAnsi="Book Antiqua" w:cs="Book Antiqua"/>
        </w:rPr>
        <w:t>-</w:t>
      </w:r>
      <w:r w:rsidRPr="00C77471">
        <w:rPr>
          <w:rFonts w:ascii="Book Antiqua" w:eastAsia="Book Antiqua" w:hAnsi="Book Antiqua" w:cs="Book Antiqua"/>
        </w:rPr>
        <w:t xml:space="preserve">25.3% during a follow-up period of 30 d to 4.8 </w:t>
      </w:r>
      <w:proofErr w:type="gramStart"/>
      <w:r w:rsidRPr="00C77471">
        <w:rPr>
          <w:rFonts w:ascii="Book Antiqua" w:eastAsia="Book Antiqua" w:hAnsi="Book Antiqua" w:cs="Book Antiqua"/>
        </w:rPr>
        <w:t>years</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14-18]</w:t>
      </w:r>
      <w:r w:rsidRPr="00C77471">
        <w:rPr>
          <w:rFonts w:ascii="Book Antiqua" w:eastAsia="Book Antiqua" w:hAnsi="Book Antiqua" w:cs="Book Antiqua"/>
        </w:rPr>
        <w:t xml:space="preserve">. Endoscopic sphincterotomy, endoscopic papillary balloon dilation, or endoscopic large papillary balloon dilation was performed for endoscopic stone removal bearing in mind the risk of stone recurrence as these procedures can cause papillary </w:t>
      </w:r>
      <w:proofErr w:type="gramStart"/>
      <w:r w:rsidRPr="00C77471">
        <w:rPr>
          <w:rFonts w:ascii="Book Antiqua" w:eastAsia="Book Antiqua" w:hAnsi="Book Antiqua" w:cs="Book Antiqua"/>
        </w:rPr>
        <w:t>dysfunction</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19,20]</w:t>
      </w:r>
      <w:r w:rsidRPr="00C77471">
        <w:rPr>
          <w:rFonts w:ascii="Book Antiqua" w:eastAsia="Book Antiqua" w:hAnsi="Book Antiqua" w:cs="Book Antiqua"/>
        </w:rPr>
        <w:t>.</w:t>
      </w:r>
    </w:p>
    <w:p w14:paraId="330F6EBB"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We clarified the remaining issues of recommended management in current guidelines for asymptomatic CBDS by reviewing the current guidelines for asymptomatic CBDS and previous studies on the risk of ERCP-related complications and natural history of asymptomatic CBDS. </w:t>
      </w:r>
    </w:p>
    <w:p w14:paraId="7217D732" w14:textId="77777777" w:rsidR="00A77B3E" w:rsidRPr="00C77471" w:rsidRDefault="00A77B3E" w:rsidP="002724DE">
      <w:pPr>
        <w:spacing w:line="360" w:lineRule="auto"/>
        <w:jc w:val="both"/>
        <w:rPr>
          <w:rFonts w:ascii="Book Antiqua" w:hAnsi="Book Antiqua"/>
        </w:rPr>
      </w:pPr>
    </w:p>
    <w:p w14:paraId="17A77C26"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EPIDEMIOLOGY OF CBDS</w:t>
      </w:r>
    </w:p>
    <w:p w14:paraId="0F526F56" w14:textId="2F417A94"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The origin of CBDS is different in Asian populations and Western population. Primary CBDS, which are more common in Asian populations, form de novo in the intra- and extrahepatic ducts. Primary CBDS are associated with biliary infection and </w:t>
      </w:r>
      <w:proofErr w:type="gramStart"/>
      <w:r w:rsidRPr="00C77471">
        <w:rPr>
          <w:rFonts w:ascii="Book Antiqua" w:eastAsia="Book Antiqua" w:hAnsi="Book Antiqua" w:cs="Book Antiqua"/>
        </w:rPr>
        <w:t>cholestasis</w:t>
      </w:r>
      <w:r w:rsidRPr="00C77471">
        <w:rPr>
          <w:rStyle w:val="docsum-authors"/>
          <w:rFonts w:ascii="Book Antiqua" w:eastAsia="Book Antiqua" w:hAnsi="Book Antiqua" w:cs="Book Antiqua"/>
          <w:vertAlign w:val="superscript"/>
        </w:rPr>
        <w:t>[</w:t>
      </w:r>
      <w:proofErr w:type="gramEnd"/>
      <w:r w:rsidRPr="00C77471">
        <w:rPr>
          <w:rStyle w:val="docsum-authors"/>
          <w:rFonts w:ascii="Book Antiqua" w:eastAsia="Book Antiqua" w:hAnsi="Book Antiqua" w:cs="Book Antiqua"/>
          <w:vertAlign w:val="superscript"/>
        </w:rPr>
        <w:t>21-24]</w:t>
      </w:r>
      <w:r w:rsidRPr="00C77471">
        <w:rPr>
          <w:rFonts w:ascii="Book Antiqua" w:eastAsia="Book Antiqua" w:hAnsi="Book Antiqua" w:cs="Book Antiqua"/>
        </w:rPr>
        <w:t xml:space="preserve">. Secondary CBDS, which are more prevalent in Western populations, typically originate in the gallbladder and migrate into </w:t>
      </w:r>
      <w:proofErr w:type="gramStart"/>
      <w:r w:rsidRPr="00C77471">
        <w:rPr>
          <w:rFonts w:ascii="Book Antiqua" w:eastAsia="Book Antiqua" w:hAnsi="Book Antiqua" w:cs="Book Antiqua"/>
        </w:rPr>
        <w:t>CBD</w:t>
      </w:r>
      <w:r w:rsidRPr="00C77471">
        <w:rPr>
          <w:rStyle w:val="docsum-authors"/>
          <w:rFonts w:ascii="Book Antiqua" w:eastAsia="Book Antiqua" w:hAnsi="Book Antiqua" w:cs="Book Antiqua"/>
          <w:vertAlign w:val="superscript"/>
        </w:rPr>
        <w:t>[</w:t>
      </w:r>
      <w:proofErr w:type="gramEnd"/>
      <w:r w:rsidRPr="00C77471">
        <w:rPr>
          <w:rStyle w:val="docsum-authors"/>
          <w:rFonts w:ascii="Book Antiqua" w:eastAsia="Book Antiqua" w:hAnsi="Book Antiqua" w:cs="Book Antiqua"/>
          <w:vertAlign w:val="superscript"/>
        </w:rPr>
        <w:t>1]</w:t>
      </w:r>
      <w:r w:rsidRPr="00C77471">
        <w:rPr>
          <w:rFonts w:ascii="Book Antiqua" w:eastAsia="Book Antiqua" w:hAnsi="Book Antiqua" w:cs="Book Antiqua"/>
        </w:rPr>
        <w:t xml:space="preserve">. </w:t>
      </w:r>
    </w:p>
    <w:p w14:paraId="6885EC30"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The prevalence of CBDS in patients with symptomatic gallstones is estimated to be 10%</w:t>
      </w:r>
      <w:r w:rsidR="002724DE" w:rsidRPr="00C77471">
        <w:rPr>
          <w:rFonts w:ascii="Book Antiqua" w:eastAsia="Book Antiqua" w:hAnsi="Book Antiqua" w:cs="Book Antiqua"/>
        </w:rPr>
        <w:t>-</w:t>
      </w:r>
      <w:r w:rsidRPr="00C77471">
        <w:rPr>
          <w:rFonts w:ascii="Book Antiqua" w:eastAsia="Book Antiqua" w:hAnsi="Book Antiqua" w:cs="Book Antiqua"/>
        </w:rPr>
        <w:t>20</w:t>
      </w:r>
      <w:proofErr w:type="gramStart"/>
      <w:r w:rsidRPr="00C77471">
        <w:rPr>
          <w:rFonts w:ascii="Book Antiqua" w:eastAsia="Book Antiqua" w:hAnsi="Book Antiqua" w:cs="Book Antiqua"/>
        </w:rPr>
        <w:t>%</w:t>
      </w:r>
      <w:r w:rsidRPr="00C77471">
        <w:rPr>
          <w:rStyle w:val="docsum-authors"/>
          <w:rFonts w:ascii="Book Antiqua" w:eastAsia="Book Antiqua" w:hAnsi="Book Antiqua" w:cs="Book Antiqua"/>
          <w:vertAlign w:val="superscript"/>
        </w:rPr>
        <w:t>[</w:t>
      </w:r>
      <w:proofErr w:type="gramEnd"/>
      <w:r w:rsidRPr="00C77471">
        <w:rPr>
          <w:rStyle w:val="docsum-authors"/>
          <w:rFonts w:ascii="Book Antiqua" w:eastAsia="Book Antiqua" w:hAnsi="Book Antiqua" w:cs="Book Antiqua"/>
          <w:vertAlign w:val="superscript"/>
        </w:rPr>
        <w:t>25-29]</w:t>
      </w:r>
      <w:r w:rsidRPr="00C77471">
        <w:rPr>
          <w:rFonts w:ascii="Book Antiqua" w:eastAsia="Book Antiqua" w:hAnsi="Book Antiqua" w:cs="Book Antiqua"/>
        </w:rPr>
        <w:t>. In patients without jaundice and dilated CBD on trans-abdominal ultrasound, the prevalence of CBDS during cholecystectomy is reported to be &lt;</w:t>
      </w:r>
      <w:r w:rsidR="002724DE" w:rsidRPr="00C77471">
        <w:rPr>
          <w:rFonts w:ascii="Book Antiqua" w:eastAsia="Book Antiqua" w:hAnsi="Book Antiqua" w:cs="Book Antiqua"/>
        </w:rPr>
        <w:t xml:space="preserve"> </w:t>
      </w:r>
      <w:r w:rsidRPr="00C77471">
        <w:rPr>
          <w:rFonts w:ascii="Book Antiqua" w:eastAsia="Book Antiqua" w:hAnsi="Book Antiqua" w:cs="Book Antiqua"/>
        </w:rPr>
        <w:t>5</w:t>
      </w:r>
      <w:proofErr w:type="gramStart"/>
      <w:r w:rsidRPr="00C77471">
        <w:rPr>
          <w:rFonts w:ascii="Book Antiqua" w:eastAsia="Book Antiqua" w:hAnsi="Book Antiqua" w:cs="Book Antiqua"/>
        </w:rPr>
        <w:t>%</w:t>
      </w:r>
      <w:r w:rsidRPr="00C77471">
        <w:rPr>
          <w:rStyle w:val="docsum-authors"/>
          <w:rFonts w:ascii="Book Antiqua" w:eastAsia="Book Antiqua" w:hAnsi="Book Antiqua" w:cs="Book Antiqua"/>
          <w:vertAlign w:val="superscript"/>
        </w:rPr>
        <w:t>[</w:t>
      </w:r>
      <w:proofErr w:type="gramEnd"/>
      <w:r w:rsidRPr="00C77471">
        <w:rPr>
          <w:rStyle w:val="docsum-authors"/>
          <w:rFonts w:ascii="Book Antiqua" w:eastAsia="Book Antiqua" w:hAnsi="Book Antiqua" w:cs="Book Antiqua"/>
          <w:vertAlign w:val="superscript"/>
        </w:rPr>
        <w:t>15]</w:t>
      </w:r>
      <w:r w:rsidRPr="00C77471">
        <w:rPr>
          <w:rFonts w:ascii="Book Antiqua" w:eastAsia="Book Antiqua" w:hAnsi="Book Antiqua" w:cs="Book Antiqua"/>
        </w:rPr>
        <w:t xml:space="preserve">. It has been reported that the rate of coexisting CBDS was increased in elderly populations with symptomatic </w:t>
      </w:r>
      <w:proofErr w:type="gramStart"/>
      <w:r w:rsidRPr="00C77471">
        <w:rPr>
          <w:rFonts w:ascii="Book Antiqua" w:eastAsia="Book Antiqua" w:hAnsi="Book Antiqua" w:cs="Book Antiqua"/>
        </w:rPr>
        <w:t>gallstones</w:t>
      </w:r>
      <w:r w:rsidRPr="00C77471">
        <w:rPr>
          <w:rStyle w:val="docsum-authors"/>
          <w:rFonts w:ascii="Book Antiqua" w:eastAsia="Book Antiqua" w:hAnsi="Book Antiqua" w:cs="Book Antiqua"/>
          <w:vertAlign w:val="superscript"/>
        </w:rPr>
        <w:t>[</w:t>
      </w:r>
      <w:proofErr w:type="gramEnd"/>
      <w:r w:rsidRPr="00C77471">
        <w:rPr>
          <w:rStyle w:val="docsum-authors"/>
          <w:rFonts w:ascii="Book Antiqua" w:eastAsia="Book Antiqua" w:hAnsi="Book Antiqua" w:cs="Book Antiqua"/>
          <w:vertAlign w:val="superscript"/>
        </w:rPr>
        <w:t>2]</w:t>
      </w:r>
      <w:r w:rsidRPr="00C77471">
        <w:rPr>
          <w:rFonts w:ascii="Book Antiqua" w:eastAsia="Book Antiqua" w:hAnsi="Book Antiqua" w:cs="Book Antiqua"/>
        </w:rPr>
        <w:t xml:space="preserve">. </w:t>
      </w:r>
    </w:p>
    <w:p w14:paraId="74C2E53F"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However, to best of our knowledge, there are no studies focusing on the prevalence of CBDS in patients with asymptomatic gallstones, as most studies are based on intraoperative cholangiography during cholecystectomy for symptomatic gallstones. Although the prevalence of CBDS is expected to increase due to the aging of world population, the prevalence of CBDS is still unknown. </w:t>
      </w:r>
    </w:p>
    <w:p w14:paraId="73E18CBB"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lastRenderedPageBreak/>
        <w:t>Further studies are warranted to clarify the prevalence of asymptomatic CBDS for a better understanding of the natural history of asymptomatic CBDS.</w:t>
      </w:r>
    </w:p>
    <w:p w14:paraId="2EE0E309" w14:textId="77777777" w:rsidR="00A77B3E" w:rsidRPr="00C77471" w:rsidRDefault="00A77B3E">
      <w:pPr>
        <w:spacing w:line="360" w:lineRule="auto"/>
        <w:ind w:firstLine="240"/>
        <w:jc w:val="both"/>
        <w:rPr>
          <w:rFonts w:ascii="Book Antiqua" w:hAnsi="Book Antiqua"/>
        </w:rPr>
      </w:pPr>
    </w:p>
    <w:p w14:paraId="0472A8EA"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DIAGNOSTIC MODALITIES OF CBDS</w:t>
      </w:r>
    </w:p>
    <w:p w14:paraId="3DC6C7EA"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Recent guidelines recommend the use of either EUS or MRCP to diagnose CBDS in patients with suspected CBDS. A recent meta-analysis of five head-to-head studies revealed that the sensitivity and specificity of EUS and MRCP are 97% </w:t>
      </w:r>
      <w:r w:rsidRPr="00C77471">
        <w:rPr>
          <w:rFonts w:ascii="Book Antiqua" w:eastAsia="Book Antiqua" w:hAnsi="Book Antiqua" w:cs="Book Antiqua"/>
          <w:i/>
          <w:iCs/>
        </w:rPr>
        <w:t>vs</w:t>
      </w:r>
      <w:r w:rsidRPr="00C77471">
        <w:rPr>
          <w:rFonts w:ascii="Book Antiqua" w:eastAsia="Book Antiqua" w:hAnsi="Book Antiqua" w:cs="Book Antiqua"/>
        </w:rPr>
        <w:t xml:space="preserve"> 90%, and specificity 87% </w:t>
      </w:r>
      <w:r w:rsidRPr="00C77471">
        <w:rPr>
          <w:rFonts w:ascii="Book Antiqua" w:eastAsia="Book Antiqua" w:hAnsi="Book Antiqua" w:cs="Book Antiqua"/>
          <w:i/>
          <w:iCs/>
        </w:rPr>
        <w:t>vs</w:t>
      </w:r>
      <w:r w:rsidRPr="00C77471">
        <w:rPr>
          <w:rFonts w:ascii="Book Antiqua" w:eastAsia="Book Antiqua" w:hAnsi="Book Antiqua" w:cs="Book Antiqua"/>
        </w:rPr>
        <w:t xml:space="preserve"> 92%, respectively. However, the overall diagnostic odds ratio of EUS was significantly higher than that of MRCP because EUS had a higher detection rate of small CBDS compared with that of MRCP, while the specificity showed no significant differences between the two </w:t>
      </w:r>
      <w:proofErr w:type="gramStart"/>
      <w:r w:rsidRPr="00C77471">
        <w:rPr>
          <w:rFonts w:ascii="Book Antiqua" w:eastAsia="Book Antiqua" w:hAnsi="Book Antiqua" w:cs="Book Antiqua"/>
        </w:rPr>
        <w:t>modalities</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30]</w:t>
      </w:r>
      <w:r w:rsidRPr="00C77471">
        <w:rPr>
          <w:rFonts w:ascii="Book Antiqua" w:eastAsia="Book Antiqua" w:hAnsi="Book Antiqua" w:cs="Book Antiqua"/>
        </w:rPr>
        <w:t xml:space="preserve">. Another meta-analysis demonstrated high diagnostic accuracy for EUS and MRCP. This meta-analysis reported that the sensitivity and specificity for EUS were 95% and 97%, and 93% and 96% for </w:t>
      </w:r>
      <w:proofErr w:type="gramStart"/>
      <w:r w:rsidRPr="00C77471">
        <w:rPr>
          <w:rFonts w:ascii="Book Antiqua" w:eastAsia="Book Antiqua" w:hAnsi="Book Antiqua" w:cs="Book Antiqua"/>
        </w:rPr>
        <w:t>MRCP</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31]</w:t>
      </w:r>
      <w:r w:rsidRPr="00C77471">
        <w:rPr>
          <w:rFonts w:ascii="Book Antiqua" w:eastAsia="Book Antiqua" w:hAnsi="Book Antiqua" w:cs="Book Antiqua"/>
        </w:rPr>
        <w:t xml:space="preserve">. </w:t>
      </w:r>
    </w:p>
    <w:p w14:paraId="0DF02A9C" w14:textId="7E085C00"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Although CT is a diagnostic modality for CBDS, routine CT scanning for suspected CBDS is not recommend in current guidelines because of some disadvantages, such as radiation exposure, side effects of contrast agent, and lower diagnostic ability for CBDS compared with MRCP and </w:t>
      </w:r>
      <w:proofErr w:type="gramStart"/>
      <w:r w:rsidRPr="00C77471">
        <w:rPr>
          <w:rFonts w:ascii="Book Antiqua" w:eastAsia="Book Antiqua" w:hAnsi="Book Antiqua" w:cs="Book Antiqua"/>
        </w:rPr>
        <w:t>EUS</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3,32]</w:t>
      </w:r>
      <w:r w:rsidRPr="00C77471">
        <w:rPr>
          <w:rFonts w:ascii="Book Antiqua" w:eastAsia="Book Antiqua" w:hAnsi="Book Antiqua" w:cs="Book Antiqua"/>
        </w:rPr>
        <w:t>. Several studies examining the diagnostic ability of multi-slice CT scanner for CBDS showed that conventional CT scanning had reasonable sensitivity (69%</w:t>
      </w:r>
      <w:r w:rsidR="002724DE" w:rsidRPr="00C77471">
        <w:rPr>
          <w:rFonts w:ascii="Book Antiqua" w:eastAsia="Book Antiqua" w:hAnsi="Book Antiqua" w:cs="Book Antiqua"/>
        </w:rPr>
        <w:t>-</w:t>
      </w:r>
      <w:r w:rsidRPr="00C77471">
        <w:rPr>
          <w:rFonts w:ascii="Book Antiqua" w:eastAsia="Book Antiqua" w:hAnsi="Book Antiqua" w:cs="Book Antiqua"/>
        </w:rPr>
        <w:t>87%) and specificity (68%</w:t>
      </w:r>
      <w:r w:rsidR="002724DE" w:rsidRPr="00C77471">
        <w:rPr>
          <w:rFonts w:ascii="Book Antiqua" w:eastAsia="Book Antiqua" w:hAnsi="Book Antiqua" w:cs="Book Antiqua"/>
        </w:rPr>
        <w:t>-</w:t>
      </w:r>
      <w:r w:rsidRPr="00C77471">
        <w:rPr>
          <w:rFonts w:ascii="Book Antiqua" w:eastAsia="Book Antiqua" w:hAnsi="Book Antiqua" w:cs="Book Antiqua"/>
        </w:rPr>
        <w:t xml:space="preserve">96%) for diagnostic </w:t>
      </w:r>
      <w:proofErr w:type="gramStart"/>
      <w:r w:rsidRPr="00C77471">
        <w:rPr>
          <w:rFonts w:ascii="Book Antiqua" w:eastAsia="Book Antiqua" w:hAnsi="Book Antiqua" w:cs="Book Antiqua"/>
        </w:rPr>
        <w:t>CBDS</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33-36]</w:t>
      </w:r>
      <w:r w:rsidRPr="00C77471">
        <w:rPr>
          <w:rFonts w:ascii="Book Antiqua" w:eastAsia="Book Antiqua" w:hAnsi="Book Antiqua" w:cs="Book Antiqua"/>
        </w:rPr>
        <w:t>. Recently, dual-energy CT scanner and dual-layer spectral CT (DLCT) scanner, which can perform a multiparameter approach, are commercially available. These CT scanners can detect noncalcified stones, which cannot be detected in conventional CT. A recent retrospective study comparing the diagnostic ability between DLCT and modern MRCP suggested that the diagnostic ability of DLCT for biliary stones was comparable to that of modern MRCP</w:t>
      </w:r>
      <w:r w:rsidRPr="00C77471">
        <w:rPr>
          <w:rFonts w:ascii="Book Antiqua" w:eastAsia="Book Antiqua" w:hAnsi="Book Antiqua" w:cs="Book Antiqua"/>
          <w:vertAlign w:val="superscript"/>
        </w:rPr>
        <w:t>[37]</w:t>
      </w:r>
      <w:r w:rsidRPr="00C77471">
        <w:rPr>
          <w:rFonts w:ascii="Book Antiqua" w:eastAsia="Book Antiqua" w:hAnsi="Book Antiqua" w:cs="Book Antiqua"/>
        </w:rPr>
        <w:t>; the detection of noncalcified small stones &lt;</w:t>
      </w:r>
      <w:r w:rsidR="002724DE" w:rsidRPr="00C77471">
        <w:rPr>
          <w:rFonts w:ascii="Book Antiqua" w:eastAsia="Book Antiqua" w:hAnsi="Book Antiqua" w:cs="Book Antiqua"/>
        </w:rPr>
        <w:t xml:space="preserve"> </w:t>
      </w:r>
      <w:r w:rsidRPr="00C77471">
        <w:rPr>
          <w:rFonts w:ascii="Book Antiqua" w:eastAsia="Book Antiqua" w:hAnsi="Book Antiqua" w:cs="Book Antiqua"/>
        </w:rPr>
        <w:t>9 mm in diameter seem to be a limitation of dual-energy CT and DLCT scanners</w:t>
      </w:r>
      <w:r w:rsidRPr="00C77471">
        <w:rPr>
          <w:rFonts w:ascii="Book Antiqua" w:eastAsia="Book Antiqua" w:hAnsi="Book Antiqua" w:cs="Book Antiqua"/>
          <w:vertAlign w:val="superscript"/>
        </w:rPr>
        <w:t>[37-39]</w:t>
      </w:r>
      <w:r w:rsidRPr="00C77471">
        <w:rPr>
          <w:rFonts w:ascii="Book Antiqua" w:eastAsia="Book Antiqua" w:hAnsi="Book Antiqua" w:cs="Book Antiqua"/>
        </w:rPr>
        <w:t>.</w:t>
      </w:r>
    </w:p>
    <w:p w14:paraId="519F6AE7"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Diagnostic modalities for CBDS, such as EUS, MRCP, and CT have recently been developed increasing the chance of detecting incidentally discovered asymptomatic CBD. </w:t>
      </w:r>
    </w:p>
    <w:p w14:paraId="6BD4FDA7" w14:textId="77777777" w:rsidR="00A77B3E" w:rsidRPr="00C77471" w:rsidRDefault="00A77B3E">
      <w:pPr>
        <w:spacing w:line="360" w:lineRule="auto"/>
        <w:ind w:firstLine="240"/>
        <w:jc w:val="both"/>
        <w:rPr>
          <w:rFonts w:ascii="Book Antiqua" w:hAnsi="Book Antiqua"/>
        </w:rPr>
      </w:pPr>
    </w:p>
    <w:p w14:paraId="6513D26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lastRenderedPageBreak/>
        <w:t>RECOMMENDED MANAGEMENT IN CURRENT GUIDELINES FOR ASYMPTOMAIC CBDS</w:t>
      </w:r>
    </w:p>
    <w:p w14:paraId="447C62A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Recommended management of current guidelines is presented in Table 1. Current guidelines published by European Society of Gastrointestinal Endoscopy, The British Society of Gastroenterology, American Society for Gastrointestinal Endoscopy, and </w:t>
      </w:r>
      <w:r w:rsidRPr="00C77471">
        <w:rPr>
          <w:rFonts w:ascii="Book Antiqua" w:eastAsia="Book Antiqua" w:hAnsi="Book Antiqua" w:cs="Book Antiqua"/>
          <w:shd w:val="clear" w:color="auto" w:fill="FFFFFF"/>
        </w:rPr>
        <w:t>The Japanese Society of Gastroenterology</w:t>
      </w:r>
      <w:r w:rsidR="002724DE" w:rsidRPr="00C77471">
        <w:rPr>
          <w:rFonts w:ascii="Book Antiqua" w:eastAsia="Book Antiqua" w:hAnsi="Book Antiqua" w:cs="Book Antiqua"/>
          <w:shd w:val="clear" w:color="auto" w:fill="FFFFFF"/>
        </w:rPr>
        <w:t xml:space="preserve"> </w:t>
      </w:r>
      <w:r w:rsidRPr="00C77471">
        <w:rPr>
          <w:rFonts w:ascii="Book Antiqua" w:eastAsia="Book Antiqua" w:hAnsi="Book Antiqua" w:cs="Book Antiqua"/>
          <w:shd w:val="clear" w:color="auto" w:fill="FFFFFF"/>
        </w:rPr>
        <w:t>strongly recommend bile duct stone removal</w:t>
      </w:r>
      <w:r w:rsidRPr="00C77471">
        <w:rPr>
          <w:rFonts w:ascii="Book Antiqua" w:eastAsia="Book Antiqua" w:hAnsi="Book Antiqua" w:cs="Book Antiqua"/>
          <w:vertAlign w:val="superscript"/>
        </w:rPr>
        <w:t>[1,3-5]</w:t>
      </w:r>
      <w:r w:rsidRPr="00C77471">
        <w:rPr>
          <w:rFonts w:ascii="Book Antiqua" w:eastAsia="Book Antiqua" w:hAnsi="Book Antiqua" w:cs="Book Antiqua"/>
          <w:shd w:val="clear" w:color="auto" w:fill="FFFFFF"/>
        </w:rPr>
        <w:t xml:space="preserve">, with ERCP as the first choice of treatment for asymptomatic CBDS removal. </w:t>
      </w:r>
    </w:p>
    <w:p w14:paraId="72E1B6AC" w14:textId="21BE5CD8"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shd w:val="clear" w:color="auto" w:fill="FFFFFF"/>
        </w:rPr>
        <w:t xml:space="preserve">Although the lifetime risk of untreated CBDS is unknown, complication of CBDS, such as pain, </w:t>
      </w:r>
      <w:r w:rsidRPr="00C77471">
        <w:rPr>
          <w:rFonts w:ascii="Book Antiqua" w:eastAsia="Book Antiqua" w:hAnsi="Book Antiqua" w:cs="Book Antiqua"/>
        </w:rPr>
        <w:t xml:space="preserve">obstructive jaundice, acute cholangitis, hepatic abscesses, biliary pancreatitis, secondary biliary cirrhosis, and portal hypertension due to biliary obstruction are potentially life threatening. Available guidelines recommend treatment for asymptomatic CBDS. A conservative approach can only be considered in patients in whom the risks of CBDS removal are higher than the risks of leaving CBDS in </w:t>
      </w:r>
      <w:proofErr w:type="gramStart"/>
      <w:r w:rsidRPr="00C77471">
        <w:rPr>
          <w:rFonts w:ascii="Book Antiqua" w:eastAsia="Book Antiqua" w:hAnsi="Book Antiqua" w:cs="Book Antiqua"/>
        </w:rPr>
        <w:t>situ</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1,3,4]</w:t>
      </w:r>
      <w:r w:rsidRPr="00C77471">
        <w:rPr>
          <w:rFonts w:ascii="Book Antiqua" w:eastAsia="Book Antiqua" w:hAnsi="Book Antiqua" w:cs="Book Antiqua"/>
        </w:rPr>
        <w:t xml:space="preserve">. </w:t>
      </w:r>
    </w:p>
    <w:p w14:paraId="5829D70C"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Current guidelines strongly recommended stone removal for asymptomatic CBDS even though the evidence quality is low.</w:t>
      </w:r>
    </w:p>
    <w:p w14:paraId="582BDD38" w14:textId="77777777" w:rsidR="00A77B3E" w:rsidRPr="00C77471" w:rsidRDefault="00A77B3E">
      <w:pPr>
        <w:spacing w:line="360" w:lineRule="auto"/>
        <w:ind w:firstLine="240"/>
        <w:jc w:val="both"/>
        <w:rPr>
          <w:rFonts w:ascii="Book Antiqua" w:hAnsi="Book Antiqua"/>
        </w:rPr>
      </w:pPr>
    </w:p>
    <w:p w14:paraId="25D2A2D5"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RISK OF ERCP-RELATED COMPLICATIONS FOR ASYMPTOMATIC CBDS</w:t>
      </w:r>
    </w:p>
    <w:p w14:paraId="1CBD980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It has been recognized that the risk of ERCP-related complications of CBDS was 6%</w:t>
      </w:r>
      <w:r w:rsidR="004042F6" w:rsidRPr="00C77471">
        <w:rPr>
          <w:rFonts w:ascii="Book Antiqua" w:eastAsia="Book Antiqua" w:hAnsi="Book Antiqua" w:cs="Book Antiqua"/>
        </w:rPr>
        <w:t>-</w:t>
      </w:r>
      <w:r w:rsidRPr="00C77471">
        <w:rPr>
          <w:rFonts w:ascii="Book Antiqua" w:eastAsia="Book Antiqua" w:hAnsi="Book Antiqua" w:cs="Book Antiqua"/>
        </w:rPr>
        <w:t>15</w:t>
      </w:r>
      <w:proofErr w:type="gramStart"/>
      <w:r w:rsidRPr="00C77471">
        <w:rPr>
          <w:rFonts w:ascii="Book Antiqua" w:eastAsia="Book Antiqua" w:hAnsi="Book Antiqua" w:cs="Book Antiqua"/>
        </w:rPr>
        <w:t>%</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6,7]</w:t>
      </w:r>
      <w:r w:rsidRPr="00C77471">
        <w:rPr>
          <w:rFonts w:ascii="Book Antiqua" w:eastAsia="Book Antiqua" w:hAnsi="Book Antiqua" w:cs="Book Antiqua"/>
        </w:rPr>
        <w:t>. However, the risk of ERCP focusing on asymptomatic CBDS is important to determine the indication of ERCP for asymptomatic CBDS.</w:t>
      </w:r>
    </w:p>
    <w:p w14:paraId="307E056F" w14:textId="1EFC933A"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Recently, several reports revealed that the risk of ERCP-related complications for patients with asymptomatic CBDS was higher than that for symptomatic patients (Table 2). A multicenter retrospective study including 164 patients with asymptomatic CBDS and 949 patients with symptomatic CBDS reported that the incidence rate of ERCP-related complications was 19.5% in asymptomatic patients and 6.2% in symptomatic patients. In particular, PEP was significantly higher in asymptomatic patients than symptomatic patients (14.6% </w:t>
      </w:r>
      <w:r w:rsidRPr="00C77471">
        <w:rPr>
          <w:rFonts w:ascii="Book Antiqua" w:eastAsia="Book Antiqua" w:hAnsi="Book Antiqua" w:cs="Book Antiqua"/>
          <w:i/>
          <w:iCs/>
        </w:rPr>
        <w:t>vs</w:t>
      </w:r>
      <w:r w:rsidRPr="00C77471">
        <w:rPr>
          <w:rFonts w:ascii="Book Antiqua" w:eastAsia="Book Antiqua" w:hAnsi="Book Antiqua" w:cs="Book Antiqua"/>
        </w:rPr>
        <w:t xml:space="preserve"> 3.0</w:t>
      </w:r>
      <w:proofErr w:type="gramStart"/>
      <w:r w:rsidRPr="00C77471">
        <w:rPr>
          <w:rFonts w:ascii="Book Antiqua" w:eastAsia="Book Antiqua" w:hAnsi="Book Antiqua" w:cs="Book Antiqua"/>
        </w:rPr>
        <w:t>%)</w:t>
      </w:r>
      <w:r w:rsidRPr="00C77471">
        <w:rPr>
          <w:rStyle w:val="docsum-authors"/>
          <w:rFonts w:ascii="Book Antiqua" w:eastAsia="Book Antiqua" w:hAnsi="Book Antiqua" w:cs="Book Antiqua"/>
          <w:vertAlign w:val="superscript"/>
        </w:rPr>
        <w:t>[</w:t>
      </w:r>
      <w:proofErr w:type="gramEnd"/>
      <w:r w:rsidRPr="00C77471">
        <w:rPr>
          <w:rStyle w:val="docsum-authors"/>
          <w:rFonts w:ascii="Book Antiqua" w:eastAsia="Book Antiqua" w:hAnsi="Book Antiqua" w:cs="Book Antiqua"/>
          <w:vertAlign w:val="superscript"/>
        </w:rPr>
        <w:t>11]</w:t>
      </w:r>
      <w:r w:rsidRPr="00C77471">
        <w:rPr>
          <w:rFonts w:ascii="Book Antiqua" w:eastAsia="Book Antiqua" w:hAnsi="Book Antiqua" w:cs="Book Antiqua"/>
        </w:rPr>
        <w:t xml:space="preserve">. A prospective study including 53 asymptomatic patients and 274 symptomatic patients reported the similar results. The rate of ERCP-related complications in asymptomatic patients and symptomatic patients were 26.4% </w:t>
      </w:r>
      <w:r w:rsidRPr="00C77471">
        <w:rPr>
          <w:rFonts w:ascii="Book Antiqua" w:eastAsia="Book Antiqua" w:hAnsi="Book Antiqua" w:cs="Book Antiqua"/>
          <w:i/>
          <w:iCs/>
        </w:rPr>
        <w:t>vs</w:t>
      </w:r>
      <w:r w:rsidRPr="00C77471">
        <w:rPr>
          <w:rFonts w:ascii="Book Antiqua" w:eastAsia="Book Antiqua" w:hAnsi="Book Antiqua" w:cs="Book Antiqua"/>
        </w:rPr>
        <w:t xml:space="preserve"> 11.7%, respectively, and the rate of PEP was 20.8% </w:t>
      </w:r>
      <w:r w:rsidRPr="00C77471">
        <w:rPr>
          <w:rFonts w:ascii="Book Antiqua" w:eastAsia="Book Antiqua" w:hAnsi="Book Antiqua" w:cs="Book Antiqua"/>
          <w:i/>
          <w:iCs/>
        </w:rPr>
        <w:t>vs</w:t>
      </w:r>
      <w:r w:rsidRPr="00C77471">
        <w:rPr>
          <w:rFonts w:ascii="Book Antiqua" w:eastAsia="Book Antiqua" w:hAnsi="Book Antiqua" w:cs="Book Antiqua"/>
        </w:rPr>
        <w:t xml:space="preserve"> 6.9%, </w:t>
      </w:r>
      <w:proofErr w:type="gramStart"/>
      <w:r w:rsidRPr="00C77471">
        <w:rPr>
          <w:rFonts w:ascii="Book Antiqua" w:eastAsia="Book Antiqua" w:hAnsi="Book Antiqua" w:cs="Book Antiqua"/>
        </w:rPr>
        <w:t>respectively</w:t>
      </w:r>
      <w:r w:rsidRPr="00C77471">
        <w:rPr>
          <w:rStyle w:val="docsum-authors"/>
          <w:rFonts w:ascii="Book Antiqua" w:eastAsia="Book Antiqua" w:hAnsi="Book Antiqua" w:cs="Book Antiqua"/>
          <w:vertAlign w:val="superscript"/>
        </w:rPr>
        <w:t>[</w:t>
      </w:r>
      <w:proofErr w:type="gramEnd"/>
      <w:r w:rsidRPr="00C77471">
        <w:rPr>
          <w:rStyle w:val="docsum-authors"/>
          <w:rFonts w:ascii="Book Antiqua" w:eastAsia="Book Antiqua" w:hAnsi="Book Antiqua" w:cs="Book Antiqua"/>
          <w:vertAlign w:val="superscript"/>
        </w:rPr>
        <w:t>12]</w:t>
      </w:r>
      <w:r w:rsidRPr="00C77471">
        <w:rPr>
          <w:rFonts w:ascii="Book Antiqua" w:eastAsia="Book Antiqua" w:hAnsi="Book Antiqua" w:cs="Book Antiqua"/>
        </w:rPr>
        <w:t xml:space="preserve">. The possible </w:t>
      </w:r>
      <w:r w:rsidRPr="00C77471">
        <w:rPr>
          <w:rFonts w:ascii="Book Antiqua" w:eastAsia="Book Antiqua" w:hAnsi="Book Antiqua" w:cs="Book Antiqua"/>
        </w:rPr>
        <w:lastRenderedPageBreak/>
        <w:t xml:space="preserve">explanation for a higher incidence of PEP in asymptomatic patients is that the number of asymptomatic patients with normal serum bilirubin, nondilated CBD, and difficult cannulation, which are patient- and procedure-related risk factors of PEP, was higher than that of symptomatic patients because of no cholestasis in patients with asymptomatic CBDS. Furthermore, asymptomatic CBDS itself may be an important clinical risk factor of </w:t>
      </w:r>
      <w:proofErr w:type="gramStart"/>
      <w:r w:rsidRPr="00C77471">
        <w:rPr>
          <w:rFonts w:ascii="Book Antiqua" w:eastAsia="Book Antiqua" w:hAnsi="Book Antiqua" w:cs="Book Antiqua"/>
        </w:rPr>
        <w:t>PEP</w:t>
      </w:r>
      <w:r w:rsidRPr="00C77471">
        <w:rPr>
          <w:rStyle w:val="docsum-authors"/>
          <w:rFonts w:ascii="Book Antiqua" w:eastAsia="Book Antiqua" w:hAnsi="Book Antiqua" w:cs="Book Antiqua"/>
          <w:vertAlign w:val="superscript"/>
        </w:rPr>
        <w:t>[</w:t>
      </w:r>
      <w:proofErr w:type="gramEnd"/>
      <w:r w:rsidRPr="00C77471">
        <w:rPr>
          <w:rStyle w:val="docsum-authors"/>
          <w:rFonts w:ascii="Book Antiqua" w:eastAsia="Book Antiqua" w:hAnsi="Book Antiqua" w:cs="Book Antiqua"/>
          <w:vertAlign w:val="superscript"/>
        </w:rPr>
        <w:t>11]</w:t>
      </w:r>
      <w:r w:rsidRPr="00C77471">
        <w:rPr>
          <w:rFonts w:ascii="Book Antiqua" w:eastAsia="Book Antiqua" w:hAnsi="Book Antiqua" w:cs="Book Antiqua"/>
        </w:rPr>
        <w:t xml:space="preserve">. </w:t>
      </w:r>
    </w:p>
    <w:p w14:paraId="6DA33256" w14:textId="5AA8D9DB"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Although a single-center retrospective study, in which ERCP was performed by skilled endoscopists, reported that the incidence of both overall ERCP-related complications and PEP in asymptomatic patients were comparable with those of symptomatic patients</w:t>
      </w:r>
      <w:r w:rsidRPr="00C77471">
        <w:rPr>
          <w:rFonts w:ascii="Book Antiqua" w:eastAsia="Book Antiqua" w:hAnsi="Book Antiqua" w:cs="Book Antiqua"/>
          <w:vertAlign w:val="superscript"/>
        </w:rPr>
        <w:t>[13]</w:t>
      </w:r>
      <w:r w:rsidRPr="00C77471">
        <w:rPr>
          <w:rFonts w:ascii="Book Antiqua" w:eastAsia="Book Antiqua" w:hAnsi="Book Antiqua" w:cs="Book Antiqua"/>
        </w:rPr>
        <w:t>, other studies reported that the incidence rate of overall ERCP-related complication was approximately 15%</w:t>
      </w:r>
      <w:r w:rsidR="004042F6" w:rsidRPr="00C77471">
        <w:rPr>
          <w:rFonts w:ascii="Book Antiqua" w:eastAsia="Book Antiqua" w:hAnsi="Book Antiqua" w:cs="Book Antiqua"/>
        </w:rPr>
        <w:t>-</w:t>
      </w:r>
      <w:r w:rsidRPr="00C77471">
        <w:rPr>
          <w:rFonts w:ascii="Book Antiqua" w:eastAsia="Book Antiqua" w:hAnsi="Book Antiqua" w:cs="Book Antiqua"/>
        </w:rPr>
        <w:t>25% in asymptomatic patients and 4%</w:t>
      </w:r>
      <w:r w:rsidR="004042F6" w:rsidRPr="00C77471">
        <w:rPr>
          <w:rFonts w:ascii="Book Antiqua" w:eastAsia="Book Antiqua" w:hAnsi="Book Antiqua" w:cs="Book Antiqua"/>
        </w:rPr>
        <w:t>-</w:t>
      </w:r>
      <w:r w:rsidRPr="00C77471">
        <w:rPr>
          <w:rFonts w:ascii="Book Antiqua" w:eastAsia="Book Antiqua" w:hAnsi="Book Antiqua" w:cs="Book Antiqua"/>
        </w:rPr>
        <w:t>12% in symptomatic patients, and the incidence of PEP was approximately 12%</w:t>
      </w:r>
      <w:r w:rsidR="004042F6" w:rsidRPr="00C77471">
        <w:rPr>
          <w:rFonts w:ascii="Book Antiqua" w:eastAsia="Book Antiqua" w:hAnsi="Book Antiqua" w:cs="Book Antiqua"/>
        </w:rPr>
        <w:t>-</w:t>
      </w:r>
      <w:r w:rsidRPr="00C77471">
        <w:rPr>
          <w:rFonts w:ascii="Book Antiqua" w:eastAsia="Book Antiqua" w:hAnsi="Book Antiqua" w:cs="Book Antiqua"/>
        </w:rPr>
        <w:t>20% in asymptomatic patients and 2%</w:t>
      </w:r>
      <w:r w:rsidR="004042F6" w:rsidRPr="00C77471">
        <w:rPr>
          <w:rFonts w:ascii="Book Antiqua" w:eastAsia="Book Antiqua" w:hAnsi="Book Antiqua" w:cs="Book Antiqua"/>
        </w:rPr>
        <w:t>-</w:t>
      </w:r>
      <w:r w:rsidRPr="00C77471">
        <w:rPr>
          <w:rFonts w:ascii="Book Antiqua" w:eastAsia="Book Antiqua" w:hAnsi="Book Antiqua" w:cs="Book Antiqua"/>
        </w:rPr>
        <w:t>7% in symptomatic patients</w:t>
      </w:r>
      <w:r w:rsidRPr="00C77471">
        <w:rPr>
          <w:rFonts w:ascii="Book Antiqua" w:eastAsia="Book Antiqua" w:hAnsi="Book Antiqua" w:cs="Book Antiqua"/>
          <w:vertAlign w:val="superscript"/>
        </w:rPr>
        <w:t>[9-12]</w:t>
      </w:r>
      <w:r w:rsidRPr="00C77471">
        <w:rPr>
          <w:rFonts w:ascii="Book Antiqua" w:eastAsia="Book Antiqua" w:hAnsi="Book Antiqua" w:cs="Book Antiqua"/>
        </w:rPr>
        <w:t xml:space="preserve">. Therefore, the risk of ERCP-related complications, in particular the risk of PEP, in asymptomatic patients with CBDS is possibly higher than that of symptomatic patients. </w:t>
      </w:r>
    </w:p>
    <w:p w14:paraId="28CF043B" w14:textId="77777777" w:rsidR="00A77B3E" w:rsidRPr="00C77471" w:rsidRDefault="00A77B3E">
      <w:pPr>
        <w:spacing w:line="360" w:lineRule="auto"/>
        <w:ind w:firstLine="240"/>
        <w:jc w:val="both"/>
        <w:rPr>
          <w:rFonts w:ascii="Book Antiqua" w:hAnsi="Book Antiqua"/>
        </w:rPr>
      </w:pPr>
    </w:p>
    <w:p w14:paraId="28E20FFF"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NATURAL HISTORY OF ASYMPTOMAIC CBDS</w:t>
      </w:r>
    </w:p>
    <w:p w14:paraId="038C64D6" w14:textId="1ABA92D5"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About 2%</w:t>
      </w:r>
      <w:r w:rsidR="00170F4E">
        <w:rPr>
          <w:rFonts w:ascii="Book Antiqua" w:eastAsia="Book Antiqua" w:hAnsi="Book Antiqua" w:cs="Book Antiqua"/>
        </w:rPr>
        <w:t>-</w:t>
      </w:r>
      <w:r w:rsidRPr="00C77471">
        <w:rPr>
          <w:rFonts w:ascii="Book Antiqua" w:eastAsia="Book Antiqua" w:hAnsi="Book Antiqua" w:cs="Book Antiqua"/>
        </w:rPr>
        <w:t xml:space="preserve">4% of patients with asymptomatic gallstones becomes symptomatic over the years. Multiple gallstones, negative cholecystography findings, and young age are the risk factors for transition from asymptomatic to </w:t>
      </w:r>
      <w:proofErr w:type="gramStart"/>
      <w:r w:rsidRPr="00C77471">
        <w:rPr>
          <w:rFonts w:ascii="Book Antiqua" w:eastAsia="Book Antiqua" w:hAnsi="Book Antiqua" w:cs="Book Antiqua"/>
        </w:rPr>
        <w:t>symptomatic</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40-43]</w:t>
      </w:r>
      <w:r w:rsidRPr="00C77471">
        <w:rPr>
          <w:rFonts w:ascii="Book Antiqua" w:eastAsia="Book Antiqua" w:hAnsi="Book Antiqua" w:cs="Book Antiqua"/>
        </w:rPr>
        <w:t xml:space="preserve">. The potential risk of intraoperative and postoperative complications related to surgery explains why current guidelines are against laparoscopic cholecystectomy for patients with asymptomatic gallstones in a normal </w:t>
      </w:r>
      <w:proofErr w:type="gramStart"/>
      <w:r w:rsidRPr="00C77471">
        <w:rPr>
          <w:rFonts w:ascii="Book Antiqua" w:eastAsia="Book Antiqua" w:hAnsi="Book Antiqua" w:cs="Book Antiqua"/>
        </w:rPr>
        <w:t>gallbladder</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4,32]</w:t>
      </w:r>
      <w:r w:rsidRPr="00C77471">
        <w:rPr>
          <w:rFonts w:ascii="Book Antiqua" w:eastAsia="Book Antiqua" w:hAnsi="Book Antiqua" w:cs="Book Antiqua"/>
        </w:rPr>
        <w:t xml:space="preserve">. </w:t>
      </w:r>
    </w:p>
    <w:p w14:paraId="3C0505E3"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Although the long-term natural history of CBDS is less understood than that of gallstones, several studies have examined the short- to middle-term natural history of asymptomatic </w:t>
      </w:r>
      <w:proofErr w:type="gramStart"/>
      <w:r w:rsidRPr="00C77471">
        <w:rPr>
          <w:rFonts w:ascii="Book Antiqua" w:eastAsia="Book Antiqua" w:hAnsi="Book Antiqua" w:cs="Book Antiqua"/>
        </w:rPr>
        <w:t>CBDS</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14-18]</w:t>
      </w:r>
      <w:r w:rsidRPr="00C77471">
        <w:rPr>
          <w:rFonts w:ascii="Book Antiqua" w:eastAsia="Book Antiqua" w:hAnsi="Book Antiqua" w:cs="Book Antiqua"/>
        </w:rPr>
        <w:t xml:space="preserve"> (Table 3). </w:t>
      </w:r>
    </w:p>
    <w:p w14:paraId="27BFAC62"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Data from the </w:t>
      </w:r>
      <w:proofErr w:type="spellStart"/>
      <w:r w:rsidRPr="00C77471">
        <w:rPr>
          <w:rFonts w:ascii="Book Antiqua" w:eastAsia="Book Antiqua" w:hAnsi="Book Antiqua" w:cs="Book Antiqua"/>
        </w:rPr>
        <w:t>GallRiks</w:t>
      </w:r>
      <w:proofErr w:type="spellEnd"/>
      <w:r w:rsidRPr="00C77471">
        <w:rPr>
          <w:rFonts w:ascii="Book Antiqua" w:eastAsia="Book Antiqua" w:hAnsi="Book Antiqua" w:cs="Book Antiqua"/>
        </w:rPr>
        <w:t xml:space="preserve"> study, including 594 patients who had CBDS incidentally discovered by intraoperative cholangiography and were untreated, suggest that 25.3% (150/594) of patients developed unfavorable outcomes defined as incomplete clearance of CBDS and/or complications within 30 d</w:t>
      </w:r>
      <w:r w:rsidR="004042F6" w:rsidRPr="00C77471">
        <w:rPr>
          <w:rFonts w:ascii="Book Antiqua" w:eastAsia="Book Antiqua" w:hAnsi="Book Antiqua" w:cs="Book Antiqua"/>
        </w:rPr>
        <w:t xml:space="preserve"> </w:t>
      </w:r>
      <w:r w:rsidRPr="00C77471">
        <w:rPr>
          <w:rFonts w:ascii="Book Antiqua" w:eastAsia="Book Antiqua" w:hAnsi="Book Antiqua" w:cs="Book Antiqua"/>
        </w:rPr>
        <w:t xml:space="preserve">post cholecystectomy. Among the 3234 </w:t>
      </w:r>
      <w:r w:rsidRPr="00C77471">
        <w:rPr>
          <w:rFonts w:ascii="Book Antiqua" w:eastAsia="Book Antiqua" w:hAnsi="Book Antiqua" w:cs="Book Antiqua"/>
        </w:rPr>
        <w:lastRenderedPageBreak/>
        <w:t xml:space="preserve">patients who underwent any procedure of CBDS removal, including post- or intraoperative ERCP, laparoscopic or open choledochotomy, </w:t>
      </w:r>
      <w:proofErr w:type="spellStart"/>
      <w:r w:rsidRPr="00C77471">
        <w:rPr>
          <w:rFonts w:ascii="Book Antiqua" w:eastAsia="Book Antiqua" w:hAnsi="Book Antiqua" w:cs="Book Antiqua"/>
        </w:rPr>
        <w:t>transcystic</w:t>
      </w:r>
      <w:proofErr w:type="spellEnd"/>
      <w:r w:rsidRPr="00C77471">
        <w:rPr>
          <w:rFonts w:ascii="Book Antiqua" w:eastAsia="Book Antiqua" w:hAnsi="Book Antiqua" w:cs="Book Antiqua"/>
        </w:rPr>
        <w:t xml:space="preserve"> stone extraction, or flushing/manipulation, 12.7% (411/3234) developed unfavorable outcomes. This led to conclusion that if CBDS are detected, they should be removed to reduce the risk of CBDS-related complications over </w:t>
      </w:r>
      <w:proofErr w:type="gramStart"/>
      <w:r w:rsidRPr="00C77471">
        <w:rPr>
          <w:rFonts w:ascii="Book Antiqua" w:eastAsia="Book Antiqua" w:hAnsi="Book Antiqua" w:cs="Book Antiqua"/>
        </w:rPr>
        <w:t>time</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17]</w:t>
      </w:r>
      <w:r w:rsidRPr="00C77471">
        <w:rPr>
          <w:rFonts w:ascii="Book Antiqua" w:eastAsia="Book Antiqua" w:hAnsi="Book Antiqua" w:cs="Book Antiqua"/>
        </w:rPr>
        <w:t>.</w:t>
      </w:r>
    </w:p>
    <w:p w14:paraId="7F44FA0C" w14:textId="57887F79"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However, there are several noteworthy aspects in the results of </w:t>
      </w:r>
      <w:proofErr w:type="spellStart"/>
      <w:r w:rsidRPr="00C77471">
        <w:rPr>
          <w:rFonts w:ascii="Book Antiqua" w:eastAsia="Book Antiqua" w:hAnsi="Book Antiqua" w:cs="Book Antiqua"/>
        </w:rPr>
        <w:t>GallRiks</w:t>
      </w:r>
      <w:proofErr w:type="spellEnd"/>
      <w:r w:rsidRPr="00C77471">
        <w:rPr>
          <w:rFonts w:ascii="Book Antiqua" w:eastAsia="Book Antiqua" w:hAnsi="Book Antiqua" w:cs="Book Antiqua"/>
        </w:rPr>
        <w:t xml:space="preserve"> study. First, long-term outcomes of patients in the untreated asymptomatic CBDS group and treated asymptomatic CBDS group were unclear. Second, patients who underwent postoperative ERCP had a high unfavorable outcome rate of 18% (103/572), suggesting that ERCP for asymptomatic CBDS had a high risk of ERCP-related complications. Third, although the unfavorable outcome rate of no treatment for CBDS also included post-ERCP complications in patients who became symptomatic and underwent ERCP within 30 d post cholecystectomy, this unfavorable outcome should also be included in the unfavorable outcomes of treatment strategies. Therefore, the risk of ERCP-related complications for CBDS removal may be underestimated in the </w:t>
      </w:r>
      <w:proofErr w:type="spellStart"/>
      <w:r w:rsidRPr="00C77471">
        <w:rPr>
          <w:rFonts w:ascii="Book Antiqua" w:eastAsia="Book Antiqua" w:hAnsi="Book Antiqua" w:cs="Book Antiqua"/>
        </w:rPr>
        <w:t>GallRiks</w:t>
      </w:r>
      <w:proofErr w:type="spellEnd"/>
      <w:r w:rsidRPr="00C77471">
        <w:rPr>
          <w:rFonts w:ascii="Book Antiqua" w:eastAsia="Book Antiqua" w:hAnsi="Book Antiqua" w:cs="Book Antiqua"/>
        </w:rPr>
        <w:t xml:space="preserve"> study.</w:t>
      </w:r>
    </w:p>
    <w:p w14:paraId="1439A562" w14:textId="77777777" w:rsidR="00A77B3E" w:rsidRPr="00C77471" w:rsidRDefault="00AC1F5E">
      <w:pPr>
        <w:spacing w:line="360" w:lineRule="auto"/>
        <w:ind w:firstLine="240"/>
        <w:jc w:val="both"/>
        <w:rPr>
          <w:rFonts w:ascii="Book Antiqua" w:hAnsi="Book Antiqua"/>
        </w:rPr>
      </w:pPr>
      <w:proofErr w:type="spellStart"/>
      <w:r w:rsidRPr="00C77471">
        <w:rPr>
          <w:rFonts w:ascii="Book Antiqua" w:eastAsia="Book Antiqua" w:hAnsi="Book Antiqua" w:cs="Book Antiqua"/>
        </w:rPr>
        <w:t>Hakuta</w:t>
      </w:r>
      <w:proofErr w:type="spellEnd"/>
      <w:r w:rsidRPr="00C77471">
        <w:rPr>
          <w:rFonts w:ascii="Book Antiqua" w:eastAsia="Book Antiqua" w:hAnsi="Book Antiqua" w:cs="Book Antiqua"/>
        </w:rPr>
        <w:t xml:space="preserve"> </w:t>
      </w:r>
      <w:r w:rsidRPr="00C77471">
        <w:rPr>
          <w:rFonts w:ascii="Book Antiqua" w:eastAsia="Book Antiqua" w:hAnsi="Book Antiqua" w:cs="Book Antiqua"/>
          <w:i/>
          <w:iCs/>
        </w:rPr>
        <w:t>et al</w:t>
      </w:r>
      <w:r w:rsidR="00D03B20" w:rsidRPr="00C77471">
        <w:rPr>
          <w:rFonts w:ascii="Book Antiqua" w:eastAsia="Book Antiqua" w:hAnsi="Book Antiqua" w:cs="Book Antiqua"/>
          <w:vertAlign w:val="superscript"/>
        </w:rPr>
        <w:t>[18]</w:t>
      </w:r>
      <w:r w:rsidRPr="00C77471">
        <w:rPr>
          <w:rFonts w:ascii="Book Antiqua" w:eastAsia="Book Antiqua" w:hAnsi="Book Antiqua" w:cs="Book Antiqua"/>
        </w:rPr>
        <w:t xml:space="preserve"> recently reported that out of the 114 patients with asymptomatic CBDS who underwent wait-and-see approach, 18% developed CBDS-related complications, which were cholangitis in 16 patients (14%), cholecystitis in 1 patient (0.9%), and cholestasis in 4 patients (3.5%), and no biliary pancreatitis during the average follow-up period of 3.2 years. </w:t>
      </w:r>
    </w:p>
    <w:p w14:paraId="028A605F"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In some patients with asymptomatic small CBDS, the stones can be drained into duodenum spontaneously without the need for an </w:t>
      </w:r>
      <w:proofErr w:type="gramStart"/>
      <w:r w:rsidRPr="00C77471">
        <w:rPr>
          <w:rFonts w:ascii="Book Antiqua" w:eastAsia="Book Antiqua" w:hAnsi="Book Antiqua" w:cs="Book Antiqua"/>
        </w:rPr>
        <w:t>intervention</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44-48]</w:t>
      </w:r>
      <w:r w:rsidRPr="00C77471">
        <w:rPr>
          <w:rFonts w:ascii="Book Antiqua" w:eastAsia="Book Antiqua" w:hAnsi="Book Antiqua" w:cs="Book Antiqua"/>
        </w:rPr>
        <w:t xml:space="preserve">. Collins </w:t>
      </w:r>
      <w:r w:rsidRPr="00C77471">
        <w:rPr>
          <w:rFonts w:ascii="Book Antiqua" w:eastAsia="Book Antiqua" w:hAnsi="Book Antiqua" w:cs="Book Antiqua"/>
          <w:i/>
          <w:iCs/>
        </w:rPr>
        <w:t xml:space="preserve">et </w:t>
      </w:r>
      <w:proofErr w:type="gramStart"/>
      <w:r w:rsidRPr="00C77471">
        <w:rPr>
          <w:rFonts w:ascii="Book Antiqua" w:eastAsia="Book Antiqua" w:hAnsi="Book Antiqua" w:cs="Book Antiqua"/>
          <w:i/>
          <w:iCs/>
        </w:rPr>
        <w:t>al</w:t>
      </w:r>
      <w:r w:rsidR="002F7E4B" w:rsidRPr="00C77471">
        <w:rPr>
          <w:rFonts w:ascii="Book Antiqua" w:eastAsia="Book Antiqua" w:hAnsi="Book Antiqua" w:cs="Book Antiqua"/>
          <w:vertAlign w:val="superscript"/>
        </w:rPr>
        <w:t>[</w:t>
      </w:r>
      <w:proofErr w:type="gramEnd"/>
      <w:r w:rsidR="002F7E4B" w:rsidRPr="00C77471">
        <w:rPr>
          <w:rFonts w:ascii="Book Antiqua" w:eastAsia="Book Antiqua" w:hAnsi="Book Antiqua" w:cs="Book Antiqua"/>
          <w:vertAlign w:val="superscript"/>
        </w:rPr>
        <w:t>15]</w:t>
      </w:r>
      <w:r w:rsidRPr="00C77471">
        <w:rPr>
          <w:rFonts w:ascii="Book Antiqua" w:eastAsia="Book Antiqua" w:hAnsi="Book Antiqua" w:cs="Book Antiqua"/>
        </w:rPr>
        <w:t xml:space="preserve"> demonstrated the spontaneous passage of small CBDS without serious complications in 24 of 46 patients with a filling defect observed by intraoperative cholangiography during cholecystectomy within 6 </w:t>
      </w:r>
      <w:proofErr w:type="spellStart"/>
      <w:r w:rsidRPr="00C77471">
        <w:rPr>
          <w:rFonts w:ascii="Book Antiqua" w:eastAsia="Book Antiqua" w:hAnsi="Book Antiqua" w:cs="Book Antiqua"/>
        </w:rPr>
        <w:t>wk</w:t>
      </w:r>
      <w:proofErr w:type="spellEnd"/>
      <w:r w:rsidRPr="00C77471">
        <w:rPr>
          <w:rFonts w:ascii="Book Antiqua" w:eastAsia="Book Antiqua" w:hAnsi="Book Antiqua" w:cs="Book Antiqua"/>
        </w:rPr>
        <w:t xml:space="preserve"> of surgery. Asymptomatic spontaneous passage of small CBDS less than 8 mm in size has also been found in approximately 20% CBDS in the interval between diagnosis at EUS and ERCP</w:t>
      </w:r>
      <w:r w:rsidRPr="00C77471">
        <w:rPr>
          <w:rFonts w:ascii="Book Antiqua" w:eastAsia="Book Antiqua" w:hAnsi="Book Antiqua" w:cs="Book Antiqua"/>
          <w:vertAlign w:val="superscript"/>
        </w:rPr>
        <w:t>[49]</w:t>
      </w:r>
      <w:r w:rsidRPr="00C77471">
        <w:rPr>
          <w:rFonts w:ascii="Book Antiqua" w:eastAsia="Book Antiqua" w:hAnsi="Book Antiqua" w:cs="Book Antiqua"/>
        </w:rPr>
        <w:t>.</w:t>
      </w:r>
    </w:p>
    <w:p w14:paraId="119FBFBB"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Clarifying the long-term natural history of asymptomatic CBDS is essential to determine whether intervention by ERCP or wait-and-see approach for asymptomatic </w:t>
      </w:r>
      <w:r w:rsidRPr="00C77471">
        <w:rPr>
          <w:rFonts w:ascii="Book Antiqua" w:eastAsia="Book Antiqua" w:hAnsi="Book Antiqua" w:cs="Book Antiqua"/>
        </w:rPr>
        <w:lastRenderedPageBreak/>
        <w:t xml:space="preserve">CBDS has a better outcome. A large-scale prospective study examining long-term natural history of asymptomatic CBDS is therefore warranted. </w:t>
      </w:r>
    </w:p>
    <w:p w14:paraId="388B2AA6" w14:textId="77777777" w:rsidR="00A77B3E" w:rsidRPr="00C77471" w:rsidRDefault="00A77B3E" w:rsidP="00C165DF">
      <w:pPr>
        <w:spacing w:line="360" w:lineRule="auto"/>
        <w:jc w:val="both"/>
        <w:rPr>
          <w:rFonts w:ascii="Book Antiqua" w:hAnsi="Book Antiqua"/>
        </w:rPr>
      </w:pPr>
    </w:p>
    <w:p w14:paraId="4DEFF83F"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RECCURENCE OF CBDS AFTER ENDOSCOPIC STONE REMOVAL</w:t>
      </w:r>
    </w:p>
    <w:p w14:paraId="0A136FD8" w14:textId="2A8F37C0"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The Korean nationwide study inclu</w:t>
      </w:r>
      <w:r w:rsidR="00A76492">
        <w:rPr>
          <w:rFonts w:ascii="Book Antiqua" w:eastAsia="Book Antiqua" w:hAnsi="Book Antiqua" w:cs="Book Antiqua"/>
        </w:rPr>
        <w:t>ding 46</w:t>
      </w:r>
      <w:r w:rsidRPr="00C77471">
        <w:rPr>
          <w:rFonts w:ascii="Book Antiqua" w:eastAsia="Book Antiqua" w:hAnsi="Book Antiqua" w:cs="Book Antiqua"/>
        </w:rPr>
        <w:t xml:space="preserve">181 patients with CBDS demonstrated that 5228 (11.3%) patients experienced first CBDS recurrence at mean follow-up of 4.3 years. The cumulative second and third recurrence rates after the initial CBD recurrence were 23.4% and 33.4%. Therefore, the higher the frequency of recurrence of stones, the higher the recurrence rate of the </w:t>
      </w:r>
      <w:proofErr w:type="gramStart"/>
      <w:r w:rsidRPr="00C77471">
        <w:rPr>
          <w:rFonts w:ascii="Book Antiqua" w:eastAsia="Book Antiqua" w:hAnsi="Book Antiqua" w:cs="Book Antiqua"/>
        </w:rPr>
        <w:t>stones</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19]</w:t>
      </w:r>
      <w:r w:rsidRPr="00C77471">
        <w:rPr>
          <w:rFonts w:ascii="Book Antiqua" w:eastAsia="Book Antiqua" w:hAnsi="Book Antiqua" w:cs="Book Antiqua"/>
        </w:rPr>
        <w:t xml:space="preserve">. Another retrospective study revealed that CBDS recurrence was observed in 121 patients (12.4%) out of 976 patients. Multiple recurrence after first recurrence was observed in 26 patients (21.5%) of 121 patients with stone recurrence during a median follow-up period of 5.1 years. The risk factors for single recurrence were CBD size, gallbladder left in situ with gallstones, and </w:t>
      </w:r>
      <w:proofErr w:type="spellStart"/>
      <w:r w:rsidRPr="00C77471">
        <w:rPr>
          <w:rFonts w:ascii="Book Antiqua" w:eastAsia="Book Antiqua" w:hAnsi="Book Antiqua" w:cs="Book Antiqua"/>
        </w:rPr>
        <w:t>pneumobilia</w:t>
      </w:r>
      <w:proofErr w:type="spellEnd"/>
      <w:r w:rsidRPr="00C77471">
        <w:rPr>
          <w:rFonts w:ascii="Book Antiqua" w:eastAsia="Book Antiqua" w:hAnsi="Book Antiqua" w:cs="Book Antiqua"/>
        </w:rPr>
        <w:t xml:space="preserve"> after ERCP, and the risk factor for multiple recurrence was the number of CBDS at the first </w:t>
      </w:r>
      <w:proofErr w:type="gramStart"/>
      <w:r w:rsidRPr="00C77471">
        <w:rPr>
          <w:rFonts w:ascii="Book Antiqua" w:eastAsia="Book Antiqua" w:hAnsi="Book Antiqua" w:cs="Book Antiqua"/>
        </w:rPr>
        <w:t>recurrence</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20]</w:t>
      </w:r>
      <w:r w:rsidRPr="00C77471">
        <w:rPr>
          <w:rFonts w:ascii="Book Antiqua" w:eastAsia="Book Antiqua" w:hAnsi="Book Antiqua" w:cs="Book Antiqua"/>
        </w:rPr>
        <w:t xml:space="preserve">. </w:t>
      </w:r>
    </w:p>
    <w:p w14:paraId="26B6549D" w14:textId="77777777" w:rsidR="00A77B3E" w:rsidRPr="00C77471" w:rsidRDefault="00AC1F5E">
      <w:pPr>
        <w:spacing w:line="360" w:lineRule="auto"/>
        <w:ind w:firstLine="360"/>
        <w:jc w:val="both"/>
        <w:rPr>
          <w:rFonts w:ascii="Book Antiqua" w:hAnsi="Book Antiqua"/>
        </w:rPr>
      </w:pPr>
      <w:r w:rsidRPr="00C77471">
        <w:rPr>
          <w:rFonts w:ascii="Book Antiqua" w:eastAsia="Book Antiqua" w:hAnsi="Book Antiqua" w:cs="Book Antiqua"/>
        </w:rPr>
        <w:t xml:space="preserve">Stone recurrence should be considered when balancing stone removal by ERCP </w:t>
      </w:r>
      <w:r w:rsidRPr="00C77471">
        <w:rPr>
          <w:rFonts w:ascii="Book Antiqua" w:eastAsia="Book Antiqua" w:hAnsi="Book Antiqua" w:cs="Book Antiqua"/>
          <w:i/>
          <w:iCs/>
        </w:rPr>
        <w:t>vs</w:t>
      </w:r>
      <w:r w:rsidRPr="00C77471">
        <w:rPr>
          <w:rFonts w:ascii="Book Antiqua" w:eastAsia="Book Antiqua" w:hAnsi="Book Antiqua" w:cs="Book Antiqua"/>
        </w:rPr>
        <w:t xml:space="preserve"> wait-and-see approach for asymptomatic CBDS. </w:t>
      </w:r>
    </w:p>
    <w:p w14:paraId="3BD8C5C8" w14:textId="77777777" w:rsidR="00A77B3E" w:rsidRPr="00C77471" w:rsidRDefault="00A77B3E">
      <w:pPr>
        <w:spacing w:line="360" w:lineRule="auto"/>
        <w:ind w:firstLine="360"/>
        <w:jc w:val="both"/>
        <w:rPr>
          <w:rFonts w:ascii="Book Antiqua" w:hAnsi="Book Antiqua"/>
        </w:rPr>
      </w:pPr>
    </w:p>
    <w:p w14:paraId="06284CB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REMAINING ISSUES IN CURRENT GUIDELINES FOR ASYMPTOMATIC CBDS</w:t>
      </w:r>
    </w:p>
    <w:p w14:paraId="5313F81F"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When determining the indication of ERCP for patient with asymptomatic CBDS, the risk of early and late ERCP-related complications and long-term natural history of asymptomatic CBDS should be considered. </w:t>
      </w:r>
    </w:p>
    <w:p w14:paraId="4022AFD4" w14:textId="535A7EB7" w:rsidR="00A77B3E" w:rsidRPr="00C77471" w:rsidRDefault="00AC1F5E" w:rsidP="00022295">
      <w:pPr>
        <w:spacing w:line="360" w:lineRule="auto"/>
        <w:ind w:firstLineChars="100" w:firstLine="240"/>
        <w:jc w:val="both"/>
        <w:rPr>
          <w:rFonts w:ascii="Book Antiqua" w:hAnsi="Book Antiqua"/>
        </w:rPr>
      </w:pPr>
      <w:r w:rsidRPr="00C77471">
        <w:rPr>
          <w:rFonts w:ascii="Book Antiqua" w:eastAsia="Book Antiqua" w:hAnsi="Book Antiqua" w:cs="Book Antiqua"/>
        </w:rPr>
        <w:t xml:space="preserve">Recently, the risk of ERCP-related complications for asymptomatic CBDS and the short- to middle-term natural history of this disease have been reported as </w:t>
      </w:r>
      <w:proofErr w:type="gramStart"/>
      <w:r w:rsidRPr="00C77471">
        <w:rPr>
          <w:rFonts w:ascii="Book Antiqua" w:eastAsia="Book Antiqua" w:hAnsi="Book Antiqua" w:cs="Book Antiqua"/>
        </w:rPr>
        <w:t>above</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9-18]</w:t>
      </w:r>
      <w:r w:rsidRPr="00C77471">
        <w:rPr>
          <w:rFonts w:ascii="Book Antiqua" w:eastAsia="Book Antiqua" w:hAnsi="Book Antiqua" w:cs="Book Antiqua"/>
        </w:rPr>
        <w:t>.</w:t>
      </w:r>
    </w:p>
    <w:p w14:paraId="0DC02771" w14:textId="37957768"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Based on the previous reports, the risk of early ERCP-related complications, including PEP, cholangitis, bleeding, and perforation can be estimated to approximately 15%</w:t>
      </w:r>
      <w:r w:rsidR="009A6095" w:rsidRPr="00C77471">
        <w:rPr>
          <w:rFonts w:ascii="Book Antiqua" w:eastAsia="Book Antiqua" w:hAnsi="Book Antiqua" w:cs="Book Antiqua"/>
        </w:rPr>
        <w:t>-</w:t>
      </w:r>
      <w:r w:rsidRPr="00C77471">
        <w:rPr>
          <w:rFonts w:ascii="Book Antiqua" w:eastAsia="Book Antiqua" w:hAnsi="Book Antiqua" w:cs="Book Antiqua"/>
        </w:rPr>
        <w:t>25% with the incidence of PEP of 12%</w:t>
      </w:r>
      <w:r w:rsidRPr="00C77471">
        <w:rPr>
          <w:rFonts w:ascii="Book Antiqua" w:eastAsia="Book Antiqua" w:hAnsi="Book Antiqua" w:cs="Book Antiqua"/>
        </w:rPr>
        <w:softHyphen/>
      </w:r>
      <w:r w:rsidR="009A6095" w:rsidRPr="00C77471">
        <w:rPr>
          <w:rFonts w:ascii="Book Antiqua" w:eastAsia="Book Antiqua" w:hAnsi="Book Antiqua" w:cs="Book Antiqua"/>
        </w:rPr>
        <w:t>-</w:t>
      </w:r>
      <w:r w:rsidRPr="00C77471">
        <w:rPr>
          <w:rFonts w:ascii="Book Antiqua" w:eastAsia="Book Antiqua" w:hAnsi="Book Antiqua" w:cs="Book Antiqua"/>
        </w:rPr>
        <w:t>20% in patients with asymptomatic CBDS</w:t>
      </w:r>
      <w:r w:rsidRPr="00C77471">
        <w:rPr>
          <w:rFonts w:ascii="Book Antiqua" w:eastAsia="Book Antiqua" w:hAnsi="Book Antiqua" w:cs="Book Antiqua"/>
          <w:vertAlign w:val="superscript"/>
        </w:rPr>
        <w:t>[9-14]</w:t>
      </w:r>
      <w:r w:rsidRPr="00C77471">
        <w:rPr>
          <w:rFonts w:ascii="Book Antiqua" w:eastAsia="Book Antiqua" w:hAnsi="Book Antiqua" w:cs="Book Antiqua"/>
        </w:rPr>
        <w:t>. The risk of late ERCP-related complications including stone recurrence and cholangitis can be estimated to approximately 10</w:t>
      </w:r>
      <w:proofErr w:type="gramStart"/>
      <w:r w:rsidRPr="00C77471">
        <w:rPr>
          <w:rFonts w:ascii="Book Antiqua" w:eastAsia="Book Antiqua" w:hAnsi="Book Antiqua" w:cs="Book Antiqua"/>
        </w:rPr>
        <w:t>%</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18-20]</w:t>
      </w:r>
      <w:r w:rsidRPr="00C77471">
        <w:rPr>
          <w:rFonts w:ascii="Book Antiqua" w:eastAsia="Book Antiqua" w:hAnsi="Book Antiqua" w:cs="Book Antiqua"/>
        </w:rPr>
        <w:t>, with the risk of early and late ERCP-related complications for asymptomat</w:t>
      </w:r>
      <w:r w:rsidR="009A6095" w:rsidRPr="00C77471">
        <w:rPr>
          <w:rFonts w:ascii="Book Antiqua" w:eastAsia="Book Antiqua" w:hAnsi="Book Antiqua" w:cs="Book Antiqua"/>
        </w:rPr>
        <w:t>ic CBDS being approximately 25%-</w:t>
      </w:r>
      <w:r w:rsidRPr="00C77471">
        <w:rPr>
          <w:rFonts w:ascii="Book Antiqua" w:eastAsia="Book Antiqua" w:hAnsi="Book Antiqua" w:cs="Book Antiqua"/>
        </w:rPr>
        <w:t xml:space="preserve">35%. The risk of biliary </w:t>
      </w:r>
      <w:r w:rsidRPr="00C77471">
        <w:rPr>
          <w:rFonts w:ascii="Book Antiqua" w:eastAsia="Book Antiqua" w:hAnsi="Book Antiqua" w:cs="Book Antiqua"/>
        </w:rPr>
        <w:lastRenderedPageBreak/>
        <w:t>complications in wait-and-see approach during median follow-up period of 30 d to 4.9 years was estimated to be approximately 0%</w:t>
      </w:r>
      <w:r w:rsidR="009A6095" w:rsidRPr="00C77471">
        <w:rPr>
          <w:rFonts w:ascii="Book Antiqua" w:eastAsia="Book Antiqua" w:hAnsi="Book Antiqua" w:cs="Book Antiqua"/>
        </w:rPr>
        <w:t>-</w:t>
      </w:r>
      <w:r w:rsidRPr="00C77471">
        <w:rPr>
          <w:rFonts w:ascii="Book Antiqua" w:eastAsia="Book Antiqua" w:hAnsi="Book Antiqua" w:cs="Book Antiqua"/>
        </w:rPr>
        <w:t>25</w:t>
      </w:r>
      <w:proofErr w:type="gramStart"/>
      <w:r w:rsidRPr="00C77471">
        <w:rPr>
          <w:rFonts w:ascii="Book Antiqua" w:eastAsia="Book Antiqua" w:hAnsi="Book Antiqua" w:cs="Book Antiqua"/>
        </w:rPr>
        <w:t>%</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14-18]</w:t>
      </w:r>
      <w:r w:rsidRPr="00C77471">
        <w:rPr>
          <w:rFonts w:ascii="Book Antiqua" w:eastAsia="Book Antiqua" w:hAnsi="Book Antiqua" w:cs="Book Antiqua"/>
        </w:rPr>
        <w:t xml:space="preserve">; ERCP for asymptomatic CBDS may therefore have poorer outcomes than that of wait-and-see approach. A retrospective longitudinal cohort study revealed that out of 77 who underwent ERCP, 16 patients (21%) experienced PEP and 25 patients (32%) experienced early ERCP-related complications and late biliary complications, such as cholangitis and cholecystitis; further, recurrence of CBDS was observed in 7 patients (9.6%) out of 73 patients during a median follow-up period of 1.9 years. They reported that out of the 114 patients with asymptomatic CBDS who underwent wait-and-see approach, 18% developed CBDS-related complications, among which 16 patients (14%) developed cholangitis, 1 patient (0.9%) developed cholecystitis, 4 patients (3.5%) developed cholestasis, and no patients developed biliary pancreatitis during an average follow-up period of 3.2 years. The outcome of intervention group by ERCP was poorer than that of wait-and-see group for patients with asymptomatic </w:t>
      </w:r>
      <w:proofErr w:type="gramStart"/>
      <w:r w:rsidRPr="00C77471">
        <w:rPr>
          <w:rFonts w:ascii="Book Antiqua" w:eastAsia="Book Antiqua" w:hAnsi="Book Antiqua" w:cs="Book Antiqua"/>
        </w:rPr>
        <w:t>CBDS</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18]</w:t>
      </w:r>
      <w:r w:rsidRPr="00C77471">
        <w:rPr>
          <w:rFonts w:ascii="Book Antiqua" w:eastAsia="Book Antiqua" w:hAnsi="Book Antiqua" w:cs="Book Antiqua"/>
        </w:rPr>
        <w:t>.</w:t>
      </w:r>
    </w:p>
    <w:p w14:paraId="1FB5E236" w14:textId="1D7F00F4" w:rsidR="00A77B3E" w:rsidRPr="00C77471" w:rsidRDefault="00AC1F5E" w:rsidP="00022295">
      <w:pPr>
        <w:spacing w:line="360" w:lineRule="auto"/>
        <w:ind w:firstLineChars="100" w:firstLine="240"/>
        <w:jc w:val="both"/>
        <w:rPr>
          <w:rFonts w:ascii="Book Antiqua" w:hAnsi="Book Antiqua"/>
        </w:rPr>
      </w:pPr>
      <w:r w:rsidRPr="00C77471">
        <w:rPr>
          <w:rFonts w:ascii="Book Antiqua" w:eastAsia="Book Antiqua" w:hAnsi="Book Antiqua" w:cs="Book Antiqua"/>
        </w:rPr>
        <w:t xml:space="preserve">The fact that there are no randomized prospective studies to compare the risk of ERCP and wait-and-see approach for asymptomatic CBDS is a serious issue as it is important to determine the indication of ERCP for asymptomatic CBDS. Although current guidelines for asymptomatic CBDS recommend stone removal for asymptomatic CBDS, the risk of ERCP and the risk of wait-and-see approach for patients with asymptomatic CBDS cannot be balanced currently because of the absence of randomized controlled studies. Patients should be told that current guidelines’ recommendation is to undergo stone extraction in patients with asymptomatic CBDS based on the evidence from the symptomatic patients and expert </w:t>
      </w:r>
      <w:proofErr w:type="gramStart"/>
      <w:r w:rsidRPr="00C77471">
        <w:rPr>
          <w:rFonts w:ascii="Book Antiqua" w:eastAsia="Book Antiqua" w:hAnsi="Book Antiqua" w:cs="Book Antiqua"/>
        </w:rPr>
        <w:t>opinion</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1,3]</w:t>
      </w:r>
      <w:r w:rsidRPr="00C77471">
        <w:rPr>
          <w:rFonts w:ascii="Book Antiqua" w:eastAsia="Book Antiqua" w:hAnsi="Book Antiqua" w:cs="Book Antiqua"/>
        </w:rPr>
        <w:t xml:space="preserve">. </w:t>
      </w:r>
    </w:p>
    <w:p w14:paraId="52F2C0B1" w14:textId="3770891B" w:rsidR="00A77B3E" w:rsidRPr="00C77471" w:rsidRDefault="00AC1F5E" w:rsidP="00635E54">
      <w:pPr>
        <w:spacing w:line="360" w:lineRule="auto"/>
        <w:ind w:firstLine="240"/>
        <w:jc w:val="both"/>
        <w:rPr>
          <w:rFonts w:ascii="Book Antiqua" w:hAnsi="Book Antiqua"/>
        </w:rPr>
      </w:pPr>
      <w:r w:rsidRPr="00C77471">
        <w:rPr>
          <w:rFonts w:ascii="Book Antiqua" w:eastAsia="Book Antiqua" w:hAnsi="Book Antiqua" w:cs="Book Antiqua"/>
        </w:rPr>
        <w:t>Further large-scale prospective studies comparing the risk of ERCP and the risk of wait-and-see approach for patients with asymptomatic CBDS are warranted. The indication for preoperative or postoperative ERCP for cholelithiasis should equally be discussed after clarifying the risk and benefit of ERCP for asymptomatic CBDS.</w:t>
      </w:r>
    </w:p>
    <w:p w14:paraId="45D72F33" w14:textId="77777777" w:rsidR="00A77B3E" w:rsidRPr="00C77471" w:rsidRDefault="00A77B3E">
      <w:pPr>
        <w:spacing w:line="360" w:lineRule="auto"/>
        <w:jc w:val="both"/>
        <w:rPr>
          <w:rFonts w:ascii="Book Antiqua" w:hAnsi="Book Antiqua"/>
        </w:rPr>
      </w:pPr>
    </w:p>
    <w:p w14:paraId="6B3A9CC1"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STRATEGY OF ERCP FOR ASYMPTOMAIC CBDS TO REDUCE ERCP-RELATED COMPLICATIONS</w:t>
      </w:r>
    </w:p>
    <w:p w14:paraId="429C812A" w14:textId="7348AD1E"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lastRenderedPageBreak/>
        <w:t xml:space="preserve">Because asymptomatic CBDS are a benign disease with no noticeable symptoms, endoscopists must try to reduce ERCP-related complications particularly when performing ERCP for asymptomatic CBDS. A previous study reported that precut sphincterotomy, biliary sphincter dilation, and involvement of trainees were significant risk factors for developing PEP in asymptomatic </w:t>
      </w:r>
      <w:proofErr w:type="gramStart"/>
      <w:r w:rsidRPr="00C77471">
        <w:rPr>
          <w:rFonts w:ascii="Book Antiqua" w:eastAsia="Book Antiqua" w:hAnsi="Book Antiqua" w:cs="Book Antiqua"/>
        </w:rPr>
        <w:t>CBDS</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50]</w:t>
      </w:r>
      <w:r w:rsidRPr="00C77471">
        <w:rPr>
          <w:rFonts w:ascii="Book Antiqua" w:eastAsia="Book Antiqua" w:hAnsi="Book Antiqua" w:cs="Book Antiqua"/>
        </w:rPr>
        <w:t xml:space="preserve">. A propensity-score matched study reported that ERCP for asymptomatic CBDS conducted by experienced endoscopists was of comparable safety as ERCP for symptomatic </w:t>
      </w:r>
      <w:proofErr w:type="gramStart"/>
      <w:r w:rsidRPr="00C77471">
        <w:rPr>
          <w:rFonts w:ascii="Book Antiqua" w:eastAsia="Book Antiqua" w:hAnsi="Book Antiqua" w:cs="Book Antiqua"/>
        </w:rPr>
        <w:t>CBDS</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13]</w:t>
      </w:r>
      <w:r w:rsidRPr="00C77471">
        <w:rPr>
          <w:rFonts w:ascii="Book Antiqua" w:eastAsia="Book Antiqua" w:hAnsi="Book Antiqua" w:cs="Book Antiqua"/>
        </w:rPr>
        <w:t xml:space="preserve">. ERCP for asymptomatic CBDS should therefore be performed by experienced endoscopists. Prophylactic procedure such as prophylactic pancreatic stent placement should be considered in asymptomatic patients with risk factors of PEP including precut sphincterotomy and biliary sphincter </w:t>
      </w:r>
      <w:proofErr w:type="gramStart"/>
      <w:r w:rsidRPr="00C77471">
        <w:rPr>
          <w:rFonts w:ascii="Book Antiqua" w:eastAsia="Book Antiqua" w:hAnsi="Book Antiqua" w:cs="Book Antiqua"/>
        </w:rPr>
        <w:t>dilation</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50]</w:t>
      </w:r>
      <w:r w:rsidRPr="00C77471">
        <w:rPr>
          <w:rFonts w:ascii="Book Antiqua" w:eastAsia="Book Antiqua" w:hAnsi="Book Antiqua" w:cs="Book Antiqua"/>
        </w:rPr>
        <w:t xml:space="preserve">. </w:t>
      </w:r>
    </w:p>
    <w:p w14:paraId="0913F536" w14:textId="6248417B" w:rsidR="00A77B3E" w:rsidRPr="00C77471" w:rsidRDefault="00AC1F5E" w:rsidP="00022295">
      <w:pPr>
        <w:spacing w:line="360" w:lineRule="auto"/>
        <w:ind w:firstLineChars="100" w:firstLine="240"/>
        <w:jc w:val="both"/>
        <w:rPr>
          <w:rFonts w:ascii="Book Antiqua" w:hAnsi="Book Antiqua"/>
        </w:rPr>
      </w:pPr>
      <w:r w:rsidRPr="00C77471">
        <w:rPr>
          <w:rFonts w:ascii="Book Antiqua" w:eastAsia="Book Antiqua" w:hAnsi="Book Antiqua" w:cs="Book Antiqua"/>
        </w:rPr>
        <w:t>Single-stage CBDS removal following endoscopic sphincterotomy at first ERCP session in patients with mild-to-moderate cholangitis is accepted in the revised Tokyo guidelines for the management of acute cholangitis and cholecystitis</w:t>
      </w:r>
      <w:r w:rsidRPr="00C77471">
        <w:rPr>
          <w:rFonts w:ascii="Book Antiqua" w:eastAsia="Book Antiqua" w:hAnsi="Book Antiqua" w:cs="Book Antiqua"/>
          <w:vertAlign w:val="superscript"/>
        </w:rPr>
        <w:t>[51]</w:t>
      </w:r>
      <w:r w:rsidRPr="00C77471">
        <w:rPr>
          <w:rFonts w:ascii="Book Antiqua" w:eastAsia="Book Antiqua" w:hAnsi="Book Antiqua" w:cs="Book Antiqua"/>
        </w:rPr>
        <w:t xml:space="preserve">, making patients with asymptomatic CBDS a candidate for single-stage CBDS removal. A retrospective study revealed that single-stage CBDS removal with difficult biliary cannulation requiring &gt; 15 min is a significant risk factor of PEP. It may be preferable to remove CBDS at second session ERCP in asymptomatic patients requiring &gt; 15 min for biliary cannulation in order to reduce the development of </w:t>
      </w:r>
      <w:proofErr w:type="gramStart"/>
      <w:r w:rsidRPr="00C77471">
        <w:rPr>
          <w:rFonts w:ascii="Book Antiqua" w:eastAsia="Book Antiqua" w:hAnsi="Book Antiqua" w:cs="Book Antiqua"/>
        </w:rPr>
        <w:t>PEP</w:t>
      </w:r>
      <w:r w:rsidRPr="00C77471">
        <w:rPr>
          <w:rFonts w:ascii="Book Antiqua" w:eastAsia="Book Antiqua" w:hAnsi="Book Antiqua" w:cs="Book Antiqua"/>
          <w:vertAlign w:val="superscript"/>
        </w:rPr>
        <w:t>[</w:t>
      </w:r>
      <w:proofErr w:type="gramEnd"/>
      <w:r w:rsidRPr="00C77471">
        <w:rPr>
          <w:rFonts w:ascii="Book Antiqua" w:eastAsia="Book Antiqua" w:hAnsi="Book Antiqua" w:cs="Book Antiqua"/>
          <w:vertAlign w:val="superscript"/>
        </w:rPr>
        <w:t>52]</w:t>
      </w:r>
      <w:r w:rsidRPr="00C77471">
        <w:rPr>
          <w:rFonts w:ascii="Book Antiqua" w:eastAsia="Book Antiqua" w:hAnsi="Book Antiqua" w:cs="Book Antiqua"/>
        </w:rPr>
        <w:t>.</w:t>
      </w:r>
    </w:p>
    <w:p w14:paraId="5DB2E0FF" w14:textId="77777777" w:rsidR="00A77B3E" w:rsidRPr="00C77471" w:rsidRDefault="00A77B3E">
      <w:pPr>
        <w:spacing w:line="360" w:lineRule="auto"/>
        <w:jc w:val="both"/>
        <w:rPr>
          <w:rFonts w:ascii="Book Antiqua" w:hAnsi="Book Antiqua"/>
        </w:rPr>
      </w:pPr>
    </w:p>
    <w:p w14:paraId="326E824F"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CONCLUSION</w:t>
      </w:r>
    </w:p>
    <w:p w14:paraId="5489EB36"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Although current guidelines for asymptomatic CBDS recommend stone removal for asymptomatic CBDS, </w:t>
      </w:r>
      <w:r w:rsidRPr="00C77471">
        <w:rPr>
          <w:rFonts w:ascii="Book Antiqua" w:eastAsia="Book Antiqua" w:hAnsi="Book Antiqua" w:cs="Book Antiqua"/>
          <w:shd w:val="clear" w:color="auto" w:fill="FFFFFF"/>
        </w:rPr>
        <w:t xml:space="preserve">there is need for a change in perspective on ERCP for asymptomatic CBDS. To best of our knowledge, no prospective studies exist as to whether ERCP has a better outcome than no treatment in patients with asymptomatic CBDS. The risk of inducing early and late ERCP-related complications </w:t>
      </w:r>
      <w:r w:rsidRPr="00C77471">
        <w:rPr>
          <w:rFonts w:ascii="Book Antiqua" w:eastAsia="Book Antiqua" w:hAnsi="Book Antiqua" w:cs="Book Antiqua"/>
          <w:i/>
          <w:iCs/>
          <w:shd w:val="clear" w:color="auto" w:fill="FFFFFF"/>
        </w:rPr>
        <w:t>vs</w:t>
      </w:r>
      <w:r w:rsidRPr="00C77471">
        <w:rPr>
          <w:rFonts w:ascii="Book Antiqua" w:eastAsia="Book Antiqua" w:hAnsi="Book Antiqua" w:cs="Book Antiqua"/>
          <w:shd w:val="clear" w:color="auto" w:fill="FFFFFF"/>
        </w:rPr>
        <w:t xml:space="preserve"> the risk of complication related to the natural history of asymptomatic CBDS cannot be balanced currently.</w:t>
      </w:r>
    </w:p>
    <w:p w14:paraId="4A1160A4"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shd w:val="clear" w:color="auto" w:fill="FFFFFF"/>
        </w:rPr>
        <w:t>Further studies examining</w:t>
      </w:r>
      <w:r w:rsidRPr="00C77471">
        <w:rPr>
          <w:rFonts w:ascii="Book Antiqua" w:eastAsia="Book Antiqua" w:hAnsi="Book Antiqua" w:cs="Book Antiqua"/>
        </w:rPr>
        <w:t xml:space="preserve"> long-term complication risks of ERCP group and wait-and-see group is warranted to discuss </w:t>
      </w:r>
      <w:r w:rsidRPr="00C77471">
        <w:rPr>
          <w:rFonts w:ascii="Book Antiqua" w:eastAsia="Book Antiqua" w:hAnsi="Book Antiqua" w:cs="Book Antiqua"/>
          <w:shd w:val="clear" w:color="auto" w:fill="FFFFFF"/>
        </w:rPr>
        <w:t>whether routine treatment of asymptomatic CBDS is justified or not.</w:t>
      </w:r>
    </w:p>
    <w:p w14:paraId="17B54E3F" w14:textId="77777777" w:rsidR="00A77B3E" w:rsidRPr="00C77471" w:rsidRDefault="00A77B3E">
      <w:pPr>
        <w:spacing w:line="360" w:lineRule="auto"/>
        <w:ind w:firstLine="240"/>
        <w:jc w:val="both"/>
        <w:rPr>
          <w:rFonts w:ascii="Book Antiqua" w:hAnsi="Book Antiqua"/>
        </w:rPr>
      </w:pPr>
    </w:p>
    <w:p w14:paraId="2187721F" w14:textId="77777777" w:rsidR="00A77B3E" w:rsidRPr="00C77471" w:rsidRDefault="00AC1F5E" w:rsidP="00A15634">
      <w:pPr>
        <w:spacing w:line="360" w:lineRule="auto"/>
        <w:jc w:val="both"/>
        <w:rPr>
          <w:rFonts w:ascii="Book Antiqua" w:hAnsi="Book Antiqua"/>
        </w:rPr>
      </w:pPr>
      <w:r w:rsidRPr="00C77471">
        <w:rPr>
          <w:rFonts w:ascii="Book Antiqua" w:eastAsia="Book Antiqua" w:hAnsi="Book Antiqua" w:cs="Book Antiqua"/>
          <w:b/>
        </w:rPr>
        <w:t>REFERENCES</w:t>
      </w:r>
    </w:p>
    <w:p w14:paraId="6431E1AE" w14:textId="77777777" w:rsidR="00A77B3E" w:rsidRPr="00C77471" w:rsidRDefault="00AC1F5E">
      <w:pPr>
        <w:spacing w:line="360" w:lineRule="auto"/>
        <w:jc w:val="both"/>
        <w:rPr>
          <w:rFonts w:ascii="Book Antiqua" w:hAnsi="Book Antiqua"/>
        </w:rPr>
      </w:pPr>
      <w:bookmarkStart w:id="0" w:name="OLE_LINK2817"/>
      <w:bookmarkStart w:id="1" w:name="OLE_LINK2818"/>
      <w:r w:rsidRPr="00C77471">
        <w:rPr>
          <w:rFonts w:ascii="Book Antiqua" w:eastAsia="Book Antiqua" w:hAnsi="Book Antiqua" w:cs="Book Antiqua"/>
        </w:rPr>
        <w:t xml:space="preserve">1 </w:t>
      </w:r>
      <w:r w:rsidRPr="00C77471">
        <w:rPr>
          <w:rFonts w:ascii="Book Antiqua" w:eastAsia="Book Antiqua" w:hAnsi="Book Antiqua" w:cs="Book Antiqua"/>
          <w:b/>
          <w:bCs/>
        </w:rPr>
        <w:t>Manes G</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Paspatis</w:t>
      </w:r>
      <w:proofErr w:type="spellEnd"/>
      <w:r w:rsidRPr="00C77471">
        <w:rPr>
          <w:rFonts w:ascii="Book Antiqua" w:eastAsia="Book Antiqua" w:hAnsi="Book Antiqua" w:cs="Book Antiqua"/>
        </w:rPr>
        <w:t xml:space="preserve"> G, </w:t>
      </w:r>
      <w:proofErr w:type="spellStart"/>
      <w:r w:rsidRPr="00C77471">
        <w:rPr>
          <w:rFonts w:ascii="Book Antiqua" w:eastAsia="Book Antiqua" w:hAnsi="Book Antiqua" w:cs="Book Antiqua"/>
        </w:rPr>
        <w:t>Aabakken</w:t>
      </w:r>
      <w:proofErr w:type="spellEnd"/>
      <w:r w:rsidRPr="00C77471">
        <w:rPr>
          <w:rFonts w:ascii="Book Antiqua" w:eastAsia="Book Antiqua" w:hAnsi="Book Antiqua" w:cs="Book Antiqua"/>
        </w:rPr>
        <w:t xml:space="preserve"> L, </w:t>
      </w:r>
      <w:proofErr w:type="spellStart"/>
      <w:r w:rsidRPr="00C77471">
        <w:rPr>
          <w:rFonts w:ascii="Book Antiqua" w:eastAsia="Book Antiqua" w:hAnsi="Book Antiqua" w:cs="Book Antiqua"/>
        </w:rPr>
        <w:t>Anderloni</w:t>
      </w:r>
      <w:proofErr w:type="spellEnd"/>
      <w:r w:rsidRPr="00C77471">
        <w:rPr>
          <w:rFonts w:ascii="Book Antiqua" w:eastAsia="Book Antiqua" w:hAnsi="Book Antiqua" w:cs="Book Antiqua"/>
        </w:rPr>
        <w:t xml:space="preserve"> A, </w:t>
      </w:r>
      <w:proofErr w:type="spellStart"/>
      <w:r w:rsidRPr="00C77471">
        <w:rPr>
          <w:rFonts w:ascii="Book Antiqua" w:eastAsia="Book Antiqua" w:hAnsi="Book Antiqua" w:cs="Book Antiqua"/>
        </w:rPr>
        <w:t>Arvanitakis</w:t>
      </w:r>
      <w:proofErr w:type="spellEnd"/>
      <w:r w:rsidRPr="00C77471">
        <w:rPr>
          <w:rFonts w:ascii="Book Antiqua" w:eastAsia="Book Antiqua" w:hAnsi="Book Antiqua" w:cs="Book Antiqua"/>
        </w:rPr>
        <w:t xml:space="preserve"> M, Ah-</w:t>
      </w:r>
      <w:proofErr w:type="spellStart"/>
      <w:r w:rsidRPr="00C77471">
        <w:rPr>
          <w:rFonts w:ascii="Book Antiqua" w:eastAsia="Book Antiqua" w:hAnsi="Book Antiqua" w:cs="Book Antiqua"/>
        </w:rPr>
        <w:t>Soune</w:t>
      </w:r>
      <w:proofErr w:type="spellEnd"/>
      <w:r w:rsidRPr="00C77471">
        <w:rPr>
          <w:rFonts w:ascii="Book Antiqua" w:eastAsia="Book Antiqua" w:hAnsi="Book Antiqua" w:cs="Book Antiqua"/>
        </w:rPr>
        <w:t xml:space="preserve"> P, </w:t>
      </w:r>
      <w:proofErr w:type="spellStart"/>
      <w:r w:rsidRPr="00C77471">
        <w:rPr>
          <w:rFonts w:ascii="Book Antiqua" w:eastAsia="Book Antiqua" w:hAnsi="Book Antiqua" w:cs="Book Antiqua"/>
        </w:rPr>
        <w:t>Barthet</w:t>
      </w:r>
      <w:proofErr w:type="spellEnd"/>
      <w:r w:rsidRPr="00C77471">
        <w:rPr>
          <w:rFonts w:ascii="Book Antiqua" w:eastAsia="Book Antiqua" w:hAnsi="Book Antiqua" w:cs="Book Antiqua"/>
        </w:rPr>
        <w:t xml:space="preserve"> M, Domagk D, </w:t>
      </w:r>
      <w:proofErr w:type="spellStart"/>
      <w:r w:rsidRPr="00C77471">
        <w:rPr>
          <w:rFonts w:ascii="Book Antiqua" w:eastAsia="Book Antiqua" w:hAnsi="Book Antiqua" w:cs="Book Antiqua"/>
        </w:rPr>
        <w:t>Dumonceau</w:t>
      </w:r>
      <w:proofErr w:type="spellEnd"/>
      <w:r w:rsidRPr="00C77471">
        <w:rPr>
          <w:rFonts w:ascii="Book Antiqua" w:eastAsia="Book Antiqua" w:hAnsi="Book Antiqua" w:cs="Book Antiqua"/>
        </w:rPr>
        <w:t xml:space="preserve"> JM, Gigot JF, </w:t>
      </w:r>
      <w:proofErr w:type="spellStart"/>
      <w:r w:rsidRPr="00C77471">
        <w:rPr>
          <w:rFonts w:ascii="Book Antiqua" w:eastAsia="Book Antiqua" w:hAnsi="Book Antiqua" w:cs="Book Antiqua"/>
        </w:rPr>
        <w:t>Hritz</w:t>
      </w:r>
      <w:proofErr w:type="spellEnd"/>
      <w:r w:rsidRPr="00C77471">
        <w:rPr>
          <w:rFonts w:ascii="Book Antiqua" w:eastAsia="Book Antiqua" w:hAnsi="Book Antiqua" w:cs="Book Antiqua"/>
        </w:rPr>
        <w:t xml:space="preserve"> I, </w:t>
      </w:r>
      <w:proofErr w:type="spellStart"/>
      <w:r w:rsidRPr="00C77471">
        <w:rPr>
          <w:rFonts w:ascii="Book Antiqua" w:eastAsia="Book Antiqua" w:hAnsi="Book Antiqua" w:cs="Book Antiqua"/>
        </w:rPr>
        <w:t>Karamanolis</w:t>
      </w:r>
      <w:proofErr w:type="spellEnd"/>
      <w:r w:rsidRPr="00C77471">
        <w:rPr>
          <w:rFonts w:ascii="Book Antiqua" w:eastAsia="Book Antiqua" w:hAnsi="Book Antiqua" w:cs="Book Antiqua"/>
        </w:rPr>
        <w:t xml:space="preserve"> G, </w:t>
      </w:r>
      <w:proofErr w:type="spellStart"/>
      <w:r w:rsidRPr="00C77471">
        <w:rPr>
          <w:rFonts w:ascii="Book Antiqua" w:eastAsia="Book Antiqua" w:hAnsi="Book Antiqua" w:cs="Book Antiqua"/>
        </w:rPr>
        <w:t>Laghi</w:t>
      </w:r>
      <w:proofErr w:type="spellEnd"/>
      <w:r w:rsidRPr="00C77471">
        <w:rPr>
          <w:rFonts w:ascii="Book Antiqua" w:eastAsia="Book Antiqua" w:hAnsi="Book Antiqua" w:cs="Book Antiqua"/>
        </w:rPr>
        <w:t xml:space="preserve"> A, </w:t>
      </w:r>
      <w:proofErr w:type="spellStart"/>
      <w:r w:rsidRPr="00C77471">
        <w:rPr>
          <w:rFonts w:ascii="Book Antiqua" w:eastAsia="Book Antiqua" w:hAnsi="Book Antiqua" w:cs="Book Antiqua"/>
        </w:rPr>
        <w:t>Mariani</w:t>
      </w:r>
      <w:proofErr w:type="spellEnd"/>
      <w:r w:rsidRPr="00C77471">
        <w:rPr>
          <w:rFonts w:ascii="Book Antiqua" w:eastAsia="Book Antiqua" w:hAnsi="Book Antiqua" w:cs="Book Antiqua"/>
        </w:rPr>
        <w:t xml:space="preserve"> A, </w:t>
      </w:r>
      <w:proofErr w:type="spellStart"/>
      <w:r w:rsidRPr="00C77471">
        <w:rPr>
          <w:rFonts w:ascii="Book Antiqua" w:eastAsia="Book Antiqua" w:hAnsi="Book Antiqua" w:cs="Book Antiqua"/>
        </w:rPr>
        <w:t>Paraskeva</w:t>
      </w:r>
      <w:proofErr w:type="spellEnd"/>
      <w:r w:rsidRPr="00C77471">
        <w:rPr>
          <w:rFonts w:ascii="Book Antiqua" w:eastAsia="Book Antiqua" w:hAnsi="Book Antiqua" w:cs="Book Antiqua"/>
        </w:rPr>
        <w:t xml:space="preserve"> K, Pohl J, </w:t>
      </w:r>
      <w:proofErr w:type="spellStart"/>
      <w:r w:rsidRPr="00C77471">
        <w:rPr>
          <w:rFonts w:ascii="Book Antiqua" w:eastAsia="Book Antiqua" w:hAnsi="Book Antiqua" w:cs="Book Antiqua"/>
        </w:rPr>
        <w:t>Ponchon</w:t>
      </w:r>
      <w:proofErr w:type="spellEnd"/>
      <w:r w:rsidRPr="00C77471">
        <w:rPr>
          <w:rFonts w:ascii="Book Antiqua" w:eastAsia="Book Antiqua" w:hAnsi="Book Antiqua" w:cs="Book Antiqua"/>
        </w:rPr>
        <w:t xml:space="preserve"> T, </w:t>
      </w:r>
      <w:proofErr w:type="spellStart"/>
      <w:r w:rsidRPr="00C77471">
        <w:rPr>
          <w:rFonts w:ascii="Book Antiqua" w:eastAsia="Book Antiqua" w:hAnsi="Book Antiqua" w:cs="Book Antiqua"/>
        </w:rPr>
        <w:t>Swahn</w:t>
      </w:r>
      <w:proofErr w:type="spellEnd"/>
      <w:r w:rsidRPr="00C77471">
        <w:rPr>
          <w:rFonts w:ascii="Book Antiqua" w:eastAsia="Book Antiqua" w:hAnsi="Book Antiqua" w:cs="Book Antiqua"/>
        </w:rPr>
        <w:t xml:space="preserve"> F, Ter </w:t>
      </w:r>
      <w:proofErr w:type="spellStart"/>
      <w:r w:rsidRPr="00C77471">
        <w:rPr>
          <w:rFonts w:ascii="Book Antiqua" w:eastAsia="Book Antiqua" w:hAnsi="Book Antiqua" w:cs="Book Antiqua"/>
        </w:rPr>
        <w:t>Steege</w:t>
      </w:r>
      <w:proofErr w:type="spellEnd"/>
      <w:r w:rsidRPr="00C77471">
        <w:rPr>
          <w:rFonts w:ascii="Book Antiqua" w:eastAsia="Book Antiqua" w:hAnsi="Book Antiqua" w:cs="Book Antiqua"/>
        </w:rPr>
        <w:t xml:space="preserve"> RWF, </w:t>
      </w:r>
      <w:proofErr w:type="spellStart"/>
      <w:r w:rsidRPr="00C77471">
        <w:rPr>
          <w:rFonts w:ascii="Book Antiqua" w:eastAsia="Book Antiqua" w:hAnsi="Book Antiqua" w:cs="Book Antiqua"/>
        </w:rPr>
        <w:t>Tringali</w:t>
      </w:r>
      <w:proofErr w:type="spellEnd"/>
      <w:r w:rsidRPr="00C77471">
        <w:rPr>
          <w:rFonts w:ascii="Book Antiqua" w:eastAsia="Book Antiqua" w:hAnsi="Book Antiqua" w:cs="Book Antiqua"/>
        </w:rPr>
        <w:t xml:space="preserve"> A, </w:t>
      </w:r>
      <w:proofErr w:type="spellStart"/>
      <w:r w:rsidRPr="00C77471">
        <w:rPr>
          <w:rFonts w:ascii="Book Antiqua" w:eastAsia="Book Antiqua" w:hAnsi="Book Antiqua" w:cs="Book Antiqua"/>
        </w:rPr>
        <w:t>Vezakis</w:t>
      </w:r>
      <w:proofErr w:type="spellEnd"/>
      <w:r w:rsidRPr="00C77471">
        <w:rPr>
          <w:rFonts w:ascii="Book Antiqua" w:eastAsia="Book Antiqua" w:hAnsi="Book Antiqua" w:cs="Book Antiqua"/>
        </w:rPr>
        <w:t xml:space="preserve"> A, Williams EJ, van </w:t>
      </w:r>
      <w:proofErr w:type="spellStart"/>
      <w:r w:rsidRPr="00C77471">
        <w:rPr>
          <w:rFonts w:ascii="Book Antiqua" w:eastAsia="Book Antiqua" w:hAnsi="Book Antiqua" w:cs="Book Antiqua"/>
        </w:rPr>
        <w:t>Hooft</w:t>
      </w:r>
      <w:proofErr w:type="spellEnd"/>
      <w:r w:rsidRPr="00C77471">
        <w:rPr>
          <w:rFonts w:ascii="Book Antiqua" w:eastAsia="Book Antiqua" w:hAnsi="Book Antiqua" w:cs="Book Antiqua"/>
        </w:rPr>
        <w:t xml:space="preserve"> JE. Endoscopic management of common bile duct stones: European Society of Gastrointestinal Endoscopy (ESGE) guideline. </w:t>
      </w:r>
      <w:r w:rsidRPr="00C77471">
        <w:rPr>
          <w:rFonts w:ascii="Book Antiqua" w:eastAsia="Book Antiqua" w:hAnsi="Book Antiqua" w:cs="Book Antiqua"/>
          <w:i/>
          <w:iCs/>
        </w:rPr>
        <w:t>Endoscopy</w:t>
      </w:r>
      <w:r w:rsidRPr="00C77471">
        <w:rPr>
          <w:rFonts w:ascii="Book Antiqua" w:eastAsia="Book Antiqua" w:hAnsi="Book Antiqua" w:cs="Book Antiqua"/>
        </w:rPr>
        <w:t xml:space="preserve"> 2019; </w:t>
      </w:r>
      <w:r w:rsidRPr="00C77471">
        <w:rPr>
          <w:rFonts w:ascii="Book Antiqua" w:eastAsia="Book Antiqua" w:hAnsi="Book Antiqua" w:cs="Book Antiqua"/>
          <w:b/>
          <w:bCs/>
        </w:rPr>
        <w:t>51</w:t>
      </w:r>
      <w:r w:rsidRPr="00C77471">
        <w:rPr>
          <w:rFonts w:ascii="Book Antiqua" w:eastAsia="Book Antiqua" w:hAnsi="Book Antiqua" w:cs="Book Antiqua"/>
        </w:rPr>
        <w:t>: 472-491 [PMID: 30943551 DOI: 10.1055/a-0862-0346]</w:t>
      </w:r>
    </w:p>
    <w:p w14:paraId="68ABC8EB"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 </w:t>
      </w:r>
      <w:r w:rsidRPr="00C77471">
        <w:rPr>
          <w:rFonts w:ascii="Book Antiqua" w:eastAsia="Book Antiqua" w:hAnsi="Book Antiqua" w:cs="Book Antiqua"/>
          <w:b/>
          <w:bCs/>
        </w:rPr>
        <w:t>Siegel JH</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Kasmin</w:t>
      </w:r>
      <w:proofErr w:type="spellEnd"/>
      <w:r w:rsidRPr="00C77471">
        <w:rPr>
          <w:rFonts w:ascii="Book Antiqua" w:eastAsia="Book Antiqua" w:hAnsi="Book Antiqua" w:cs="Book Antiqua"/>
        </w:rPr>
        <w:t xml:space="preserve"> FE. Biliary tract diseases in the elderly: management and outcomes. </w:t>
      </w:r>
      <w:r w:rsidRPr="00C77471">
        <w:rPr>
          <w:rFonts w:ascii="Book Antiqua" w:eastAsia="Book Antiqua" w:hAnsi="Book Antiqua" w:cs="Book Antiqua"/>
          <w:i/>
          <w:iCs/>
        </w:rPr>
        <w:t>Gut</w:t>
      </w:r>
      <w:r w:rsidRPr="00C77471">
        <w:rPr>
          <w:rFonts w:ascii="Book Antiqua" w:eastAsia="Book Antiqua" w:hAnsi="Book Antiqua" w:cs="Book Antiqua"/>
        </w:rPr>
        <w:t xml:space="preserve"> 1997; </w:t>
      </w:r>
      <w:r w:rsidRPr="00C77471">
        <w:rPr>
          <w:rFonts w:ascii="Book Antiqua" w:eastAsia="Book Antiqua" w:hAnsi="Book Antiqua" w:cs="Book Antiqua"/>
          <w:b/>
          <w:bCs/>
        </w:rPr>
        <w:t>41</w:t>
      </w:r>
      <w:r w:rsidRPr="00C77471">
        <w:rPr>
          <w:rFonts w:ascii="Book Antiqua" w:eastAsia="Book Antiqua" w:hAnsi="Book Antiqua" w:cs="Book Antiqua"/>
        </w:rPr>
        <w:t>: 433-435 [PMID: 9391238 DOI: 10.1136/gut.41.4.433]</w:t>
      </w:r>
    </w:p>
    <w:p w14:paraId="2147D11D"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 </w:t>
      </w:r>
      <w:r w:rsidRPr="00C77471">
        <w:rPr>
          <w:rFonts w:ascii="Book Antiqua" w:eastAsia="Book Antiqua" w:hAnsi="Book Antiqua" w:cs="Book Antiqua"/>
          <w:b/>
          <w:bCs/>
        </w:rPr>
        <w:t>Williams E</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Beckingham</w:t>
      </w:r>
      <w:proofErr w:type="spellEnd"/>
      <w:r w:rsidRPr="00C77471">
        <w:rPr>
          <w:rFonts w:ascii="Book Antiqua" w:eastAsia="Book Antiqua" w:hAnsi="Book Antiqua" w:cs="Book Antiqua"/>
        </w:rPr>
        <w:t xml:space="preserve"> I, El Sayed G, </w:t>
      </w:r>
      <w:proofErr w:type="spellStart"/>
      <w:r w:rsidRPr="00C77471">
        <w:rPr>
          <w:rFonts w:ascii="Book Antiqua" w:eastAsia="Book Antiqua" w:hAnsi="Book Antiqua" w:cs="Book Antiqua"/>
        </w:rPr>
        <w:t>Gurusamy</w:t>
      </w:r>
      <w:proofErr w:type="spellEnd"/>
      <w:r w:rsidRPr="00C77471">
        <w:rPr>
          <w:rFonts w:ascii="Book Antiqua" w:eastAsia="Book Antiqua" w:hAnsi="Book Antiqua" w:cs="Book Antiqua"/>
        </w:rPr>
        <w:t xml:space="preserve"> K, </w:t>
      </w:r>
      <w:proofErr w:type="spellStart"/>
      <w:r w:rsidRPr="00C77471">
        <w:rPr>
          <w:rFonts w:ascii="Book Antiqua" w:eastAsia="Book Antiqua" w:hAnsi="Book Antiqua" w:cs="Book Antiqua"/>
        </w:rPr>
        <w:t>Sturgess</w:t>
      </w:r>
      <w:proofErr w:type="spellEnd"/>
      <w:r w:rsidRPr="00C77471">
        <w:rPr>
          <w:rFonts w:ascii="Book Antiqua" w:eastAsia="Book Antiqua" w:hAnsi="Book Antiqua" w:cs="Book Antiqua"/>
        </w:rPr>
        <w:t xml:space="preserve"> R, Webster G, Young T. Updated guideline on the management of common bile duct stones (CBDS). </w:t>
      </w:r>
      <w:r w:rsidRPr="00C77471">
        <w:rPr>
          <w:rFonts w:ascii="Book Antiqua" w:eastAsia="Book Antiqua" w:hAnsi="Book Antiqua" w:cs="Book Antiqua"/>
          <w:i/>
          <w:iCs/>
        </w:rPr>
        <w:t>Gut</w:t>
      </w:r>
      <w:r w:rsidRPr="00C77471">
        <w:rPr>
          <w:rFonts w:ascii="Book Antiqua" w:eastAsia="Book Antiqua" w:hAnsi="Book Antiqua" w:cs="Book Antiqua"/>
        </w:rPr>
        <w:t xml:space="preserve"> 2017; </w:t>
      </w:r>
      <w:r w:rsidRPr="00C77471">
        <w:rPr>
          <w:rFonts w:ascii="Book Antiqua" w:eastAsia="Book Antiqua" w:hAnsi="Book Antiqua" w:cs="Book Antiqua"/>
          <w:b/>
          <w:bCs/>
        </w:rPr>
        <w:t>66</w:t>
      </w:r>
      <w:r w:rsidRPr="00C77471">
        <w:rPr>
          <w:rFonts w:ascii="Book Antiqua" w:eastAsia="Book Antiqua" w:hAnsi="Book Antiqua" w:cs="Book Antiqua"/>
        </w:rPr>
        <w:t>: 765-782 [PMID: 28122906 DOI: 10.1136/gutjnl-2016-312317]</w:t>
      </w:r>
    </w:p>
    <w:p w14:paraId="5B2E1508"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 </w:t>
      </w:r>
      <w:proofErr w:type="spellStart"/>
      <w:r w:rsidRPr="00C77471">
        <w:rPr>
          <w:rFonts w:ascii="Book Antiqua" w:eastAsia="Book Antiqua" w:hAnsi="Book Antiqua" w:cs="Book Antiqua"/>
          <w:b/>
          <w:bCs/>
        </w:rPr>
        <w:t>Tazuma</w:t>
      </w:r>
      <w:proofErr w:type="spellEnd"/>
      <w:r w:rsidRPr="00C77471">
        <w:rPr>
          <w:rFonts w:ascii="Book Antiqua" w:eastAsia="Book Antiqua" w:hAnsi="Book Antiqua" w:cs="Book Antiqua"/>
          <w:b/>
          <w:bCs/>
        </w:rPr>
        <w:t xml:space="preserve"> S</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Unno</w:t>
      </w:r>
      <w:proofErr w:type="spellEnd"/>
      <w:r w:rsidRPr="00C77471">
        <w:rPr>
          <w:rFonts w:ascii="Book Antiqua" w:eastAsia="Book Antiqua" w:hAnsi="Book Antiqua" w:cs="Book Antiqua"/>
        </w:rPr>
        <w:t xml:space="preserve"> M, Igarashi Y, Inui K, Uchiyama K, Kai M, </w:t>
      </w:r>
      <w:proofErr w:type="spellStart"/>
      <w:r w:rsidRPr="00C77471">
        <w:rPr>
          <w:rFonts w:ascii="Book Antiqua" w:eastAsia="Book Antiqua" w:hAnsi="Book Antiqua" w:cs="Book Antiqua"/>
        </w:rPr>
        <w:t>Tsuyuguchi</w:t>
      </w:r>
      <w:proofErr w:type="spellEnd"/>
      <w:r w:rsidRPr="00C77471">
        <w:rPr>
          <w:rFonts w:ascii="Book Antiqua" w:eastAsia="Book Antiqua" w:hAnsi="Book Antiqua" w:cs="Book Antiqua"/>
        </w:rPr>
        <w:t xml:space="preserve"> T, </w:t>
      </w:r>
      <w:proofErr w:type="spellStart"/>
      <w:r w:rsidRPr="00C77471">
        <w:rPr>
          <w:rFonts w:ascii="Book Antiqua" w:eastAsia="Book Antiqua" w:hAnsi="Book Antiqua" w:cs="Book Antiqua"/>
        </w:rPr>
        <w:t>Maguchi</w:t>
      </w:r>
      <w:proofErr w:type="spellEnd"/>
      <w:r w:rsidRPr="00C77471">
        <w:rPr>
          <w:rFonts w:ascii="Book Antiqua" w:eastAsia="Book Antiqua" w:hAnsi="Book Antiqua" w:cs="Book Antiqua"/>
        </w:rPr>
        <w:t xml:space="preserve"> H, Mori T, Yamaguchi K, </w:t>
      </w:r>
      <w:proofErr w:type="spellStart"/>
      <w:r w:rsidRPr="00C77471">
        <w:rPr>
          <w:rFonts w:ascii="Book Antiqua" w:eastAsia="Book Antiqua" w:hAnsi="Book Antiqua" w:cs="Book Antiqua"/>
        </w:rPr>
        <w:t>Ryozawa</w:t>
      </w:r>
      <w:proofErr w:type="spellEnd"/>
      <w:r w:rsidRPr="00C77471">
        <w:rPr>
          <w:rFonts w:ascii="Book Antiqua" w:eastAsia="Book Antiqua" w:hAnsi="Book Antiqua" w:cs="Book Antiqua"/>
        </w:rPr>
        <w:t xml:space="preserve"> S, </w:t>
      </w:r>
      <w:proofErr w:type="spellStart"/>
      <w:r w:rsidRPr="00C77471">
        <w:rPr>
          <w:rFonts w:ascii="Book Antiqua" w:eastAsia="Book Antiqua" w:hAnsi="Book Antiqua" w:cs="Book Antiqua"/>
        </w:rPr>
        <w:t>Nimura</w:t>
      </w:r>
      <w:proofErr w:type="spellEnd"/>
      <w:r w:rsidRPr="00C77471">
        <w:rPr>
          <w:rFonts w:ascii="Book Antiqua" w:eastAsia="Book Antiqua" w:hAnsi="Book Antiqua" w:cs="Book Antiqua"/>
        </w:rPr>
        <w:t xml:space="preserve"> Y, Fujita N, Kubota K, </w:t>
      </w:r>
      <w:proofErr w:type="spellStart"/>
      <w:r w:rsidRPr="00C77471">
        <w:rPr>
          <w:rFonts w:ascii="Book Antiqua" w:eastAsia="Book Antiqua" w:hAnsi="Book Antiqua" w:cs="Book Antiqua"/>
        </w:rPr>
        <w:t>Shoda</w:t>
      </w:r>
      <w:proofErr w:type="spellEnd"/>
      <w:r w:rsidRPr="00C77471">
        <w:rPr>
          <w:rFonts w:ascii="Book Antiqua" w:eastAsia="Book Antiqua" w:hAnsi="Book Antiqua" w:cs="Book Antiqua"/>
        </w:rPr>
        <w:t xml:space="preserve"> J, Tabata M, Mine T, Sugano K, Watanabe M, </w:t>
      </w:r>
      <w:proofErr w:type="spellStart"/>
      <w:r w:rsidRPr="00C77471">
        <w:rPr>
          <w:rFonts w:ascii="Book Antiqua" w:eastAsia="Book Antiqua" w:hAnsi="Book Antiqua" w:cs="Book Antiqua"/>
        </w:rPr>
        <w:t>Shimosegawa</w:t>
      </w:r>
      <w:proofErr w:type="spellEnd"/>
      <w:r w:rsidRPr="00C77471">
        <w:rPr>
          <w:rFonts w:ascii="Book Antiqua" w:eastAsia="Book Antiqua" w:hAnsi="Book Antiqua" w:cs="Book Antiqua"/>
        </w:rPr>
        <w:t xml:space="preserve"> T. Evidence-based clinical practice guidelines for cholelithiasis 2016. </w:t>
      </w:r>
      <w:r w:rsidRPr="00C77471">
        <w:rPr>
          <w:rFonts w:ascii="Book Antiqua" w:eastAsia="Book Antiqua" w:hAnsi="Book Antiqua" w:cs="Book Antiqua"/>
          <w:i/>
          <w:iCs/>
        </w:rPr>
        <w:t>J Gastroenterol</w:t>
      </w:r>
      <w:r w:rsidRPr="00C77471">
        <w:rPr>
          <w:rFonts w:ascii="Book Antiqua" w:eastAsia="Book Antiqua" w:hAnsi="Book Antiqua" w:cs="Book Antiqua"/>
        </w:rPr>
        <w:t xml:space="preserve"> 2017; </w:t>
      </w:r>
      <w:r w:rsidRPr="00C77471">
        <w:rPr>
          <w:rFonts w:ascii="Book Antiqua" w:eastAsia="Book Antiqua" w:hAnsi="Book Antiqua" w:cs="Book Antiqua"/>
          <w:b/>
          <w:bCs/>
        </w:rPr>
        <w:t>52</w:t>
      </w:r>
      <w:r w:rsidRPr="00C77471">
        <w:rPr>
          <w:rFonts w:ascii="Book Antiqua" w:eastAsia="Book Antiqua" w:hAnsi="Book Antiqua" w:cs="Book Antiqua"/>
        </w:rPr>
        <w:t>: 276-300 [PMID: 27942871 DOI: 10.1007/s00535-016-1289-7]</w:t>
      </w:r>
    </w:p>
    <w:p w14:paraId="11E9C966"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5 </w:t>
      </w:r>
      <w:r w:rsidRPr="00C77471">
        <w:rPr>
          <w:rFonts w:ascii="Book Antiqua" w:eastAsia="Book Antiqua" w:hAnsi="Book Antiqua" w:cs="Book Antiqua"/>
          <w:b/>
          <w:bCs/>
        </w:rPr>
        <w:t>ASGE Standards of Practice Committee</w:t>
      </w:r>
      <w:r w:rsidRPr="00C77471">
        <w:rPr>
          <w:rFonts w:ascii="Book Antiqua" w:eastAsia="Book Antiqua" w:hAnsi="Book Antiqua" w:cs="Book Antiqua"/>
        </w:rPr>
        <w:t xml:space="preserve">, Maple JT, </w:t>
      </w:r>
      <w:proofErr w:type="spellStart"/>
      <w:r w:rsidRPr="00C77471">
        <w:rPr>
          <w:rFonts w:ascii="Book Antiqua" w:eastAsia="Book Antiqua" w:hAnsi="Book Antiqua" w:cs="Book Antiqua"/>
        </w:rPr>
        <w:t>Ikenberry</w:t>
      </w:r>
      <w:proofErr w:type="spellEnd"/>
      <w:r w:rsidRPr="00C77471">
        <w:rPr>
          <w:rFonts w:ascii="Book Antiqua" w:eastAsia="Book Antiqua" w:hAnsi="Book Antiqua" w:cs="Book Antiqua"/>
        </w:rPr>
        <w:t xml:space="preserve"> SO, Anderson MA, </w:t>
      </w:r>
      <w:proofErr w:type="spellStart"/>
      <w:r w:rsidRPr="00C77471">
        <w:rPr>
          <w:rFonts w:ascii="Book Antiqua" w:eastAsia="Book Antiqua" w:hAnsi="Book Antiqua" w:cs="Book Antiqua"/>
        </w:rPr>
        <w:t>Appalaneni</w:t>
      </w:r>
      <w:proofErr w:type="spellEnd"/>
      <w:r w:rsidRPr="00C77471">
        <w:rPr>
          <w:rFonts w:ascii="Book Antiqua" w:eastAsia="Book Antiqua" w:hAnsi="Book Antiqua" w:cs="Book Antiqua"/>
        </w:rPr>
        <w:t xml:space="preserve"> V, Decker GA, Early D, Evans JA, Fanelli RD, Fisher D, Fisher L, </w:t>
      </w:r>
      <w:proofErr w:type="spellStart"/>
      <w:r w:rsidRPr="00C77471">
        <w:rPr>
          <w:rFonts w:ascii="Book Antiqua" w:eastAsia="Book Antiqua" w:hAnsi="Book Antiqua" w:cs="Book Antiqua"/>
        </w:rPr>
        <w:t>Fukami</w:t>
      </w:r>
      <w:proofErr w:type="spellEnd"/>
      <w:r w:rsidRPr="00C77471">
        <w:rPr>
          <w:rFonts w:ascii="Book Antiqua" w:eastAsia="Book Antiqua" w:hAnsi="Book Antiqua" w:cs="Book Antiqua"/>
        </w:rPr>
        <w:t xml:space="preserve"> N, Hwang JH, Jain R, </w:t>
      </w:r>
      <w:proofErr w:type="spellStart"/>
      <w:r w:rsidRPr="00C77471">
        <w:rPr>
          <w:rFonts w:ascii="Book Antiqua" w:eastAsia="Book Antiqua" w:hAnsi="Book Antiqua" w:cs="Book Antiqua"/>
        </w:rPr>
        <w:t>Jue</w:t>
      </w:r>
      <w:proofErr w:type="spellEnd"/>
      <w:r w:rsidRPr="00C77471">
        <w:rPr>
          <w:rFonts w:ascii="Book Antiqua" w:eastAsia="Book Antiqua" w:hAnsi="Book Antiqua" w:cs="Book Antiqua"/>
        </w:rPr>
        <w:t xml:space="preserve"> T, Khan K, </w:t>
      </w:r>
      <w:proofErr w:type="spellStart"/>
      <w:r w:rsidRPr="00C77471">
        <w:rPr>
          <w:rFonts w:ascii="Book Antiqua" w:eastAsia="Book Antiqua" w:hAnsi="Book Antiqua" w:cs="Book Antiqua"/>
        </w:rPr>
        <w:t>Krinsky</w:t>
      </w:r>
      <w:proofErr w:type="spellEnd"/>
      <w:r w:rsidRPr="00C77471">
        <w:rPr>
          <w:rFonts w:ascii="Book Antiqua" w:eastAsia="Book Antiqua" w:hAnsi="Book Antiqua" w:cs="Book Antiqua"/>
        </w:rPr>
        <w:t xml:space="preserve"> ML, Malpas P, Ben-Menachem T, Sharaf RN, </w:t>
      </w:r>
      <w:proofErr w:type="spellStart"/>
      <w:r w:rsidRPr="00C77471">
        <w:rPr>
          <w:rFonts w:ascii="Book Antiqua" w:eastAsia="Book Antiqua" w:hAnsi="Book Antiqua" w:cs="Book Antiqua"/>
        </w:rPr>
        <w:t>Dominitz</w:t>
      </w:r>
      <w:proofErr w:type="spellEnd"/>
      <w:r w:rsidRPr="00C77471">
        <w:rPr>
          <w:rFonts w:ascii="Book Antiqua" w:eastAsia="Book Antiqua" w:hAnsi="Book Antiqua" w:cs="Book Antiqua"/>
        </w:rPr>
        <w:t xml:space="preserve"> JA. The role of endoscopy in the management of choledocholithiasis. </w:t>
      </w:r>
      <w:proofErr w:type="spellStart"/>
      <w:r w:rsidRPr="00C77471">
        <w:rPr>
          <w:rFonts w:ascii="Book Antiqua" w:eastAsia="Book Antiqua" w:hAnsi="Book Antiqua" w:cs="Book Antiqua"/>
          <w:i/>
          <w:iCs/>
        </w:rPr>
        <w:t>Gastrointest</w:t>
      </w:r>
      <w:proofErr w:type="spellEnd"/>
      <w:r w:rsidRPr="00C77471">
        <w:rPr>
          <w:rFonts w:ascii="Book Antiqua" w:eastAsia="Book Antiqua" w:hAnsi="Book Antiqua" w:cs="Book Antiqua"/>
          <w:i/>
          <w:iCs/>
        </w:rPr>
        <w:t xml:space="preserve"> </w:t>
      </w:r>
      <w:proofErr w:type="spellStart"/>
      <w:r w:rsidRPr="00C77471">
        <w:rPr>
          <w:rFonts w:ascii="Book Antiqua" w:eastAsia="Book Antiqua" w:hAnsi="Book Antiqua" w:cs="Book Antiqua"/>
          <w:i/>
          <w:iCs/>
        </w:rPr>
        <w:t>Endosc</w:t>
      </w:r>
      <w:proofErr w:type="spellEnd"/>
      <w:r w:rsidRPr="00C77471">
        <w:rPr>
          <w:rFonts w:ascii="Book Antiqua" w:eastAsia="Book Antiqua" w:hAnsi="Book Antiqua" w:cs="Book Antiqua"/>
        </w:rPr>
        <w:t xml:space="preserve"> 2011; </w:t>
      </w:r>
      <w:r w:rsidRPr="00C77471">
        <w:rPr>
          <w:rFonts w:ascii="Book Antiqua" w:eastAsia="Book Antiqua" w:hAnsi="Book Antiqua" w:cs="Book Antiqua"/>
          <w:b/>
          <w:bCs/>
        </w:rPr>
        <w:t>74</w:t>
      </w:r>
      <w:r w:rsidRPr="00C77471">
        <w:rPr>
          <w:rFonts w:ascii="Book Antiqua" w:eastAsia="Book Antiqua" w:hAnsi="Book Antiqua" w:cs="Book Antiqua"/>
        </w:rPr>
        <w:t>: 731-744 [PMID: 21951472 DOI: 10.1016/j.gie.2011.04.012]</w:t>
      </w:r>
    </w:p>
    <w:p w14:paraId="50DFFA56"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6 </w:t>
      </w:r>
      <w:proofErr w:type="spellStart"/>
      <w:r w:rsidRPr="00C77471">
        <w:rPr>
          <w:rFonts w:ascii="Book Antiqua" w:eastAsia="Book Antiqua" w:hAnsi="Book Antiqua" w:cs="Book Antiqua"/>
          <w:b/>
          <w:bCs/>
        </w:rPr>
        <w:t>Andriulli</w:t>
      </w:r>
      <w:proofErr w:type="spellEnd"/>
      <w:r w:rsidRPr="00C77471">
        <w:rPr>
          <w:rFonts w:ascii="Book Antiqua" w:eastAsia="Book Antiqua" w:hAnsi="Book Antiqua" w:cs="Book Antiqua"/>
          <w:b/>
          <w:bCs/>
        </w:rPr>
        <w:t xml:space="preserve"> A</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Loperfido</w:t>
      </w:r>
      <w:proofErr w:type="spellEnd"/>
      <w:r w:rsidRPr="00C77471">
        <w:rPr>
          <w:rFonts w:ascii="Book Antiqua" w:eastAsia="Book Antiqua" w:hAnsi="Book Antiqua" w:cs="Book Antiqua"/>
        </w:rPr>
        <w:t xml:space="preserve"> S, Napolitano G, Niro G, Valvano MR, Spirito F, </w:t>
      </w:r>
      <w:proofErr w:type="spellStart"/>
      <w:r w:rsidRPr="00C77471">
        <w:rPr>
          <w:rFonts w:ascii="Book Antiqua" w:eastAsia="Book Antiqua" w:hAnsi="Book Antiqua" w:cs="Book Antiqua"/>
        </w:rPr>
        <w:t>Pilotto</w:t>
      </w:r>
      <w:proofErr w:type="spellEnd"/>
      <w:r w:rsidRPr="00C77471">
        <w:rPr>
          <w:rFonts w:ascii="Book Antiqua" w:eastAsia="Book Antiqua" w:hAnsi="Book Antiqua" w:cs="Book Antiqua"/>
        </w:rPr>
        <w:t xml:space="preserve"> A, </w:t>
      </w:r>
      <w:proofErr w:type="spellStart"/>
      <w:r w:rsidRPr="00C77471">
        <w:rPr>
          <w:rFonts w:ascii="Book Antiqua" w:eastAsia="Book Antiqua" w:hAnsi="Book Antiqua" w:cs="Book Antiqua"/>
        </w:rPr>
        <w:t>Forlano</w:t>
      </w:r>
      <w:proofErr w:type="spellEnd"/>
      <w:r w:rsidRPr="00C77471">
        <w:rPr>
          <w:rFonts w:ascii="Book Antiqua" w:eastAsia="Book Antiqua" w:hAnsi="Book Antiqua" w:cs="Book Antiqua"/>
        </w:rPr>
        <w:t xml:space="preserve"> R. Incidence rates of post-ERCP complications: a systematic survey of prospective studies. </w:t>
      </w:r>
      <w:r w:rsidRPr="00C77471">
        <w:rPr>
          <w:rFonts w:ascii="Book Antiqua" w:eastAsia="Book Antiqua" w:hAnsi="Book Antiqua" w:cs="Book Antiqua"/>
          <w:i/>
          <w:iCs/>
        </w:rPr>
        <w:t>Am J Gastroenterol</w:t>
      </w:r>
      <w:r w:rsidRPr="00C77471">
        <w:rPr>
          <w:rFonts w:ascii="Book Antiqua" w:eastAsia="Book Antiqua" w:hAnsi="Book Antiqua" w:cs="Book Antiqua"/>
        </w:rPr>
        <w:t xml:space="preserve"> 2007; </w:t>
      </w:r>
      <w:r w:rsidRPr="00C77471">
        <w:rPr>
          <w:rFonts w:ascii="Book Antiqua" w:eastAsia="Book Antiqua" w:hAnsi="Book Antiqua" w:cs="Book Antiqua"/>
          <w:b/>
          <w:bCs/>
        </w:rPr>
        <w:t>102</w:t>
      </w:r>
      <w:r w:rsidRPr="00C77471">
        <w:rPr>
          <w:rFonts w:ascii="Book Antiqua" w:eastAsia="Book Antiqua" w:hAnsi="Book Antiqua" w:cs="Book Antiqua"/>
        </w:rPr>
        <w:t>: 1781-1788 [PMID: 17509029 DOI: 10.1111/j.1572-0241.2007.01279.x]</w:t>
      </w:r>
    </w:p>
    <w:p w14:paraId="3B939C7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7 </w:t>
      </w:r>
      <w:r w:rsidRPr="00C77471">
        <w:rPr>
          <w:rFonts w:ascii="Book Antiqua" w:eastAsia="Book Antiqua" w:hAnsi="Book Antiqua" w:cs="Book Antiqua"/>
          <w:b/>
          <w:bCs/>
        </w:rPr>
        <w:t>Freeman ML</w:t>
      </w:r>
      <w:r w:rsidRPr="00C77471">
        <w:rPr>
          <w:rFonts w:ascii="Book Antiqua" w:eastAsia="Book Antiqua" w:hAnsi="Book Antiqua" w:cs="Book Antiqua"/>
        </w:rPr>
        <w:t xml:space="preserve">, Nelson DB, Sherman S, Haber GB, Herman ME, </w:t>
      </w:r>
      <w:proofErr w:type="spellStart"/>
      <w:r w:rsidRPr="00C77471">
        <w:rPr>
          <w:rFonts w:ascii="Book Antiqua" w:eastAsia="Book Antiqua" w:hAnsi="Book Antiqua" w:cs="Book Antiqua"/>
        </w:rPr>
        <w:t>Dorsher</w:t>
      </w:r>
      <w:proofErr w:type="spellEnd"/>
      <w:r w:rsidRPr="00C77471">
        <w:rPr>
          <w:rFonts w:ascii="Book Antiqua" w:eastAsia="Book Antiqua" w:hAnsi="Book Antiqua" w:cs="Book Antiqua"/>
        </w:rPr>
        <w:t xml:space="preserve"> PJ, Moore JP, </w:t>
      </w:r>
      <w:proofErr w:type="spellStart"/>
      <w:r w:rsidRPr="00C77471">
        <w:rPr>
          <w:rFonts w:ascii="Book Antiqua" w:eastAsia="Book Antiqua" w:hAnsi="Book Antiqua" w:cs="Book Antiqua"/>
        </w:rPr>
        <w:t>Fennerty</w:t>
      </w:r>
      <w:proofErr w:type="spellEnd"/>
      <w:r w:rsidRPr="00C77471">
        <w:rPr>
          <w:rFonts w:ascii="Book Antiqua" w:eastAsia="Book Antiqua" w:hAnsi="Book Antiqua" w:cs="Book Antiqua"/>
        </w:rPr>
        <w:t xml:space="preserve"> MB, Ryan ME, Shaw MJ, </w:t>
      </w:r>
      <w:proofErr w:type="spellStart"/>
      <w:r w:rsidRPr="00C77471">
        <w:rPr>
          <w:rFonts w:ascii="Book Antiqua" w:eastAsia="Book Antiqua" w:hAnsi="Book Antiqua" w:cs="Book Antiqua"/>
        </w:rPr>
        <w:t>Lande</w:t>
      </w:r>
      <w:proofErr w:type="spellEnd"/>
      <w:r w:rsidRPr="00C77471">
        <w:rPr>
          <w:rFonts w:ascii="Book Antiqua" w:eastAsia="Book Antiqua" w:hAnsi="Book Antiqua" w:cs="Book Antiqua"/>
        </w:rPr>
        <w:t xml:space="preserve"> JD, </w:t>
      </w:r>
      <w:proofErr w:type="spellStart"/>
      <w:r w:rsidRPr="00C77471">
        <w:rPr>
          <w:rFonts w:ascii="Book Antiqua" w:eastAsia="Book Antiqua" w:hAnsi="Book Antiqua" w:cs="Book Antiqua"/>
        </w:rPr>
        <w:t>Pheley</w:t>
      </w:r>
      <w:proofErr w:type="spellEnd"/>
      <w:r w:rsidRPr="00C77471">
        <w:rPr>
          <w:rFonts w:ascii="Book Antiqua" w:eastAsia="Book Antiqua" w:hAnsi="Book Antiqua" w:cs="Book Antiqua"/>
        </w:rPr>
        <w:t xml:space="preserve"> AM. Complications of endoscopic </w:t>
      </w:r>
      <w:r w:rsidRPr="00C77471">
        <w:rPr>
          <w:rFonts w:ascii="Book Antiqua" w:eastAsia="Book Antiqua" w:hAnsi="Book Antiqua" w:cs="Book Antiqua"/>
        </w:rPr>
        <w:lastRenderedPageBreak/>
        <w:t xml:space="preserve">biliary sphincterotomy. </w:t>
      </w:r>
      <w:r w:rsidRPr="00C77471">
        <w:rPr>
          <w:rFonts w:ascii="Book Antiqua" w:eastAsia="Book Antiqua" w:hAnsi="Book Antiqua" w:cs="Book Antiqua"/>
          <w:i/>
          <w:iCs/>
        </w:rPr>
        <w:t xml:space="preserve">N </w:t>
      </w:r>
      <w:proofErr w:type="spellStart"/>
      <w:r w:rsidRPr="00C77471">
        <w:rPr>
          <w:rFonts w:ascii="Book Antiqua" w:eastAsia="Book Antiqua" w:hAnsi="Book Antiqua" w:cs="Book Antiqua"/>
          <w:i/>
          <w:iCs/>
        </w:rPr>
        <w:t>Engl</w:t>
      </w:r>
      <w:proofErr w:type="spellEnd"/>
      <w:r w:rsidRPr="00C77471">
        <w:rPr>
          <w:rFonts w:ascii="Book Antiqua" w:eastAsia="Book Antiqua" w:hAnsi="Book Antiqua" w:cs="Book Antiqua"/>
          <w:i/>
          <w:iCs/>
        </w:rPr>
        <w:t xml:space="preserve"> J Med</w:t>
      </w:r>
      <w:r w:rsidRPr="00C77471">
        <w:rPr>
          <w:rFonts w:ascii="Book Antiqua" w:eastAsia="Book Antiqua" w:hAnsi="Book Antiqua" w:cs="Book Antiqua"/>
        </w:rPr>
        <w:t xml:space="preserve"> 1996; </w:t>
      </w:r>
      <w:r w:rsidRPr="00C77471">
        <w:rPr>
          <w:rFonts w:ascii="Book Antiqua" w:eastAsia="Book Antiqua" w:hAnsi="Book Antiqua" w:cs="Book Antiqua"/>
          <w:b/>
          <w:bCs/>
        </w:rPr>
        <w:t>335</w:t>
      </w:r>
      <w:r w:rsidRPr="00C77471">
        <w:rPr>
          <w:rFonts w:ascii="Book Antiqua" w:eastAsia="Book Antiqua" w:hAnsi="Book Antiqua" w:cs="Book Antiqua"/>
        </w:rPr>
        <w:t>: 909-918 [PMID: 8782497 DOI: 10.1056/NEJM199609263351301]</w:t>
      </w:r>
    </w:p>
    <w:p w14:paraId="28E7732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8 </w:t>
      </w:r>
      <w:proofErr w:type="spellStart"/>
      <w:r w:rsidRPr="00C77471">
        <w:rPr>
          <w:rFonts w:ascii="Book Antiqua" w:eastAsia="Book Antiqua" w:hAnsi="Book Antiqua" w:cs="Book Antiqua"/>
          <w:b/>
          <w:bCs/>
        </w:rPr>
        <w:t>Kochar</w:t>
      </w:r>
      <w:proofErr w:type="spellEnd"/>
      <w:r w:rsidRPr="00C77471">
        <w:rPr>
          <w:rFonts w:ascii="Book Antiqua" w:eastAsia="Book Antiqua" w:hAnsi="Book Antiqua" w:cs="Book Antiqua"/>
          <w:b/>
          <w:bCs/>
        </w:rPr>
        <w:t xml:space="preserve"> B</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Akshintala</w:t>
      </w:r>
      <w:proofErr w:type="spellEnd"/>
      <w:r w:rsidRPr="00C77471">
        <w:rPr>
          <w:rFonts w:ascii="Book Antiqua" w:eastAsia="Book Antiqua" w:hAnsi="Book Antiqua" w:cs="Book Antiqua"/>
        </w:rPr>
        <w:t xml:space="preserve"> VS, Afghani E, </w:t>
      </w:r>
      <w:proofErr w:type="spellStart"/>
      <w:r w:rsidRPr="00C77471">
        <w:rPr>
          <w:rFonts w:ascii="Book Antiqua" w:eastAsia="Book Antiqua" w:hAnsi="Book Antiqua" w:cs="Book Antiqua"/>
        </w:rPr>
        <w:t>Elmunzer</w:t>
      </w:r>
      <w:proofErr w:type="spellEnd"/>
      <w:r w:rsidRPr="00C77471">
        <w:rPr>
          <w:rFonts w:ascii="Book Antiqua" w:eastAsia="Book Antiqua" w:hAnsi="Book Antiqua" w:cs="Book Antiqua"/>
        </w:rPr>
        <w:t xml:space="preserve"> BJ, Kim KJ, Lennon AM, </w:t>
      </w:r>
      <w:proofErr w:type="spellStart"/>
      <w:r w:rsidRPr="00C77471">
        <w:rPr>
          <w:rFonts w:ascii="Book Antiqua" w:eastAsia="Book Antiqua" w:hAnsi="Book Antiqua" w:cs="Book Antiqua"/>
        </w:rPr>
        <w:t>Khashab</w:t>
      </w:r>
      <w:proofErr w:type="spellEnd"/>
      <w:r w:rsidRPr="00C77471">
        <w:rPr>
          <w:rFonts w:ascii="Book Antiqua" w:eastAsia="Book Antiqua" w:hAnsi="Book Antiqua" w:cs="Book Antiqua"/>
        </w:rPr>
        <w:t xml:space="preserve"> MA, </w:t>
      </w:r>
      <w:proofErr w:type="spellStart"/>
      <w:r w:rsidRPr="00C77471">
        <w:rPr>
          <w:rFonts w:ascii="Book Antiqua" w:eastAsia="Book Antiqua" w:hAnsi="Book Antiqua" w:cs="Book Antiqua"/>
        </w:rPr>
        <w:t>Kalloo</w:t>
      </w:r>
      <w:proofErr w:type="spellEnd"/>
      <w:r w:rsidRPr="00C77471">
        <w:rPr>
          <w:rFonts w:ascii="Book Antiqua" w:eastAsia="Book Antiqua" w:hAnsi="Book Antiqua" w:cs="Book Antiqua"/>
        </w:rPr>
        <w:t xml:space="preserve"> AN, Singh VK. Incidence, severity, and mortality of post-ERCP pancreatitis: a systematic review by using randomized, controlled trials. </w:t>
      </w:r>
      <w:proofErr w:type="spellStart"/>
      <w:r w:rsidRPr="00C77471">
        <w:rPr>
          <w:rFonts w:ascii="Book Antiqua" w:eastAsia="Book Antiqua" w:hAnsi="Book Antiqua" w:cs="Book Antiqua"/>
          <w:i/>
          <w:iCs/>
        </w:rPr>
        <w:t>Gastrointest</w:t>
      </w:r>
      <w:proofErr w:type="spellEnd"/>
      <w:r w:rsidRPr="00C77471">
        <w:rPr>
          <w:rFonts w:ascii="Book Antiqua" w:eastAsia="Book Antiqua" w:hAnsi="Book Antiqua" w:cs="Book Antiqua"/>
          <w:i/>
          <w:iCs/>
        </w:rPr>
        <w:t xml:space="preserve"> </w:t>
      </w:r>
      <w:proofErr w:type="spellStart"/>
      <w:r w:rsidRPr="00C77471">
        <w:rPr>
          <w:rFonts w:ascii="Book Antiqua" w:eastAsia="Book Antiqua" w:hAnsi="Book Antiqua" w:cs="Book Antiqua"/>
          <w:i/>
          <w:iCs/>
        </w:rPr>
        <w:t>Endosc</w:t>
      </w:r>
      <w:proofErr w:type="spellEnd"/>
      <w:r w:rsidRPr="00C77471">
        <w:rPr>
          <w:rFonts w:ascii="Book Antiqua" w:eastAsia="Book Antiqua" w:hAnsi="Book Antiqua" w:cs="Book Antiqua"/>
        </w:rPr>
        <w:t xml:space="preserve"> 2015; </w:t>
      </w:r>
      <w:r w:rsidRPr="00C77471">
        <w:rPr>
          <w:rFonts w:ascii="Book Antiqua" w:eastAsia="Book Antiqua" w:hAnsi="Book Antiqua" w:cs="Book Antiqua"/>
          <w:b/>
          <w:bCs/>
        </w:rPr>
        <w:t>81</w:t>
      </w:r>
      <w:r w:rsidRPr="00C77471">
        <w:rPr>
          <w:rFonts w:ascii="Book Antiqua" w:eastAsia="Book Antiqua" w:hAnsi="Book Antiqua" w:cs="Book Antiqua"/>
        </w:rPr>
        <w:t>: 143-149.e9 [PMID: 25088919 DOI: 10.1016/j.gie.2014.06.045]</w:t>
      </w:r>
    </w:p>
    <w:p w14:paraId="52396FCA"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9 </w:t>
      </w:r>
      <w:r w:rsidRPr="00C77471">
        <w:rPr>
          <w:rFonts w:ascii="Book Antiqua" w:eastAsia="Book Antiqua" w:hAnsi="Book Antiqua" w:cs="Book Antiqua"/>
          <w:b/>
          <w:bCs/>
        </w:rPr>
        <w:t>Kim SB</w:t>
      </w:r>
      <w:r w:rsidRPr="00C77471">
        <w:rPr>
          <w:rFonts w:ascii="Book Antiqua" w:eastAsia="Book Antiqua" w:hAnsi="Book Antiqua" w:cs="Book Antiqua"/>
        </w:rPr>
        <w:t xml:space="preserve">, Kim KH, Kim TN. Comparison of Outcomes and Complications of Endoscopic Common Bile Duct Stone Removal Between Asymptomatic and Symptomatic Patients. </w:t>
      </w:r>
      <w:r w:rsidRPr="00C77471">
        <w:rPr>
          <w:rFonts w:ascii="Book Antiqua" w:eastAsia="Book Antiqua" w:hAnsi="Book Antiqua" w:cs="Book Antiqua"/>
          <w:i/>
          <w:iCs/>
        </w:rPr>
        <w:t>Dig Dis Sci</w:t>
      </w:r>
      <w:r w:rsidRPr="00C77471">
        <w:rPr>
          <w:rFonts w:ascii="Book Antiqua" w:eastAsia="Book Antiqua" w:hAnsi="Book Antiqua" w:cs="Book Antiqua"/>
        </w:rPr>
        <w:t xml:space="preserve"> 2016; </w:t>
      </w:r>
      <w:r w:rsidRPr="00C77471">
        <w:rPr>
          <w:rFonts w:ascii="Book Antiqua" w:eastAsia="Book Antiqua" w:hAnsi="Book Antiqua" w:cs="Book Antiqua"/>
          <w:b/>
          <w:bCs/>
        </w:rPr>
        <w:t>61</w:t>
      </w:r>
      <w:r w:rsidRPr="00C77471">
        <w:rPr>
          <w:rFonts w:ascii="Book Antiqua" w:eastAsia="Book Antiqua" w:hAnsi="Book Antiqua" w:cs="Book Antiqua"/>
        </w:rPr>
        <w:t>: 1172-1177 [PMID: 26589817 DOI: 10.1007/s10620-015-3965-5]</w:t>
      </w:r>
    </w:p>
    <w:p w14:paraId="0082834F"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10 </w:t>
      </w:r>
      <w:r w:rsidRPr="00C77471">
        <w:rPr>
          <w:rFonts w:ascii="Book Antiqua" w:eastAsia="Book Antiqua" w:hAnsi="Book Antiqua" w:cs="Book Antiqua"/>
          <w:b/>
          <w:bCs/>
        </w:rPr>
        <w:t>Saito H</w:t>
      </w:r>
      <w:r w:rsidRPr="00C77471">
        <w:rPr>
          <w:rFonts w:ascii="Book Antiqua" w:eastAsia="Book Antiqua" w:hAnsi="Book Antiqua" w:cs="Book Antiqua"/>
        </w:rPr>
        <w:t xml:space="preserve">, Kakuma T, </w:t>
      </w:r>
      <w:proofErr w:type="spellStart"/>
      <w:r w:rsidRPr="00C77471">
        <w:rPr>
          <w:rFonts w:ascii="Book Antiqua" w:eastAsia="Book Antiqua" w:hAnsi="Book Antiqua" w:cs="Book Antiqua"/>
        </w:rPr>
        <w:t>Kadono</w:t>
      </w:r>
      <w:proofErr w:type="spellEnd"/>
      <w:r w:rsidRPr="00C77471">
        <w:rPr>
          <w:rFonts w:ascii="Book Antiqua" w:eastAsia="Book Antiqua" w:hAnsi="Book Antiqua" w:cs="Book Antiqua"/>
        </w:rPr>
        <w:t xml:space="preserve"> Y, Urata A, </w:t>
      </w:r>
      <w:proofErr w:type="spellStart"/>
      <w:r w:rsidRPr="00C77471">
        <w:rPr>
          <w:rFonts w:ascii="Book Antiqua" w:eastAsia="Book Antiqua" w:hAnsi="Book Antiqua" w:cs="Book Antiqua"/>
        </w:rPr>
        <w:t>Kamikawa</w:t>
      </w:r>
      <w:proofErr w:type="spellEnd"/>
      <w:r w:rsidRPr="00C77471">
        <w:rPr>
          <w:rFonts w:ascii="Book Antiqua" w:eastAsia="Book Antiqua" w:hAnsi="Book Antiqua" w:cs="Book Antiqua"/>
        </w:rPr>
        <w:t xml:space="preserve"> K, Imamura H, Tada S. Increased risk and severity of ERCP-related complications associated with asymptomatic common bile duct stones. </w:t>
      </w:r>
      <w:proofErr w:type="spellStart"/>
      <w:r w:rsidRPr="00C77471">
        <w:rPr>
          <w:rFonts w:ascii="Book Antiqua" w:eastAsia="Book Antiqua" w:hAnsi="Book Antiqua" w:cs="Book Antiqua"/>
          <w:i/>
          <w:iCs/>
        </w:rPr>
        <w:t>Endosc</w:t>
      </w:r>
      <w:proofErr w:type="spellEnd"/>
      <w:r w:rsidRPr="00C77471">
        <w:rPr>
          <w:rFonts w:ascii="Book Antiqua" w:eastAsia="Book Antiqua" w:hAnsi="Book Antiqua" w:cs="Book Antiqua"/>
          <w:i/>
          <w:iCs/>
        </w:rPr>
        <w:t xml:space="preserve"> Int Open</w:t>
      </w:r>
      <w:r w:rsidRPr="00C77471">
        <w:rPr>
          <w:rFonts w:ascii="Book Antiqua" w:eastAsia="Book Antiqua" w:hAnsi="Book Antiqua" w:cs="Book Antiqua"/>
        </w:rPr>
        <w:t xml:space="preserve"> 2017; </w:t>
      </w:r>
      <w:r w:rsidRPr="00C77471">
        <w:rPr>
          <w:rFonts w:ascii="Book Antiqua" w:eastAsia="Book Antiqua" w:hAnsi="Book Antiqua" w:cs="Book Antiqua"/>
          <w:b/>
          <w:bCs/>
        </w:rPr>
        <w:t>5</w:t>
      </w:r>
      <w:r w:rsidRPr="00C77471">
        <w:rPr>
          <w:rFonts w:ascii="Book Antiqua" w:eastAsia="Book Antiqua" w:hAnsi="Book Antiqua" w:cs="Book Antiqua"/>
        </w:rPr>
        <w:t>: E809-E817 [PMID: 28879226 DOI: 10.1055/s-0043-107615]</w:t>
      </w:r>
    </w:p>
    <w:p w14:paraId="29F428E5"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11 </w:t>
      </w:r>
      <w:r w:rsidRPr="00C77471">
        <w:rPr>
          <w:rFonts w:ascii="Book Antiqua" w:eastAsia="Book Antiqua" w:hAnsi="Book Antiqua" w:cs="Book Antiqua"/>
          <w:b/>
          <w:bCs/>
        </w:rPr>
        <w:t>Saito H</w:t>
      </w:r>
      <w:r w:rsidRPr="00C77471">
        <w:rPr>
          <w:rFonts w:ascii="Book Antiqua" w:eastAsia="Book Antiqua" w:hAnsi="Book Antiqua" w:cs="Book Antiqua"/>
        </w:rPr>
        <w:t xml:space="preserve">, Koga T, </w:t>
      </w:r>
      <w:proofErr w:type="spellStart"/>
      <w:r w:rsidRPr="00C77471">
        <w:rPr>
          <w:rFonts w:ascii="Book Antiqua" w:eastAsia="Book Antiqua" w:hAnsi="Book Antiqua" w:cs="Book Antiqua"/>
        </w:rPr>
        <w:t>Sakaguchi</w:t>
      </w:r>
      <w:proofErr w:type="spellEnd"/>
      <w:r w:rsidRPr="00C77471">
        <w:rPr>
          <w:rFonts w:ascii="Book Antiqua" w:eastAsia="Book Antiqua" w:hAnsi="Book Antiqua" w:cs="Book Antiqua"/>
        </w:rPr>
        <w:t xml:space="preserve"> M, </w:t>
      </w:r>
      <w:proofErr w:type="spellStart"/>
      <w:r w:rsidRPr="00C77471">
        <w:rPr>
          <w:rFonts w:ascii="Book Antiqua" w:eastAsia="Book Antiqua" w:hAnsi="Book Antiqua" w:cs="Book Antiqua"/>
        </w:rPr>
        <w:t>Kadono</w:t>
      </w:r>
      <w:proofErr w:type="spellEnd"/>
      <w:r w:rsidRPr="00C77471">
        <w:rPr>
          <w:rFonts w:ascii="Book Antiqua" w:eastAsia="Book Antiqua" w:hAnsi="Book Antiqua" w:cs="Book Antiqua"/>
        </w:rPr>
        <w:t xml:space="preserve"> Y, </w:t>
      </w:r>
      <w:proofErr w:type="spellStart"/>
      <w:r w:rsidRPr="00C77471">
        <w:rPr>
          <w:rFonts w:ascii="Book Antiqua" w:eastAsia="Book Antiqua" w:hAnsi="Book Antiqua" w:cs="Book Antiqua"/>
        </w:rPr>
        <w:t>Kamikawa</w:t>
      </w:r>
      <w:proofErr w:type="spellEnd"/>
      <w:r w:rsidRPr="00C77471">
        <w:rPr>
          <w:rFonts w:ascii="Book Antiqua" w:eastAsia="Book Antiqua" w:hAnsi="Book Antiqua" w:cs="Book Antiqua"/>
        </w:rPr>
        <w:t xml:space="preserve"> K, Urata A, Imamura H, Tada S, Kakuma T, Matsushita I. Post-endoscopic retrograde cholangiopancreatography pancreatitis in patients with asymptomatic common bile duct stones. </w:t>
      </w:r>
      <w:r w:rsidRPr="00C77471">
        <w:rPr>
          <w:rFonts w:ascii="Book Antiqua" w:eastAsia="Book Antiqua" w:hAnsi="Book Antiqua" w:cs="Book Antiqua"/>
          <w:i/>
          <w:iCs/>
        </w:rPr>
        <w:t>J Gastroenterol Hepatol</w:t>
      </w:r>
      <w:r w:rsidRPr="00C77471">
        <w:rPr>
          <w:rFonts w:ascii="Book Antiqua" w:eastAsia="Book Antiqua" w:hAnsi="Book Antiqua" w:cs="Book Antiqua"/>
        </w:rPr>
        <w:t xml:space="preserve"> 2019; </w:t>
      </w:r>
      <w:r w:rsidRPr="00C77471">
        <w:rPr>
          <w:rFonts w:ascii="Book Antiqua" w:eastAsia="Book Antiqua" w:hAnsi="Book Antiqua" w:cs="Book Antiqua"/>
          <w:b/>
          <w:bCs/>
        </w:rPr>
        <w:t>34</w:t>
      </w:r>
      <w:r w:rsidRPr="00C77471">
        <w:rPr>
          <w:rFonts w:ascii="Book Antiqua" w:eastAsia="Book Antiqua" w:hAnsi="Book Antiqua" w:cs="Book Antiqua"/>
        </w:rPr>
        <w:t>: 1153-1159 [PMID: 30650203 DOI: 10.1111/jgh.14604]</w:t>
      </w:r>
    </w:p>
    <w:p w14:paraId="16D19FB4"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12 </w:t>
      </w:r>
      <w:r w:rsidRPr="00C77471">
        <w:rPr>
          <w:rFonts w:ascii="Book Antiqua" w:eastAsia="Book Antiqua" w:hAnsi="Book Antiqua" w:cs="Book Antiqua"/>
          <w:b/>
          <w:bCs/>
        </w:rPr>
        <w:t>Xu XD</w:t>
      </w:r>
      <w:r w:rsidRPr="00C77471">
        <w:rPr>
          <w:rFonts w:ascii="Book Antiqua" w:eastAsia="Book Antiqua" w:hAnsi="Book Antiqua" w:cs="Book Antiqua"/>
        </w:rPr>
        <w:t xml:space="preserve">, Qian JQ, Dai JJ, Sun ZX. Endoscopic treatment for choledocholithiasis in asymptomatic patients. </w:t>
      </w:r>
      <w:r w:rsidRPr="00C77471">
        <w:rPr>
          <w:rFonts w:ascii="Book Antiqua" w:eastAsia="Book Antiqua" w:hAnsi="Book Antiqua" w:cs="Book Antiqua"/>
          <w:i/>
          <w:iCs/>
        </w:rPr>
        <w:t>J Gastroenterol Hepatol</w:t>
      </w:r>
      <w:r w:rsidRPr="00C77471">
        <w:rPr>
          <w:rFonts w:ascii="Book Antiqua" w:eastAsia="Book Antiqua" w:hAnsi="Book Antiqua" w:cs="Book Antiqua"/>
        </w:rPr>
        <w:t xml:space="preserve"> 2020; </w:t>
      </w:r>
      <w:r w:rsidRPr="00C77471">
        <w:rPr>
          <w:rFonts w:ascii="Book Antiqua" w:eastAsia="Book Antiqua" w:hAnsi="Book Antiqua" w:cs="Book Antiqua"/>
          <w:b/>
          <w:bCs/>
        </w:rPr>
        <w:t>35</w:t>
      </w:r>
      <w:r w:rsidRPr="00C77471">
        <w:rPr>
          <w:rFonts w:ascii="Book Antiqua" w:eastAsia="Book Antiqua" w:hAnsi="Book Antiqua" w:cs="Book Antiqua"/>
        </w:rPr>
        <w:t>: 165-169 [PMID: 31334888 DOI: 10.1111/jgh.14790]</w:t>
      </w:r>
    </w:p>
    <w:p w14:paraId="02E87873"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13 </w:t>
      </w:r>
      <w:r w:rsidRPr="00C77471">
        <w:rPr>
          <w:rFonts w:ascii="Book Antiqua" w:eastAsia="Book Antiqua" w:hAnsi="Book Antiqua" w:cs="Book Antiqua"/>
          <w:b/>
          <w:bCs/>
        </w:rPr>
        <w:t>Xiao L</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Geng</w:t>
      </w:r>
      <w:proofErr w:type="spellEnd"/>
      <w:r w:rsidRPr="00C77471">
        <w:rPr>
          <w:rFonts w:ascii="Book Antiqua" w:eastAsia="Book Antiqua" w:hAnsi="Book Antiqua" w:cs="Book Antiqua"/>
        </w:rPr>
        <w:t xml:space="preserve"> C, Li X, Li Y, Wang C. Comparable safety of ERCP in symptomatic and asymptomatic patients with common bile duct stones: a propensity-matched analysis. </w:t>
      </w:r>
      <w:proofErr w:type="spellStart"/>
      <w:r w:rsidRPr="00C77471">
        <w:rPr>
          <w:rFonts w:ascii="Book Antiqua" w:eastAsia="Book Antiqua" w:hAnsi="Book Antiqua" w:cs="Book Antiqua"/>
          <w:i/>
          <w:iCs/>
        </w:rPr>
        <w:t>Scand</w:t>
      </w:r>
      <w:proofErr w:type="spellEnd"/>
      <w:r w:rsidRPr="00C77471">
        <w:rPr>
          <w:rFonts w:ascii="Book Antiqua" w:eastAsia="Book Antiqua" w:hAnsi="Book Antiqua" w:cs="Book Antiqua"/>
          <w:i/>
          <w:iCs/>
        </w:rPr>
        <w:t xml:space="preserve"> J Gastroenterol</w:t>
      </w:r>
      <w:r w:rsidRPr="00C77471">
        <w:rPr>
          <w:rFonts w:ascii="Book Antiqua" w:eastAsia="Book Antiqua" w:hAnsi="Book Antiqua" w:cs="Book Antiqua"/>
        </w:rPr>
        <w:t xml:space="preserve"> 2021; </w:t>
      </w:r>
      <w:r w:rsidRPr="00C77471">
        <w:rPr>
          <w:rFonts w:ascii="Book Antiqua" w:eastAsia="Book Antiqua" w:hAnsi="Book Antiqua" w:cs="Book Antiqua"/>
          <w:b/>
          <w:bCs/>
        </w:rPr>
        <w:t>56</w:t>
      </w:r>
      <w:r w:rsidRPr="00C77471">
        <w:rPr>
          <w:rFonts w:ascii="Book Antiqua" w:eastAsia="Book Antiqua" w:hAnsi="Book Antiqua" w:cs="Book Antiqua"/>
        </w:rPr>
        <w:t>: 111-117 [PMID: 33295209 DOI: 10.1080/00365521.2020.1853222]</w:t>
      </w:r>
    </w:p>
    <w:p w14:paraId="2B618A84"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14 </w:t>
      </w:r>
      <w:proofErr w:type="spellStart"/>
      <w:r w:rsidRPr="00C77471">
        <w:rPr>
          <w:rFonts w:ascii="Book Antiqua" w:eastAsia="Book Antiqua" w:hAnsi="Book Antiqua" w:cs="Book Antiqua"/>
          <w:b/>
          <w:bCs/>
        </w:rPr>
        <w:t>Ammori</w:t>
      </w:r>
      <w:proofErr w:type="spellEnd"/>
      <w:r w:rsidRPr="00C77471">
        <w:rPr>
          <w:rFonts w:ascii="Book Antiqua" w:eastAsia="Book Antiqua" w:hAnsi="Book Antiqua" w:cs="Book Antiqua"/>
          <w:b/>
          <w:bCs/>
        </w:rPr>
        <w:t xml:space="preserve"> BJ</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Birbas</w:t>
      </w:r>
      <w:proofErr w:type="spellEnd"/>
      <w:r w:rsidRPr="00C77471">
        <w:rPr>
          <w:rFonts w:ascii="Book Antiqua" w:eastAsia="Book Antiqua" w:hAnsi="Book Antiqua" w:cs="Book Antiqua"/>
        </w:rPr>
        <w:t xml:space="preserve"> K, </w:t>
      </w:r>
      <w:proofErr w:type="spellStart"/>
      <w:r w:rsidRPr="00C77471">
        <w:rPr>
          <w:rFonts w:ascii="Book Antiqua" w:eastAsia="Book Antiqua" w:hAnsi="Book Antiqua" w:cs="Book Antiqua"/>
        </w:rPr>
        <w:t>Davides</w:t>
      </w:r>
      <w:proofErr w:type="spellEnd"/>
      <w:r w:rsidRPr="00C77471">
        <w:rPr>
          <w:rFonts w:ascii="Book Antiqua" w:eastAsia="Book Antiqua" w:hAnsi="Book Antiqua" w:cs="Book Antiqua"/>
        </w:rPr>
        <w:t xml:space="preserve"> D, </w:t>
      </w:r>
      <w:proofErr w:type="spellStart"/>
      <w:r w:rsidRPr="00C77471">
        <w:rPr>
          <w:rFonts w:ascii="Book Antiqua" w:eastAsia="Book Antiqua" w:hAnsi="Book Antiqua" w:cs="Book Antiqua"/>
        </w:rPr>
        <w:t>Vezakis</w:t>
      </w:r>
      <w:proofErr w:type="spellEnd"/>
      <w:r w:rsidRPr="00C77471">
        <w:rPr>
          <w:rFonts w:ascii="Book Antiqua" w:eastAsia="Book Antiqua" w:hAnsi="Book Antiqua" w:cs="Book Antiqua"/>
        </w:rPr>
        <w:t xml:space="preserve"> A, </w:t>
      </w:r>
      <w:proofErr w:type="spellStart"/>
      <w:r w:rsidRPr="00C77471">
        <w:rPr>
          <w:rFonts w:ascii="Book Antiqua" w:eastAsia="Book Antiqua" w:hAnsi="Book Antiqua" w:cs="Book Antiqua"/>
        </w:rPr>
        <w:t>Larvin</w:t>
      </w:r>
      <w:proofErr w:type="spellEnd"/>
      <w:r w:rsidRPr="00C77471">
        <w:rPr>
          <w:rFonts w:ascii="Book Antiqua" w:eastAsia="Book Antiqua" w:hAnsi="Book Antiqua" w:cs="Book Antiqua"/>
        </w:rPr>
        <w:t xml:space="preserve"> M, McMahon MJ. Routine </w:t>
      </w:r>
      <w:r w:rsidRPr="00C77471">
        <w:rPr>
          <w:rFonts w:ascii="Book Antiqua" w:eastAsia="Book Antiqua" w:hAnsi="Book Antiqua" w:cs="Book Antiqua"/>
          <w:i/>
          <w:iCs/>
        </w:rPr>
        <w:t>vs</w:t>
      </w:r>
      <w:r w:rsidRPr="00C77471">
        <w:rPr>
          <w:rFonts w:ascii="Book Antiqua" w:eastAsia="Book Antiqua" w:hAnsi="Book Antiqua" w:cs="Book Antiqua"/>
        </w:rPr>
        <w:t xml:space="preserve"> "on demand" postoperative ERCP for small bile duct calculi detected at intraoperative cholangiography. Clinical evaluation and cost analysis. </w:t>
      </w:r>
      <w:r w:rsidRPr="00C77471">
        <w:rPr>
          <w:rFonts w:ascii="Book Antiqua" w:eastAsia="Book Antiqua" w:hAnsi="Book Antiqua" w:cs="Book Antiqua"/>
          <w:i/>
          <w:iCs/>
        </w:rPr>
        <w:t xml:space="preserve">Surg </w:t>
      </w:r>
      <w:proofErr w:type="spellStart"/>
      <w:r w:rsidRPr="00C77471">
        <w:rPr>
          <w:rFonts w:ascii="Book Antiqua" w:eastAsia="Book Antiqua" w:hAnsi="Book Antiqua" w:cs="Book Antiqua"/>
          <w:i/>
          <w:iCs/>
        </w:rPr>
        <w:t>Endosc</w:t>
      </w:r>
      <w:proofErr w:type="spellEnd"/>
      <w:r w:rsidRPr="00C77471">
        <w:rPr>
          <w:rFonts w:ascii="Book Antiqua" w:eastAsia="Book Antiqua" w:hAnsi="Book Antiqua" w:cs="Book Antiqua"/>
        </w:rPr>
        <w:t xml:space="preserve"> 2000; </w:t>
      </w:r>
      <w:r w:rsidRPr="00C77471">
        <w:rPr>
          <w:rFonts w:ascii="Book Antiqua" w:eastAsia="Book Antiqua" w:hAnsi="Book Antiqua" w:cs="Book Antiqua"/>
          <w:b/>
          <w:bCs/>
        </w:rPr>
        <w:t>14</w:t>
      </w:r>
      <w:r w:rsidRPr="00C77471">
        <w:rPr>
          <w:rFonts w:ascii="Book Antiqua" w:eastAsia="Book Antiqua" w:hAnsi="Book Antiqua" w:cs="Book Antiqua"/>
        </w:rPr>
        <w:t>: 1123-1126 [PMID: 11148780 DOI: 10.1007/s004640000146]</w:t>
      </w:r>
    </w:p>
    <w:p w14:paraId="580BA4A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15 </w:t>
      </w:r>
      <w:r w:rsidRPr="00C77471">
        <w:rPr>
          <w:rFonts w:ascii="Book Antiqua" w:eastAsia="Book Antiqua" w:hAnsi="Book Antiqua" w:cs="Book Antiqua"/>
          <w:b/>
          <w:bCs/>
        </w:rPr>
        <w:t>Collins C</w:t>
      </w:r>
      <w:r w:rsidRPr="00C77471">
        <w:rPr>
          <w:rFonts w:ascii="Book Antiqua" w:eastAsia="Book Antiqua" w:hAnsi="Book Antiqua" w:cs="Book Antiqua"/>
        </w:rPr>
        <w:t xml:space="preserve">, Maguire D, Ireland A, Fitzgerald E, O'Sullivan GC. A prospective study of common bile duct calculi in patients undergoing laparoscopic cholecystectomy: natural </w:t>
      </w:r>
      <w:r w:rsidRPr="00C77471">
        <w:rPr>
          <w:rFonts w:ascii="Book Antiqua" w:eastAsia="Book Antiqua" w:hAnsi="Book Antiqua" w:cs="Book Antiqua"/>
        </w:rPr>
        <w:lastRenderedPageBreak/>
        <w:t xml:space="preserve">history of choledocholithiasis revisited. </w:t>
      </w:r>
      <w:r w:rsidRPr="00C77471">
        <w:rPr>
          <w:rFonts w:ascii="Book Antiqua" w:eastAsia="Book Antiqua" w:hAnsi="Book Antiqua" w:cs="Book Antiqua"/>
          <w:i/>
          <w:iCs/>
        </w:rPr>
        <w:t>Ann Surg</w:t>
      </w:r>
      <w:r w:rsidRPr="00C77471">
        <w:rPr>
          <w:rFonts w:ascii="Book Antiqua" w:eastAsia="Book Antiqua" w:hAnsi="Book Antiqua" w:cs="Book Antiqua"/>
        </w:rPr>
        <w:t xml:space="preserve"> 2004; </w:t>
      </w:r>
      <w:r w:rsidRPr="00C77471">
        <w:rPr>
          <w:rFonts w:ascii="Book Antiqua" w:eastAsia="Book Antiqua" w:hAnsi="Book Antiqua" w:cs="Book Antiqua"/>
          <w:b/>
          <w:bCs/>
        </w:rPr>
        <w:t>239</w:t>
      </w:r>
      <w:r w:rsidRPr="00C77471">
        <w:rPr>
          <w:rFonts w:ascii="Book Antiqua" w:eastAsia="Book Antiqua" w:hAnsi="Book Antiqua" w:cs="Book Antiqua"/>
        </w:rPr>
        <w:t>: 28-33 [PMID: 14685097 DOI: 10.1097/01.sla.0000103069.00170.9c]</w:t>
      </w:r>
    </w:p>
    <w:p w14:paraId="51B8D128"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16 </w:t>
      </w:r>
      <w:r w:rsidRPr="00C77471">
        <w:rPr>
          <w:rFonts w:ascii="Book Antiqua" w:eastAsia="Book Antiqua" w:hAnsi="Book Antiqua" w:cs="Book Antiqua"/>
          <w:b/>
          <w:bCs/>
        </w:rPr>
        <w:t>Caddy GR</w:t>
      </w:r>
      <w:r w:rsidRPr="00C77471">
        <w:rPr>
          <w:rFonts w:ascii="Book Antiqua" w:eastAsia="Book Antiqua" w:hAnsi="Book Antiqua" w:cs="Book Antiqua"/>
        </w:rPr>
        <w:t xml:space="preserve">, Kirby J, Kirk SJ, Allen MJ, </w:t>
      </w:r>
      <w:proofErr w:type="spellStart"/>
      <w:r w:rsidRPr="00C77471">
        <w:rPr>
          <w:rFonts w:ascii="Book Antiqua" w:eastAsia="Book Antiqua" w:hAnsi="Book Antiqua" w:cs="Book Antiqua"/>
        </w:rPr>
        <w:t>Moorehead</w:t>
      </w:r>
      <w:proofErr w:type="spellEnd"/>
      <w:r w:rsidRPr="00C77471">
        <w:rPr>
          <w:rFonts w:ascii="Book Antiqua" w:eastAsia="Book Antiqua" w:hAnsi="Book Antiqua" w:cs="Book Antiqua"/>
        </w:rPr>
        <w:t xml:space="preserve"> RJ, </w:t>
      </w:r>
      <w:proofErr w:type="spellStart"/>
      <w:r w:rsidRPr="00C77471">
        <w:rPr>
          <w:rFonts w:ascii="Book Antiqua" w:eastAsia="Book Antiqua" w:hAnsi="Book Antiqua" w:cs="Book Antiqua"/>
        </w:rPr>
        <w:t>Tham</w:t>
      </w:r>
      <w:proofErr w:type="spellEnd"/>
      <w:r w:rsidRPr="00C77471">
        <w:rPr>
          <w:rFonts w:ascii="Book Antiqua" w:eastAsia="Book Antiqua" w:hAnsi="Book Antiqua" w:cs="Book Antiqua"/>
        </w:rPr>
        <w:t xml:space="preserve"> TC. Natural history of asymptomatic bile duct stones at time of cholecystectomy. </w:t>
      </w:r>
      <w:r w:rsidRPr="00C77471">
        <w:rPr>
          <w:rFonts w:ascii="Book Antiqua" w:eastAsia="Book Antiqua" w:hAnsi="Book Antiqua" w:cs="Book Antiqua"/>
          <w:i/>
          <w:iCs/>
        </w:rPr>
        <w:t>Ulster Med J</w:t>
      </w:r>
      <w:r w:rsidRPr="00C77471">
        <w:rPr>
          <w:rFonts w:ascii="Book Antiqua" w:eastAsia="Book Antiqua" w:hAnsi="Book Antiqua" w:cs="Book Antiqua"/>
        </w:rPr>
        <w:t xml:space="preserve"> 2005; </w:t>
      </w:r>
      <w:r w:rsidRPr="00C77471">
        <w:rPr>
          <w:rFonts w:ascii="Book Antiqua" w:eastAsia="Book Antiqua" w:hAnsi="Book Antiqua" w:cs="Book Antiqua"/>
          <w:b/>
          <w:bCs/>
        </w:rPr>
        <w:t>74</w:t>
      </w:r>
      <w:r w:rsidRPr="00C77471">
        <w:rPr>
          <w:rFonts w:ascii="Book Antiqua" w:eastAsia="Book Antiqua" w:hAnsi="Book Antiqua" w:cs="Book Antiqua"/>
        </w:rPr>
        <w:t>: 108-112 [PMID: 16235763]</w:t>
      </w:r>
    </w:p>
    <w:p w14:paraId="3A3CC0F3"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17 </w:t>
      </w:r>
      <w:proofErr w:type="spellStart"/>
      <w:r w:rsidRPr="00C77471">
        <w:rPr>
          <w:rFonts w:ascii="Book Antiqua" w:eastAsia="Book Antiqua" w:hAnsi="Book Antiqua" w:cs="Book Antiqua"/>
          <w:b/>
          <w:bCs/>
        </w:rPr>
        <w:t>Möller</w:t>
      </w:r>
      <w:proofErr w:type="spellEnd"/>
      <w:r w:rsidRPr="00C77471">
        <w:rPr>
          <w:rFonts w:ascii="Book Antiqua" w:eastAsia="Book Antiqua" w:hAnsi="Book Antiqua" w:cs="Book Antiqua"/>
          <w:b/>
          <w:bCs/>
        </w:rPr>
        <w:t xml:space="preserve"> M</w:t>
      </w:r>
      <w:r w:rsidRPr="00C77471">
        <w:rPr>
          <w:rFonts w:ascii="Book Antiqua" w:eastAsia="Book Antiqua" w:hAnsi="Book Antiqua" w:cs="Book Antiqua"/>
        </w:rPr>
        <w:t xml:space="preserve">, Gustafsson U, Rasmussen F, Persson G, </w:t>
      </w:r>
      <w:proofErr w:type="spellStart"/>
      <w:r w:rsidRPr="00C77471">
        <w:rPr>
          <w:rFonts w:ascii="Book Antiqua" w:eastAsia="Book Antiqua" w:hAnsi="Book Antiqua" w:cs="Book Antiqua"/>
        </w:rPr>
        <w:t>Thorell</w:t>
      </w:r>
      <w:proofErr w:type="spellEnd"/>
      <w:r w:rsidRPr="00C77471">
        <w:rPr>
          <w:rFonts w:ascii="Book Antiqua" w:eastAsia="Book Antiqua" w:hAnsi="Book Antiqua" w:cs="Book Antiqua"/>
        </w:rPr>
        <w:t xml:space="preserve"> A. Natural course </w:t>
      </w:r>
      <w:r w:rsidRPr="00C77471">
        <w:rPr>
          <w:rFonts w:ascii="Book Antiqua" w:eastAsia="Book Antiqua" w:hAnsi="Book Antiqua" w:cs="Book Antiqua"/>
          <w:i/>
          <w:iCs/>
        </w:rPr>
        <w:t>vs</w:t>
      </w:r>
      <w:r w:rsidRPr="00C77471">
        <w:rPr>
          <w:rFonts w:ascii="Book Antiqua" w:eastAsia="Book Antiqua" w:hAnsi="Book Antiqua" w:cs="Book Antiqua"/>
        </w:rPr>
        <w:t xml:space="preserve"> interventions to clear common bile duct stones: data from the Swedish Registry for Gallstone Surgery and Endoscopic Retrograde Cholangiopancreatography (</w:t>
      </w:r>
      <w:proofErr w:type="spellStart"/>
      <w:r w:rsidRPr="00C77471">
        <w:rPr>
          <w:rFonts w:ascii="Book Antiqua" w:eastAsia="Book Antiqua" w:hAnsi="Book Antiqua" w:cs="Book Antiqua"/>
        </w:rPr>
        <w:t>GallRiks</w:t>
      </w:r>
      <w:proofErr w:type="spellEnd"/>
      <w:r w:rsidRPr="00C77471">
        <w:rPr>
          <w:rFonts w:ascii="Book Antiqua" w:eastAsia="Book Antiqua" w:hAnsi="Book Antiqua" w:cs="Book Antiqua"/>
        </w:rPr>
        <w:t xml:space="preserve">). </w:t>
      </w:r>
      <w:r w:rsidRPr="00C77471">
        <w:rPr>
          <w:rFonts w:ascii="Book Antiqua" w:eastAsia="Book Antiqua" w:hAnsi="Book Antiqua" w:cs="Book Antiqua"/>
          <w:i/>
          <w:iCs/>
        </w:rPr>
        <w:t>JAMA Surg</w:t>
      </w:r>
      <w:r w:rsidRPr="00C77471">
        <w:rPr>
          <w:rFonts w:ascii="Book Antiqua" w:eastAsia="Book Antiqua" w:hAnsi="Book Antiqua" w:cs="Book Antiqua"/>
        </w:rPr>
        <w:t xml:space="preserve"> 2014; </w:t>
      </w:r>
      <w:r w:rsidRPr="00C77471">
        <w:rPr>
          <w:rFonts w:ascii="Book Antiqua" w:eastAsia="Book Antiqua" w:hAnsi="Book Antiqua" w:cs="Book Antiqua"/>
          <w:b/>
          <w:bCs/>
        </w:rPr>
        <w:t>149</w:t>
      </w:r>
      <w:r w:rsidRPr="00C77471">
        <w:rPr>
          <w:rFonts w:ascii="Book Antiqua" w:eastAsia="Book Antiqua" w:hAnsi="Book Antiqua" w:cs="Book Antiqua"/>
        </w:rPr>
        <w:t>: 1008-1013 [PMID: 25133326 DOI: 10.1001/jamasurg.2014.249]</w:t>
      </w:r>
    </w:p>
    <w:p w14:paraId="47C306D0"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18 </w:t>
      </w:r>
      <w:proofErr w:type="spellStart"/>
      <w:r w:rsidRPr="00C77471">
        <w:rPr>
          <w:rFonts w:ascii="Book Antiqua" w:eastAsia="Book Antiqua" w:hAnsi="Book Antiqua" w:cs="Book Antiqua"/>
          <w:b/>
          <w:bCs/>
        </w:rPr>
        <w:t>Hakuta</w:t>
      </w:r>
      <w:proofErr w:type="spellEnd"/>
      <w:r w:rsidRPr="00C77471">
        <w:rPr>
          <w:rFonts w:ascii="Book Antiqua" w:eastAsia="Book Antiqua" w:hAnsi="Book Antiqua" w:cs="Book Antiqua"/>
          <w:b/>
          <w:bCs/>
        </w:rPr>
        <w:t xml:space="preserve"> R</w:t>
      </w:r>
      <w:r w:rsidRPr="00C77471">
        <w:rPr>
          <w:rFonts w:ascii="Book Antiqua" w:eastAsia="Book Antiqua" w:hAnsi="Book Antiqua" w:cs="Book Antiqua"/>
        </w:rPr>
        <w:t xml:space="preserve">, Hamada T, </w:t>
      </w:r>
      <w:proofErr w:type="spellStart"/>
      <w:r w:rsidRPr="00C77471">
        <w:rPr>
          <w:rFonts w:ascii="Book Antiqua" w:eastAsia="Book Antiqua" w:hAnsi="Book Antiqua" w:cs="Book Antiqua"/>
        </w:rPr>
        <w:t>Nakai</w:t>
      </w:r>
      <w:proofErr w:type="spellEnd"/>
      <w:r w:rsidRPr="00C77471">
        <w:rPr>
          <w:rFonts w:ascii="Book Antiqua" w:eastAsia="Book Antiqua" w:hAnsi="Book Antiqua" w:cs="Book Antiqua"/>
        </w:rPr>
        <w:t xml:space="preserve"> Y, </w:t>
      </w:r>
      <w:proofErr w:type="spellStart"/>
      <w:r w:rsidRPr="00C77471">
        <w:rPr>
          <w:rFonts w:ascii="Book Antiqua" w:eastAsia="Book Antiqua" w:hAnsi="Book Antiqua" w:cs="Book Antiqua"/>
        </w:rPr>
        <w:t>Oyama</w:t>
      </w:r>
      <w:proofErr w:type="spellEnd"/>
      <w:r w:rsidRPr="00C77471">
        <w:rPr>
          <w:rFonts w:ascii="Book Antiqua" w:eastAsia="Book Antiqua" w:hAnsi="Book Antiqua" w:cs="Book Antiqua"/>
        </w:rPr>
        <w:t xml:space="preserve"> H, Kanai S, Suzuki T, Sato T, Ishigaki K, Saito K, Saito T, </w:t>
      </w:r>
      <w:proofErr w:type="spellStart"/>
      <w:r w:rsidRPr="00C77471">
        <w:rPr>
          <w:rFonts w:ascii="Book Antiqua" w:eastAsia="Book Antiqua" w:hAnsi="Book Antiqua" w:cs="Book Antiqua"/>
        </w:rPr>
        <w:t>Takahara</w:t>
      </w:r>
      <w:proofErr w:type="spellEnd"/>
      <w:r w:rsidRPr="00C77471">
        <w:rPr>
          <w:rFonts w:ascii="Book Antiqua" w:eastAsia="Book Antiqua" w:hAnsi="Book Antiqua" w:cs="Book Antiqua"/>
        </w:rPr>
        <w:t xml:space="preserve"> N, Mizuno S, </w:t>
      </w:r>
      <w:proofErr w:type="spellStart"/>
      <w:r w:rsidRPr="00C77471">
        <w:rPr>
          <w:rFonts w:ascii="Book Antiqua" w:eastAsia="Book Antiqua" w:hAnsi="Book Antiqua" w:cs="Book Antiqua"/>
        </w:rPr>
        <w:t>Kogure</w:t>
      </w:r>
      <w:proofErr w:type="spellEnd"/>
      <w:r w:rsidRPr="00C77471">
        <w:rPr>
          <w:rFonts w:ascii="Book Antiqua" w:eastAsia="Book Antiqua" w:hAnsi="Book Antiqua" w:cs="Book Antiqua"/>
        </w:rPr>
        <w:t xml:space="preserve"> H, </w:t>
      </w:r>
      <w:proofErr w:type="spellStart"/>
      <w:r w:rsidRPr="00C77471">
        <w:rPr>
          <w:rFonts w:ascii="Book Antiqua" w:eastAsia="Book Antiqua" w:hAnsi="Book Antiqua" w:cs="Book Antiqua"/>
        </w:rPr>
        <w:t>Watadani</w:t>
      </w:r>
      <w:proofErr w:type="spellEnd"/>
      <w:r w:rsidRPr="00C77471">
        <w:rPr>
          <w:rFonts w:ascii="Book Antiqua" w:eastAsia="Book Antiqua" w:hAnsi="Book Antiqua" w:cs="Book Antiqua"/>
        </w:rPr>
        <w:t xml:space="preserve"> T, </w:t>
      </w:r>
      <w:proofErr w:type="spellStart"/>
      <w:r w:rsidRPr="00C77471">
        <w:rPr>
          <w:rFonts w:ascii="Book Antiqua" w:eastAsia="Book Antiqua" w:hAnsi="Book Antiqua" w:cs="Book Antiqua"/>
        </w:rPr>
        <w:t>Tsujino</w:t>
      </w:r>
      <w:proofErr w:type="spellEnd"/>
      <w:r w:rsidRPr="00C77471">
        <w:rPr>
          <w:rFonts w:ascii="Book Antiqua" w:eastAsia="Book Antiqua" w:hAnsi="Book Antiqua" w:cs="Book Antiqua"/>
        </w:rPr>
        <w:t xml:space="preserve"> T, Tada M, Abe O, </w:t>
      </w:r>
      <w:proofErr w:type="spellStart"/>
      <w:r w:rsidRPr="00C77471">
        <w:rPr>
          <w:rFonts w:ascii="Book Antiqua" w:eastAsia="Book Antiqua" w:hAnsi="Book Antiqua" w:cs="Book Antiqua"/>
        </w:rPr>
        <w:t>Isayama</w:t>
      </w:r>
      <w:proofErr w:type="spellEnd"/>
      <w:r w:rsidRPr="00C77471">
        <w:rPr>
          <w:rFonts w:ascii="Book Antiqua" w:eastAsia="Book Antiqua" w:hAnsi="Book Antiqua" w:cs="Book Antiqua"/>
        </w:rPr>
        <w:t xml:space="preserve"> H, Koike K. Natural history of asymptomatic bile duct stones and association of endoscopic treatment with clinical outcomes. </w:t>
      </w:r>
      <w:r w:rsidRPr="00C77471">
        <w:rPr>
          <w:rFonts w:ascii="Book Antiqua" w:eastAsia="Book Antiqua" w:hAnsi="Book Antiqua" w:cs="Book Antiqua"/>
          <w:i/>
          <w:iCs/>
        </w:rPr>
        <w:t>J Gastroenterol</w:t>
      </w:r>
      <w:r w:rsidRPr="00C77471">
        <w:rPr>
          <w:rFonts w:ascii="Book Antiqua" w:eastAsia="Book Antiqua" w:hAnsi="Book Antiqua" w:cs="Book Antiqua"/>
        </w:rPr>
        <w:t xml:space="preserve"> 2020; </w:t>
      </w:r>
      <w:r w:rsidRPr="00C77471">
        <w:rPr>
          <w:rFonts w:ascii="Book Antiqua" w:eastAsia="Book Antiqua" w:hAnsi="Book Antiqua" w:cs="Book Antiqua"/>
          <w:b/>
          <w:bCs/>
        </w:rPr>
        <w:t>55</w:t>
      </w:r>
      <w:r w:rsidRPr="00C77471">
        <w:rPr>
          <w:rFonts w:ascii="Book Antiqua" w:eastAsia="Book Antiqua" w:hAnsi="Book Antiqua" w:cs="Book Antiqua"/>
        </w:rPr>
        <w:t>: 78-85 [PMID: 31473828 DOI: 10.1007/s00535-019-01612-7]</w:t>
      </w:r>
    </w:p>
    <w:p w14:paraId="1FE93FEB"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19 </w:t>
      </w:r>
      <w:r w:rsidRPr="00C77471">
        <w:rPr>
          <w:rFonts w:ascii="Book Antiqua" w:eastAsia="Book Antiqua" w:hAnsi="Book Antiqua" w:cs="Book Antiqua"/>
          <w:b/>
          <w:bCs/>
        </w:rPr>
        <w:t>Park BK</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Seo</w:t>
      </w:r>
      <w:proofErr w:type="spellEnd"/>
      <w:r w:rsidRPr="00C77471">
        <w:rPr>
          <w:rFonts w:ascii="Book Antiqua" w:eastAsia="Book Antiqua" w:hAnsi="Book Antiqua" w:cs="Book Antiqua"/>
        </w:rPr>
        <w:t xml:space="preserve"> JH, Jeon HH, Choi JW, Won SY, Cho YS, Lee CK, Park H, Kim DW. A nationwide population-based study of common bile duct stone recurrence after endoscopic stone removal in Korea. </w:t>
      </w:r>
      <w:r w:rsidRPr="00C77471">
        <w:rPr>
          <w:rFonts w:ascii="Book Antiqua" w:eastAsia="Book Antiqua" w:hAnsi="Book Antiqua" w:cs="Book Antiqua"/>
          <w:i/>
          <w:iCs/>
        </w:rPr>
        <w:t>J Gastroenterol</w:t>
      </w:r>
      <w:r w:rsidRPr="00C77471">
        <w:rPr>
          <w:rFonts w:ascii="Book Antiqua" w:eastAsia="Book Antiqua" w:hAnsi="Book Antiqua" w:cs="Book Antiqua"/>
        </w:rPr>
        <w:t xml:space="preserve"> 2018; </w:t>
      </w:r>
      <w:r w:rsidRPr="00C77471">
        <w:rPr>
          <w:rFonts w:ascii="Book Antiqua" w:eastAsia="Book Antiqua" w:hAnsi="Book Antiqua" w:cs="Book Antiqua"/>
          <w:b/>
          <w:bCs/>
        </w:rPr>
        <w:t>53</w:t>
      </w:r>
      <w:r w:rsidRPr="00C77471">
        <w:rPr>
          <w:rFonts w:ascii="Book Antiqua" w:eastAsia="Book Antiqua" w:hAnsi="Book Antiqua" w:cs="Book Antiqua"/>
        </w:rPr>
        <w:t>: 670-678 [PMID: 29192348 DOI: 10.1007/s00535-017-1419-x]</w:t>
      </w:r>
    </w:p>
    <w:p w14:paraId="5245D27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20 </w:t>
      </w:r>
      <w:proofErr w:type="spellStart"/>
      <w:r w:rsidRPr="00C77471">
        <w:rPr>
          <w:rFonts w:ascii="Book Antiqua" w:eastAsia="Book Antiqua" w:hAnsi="Book Antiqua" w:cs="Book Antiqua"/>
          <w:b/>
          <w:bCs/>
        </w:rPr>
        <w:t>Kawaji</w:t>
      </w:r>
      <w:proofErr w:type="spellEnd"/>
      <w:r w:rsidRPr="00C77471">
        <w:rPr>
          <w:rFonts w:ascii="Book Antiqua" w:eastAsia="Book Antiqua" w:hAnsi="Book Antiqua" w:cs="Book Antiqua"/>
          <w:b/>
          <w:bCs/>
        </w:rPr>
        <w:t xml:space="preserve"> Y</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Isayama</w:t>
      </w:r>
      <w:proofErr w:type="spellEnd"/>
      <w:r w:rsidRPr="00C77471">
        <w:rPr>
          <w:rFonts w:ascii="Book Antiqua" w:eastAsia="Book Antiqua" w:hAnsi="Book Antiqua" w:cs="Book Antiqua"/>
        </w:rPr>
        <w:t xml:space="preserve"> H, </w:t>
      </w:r>
      <w:proofErr w:type="spellStart"/>
      <w:r w:rsidRPr="00C77471">
        <w:rPr>
          <w:rFonts w:ascii="Book Antiqua" w:eastAsia="Book Antiqua" w:hAnsi="Book Antiqua" w:cs="Book Antiqua"/>
        </w:rPr>
        <w:t>Nakai</w:t>
      </w:r>
      <w:proofErr w:type="spellEnd"/>
      <w:r w:rsidRPr="00C77471">
        <w:rPr>
          <w:rFonts w:ascii="Book Antiqua" w:eastAsia="Book Antiqua" w:hAnsi="Book Antiqua" w:cs="Book Antiqua"/>
        </w:rPr>
        <w:t xml:space="preserve"> Y, Saito K, Sato T, </w:t>
      </w:r>
      <w:proofErr w:type="spellStart"/>
      <w:r w:rsidRPr="00C77471">
        <w:rPr>
          <w:rFonts w:ascii="Book Antiqua" w:eastAsia="Book Antiqua" w:hAnsi="Book Antiqua" w:cs="Book Antiqua"/>
        </w:rPr>
        <w:t>Hakuta</w:t>
      </w:r>
      <w:proofErr w:type="spellEnd"/>
      <w:r w:rsidRPr="00C77471">
        <w:rPr>
          <w:rFonts w:ascii="Book Antiqua" w:eastAsia="Book Antiqua" w:hAnsi="Book Antiqua" w:cs="Book Antiqua"/>
        </w:rPr>
        <w:t xml:space="preserve"> R, Saito T, </w:t>
      </w:r>
      <w:proofErr w:type="spellStart"/>
      <w:r w:rsidRPr="00C77471">
        <w:rPr>
          <w:rFonts w:ascii="Book Antiqua" w:eastAsia="Book Antiqua" w:hAnsi="Book Antiqua" w:cs="Book Antiqua"/>
        </w:rPr>
        <w:t>Takahara</w:t>
      </w:r>
      <w:proofErr w:type="spellEnd"/>
      <w:r w:rsidRPr="00C77471">
        <w:rPr>
          <w:rFonts w:ascii="Book Antiqua" w:eastAsia="Book Antiqua" w:hAnsi="Book Antiqua" w:cs="Book Antiqua"/>
        </w:rPr>
        <w:t xml:space="preserve"> N, Mizuno S, </w:t>
      </w:r>
      <w:proofErr w:type="spellStart"/>
      <w:r w:rsidRPr="00C77471">
        <w:rPr>
          <w:rFonts w:ascii="Book Antiqua" w:eastAsia="Book Antiqua" w:hAnsi="Book Antiqua" w:cs="Book Antiqua"/>
        </w:rPr>
        <w:t>Kogure</w:t>
      </w:r>
      <w:proofErr w:type="spellEnd"/>
      <w:r w:rsidRPr="00C77471">
        <w:rPr>
          <w:rFonts w:ascii="Book Antiqua" w:eastAsia="Book Antiqua" w:hAnsi="Book Antiqua" w:cs="Book Antiqua"/>
        </w:rPr>
        <w:t xml:space="preserve"> H, Matsubara S, Tada M, Kitano M, Koike K. Multiple recurrences after endoscopic removal of common bile duct stones: A retrospective analysis of 976 cases. </w:t>
      </w:r>
      <w:r w:rsidRPr="00C77471">
        <w:rPr>
          <w:rFonts w:ascii="Book Antiqua" w:eastAsia="Book Antiqua" w:hAnsi="Book Antiqua" w:cs="Book Antiqua"/>
          <w:i/>
          <w:iCs/>
        </w:rPr>
        <w:t>J Gastroenterol Hepatol</w:t>
      </w:r>
      <w:r w:rsidRPr="00C77471">
        <w:rPr>
          <w:rFonts w:ascii="Book Antiqua" w:eastAsia="Book Antiqua" w:hAnsi="Book Antiqua" w:cs="Book Antiqua"/>
        </w:rPr>
        <w:t xml:space="preserve"> 2019; </w:t>
      </w:r>
      <w:r w:rsidRPr="00C77471">
        <w:rPr>
          <w:rFonts w:ascii="Book Antiqua" w:eastAsia="Book Antiqua" w:hAnsi="Book Antiqua" w:cs="Book Antiqua"/>
          <w:b/>
          <w:bCs/>
        </w:rPr>
        <w:t>34</w:t>
      </w:r>
      <w:r w:rsidRPr="00C77471">
        <w:rPr>
          <w:rFonts w:ascii="Book Antiqua" w:eastAsia="Book Antiqua" w:hAnsi="Book Antiqua" w:cs="Book Antiqua"/>
        </w:rPr>
        <w:t>: 1460-1466 [PMID: 30761603 DOI: 10.1111/jgh.14630]</w:t>
      </w:r>
    </w:p>
    <w:p w14:paraId="5BA9077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21 </w:t>
      </w:r>
      <w:r w:rsidRPr="00C77471">
        <w:rPr>
          <w:rFonts w:ascii="Book Antiqua" w:eastAsia="Book Antiqua" w:hAnsi="Book Antiqua" w:cs="Book Antiqua"/>
          <w:b/>
          <w:bCs/>
        </w:rPr>
        <w:t>Kaufman HS</w:t>
      </w:r>
      <w:r w:rsidRPr="00C77471">
        <w:rPr>
          <w:rFonts w:ascii="Book Antiqua" w:eastAsia="Book Antiqua" w:hAnsi="Book Antiqua" w:cs="Book Antiqua"/>
        </w:rPr>
        <w:t xml:space="preserve">, Magnuson TH, </w:t>
      </w:r>
      <w:proofErr w:type="spellStart"/>
      <w:r w:rsidRPr="00C77471">
        <w:rPr>
          <w:rFonts w:ascii="Book Antiqua" w:eastAsia="Book Antiqua" w:hAnsi="Book Antiqua" w:cs="Book Antiqua"/>
        </w:rPr>
        <w:t>Lillemoe</w:t>
      </w:r>
      <w:proofErr w:type="spellEnd"/>
      <w:r w:rsidRPr="00C77471">
        <w:rPr>
          <w:rFonts w:ascii="Book Antiqua" w:eastAsia="Book Antiqua" w:hAnsi="Book Antiqua" w:cs="Book Antiqua"/>
        </w:rPr>
        <w:t xml:space="preserve"> KD, </w:t>
      </w:r>
      <w:proofErr w:type="spellStart"/>
      <w:r w:rsidRPr="00C77471">
        <w:rPr>
          <w:rFonts w:ascii="Book Antiqua" w:eastAsia="Book Antiqua" w:hAnsi="Book Antiqua" w:cs="Book Antiqua"/>
        </w:rPr>
        <w:t>Frasca</w:t>
      </w:r>
      <w:proofErr w:type="spellEnd"/>
      <w:r w:rsidRPr="00C77471">
        <w:rPr>
          <w:rFonts w:ascii="Book Antiqua" w:eastAsia="Book Antiqua" w:hAnsi="Book Antiqua" w:cs="Book Antiqua"/>
        </w:rPr>
        <w:t xml:space="preserve"> P, Pitt HA. The role of bacteria in gallbladder and common duct stone formation. </w:t>
      </w:r>
      <w:r w:rsidRPr="00C77471">
        <w:rPr>
          <w:rFonts w:ascii="Book Antiqua" w:eastAsia="Book Antiqua" w:hAnsi="Book Antiqua" w:cs="Book Antiqua"/>
          <w:i/>
          <w:iCs/>
        </w:rPr>
        <w:t>Ann Surg</w:t>
      </w:r>
      <w:r w:rsidRPr="00C77471">
        <w:rPr>
          <w:rFonts w:ascii="Book Antiqua" w:eastAsia="Book Antiqua" w:hAnsi="Book Antiqua" w:cs="Book Antiqua"/>
        </w:rPr>
        <w:t xml:space="preserve"> 1989; </w:t>
      </w:r>
      <w:r w:rsidRPr="00C77471">
        <w:rPr>
          <w:rFonts w:ascii="Book Antiqua" w:eastAsia="Book Antiqua" w:hAnsi="Book Antiqua" w:cs="Book Antiqua"/>
          <w:b/>
          <w:bCs/>
        </w:rPr>
        <w:t>209</w:t>
      </w:r>
      <w:r w:rsidRPr="00C77471">
        <w:rPr>
          <w:rFonts w:ascii="Book Antiqua" w:eastAsia="Book Antiqua" w:hAnsi="Book Antiqua" w:cs="Book Antiqua"/>
        </w:rPr>
        <w:t>: 584-91; discussion 591-2 [PMID: 2705823 DOI: 10.1097/00000658-198905000-00011]</w:t>
      </w:r>
    </w:p>
    <w:p w14:paraId="7E910678"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22 </w:t>
      </w:r>
      <w:proofErr w:type="spellStart"/>
      <w:r w:rsidRPr="00C77471">
        <w:rPr>
          <w:rFonts w:ascii="Book Antiqua" w:eastAsia="Book Antiqua" w:hAnsi="Book Antiqua" w:cs="Book Antiqua"/>
          <w:b/>
          <w:bCs/>
        </w:rPr>
        <w:t>Cetta</w:t>
      </w:r>
      <w:proofErr w:type="spellEnd"/>
      <w:r w:rsidRPr="00C77471">
        <w:rPr>
          <w:rFonts w:ascii="Book Antiqua" w:eastAsia="Book Antiqua" w:hAnsi="Book Antiqua" w:cs="Book Antiqua"/>
          <w:b/>
          <w:bCs/>
        </w:rPr>
        <w:t xml:space="preserve"> FM</w:t>
      </w:r>
      <w:r w:rsidRPr="00C77471">
        <w:rPr>
          <w:rFonts w:ascii="Book Antiqua" w:eastAsia="Book Antiqua" w:hAnsi="Book Antiqua" w:cs="Book Antiqua"/>
        </w:rPr>
        <w:t xml:space="preserve">. Bile infection documented as initial event in the pathogenesis of brown pigment biliary stones. </w:t>
      </w:r>
      <w:r w:rsidRPr="00C77471">
        <w:rPr>
          <w:rFonts w:ascii="Book Antiqua" w:eastAsia="Book Antiqua" w:hAnsi="Book Antiqua" w:cs="Book Antiqua"/>
          <w:i/>
          <w:iCs/>
        </w:rPr>
        <w:t>Hepatology</w:t>
      </w:r>
      <w:r w:rsidRPr="00C77471">
        <w:rPr>
          <w:rFonts w:ascii="Book Antiqua" w:eastAsia="Book Antiqua" w:hAnsi="Book Antiqua" w:cs="Book Antiqua"/>
        </w:rPr>
        <w:t xml:space="preserve"> 1986; </w:t>
      </w:r>
      <w:r w:rsidRPr="00C77471">
        <w:rPr>
          <w:rFonts w:ascii="Book Antiqua" w:eastAsia="Book Antiqua" w:hAnsi="Book Antiqua" w:cs="Book Antiqua"/>
          <w:b/>
          <w:bCs/>
        </w:rPr>
        <w:t>6</w:t>
      </w:r>
      <w:r w:rsidRPr="00C77471">
        <w:rPr>
          <w:rFonts w:ascii="Book Antiqua" w:eastAsia="Book Antiqua" w:hAnsi="Book Antiqua" w:cs="Book Antiqua"/>
        </w:rPr>
        <w:t>: 482-489 [PMID: 3519417 DOI: 10.1002/hep.1840060327]</w:t>
      </w:r>
    </w:p>
    <w:p w14:paraId="1CB2356A"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lastRenderedPageBreak/>
        <w:t xml:space="preserve">23 </w:t>
      </w:r>
      <w:proofErr w:type="spellStart"/>
      <w:r w:rsidRPr="00C77471">
        <w:rPr>
          <w:rFonts w:ascii="Book Antiqua" w:eastAsia="Book Antiqua" w:hAnsi="Book Antiqua" w:cs="Book Antiqua"/>
          <w:b/>
          <w:bCs/>
        </w:rPr>
        <w:t>Tazuma</w:t>
      </w:r>
      <w:proofErr w:type="spellEnd"/>
      <w:r w:rsidRPr="00C77471">
        <w:rPr>
          <w:rFonts w:ascii="Book Antiqua" w:eastAsia="Book Antiqua" w:hAnsi="Book Antiqua" w:cs="Book Antiqua"/>
          <w:b/>
          <w:bCs/>
        </w:rPr>
        <w:t xml:space="preserve"> S</w:t>
      </w:r>
      <w:r w:rsidRPr="00C77471">
        <w:rPr>
          <w:rFonts w:ascii="Book Antiqua" w:eastAsia="Book Antiqua" w:hAnsi="Book Antiqua" w:cs="Book Antiqua"/>
        </w:rPr>
        <w:t xml:space="preserve">. Gallstone disease: Epidemiology, pathogenesis, and classification of biliary stones (common bile duct and intrahepatic). </w:t>
      </w:r>
      <w:r w:rsidRPr="00C77471">
        <w:rPr>
          <w:rFonts w:ascii="Book Antiqua" w:eastAsia="Book Antiqua" w:hAnsi="Book Antiqua" w:cs="Book Antiqua"/>
          <w:i/>
          <w:iCs/>
        </w:rPr>
        <w:t xml:space="preserve">Best </w:t>
      </w:r>
      <w:proofErr w:type="spellStart"/>
      <w:r w:rsidRPr="00C77471">
        <w:rPr>
          <w:rFonts w:ascii="Book Antiqua" w:eastAsia="Book Antiqua" w:hAnsi="Book Antiqua" w:cs="Book Antiqua"/>
          <w:i/>
          <w:iCs/>
        </w:rPr>
        <w:t>Pract</w:t>
      </w:r>
      <w:proofErr w:type="spellEnd"/>
      <w:r w:rsidRPr="00C77471">
        <w:rPr>
          <w:rFonts w:ascii="Book Antiqua" w:eastAsia="Book Antiqua" w:hAnsi="Book Antiqua" w:cs="Book Antiqua"/>
          <w:i/>
          <w:iCs/>
        </w:rPr>
        <w:t xml:space="preserve"> Res Clin Gastroenterol</w:t>
      </w:r>
      <w:r w:rsidRPr="00C77471">
        <w:rPr>
          <w:rFonts w:ascii="Book Antiqua" w:eastAsia="Book Antiqua" w:hAnsi="Book Antiqua" w:cs="Book Antiqua"/>
        </w:rPr>
        <w:t xml:space="preserve"> 2006; </w:t>
      </w:r>
      <w:r w:rsidRPr="00C77471">
        <w:rPr>
          <w:rFonts w:ascii="Book Antiqua" w:eastAsia="Book Antiqua" w:hAnsi="Book Antiqua" w:cs="Book Antiqua"/>
          <w:b/>
          <w:bCs/>
        </w:rPr>
        <w:t>20</w:t>
      </w:r>
      <w:r w:rsidRPr="00C77471">
        <w:rPr>
          <w:rFonts w:ascii="Book Antiqua" w:eastAsia="Book Antiqua" w:hAnsi="Book Antiqua" w:cs="Book Antiqua"/>
        </w:rPr>
        <w:t>: 1075-1083 [PMID: 17127189 DOI: 10.1016/j.bpg.2006.05.009]</w:t>
      </w:r>
    </w:p>
    <w:p w14:paraId="7BB7D4E2"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24 </w:t>
      </w:r>
      <w:proofErr w:type="spellStart"/>
      <w:r w:rsidRPr="00C77471">
        <w:rPr>
          <w:rFonts w:ascii="Book Antiqua" w:eastAsia="Book Antiqua" w:hAnsi="Book Antiqua" w:cs="Book Antiqua"/>
          <w:b/>
          <w:bCs/>
        </w:rPr>
        <w:t>Tsui</w:t>
      </w:r>
      <w:proofErr w:type="spellEnd"/>
      <w:r w:rsidRPr="00C77471">
        <w:rPr>
          <w:rFonts w:ascii="Book Antiqua" w:eastAsia="Book Antiqua" w:hAnsi="Book Antiqua" w:cs="Book Antiqua"/>
          <w:b/>
          <w:bCs/>
        </w:rPr>
        <w:t xml:space="preserve"> WM</w:t>
      </w:r>
      <w:r w:rsidRPr="00C77471">
        <w:rPr>
          <w:rFonts w:ascii="Book Antiqua" w:eastAsia="Book Antiqua" w:hAnsi="Book Antiqua" w:cs="Book Antiqua"/>
        </w:rPr>
        <w:t xml:space="preserve">, Lam PW, Lee WK, Chan YK. Primary hepatolithiasis, recurrent pyogenic cholangitis, and oriental </w:t>
      </w:r>
      <w:proofErr w:type="spellStart"/>
      <w:r w:rsidRPr="00C77471">
        <w:rPr>
          <w:rFonts w:ascii="Book Antiqua" w:eastAsia="Book Antiqua" w:hAnsi="Book Antiqua" w:cs="Book Antiqua"/>
        </w:rPr>
        <w:t>cholangiohepatitis</w:t>
      </w:r>
      <w:proofErr w:type="spellEnd"/>
      <w:r w:rsidRPr="00C77471">
        <w:rPr>
          <w:rFonts w:ascii="Book Antiqua" w:eastAsia="Book Antiqua" w:hAnsi="Book Antiqua" w:cs="Book Antiqua"/>
        </w:rPr>
        <w:t xml:space="preserve">: a tale of 3 countries. </w:t>
      </w:r>
      <w:r w:rsidRPr="00C77471">
        <w:rPr>
          <w:rFonts w:ascii="Book Antiqua" w:eastAsia="Book Antiqua" w:hAnsi="Book Antiqua" w:cs="Book Antiqua"/>
          <w:i/>
          <w:iCs/>
        </w:rPr>
        <w:t xml:space="preserve">Adv </w:t>
      </w:r>
      <w:proofErr w:type="spellStart"/>
      <w:r w:rsidRPr="00C77471">
        <w:rPr>
          <w:rFonts w:ascii="Book Antiqua" w:eastAsia="Book Antiqua" w:hAnsi="Book Antiqua" w:cs="Book Antiqua"/>
          <w:i/>
          <w:iCs/>
        </w:rPr>
        <w:t>Anat</w:t>
      </w:r>
      <w:proofErr w:type="spellEnd"/>
      <w:r w:rsidRPr="00C77471">
        <w:rPr>
          <w:rFonts w:ascii="Book Antiqua" w:eastAsia="Book Antiqua" w:hAnsi="Book Antiqua" w:cs="Book Antiqua"/>
          <w:i/>
          <w:iCs/>
        </w:rPr>
        <w:t xml:space="preserve"> </w:t>
      </w:r>
      <w:proofErr w:type="spellStart"/>
      <w:r w:rsidRPr="00C77471">
        <w:rPr>
          <w:rFonts w:ascii="Book Antiqua" w:eastAsia="Book Antiqua" w:hAnsi="Book Antiqua" w:cs="Book Antiqua"/>
          <w:i/>
          <w:iCs/>
        </w:rPr>
        <w:t>Pathol</w:t>
      </w:r>
      <w:proofErr w:type="spellEnd"/>
      <w:r w:rsidRPr="00C77471">
        <w:rPr>
          <w:rFonts w:ascii="Book Antiqua" w:eastAsia="Book Antiqua" w:hAnsi="Book Antiqua" w:cs="Book Antiqua"/>
        </w:rPr>
        <w:t xml:space="preserve"> 2011; </w:t>
      </w:r>
      <w:r w:rsidRPr="00C77471">
        <w:rPr>
          <w:rFonts w:ascii="Book Antiqua" w:eastAsia="Book Antiqua" w:hAnsi="Book Antiqua" w:cs="Book Antiqua"/>
          <w:b/>
          <w:bCs/>
        </w:rPr>
        <w:t>18</w:t>
      </w:r>
      <w:r w:rsidRPr="00C77471">
        <w:rPr>
          <w:rFonts w:ascii="Book Antiqua" w:eastAsia="Book Antiqua" w:hAnsi="Book Antiqua" w:cs="Book Antiqua"/>
        </w:rPr>
        <w:t>: 318-328 [PMID: 21654363 DOI: 10.1097/PAP.0b013e318220fb75]</w:t>
      </w:r>
    </w:p>
    <w:p w14:paraId="566ED6D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25 </w:t>
      </w:r>
      <w:r w:rsidRPr="00C77471">
        <w:rPr>
          <w:rFonts w:ascii="Book Antiqua" w:eastAsia="Book Antiqua" w:hAnsi="Book Antiqua" w:cs="Book Antiqua"/>
          <w:b/>
          <w:bCs/>
        </w:rPr>
        <w:t>Neuhaus H</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Feussner</w:t>
      </w:r>
      <w:proofErr w:type="spellEnd"/>
      <w:r w:rsidRPr="00C77471">
        <w:rPr>
          <w:rFonts w:ascii="Book Antiqua" w:eastAsia="Book Antiqua" w:hAnsi="Book Antiqua" w:cs="Book Antiqua"/>
        </w:rPr>
        <w:t xml:space="preserve"> H, </w:t>
      </w:r>
      <w:proofErr w:type="spellStart"/>
      <w:r w:rsidRPr="00C77471">
        <w:rPr>
          <w:rFonts w:ascii="Book Antiqua" w:eastAsia="Book Antiqua" w:hAnsi="Book Antiqua" w:cs="Book Antiqua"/>
        </w:rPr>
        <w:t>Ungeheuer</w:t>
      </w:r>
      <w:proofErr w:type="spellEnd"/>
      <w:r w:rsidRPr="00C77471">
        <w:rPr>
          <w:rFonts w:ascii="Book Antiqua" w:eastAsia="Book Antiqua" w:hAnsi="Book Antiqua" w:cs="Book Antiqua"/>
        </w:rPr>
        <w:t xml:space="preserve"> A, Hoffmann W, Siewert JR, Classen M. Prospective evaluation of the use of endoscopic retrograde cholangiography prior to laparoscopic cholecystectomy. </w:t>
      </w:r>
      <w:r w:rsidRPr="00C77471">
        <w:rPr>
          <w:rFonts w:ascii="Book Antiqua" w:eastAsia="Book Antiqua" w:hAnsi="Book Antiqua" w:cs="Book Antiqua"/>
          <w:i/>
          <w:iCs/>
        </w:rPr>
        <w:t>Endoscopy</w:t>
      </w:r>
      <w:r w:rsidRPr="00C77471">
        <w:rPr>
          <w:rFonts w:ascii="Book Antiqua" w:eastAsia="Book Antiqua" w:hAnsi="Book Antiqua" w:cs="Book Antiqua"/>
        </w:rPr>
        <w:t xml:space="preserve"> 1992; </w:t>
      </w:r>
      <w:r w:rsidRPr="00C77471">
        <w:rPr>
          <w:rFonts w:ascii="Book Antiqua" w:eastAsia="Book Antiqua" w:hAnsi="Book Antiqua" w:cs="Book Antiqua"/>
          <w:b/>
          <w:bCs/>
        </w:rPr>
        <w:t>24</w:t>
      </w:r>
      <w:r w:rsidRPr="00C77471">
        <w:rPr>
          <w:rFonts w:ascii="Book Antiqua" w:eastAsia="Book Antiqua" w:hAnsi="Book Antiqua" w:cs="Book Antiqua"/>
        </w:rPr>
        <w:t>: 745-749 [PMID: 1468389 DOI: 10.1055/s-2007-1010576]</w:t>
      </w:r>
    </w:p>
    <w:p w14:paraId="7534CFF1"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26 </w:t>
      </w:r>
      <w:proofErr w:type="spellStart"/>
      <w:r w:rsidRPr="00C77471">
        <w:rPr>
          <w:rFonts w:ascii="Book Antiqua" w:eastAsia="Book Antiqua" w:hAnsi="Book Antiqua" w:cs="Book Antiqua"/>
          <w:b/>
          <w:bCs/>
        </w:rPr>
        <w:t>Saltzstein</w:t>
      </w:r>
      <w:proofErr w:type="spellEnd"/>
      <w:r w:rsidRPr="00C77471">
        <w:rPr>
          <w:rFonts w:ascii="Book Antiqua" w:eastAsia="Book Antiqua" w:hAnsi="Book Antiqua" w:cs="Book Antiqua"/>
          <w:b/>
          <w:bCs/>
        </w:rPr>
        <w:t xml:space="preserve"> EC</w:t>
      </w:r>
      <w:r w:rsidRPr="00C77471">
        <w:rPr>
          <w:rFonts w:ascii="Book Antiqua" w:eastAsia="Book Antiqua" w:hAnsi="Book Antiqua" w:cs="Book Antiqua"/>
        </w:rPr>
        <w:t xml:space="preserve">, Peacock JB, Thomas MD. Preoperative bilirubin, alkaline phosphatase and amylase levels as predictors of common duct stones. </w:t>
      </w:r>
      <w:r w:rsidRPr="00C77471">
        <w:rPr>
          <w:rFonts w:ascii="Book Antiqua" w:eastAsia="Book Antiqua" w:hAnsi="Book Antiqua" w:cs="Book Antiqua"/>
          <w:i/>
          <w:iCs/>
        </w:rPr>
        <w:t xml:space="preserve">Surg </w:t>
      </w:r>
      <w:proofErr w:type="spellStart"/>
      <w:r w:rsidRPr="00C77471">
        <w:rPr>
          <w:rFonts w:ascii="Book Antiqua" w:eastAsia="Book Antiqua" w:hAnsi="Book Antiqua" w:cs="Book Antiqua"/>
          <w:i/>
          <w:iCs/>
        </w:rPr>
        <w:t>Gynecol</w:t>
      </w:r>
      <w:proofErr w:type="spellEnd"/>
      <w:r w:rsidRPr="00C77471">
        <w:rPr>
          <w:rFonts w:ascii="Book Antiqua" w:eastAsia="Book Antiqua" w:hAnsi="Book Antiqua" w:cs="Book Antiqua"/>
          <w:i/>
          <w:iCs/>
        </w:rPr>
        <w:t xml:space="preserve"> </w:t>
      </w:r>
      <w:proofErr w:type="spellStart"/>
      <w:r w:rsidRPr="00C77471">
        <w:rPr>
          <w:rFonts w:ascii="Book Antiqua" w:eastAsia="Book Antiqua" w:hAnsi="Book Antiqua" w:cs="Book Antiqua"/>
          <w:i/>
          <w:iCs/>
        </w:rPr>
        <w:t>Obstet</w:t>
      </w:r>
      <w:proofErr w:type="spellEnd"/>
      <w:r w:rsidRPr="00C77471">
        <w:rPr>
          <w:rFonts w:ascii="Book Antiqua" w:eastAsia="Book Antiqua" w:hAnsi="Book Antiqua" w:cs="Book Antiqua"/>
        </w:rPr>
        <w:t xml:space="preserve"> 1982; </w:t>
      </w:r>
      <w:r w:rsidRPr="00C77471">
        <w:rPr>
          <w:rFonts w:ascii="Book Antiqua" w:eastAsia="Book Antiqua" w:hAnsi="Book Antiqua" w:cs="Book Antiqua"/>
          <w:b/>
          <w:bCs/>
        </w:rPr>
        <w:t>154</w:t>
      </w:r>
      <w:r w:rsidRPr="00C77471">
        <w:rPr>
          <w:rFonts w:ascii="Book Antiqua" w:eastAsia="Book Antiqua" w:hAnsi="Book Antiqua" w:cs="Book Antiqua"/>
        </w:rPr>
        <w:t>: 381-384 [PMID: 6175028]</w:t>
      </w:r>
    </w:p>
    <w:p w14:paraId="061A489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27 </w:t>
      </w:r>
      <w:proofErr w:type="spellStart"/>
      <w:r w:rsidRPr="00C77471">
        <w:rPr>
          <w:rFonts w:ascii="Book Antiqua" w:eastAsia="Book Antiqua" w:hAnsi="Book Antiqua" w:cs="Book Antiqua"/>
          <w:b/>
          <w:bCs/>
        </w:rPr>
        <w:t>Lacaine</w:t>
      </w:r>
      <w:proofErr w:type="spellEnd"/>
      <w:r w:rsidRPr="00C77471">
        <w:rPr>
          <w:rFonts w:ascii="Book Antiqua" w:eastAsia="Book Antiqua" w:hAnsi="Book Antiqua" w:cs="Book Antiqua"/>
          <w:b/>
          <w:bCs/>
        </w:rPr>
        <w:t xml:space="preserve"> F</w:t>
      </w:r>
      <w:r w:rsidRPr="00C77471">
        <w:rPr>
          <w:rFonts w:ascii="Book Antiqua" w:eastAsia="Book Antiqua" w:hAnsi="Book Antiqua" w:cs="Book Antiqua"/>
        </w:rPr>
        <w:t xml:space="preserve">, Corlette MB, Bismuth H. Preoperative evaluation of the risk of common bile duct stones. </w:t>
      </w:r>
      <w:r w:rsidRPr="00C77471">
        <w:rPr>
          <w:rFonts w:ascii="Book Antiqua" w:eastAsia="Book Antiqua" w:hAnsi="Book Antiqua" w:cs="Book Antiqua"/>
          <w:i/>
          <w:iCs/>
        </w:rPr>
        <w:t>Arch Surg</w:t>
      </w:r>
      <w:r w:rsidRPr="00C77471">
        <w:rPr>
          <w:rFonts w:ascii="Book Antiqua" w:eastAsia="Book Antiqua" w:hAnsi="Book Antiqua" w:cs="Book Antiqua"/>
        </w:rPr>
        <w:t xml:space="preserve"> 1980; </w:t>
      </w:r>
      <w:r w:rsidRPr="00C77471">
        <w:rPr>
          <w:rFonts w:ascii="Book Antiqua" w:eastAsia="Book Antiqua" w:hAnsi="Book Antiqua" w:cs="Book Antiqua"/>
          <w:b/>
          <w:bCs/>
        </w:rPr>
        <w:t>115</w:t>
      </w:r>
      <w:r w:rsidRPr="00C77471">
        <w:rPr>
          <w:rFonts w:ascii="Book Antiqua" w:eastAsia="Book Antiqua" w:hAnsi="Book Antiqua" w:cs="Book Antiqua"/>
        </w:rPr>
        <w:t>: 1114-1116 [PMID: 7416958 DOI: 10.1001/archsurg.1980.01380090080019]</w:t>
      </w:r>
    </w:p>
    <w:p w14:paraId="395F7C08"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28 </w:t>
      </w:r>
      <w:proofErr w:type="spellStart"/>
      <w:r w:rsidRPr="00C77471">
        <w:rPr>
          <w:rFonts w:ascii="Book Antiqua" w:eastAsia="Book Antiqua" w:hAnsi="Book Antiqua" w:cs="Book Antiqua"/>
          <w:b/>
          <w:bCs/>
        </w:rPr>
        <w:t>Houdart</w:t>
      </w:r>
      <w:proofErr w:type="spellEnd"/>
      <w:r w:rsidRPr="00C77471">
        <w:rPr>
          <w:rFonts w:ascii="Book Antiqua" w:eastAsia="Book Antiqua" w:hAnsi="Book Antiqua" w:cs="Book Antiqua"/>
          <w:b/>
          <w:bCs/>
        </w:rPr>
        <w:t xml:space="preserve"> R</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Perniceni</w:t>
      </w:r>
      <w:proofErr w:type="spellEnd"/>
      <w:r w:rsidRPr="00C77471">
        <w:rPr>
          <w:rFonts w:ascii="Book Antiqua" w:eastAsia="Book Antiqua" w:hAnsi="Book Antiqua" w:cs="Book Antiqua"/>
        </w:rPr>
        <w:t xml:space="preserve"> T, </w:t>
      </w:r>
      <w:proofErr w:type="spellStart"/>
      <w:r w:rsidRPr="00C77471">
        <w:rPr>
          <w:rFonts w:ascii="Book Antiqua" w:eastAsia="Book Antiqua" w:hAnsi="Book Antiqua" w:cs="Book Antiqua"/>
        </w:rPr>
        <w:t>Darne</w:t>
      </w:r>
      <w:proofErr w:type="spellEnd"/>
      <w:r w:rsidRPr="00C77471">
        <w:rPr>
          <w:rFonts w:ascii="Book Antiqua" w:eastAsia="Book Antiqua" w:hAnsi="Book Antiqua" w:cs="Book Antiqua"/>
        </w:rPr>
        <w:t xml:space="preserve"> B, Salmeron M, Simon JF. Predicting common bile duct lithiasis: determination and prospective validation of a model predicting low risk. </w:t>
      </w:r>
      <w:r w:rsidRPr="00C77471">
        <w:rPr>
          <w:rFonts w:ascii="Book Antiqua" w:eastAsia="Book Antiqua" w:hAnsi="Book Antiqua" w:cs="Book Antiqua"/>
          <w:i/>
          <w:iCs/>
        </w:rPr>
        <w:t>Am J Surg</w:t>
      </w:r>
      <w:r w:rsidRPr="00C77471">
        <w:rPr>
          <w:rFonts w:ascii="Book Antiqua" w:eastAsia="Book Antiqua" w:hAnsi="Book Antiqua" w:cs="Book Antiqua"/>
        </w:rPr>
        <w:t xml:space="preserve"> 1995; </w:t>
      </w:r>
      <w:r w:rsidRPr="00C77471">
        <w:rPr>
          <w:rFonts w:ascii="Book Antiqua" w:eastAsia="Book Antiqua" w:hAnsi="Book Antiqua" w:cs="Book Antiqua"/>
          <w:b/>
          <w:bCs/>
        </w:rPr>
        <w:t>170</w:t>
      </w:r>
      <w:r w:rsidRPr="00C77471">
        <w:rPr>
          <w:rFonts w:ascii="Book Antiqua" w:eastAsia="Book Antiqua" w:hAnsi="Book Antiqua" w:cs="Book Antiqua"/>
        </w:rPr>
        <w:t>: 38-43 [PMID: 7793492 DOI: 10.1016/s0002-9610(99)80249-9]</w:t>
      </w:r>
    </w:p>
    <w:p w14:paraId="1F261B12"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29 </w:t>
      </w:r>
      <w:r w:rsidRPr="00C77471">
        <w:rPr>
          <w:rFonts w:ascii="Book Antiqua" w:eastAsia="Book Antiqua" w:hAnsi="Book Antiqua" w:cs="Book Antiqua"/>
          <w:b/>
          <w:bCs/>
        </w:rPr>
        <w:t>Welbourn CR</w:t>
      </w:r>
      <w:r w:rsidRPr="00C77471">
        <w:rPr>
          <w:rFonts w:ascii="Book Antiqua" w:eastAsia="Book Antiqua" w:hAnsi="Book Antiqua" w:cs="Book Antiqua"/>
        </w:rPr>
        <w:t xml:space="preserve">, Mehta D, Armstrong CP, Gear MW, Eyre-Brook IA. Selective preoperative endoscopic retrograde cholangiography with sphincterotomy avoids bile duct exploration during laparoscopic cholecystectomy. </w:t>
      </w:r>
      <w:r w:rsidRPr="00C77471">
        <w:rPr>
          <w:rFonts w:ascii="Book Antiqua" w:eastAsia="Book Antiqua" w:hAnsi="Book Antiqua" w:cs="Book Antiqua"/>
          <w:i/>
          <w:iCs/>
        </w:rPr>
        <w:t>Gut</w:t>
      </w:r>
      <w:r w:rsidRPr="00C77471">
        <w:rPr>
          <w:rFonts w:ascii="Book Antiqua" w:eastAsia="Book Antiqua" w:hAnsi="Book Antiqua" w:cs="Book Antiqua"/>
        </w:rPr>
        <w:t xml:space="preserve"> 1995; </w:t>
      </w:r>
      <w:r w:rsidRPr="00C77471">
        <w:rPr>
          <w:rFonts w:ascii="Book Antiqua" w:eastAsia="Book Antiqua" w:hAnsi="Book Antiqua" w:cs="Book Antiqua"/>
          <w:b/>
          <w:bCs/>
        </w:rPr>
        <w:t>37</w:t>
      </w:r>
      <w:r w:rsidRPr="00C77471">
        <w:rPr>
          <w:rFonts w:ascii="Book Antiqua" w:eastAsia="Book Antiqua" w:hAnsi="Book Antiqua" w:cs="Book Antiqua"/>
        </w:rPr>
        <w:t>: 576-579 [PMID: 7489949 DOI: 10.1136/gut.37.4.576]</w:t>
      </w:r>
    </w:p>
    <w:p w14:paraId="13E9450D"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30 </w:t>
      </w:r>
      <w:proofErr w:type="spellStart"/>
      <w:r w:rsidRPr="00C77471">
        <w:rPr>
          <w:rFonts w:ascii="Book Antiqua" w:eastAsia="Book Antiqua" w:hAnsi="Book Antiqua" w:cs="Book Antiqua"/>
          <w:b/>
          <w:bCs/>
        </w:rPr>
        <w:t>Meeralam</w:t>
      </w:r>
      <w:proofErr w:type="spellEnd"/>
      <w:r w:rsidRPr="00C77471">
        <w:rPr>
          <w:rFonts w:ascii="Book Antiqua" w:eastAsia="Book Antiqua" w:hAnsi="Book Antiqua" w:cs="Book Antiqua"/>
          <w:b/>
          <w:bCs/>
        </w:rPr>
        <w:t xml:space="preserve"> Y</w:t>
      </w:r>
      <w:r w:rsidRPr="00C77471">
        <w:rPr>
          <w:rFonts w:ascii="Book Antiqua" w:eastAsia="Book Antiqua" w:hAnsi="Book Antiqua" w:cs="Book Antiqua"/>
        </w:rPr>
        <w:t>, Al-</w:t>
      </w:r>
      <w:proofErr w:type="spellStart"/>
      <w:r w:rsidRPr="00C77471">
        <w:rPr>
          <w:rFonts w:ascii="Book Antiqua" w:eastAsia="Book Antiqua" w:hAnsi="Book Antiqua" w:cs="Book Antiqua"/>
        </w:rPr>
        <w:t>Shammari</w:t>
      </w:r>
      <w:proofErr w:type="spellEnd"/>
      <w:r w:rsidRPr="00C77471">
        <w:rPr>
          <w:rFonts w:ascii="Book Antiqua" w:eastAsia="Book Antiqua" w:hAnsi="Book Antiqua" w:cs="Book Antiqua"/>
        </w:rPr>
        <w:t xml:space="preserve"> K, Yaghoobi M. Diagnostic accuracy of EUS compared with MRCP in detecting choledocholithiasis: a meta-analysis of diagnostic test accuracy in head-to-head studies. </w:t>
      </w:r>
      <w:proofErr w:type="spellStart"/>
      <w:r w:rsidRPr="00C77471">
        <w:rPr>
          <w:rFonts w:ascii="Book Antiqua" w:eastAsia="Book Antiqua" w:hAnsi="Book Antiqua" w:cs="Book Antiqua"/>
          <w:i/>
          <w:iCs/>
        </w:rPr>
        <w:t>Gastrointest</w:t>
      </w:r>
      <w:proofErr w:type="spellEnd"/>
      <w:r w:rsidRPr="00C77471">
        <w:rPr>
          <w:rFonts w:ascii="Book Antiqua" w:eastAsia="Book Antiqua" w:hAnsi="Book Antiqua" w:cs="Book Antiqua"/>
          <w:i/>
          <w:iCs/>
        </w:rPr>
        <w:t xml:space="preserve"> </w:t>
      </w:r>
      <w:proofErr w:type="spellStart"/>
      <w:r w:rsidRPr="00C77471">
        <w:rPr>
          <w:rFonts w:ascii="Book Antiqua" w:eastAsia="Book Antiqua" w:hAnsi="Book Antiqua" w:cs="Book Antiqua"/>
          <w:i/>
          <w:iCs/>
        </w:rPr>
        <w:t>Endosc</w:t>
      </w:r>
      <w:proofErr w:type="spellEnd"/>
      <w:r w:rsidRPr="00C77471">
        <w:rPr>
          <w:rFonts w:ascii="Book Antiqua" w:eastAsia="Book Antiqua" w:hAnsi="Book Antiqua" w:cs="Book Antiqua"/>
        </w:rPr>
        <w:t xml:space="preserve"> 2017; </w:t>
      </w:r>
      <w:r w:rsidRPr="00C77471">
        <w:rPr>
          <w:rFonts w:ascii="Book Antiqua" w:eastAsia="Book Antiqua" w:hAnsi="Book Antiqua" w:cs="Book Antiqua"/>
          <w:b/>
          <w:bCs/>
        </w:rPr>
        <w:t>86</w:t>
      </w:r>
      <w:r w:rsidRPr="00C77471">
        <w:rPr>
          <w:rFonts w:ascii="Book Antiqua" w:eastAsia="Book Antiqua" w:hAnsi="Book Antiqua" w:cs="Book Antiqua"/>
        </w:rPr>
        <w:t>: 986-993 [PMID: 28645544 DOI: 10.1016/j.gie.2017.06.009]</w:t>
      </w:r>
    </w:p>
    <w:p w14:paraId="770AD072"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31 </w:t>
      </w:r>
      <w:proofErr w:type="spellStart"/>
      <w:r w:rsidRPr="00C77471">
        <w:rPr>
          <w:rFonts w:ascii="Book Antiqua" w:eastAsia="Book Antiqua" w:hAnsi="Book Antiqua" w:cs="Book Antiqua"/>
          <w:b/>
          <w:bCs/>
        </w:rPr>
        <w:t>Giljaca</w:t>
      </w:r>
      <w:proofErr w:type="spellEnd"/>
      <w:r w:rsidRPr="00C77471">
        <w:rPr>
          <w:rFonts w:ascii="Book Antiqua" w:eastAsia="Book Antiqua" w:hAnsi="Book Antiqua" w:cs="Book Antiqua"/>
          <w:b/>
          <w:bCs/>
        </w:rPr>
        <w:t xml:space="preserve"> V</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Gurusamy</w:t>
      </w:r>
      <w:proofErr w:type="spellEnd"/>
      <w:r w:rsidRPr="00C77471">
        <w:rPr>
          <w:rFonts w:ascii="Book Antiqua" w:eastAsia="Book Antiqua" w:hAnsi="Book Antiqua" w:cs="Book Antiqua"/>
        </w:rPr>
        <w:t xml:space="preserve"> KS, </w:t>
      </w:r>
      <w:proofErr w:type="spellStart"/>
      <w:r w:rsidRPr="00C77471">
        <w:rPr>
          <w:rFonts w:ascii="Book Antiqua" w:eastAsia="Book Antiqua" w:hAnsi="Book Antiqua" w:cs="Book Antiqua"/>
        </w:rPr>
        <w:t>Takwoingi</w:t>
      </w:r>
      <w:proofErr w:type="spellEnd"/>
      <w:r w:rsidRPr="00C77471">
        <w:rPr>
          <w:rFonts w:ascii="Book Antiqua" w:eastAsia="Book Antiqua" w:hAnsi="Book Antiqua" w:cs="Book Antiqua"/>
        </w:rPr>
        <w:t xml:space="preserve"> Y, </w:t>
      </w:r>
      <w:proofErr w:type="spellStart"/>
      <w:r w:rsidRPr="00C77471">
        <w:rPr>
          <w:rFonts w:ascii="Book Antiqua" w:eastAsia="Book Antiqua" w:hAnsi="Book Antiqua" w:cs="Book Antiqua"/>
        </w:rPr>
        <w:t>Higgie</w:t>
      </w:r>
      <w:proofErr w:type="spellEnd"/>
      <w:r w:rsidRPr="00C77471">
        <w:rPr>
          <w:rFonts w:ascii="Book Antiqua" w:eastAsia="Book Antiqua" w:hAnsi="Book Antiqua" w:cs="Book Antiqua"/>
        </w:rPr>
        <w:t xml:space="preserve"> D, </w:t>
      </w:r>
      <w:proofErr w:type="spellStart"/>
      <w:r w:rsidRPr="00C77471">
        <w:rPr>
          <w:rFonts w:ascii="Book Antiqua" w:eastAsia="Book Antiqua" w:hAnsi="Book Antiqua" w:cs="Book Antiqua"/>
        </w:rPr>
        <w:t>Poropat</w:t>
      </w:r>
      <w:proofErr w:type="spellEnd"/>
      <w:r w:rsidRPr="00C77471">
        <w:rPr>
          <w:rFonts w:ascii="Book Antiqua" w:eastAsia="Book Antiqua" w:hAnsi="Book Antiqua" w:cs="Book Antiqua"/>
        </w:rPr>
        <w:t xml:space="preserve"> G, </w:t>
      </w:r>
      <w:proofErr w:type="spellStart"/>
      <w:r w:rsidRPr="00C77471">
        <w:rPr>
          <w:rFonts w:ascii="Book Antiqua" w:eastAsia="Book Antiqua" w:hAnsi="Book Antiqua" w:cs="Book Antiqua"/>
        </w:rPr>
        <w:t>Štimac</w:t>
      </w:r>
      <w:proofErr w:type="spellEnd"/>
      <w:r w:rsidRPr="00C77471">
        <w:rPr>
          <w:rFonts w:ascii="Book Antiqua" w:eastAsia="Book Antiqua" w:hAnsi="Book Antiqua" w:cs="Book Antiqua"/>
        </w:rPr>
        <w:t xml:space="preserve"> D, Davidson BR. Endoscopic ultrasound </w:t>
      </w:r>
      <w:r w:rsidR="00A15634" w:rsidRPr="00C77471">
        <w:rPr>
          <w:rFonts w:ascii="Book Antiqua" w:eastAsia="Book Antiqua" w:hAnsi="Book Antiqua" w:cs="Book Antiqua"/>
          <w:iCs/>
        </w:rPr>
        <w:t xml:space="preserve">versus </w:t>
      </w:r>
      <w:r w:rsidRPr="00C77471">
        <w:rPr>
          <w:rFonts w:ascii="Book Antiqua" w:eastAsia="Book Antiqua" w:hAnsi="Book Antiqua" w:cs="Book Antiqua"/>
        </w:rPr>
        <w:t xml:space="preserve">magnetic resonance cholangiopancreatography for </w:t>
      </w:r>
      <w:r w:rsidRPr="00C77471">
        <w:rPr>
          <w:rFonts w:ascii="Book Antiqua" w:eastAsia="Book Antiqua" w:hAnsi="Book Antiqua" w:cs="Book Antiqua"/>
        </w:rPr>
        <w:lastRenderedPageBreak/>
        <w:t xml:space="preserve">common bile duct stones. </w:t>
      </w:r>
      <w:r w:rsidRPr="00C77471">
        <w:rPr>
          <w:rFonts w:ascii="Book Antiqua" w:eastAsia="Book Antiqua" w:hAnsi="Book Antiqua" w:cs="Book Antiqua"/>
          <w:i/>
          <w:iCs/>
        </w:rPr>
        <w:t>Cochrane Database Syst Rev</w:t>
      </w:r>
      <w:r w:rsidRPr="00C77471">
        <w:rPr>
          <w:rFonts w:ascii="Book Antiqua" w:eastAsia="Book Antiqua" w:hAnsi="Book Antiqua" w:cs="Book Antiqua"/>
        </w:rPr>
        <w:t xml:space="preserve"> 2015: CD011549 [PMID: 25719224 DOI: 10.1002/14651858.CD011549]</w:t>
      </w:r>
    </w:p>
    <w:p w14:paraId="74EBA59D" w14:textId="77777777" w:rsidR="00A77B3E" w:rsidRPr="00C77471" w:rsidRDefault="00AC1F5E" w:rsidP="00EE1399">
      <w:pPr>
        <w:spacing w:line="360" w:lineRule="auto"/>
        <w:jc w:val="both"/>
        <w:rPr>
          <w:rFonts w:ascii="Book Antiqua" w:eastAsia="Book Antiqua" w:hAnsi="Book Antiqua" w:cs="Book Antiqua"/>
        </w:rPr>
      </w:pPr>
      <w:r w:rsidRPr="00C77471">
        <w:rPr>
          <w:rFonts w:ascii="Book Antiqua" w:eastAsia="Book Antiqua" w:hAnsi="Book Antiqua" w:cs="Book Antiqua"/>
        </w:rPr>
        <w:t xml:space="preserve">32 </w:t>
      </w:r>
      <w:r w:rsidRPr="00C77471">
        <w:rPr>
          <w:rFonts w:ascii="Book Antiqua" w:eastAsia="Book Antiqua" w:hAnsi="Book Antiqua" w:cs="Book Antiqua"/>
          <w:b/>
          <w:bCs/>
        </w:rPr>
        <w:t>Internal Clinical Guidelines Team (UK)</w:t>
      </w:r>
      <w:r w:rsidRPr="00C77471">
        <w:rPr>
          <w:rFonts w:ascii="Book Antiqua" w:eastAsia="Book Antiqua" w:hAnsi="Book Antiqua" w:cs="Book Antiqua"/>
        </w:rPr>
        <w:t>.</w:t>
      </w:r>
      <w:r w:rsidR="004131D3" w:rsidRPr="00C77471">
        <w:rPr>
          <w:rFonts w:ascii="Book Antiqua" w:eastAsia="Book Antiqua" w:hAnsi="Book Antiqua" w:cs="Book Antiqua"/>
        </w:rPr>
        <w:t xml:space="preserve"> </w:t>
      </w:r>
      <w:r w:rsidR="00EE1399" w:rsidRPr="00C77471">
        <w:rPr>
          <w:rFonts w:ascii="Book Antiqua" w:eastAsia="Book Antiqua" w:hAnsi="Book Antiqua" w:cs="Book Antiqua"/>
        </w:rPr>
        <w:t xml:space="preserve">Gallstone Disease: Diagnosis and Management of Cholelithiasis, Cholecystitis and Choledocholithiasis. London: National Institute for Health and Care Excellence (UK); 2014 </w:t>
      </w:r>
      <w:r w:rsidRPr="00C77471">
        <w:rPr>
          <w:rFonts w:ascii="Book Antiqua" w:eastAsia="Book Antiqua" w:hAnsi="Book Antiqua" w:cs="Book Antiqua"/>
        </w:rPr>
        <w:t>[PMID: 25473723]</w:t>
      </w:r>
    </w:p>
    <w:p w14:paraId="0F3D7026"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33 </w:t>
      </w:r>
      <w:r w:rsidRPr="00C77471">
        <w:rPr>
          <w:rFonts w:ascii="Book Antiqua" w:eastAsia="Book Antiqua" w:hAnsi="Book Antiqua" w:cs="Book Antiqua"/>
          <w:b/>
          <w:bCs/>
        </w:rPr>
        <w:t>Anderson SW</w:t>
      </w:r>
      <w:r w:rsidRPr="00C77471">
        <w:rPr>
          <w:rFonts w:ascii="Book Antiqua" w:eastAsia="Book Antiqua" w:hAnsi="Book Antiqua" w:cs="Book Antiqua"/>
        </w:rPr>
        <w:t xml:space="preserve">, Lucey BC, Varghese JC, Soto JA. Accuracy of MDCT in the diagnosis of choledocholithiasis. </w:t>
      </w:r>
      <w:r w:rsidRPr="00C77471">
        <w:rPr>
          <w:rFonts w:ascii="Book Antiqua" w:eastAsia="Book Antiqua" w:hAnsi="Book Antiqua" w:cs="Book Antiqua"/>
          <w:i/>
          <w:iCs/>
        </w:rPr>
        <w:t xml:space="preserve">AJR Am J </w:t>
      </w:r>
      <w:proofErr w:type="spellStart"/>
      <w:r w:rsidRPr="00C77471">
        <w:rPr>
          <w:rFonts w:ascii="Book Antiqua" w:eastAsia="Book Antiqua" w:hAnsi="Book Antiqua" w:cs="Book Antiqua"/>
          <w:i/>
          <w:iCs/>
        </w:rPr>
        <w:t>Roentgenol</w:t>
      </w:r>
      <w:proofErr w:type="spellEnd"/>
      <w:r w:rsidRPr="00C77471">
        <w:rPr>
          <w:rFonts w:ascii="Book Antiqua" w:eastAsia="Book Antiqua" w:hAnsi="Book Antiqua" w:cs="Book Antiqua"/>
        </w:rPr>
        <w:t xml:space="preserve"> 2006; </w:t>
      </w:r>
      <w:r w:rsidRPr="00C77471">
        <w:rPr>
          <w:rFonts w:ascii="Book Antiqua" w:eastAsia="Book Antiqua" w:hAnsi="Book Antiqua" w:cs="Book Antiqua"/>
          <w:b/>
          <w:bCs/>
        </w:rPr>
        <w:t>187</w:t>
      </w:r>
      <w:r w:rsidRPr="00C77471">
        <w:rPr>
          <w:rFonts w:ascii="Book Antiqua" w:eastAsia="Book Antiqua" w:hAnsi="Book Antiqua" w:cs="Book Antiqua"/>
        </w:rPr>
        <w:t>: 174-180 [PMID: 16794173 DOI: 10.2214/AJR.05.0459]</w:t>
      </w:r>
    </w:p>
    <w:p w14:paraId="43041BE0"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34 </w:t>
      </w:r>
      <w:r w:rsidRPr="00C77471">
        <w:rPr>
          <w:rFonts w:ascii="Book Antiqua" w:eastAsia="Book Antiqua" w:hAnsi="Book Antiqua" w:cs="Book Antiqua"/>
          <w:b/>
          <w:bCs/>
        </w:rPr>
        <w:t>Anderson SW</w:t>
      </w:r>
      <w:r w:rsidRPr="00C77471">
        <w:rPr>
          <w:rFonts w:ascii="Book Antiqua" w:eastAsia="Book Antiqua" w:hAnsi="Book Antiqua" w:cs="Book Antiqua"/>
        </w:rPr>
        <w:t xml:space="preserve">, Rho E, Soto JA. Detection of biliary duct narrowing and choledocholithiasis: accuracy of portal venous phase multidetector CT. </w:t>
      </w:r>
      <w:r w:rsidRPr="00C77471">
        <w:rPr>
          <w:rFonts w:ascii="Book Antiqua" w:eastAsia="Book Antiqua" w:hAnsi="Book Antiqua" w:cs="Book Antiqua"/>
          <w:i/>
          <w:iCs/>
        </w:rPr>
        <w:t>Radiology</w:t>
      </w:r>
      <w:r w:rsidRPr="00C77471">
        <w:rPr>
          <w:rFonts w:ascii="Book Antiqua" w:eastAsia="Book Antiqua" w:hAnsi="Book Antiqua" w:cs="Book Antiqua"/>
        </w:rPr>
        <w:t xml:space="preserve"> 2008; </w:t>
      </w:r>
      <w:r w:rsidRPr="00C77471">
        <w:rPr>
          <w:rFonts w:ascii="Book Antiqua" w:eastAsia="Book Antiqua" w:hAnsi="Book Antiqua" w:cs="Book Antiqua"/>
          <w:b/>
          <w:bCs/>
        </w:rPr>
        <w:t>247</w:t>
      </w:r>
      <w:r w:rsidRPr="00C77471">
        <w:rPr>
          <w:rFonts w:ascii="Book Antiqua" w:eastAsia="Book Antiqua" w:hAnsi="Book Antiqua" w:cs="Book Antiqua"/>
        </w:rPr>
        <w:t>: 418-427 [PMID: 18372450 DOI: 10.1148/radiol.2472070473]</w:t>
      </w:r>
    </w:p>
    <w:p w14:paraId="0FAE3173"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35 </w:t>
      </w:r>
      <w:r w:rsidRPr="00C77471">
        <w:rPr>
          <w:rFonts w:ascii="Book Antiqua" w:eastAsia="Book Antiqua" w:hAnsi="Book Antiqua" w:cs="Book Antiqua"/>
          <w:b/>
          <w:bCs/>
        </w:rPr>
        <w:t>Kim CW</w:t>
      </w:r>
      <w:r w:rsidRPr="00C77471">
        <w:rPr>
          <w:rFonts w:ascii="Book Antiqua" w:eastAsia="Book Antiqua" w:hAnsi="Book Antiqua" w:cs="Book Antiqua"/>
        </w:rPr>
        <w:t xml:space="preserve">, Chang JH, Lim YS, Kim TH, Lee IS, Han SW. Common bile duct stones on multidetector computed tomography: attenuation patterns and detectability. </w:t>
      </w:r>
      <w:r w:rsidRPr="00C77471">
        <w:rPr>
          <w:rFonts w:ascii="Book Antiqua" w:eastAsia="Book Antiqua" w:hAnsi="Book Antiqua" w:cs="Book Antiqua"/>
          <w:i/>
          <w:iCs/>
        </w:rPr>
        <w:t>World J Gastroenterol</w:t>
      </w:r>
      <w:r w:rsidRPr="00C77471">
        <w:rPr>
          <w:rFonts w:ascii="Book Antiqua" w:eastAsia="Book Antiqua" w:hAnsi="Book Antiqua" w:cs="Book Antiqua"/>
        </w:rPr>
        <w:t xml:space="preserve"> 2013; </w:t>
      </w:r>
      <w:r w:rsidRPr="00C77471">
        <w:rPr>
          <w:rFonts w:ascii="Book Antiqua" w:eastAsia="Book Antiqua" w:hAnsi="Book Antiqua" w:cs="Book Antiqua"/>
          <w:b/>
          <w:bCs/>
        </w:rPr>
        <w:t>19</w:t>
      </w:r>
      <w:r w:rsidRPr="00C77471">
        <w:rPr>
          <w:rFonts w:ascii="Book Antiqua" w:eastAsia="Book Antiqua" w:hAnsi="Book Antiqua" w:cs="Book Antiqua"/>
        </w:rPr>
        <w:t>: 1788-1796 [PMID: 23555167 DOI: 10.3748/wjg.v19.i11.1788]</w:t>
      </w:r>
    </w:p>
    <w:p w14:paraId="28ABD0C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36 </w:t>
      </w:r>
      <w:r w:rsidRPr="00C77471">
        <w:rPr>
          <w:rFonts w:ascii="Book Antiqua" w:eastAsia="Book Antiqua" w:hAnsi="Book Antiqua" w:cs="Book Antiqua"/>
          <w:b/>
          <w:bCs/>
        </w:rPr>
        <w:t>Tseng CW</w:t>
      </w:r>
      <w:r w:rsidRPr="00C77471">
        <w:rPr>
          <w:rFonts w:ascii="Book Antiqua" w:eastAsia="Book Antiqua" w:hAnsi="Book Antiqua" w:cs="Book Antiqua"/>
        </w:rPr>
        <w:t xml:space="preserve">, Chen CC, Chen TS, Chang FY, Lin HC, Lee SD. Can computed tomography with coronal reconstruction improve the diagnosis of choledocholithiasis? </w:t>
      </w:r>
      <w:r w:rsidRPr="00C77471">
        <w:rPr>
          <w:rFonts w:ascii="Book Antiqua" w:eastAsia="Book Antiqua" w:hAnsi="Book Antiqua" w:cs="Book Antiqua"/>
          <w:i/>
          <w:iCs/>
        </w:rPr>
        <w:t>J Gastroenterol Hepatol</w:t>
      </w:r>
      <w:r w:rsidRPr="00C77471">
        <w:rPr>
          <w:rFonts w:ascii="Book Antiqua" w:eastAsia="Book Antiqua" w:hAnsi="Book Antiqua" w:cs="Book Antiqua"/>
        </w:rPr>
        <w:t xml:space="preserve"> 2008; </w:t>
      </w:r>
      <w:r w:rsidRPr="00C77471">
        <w:rPr>
          <w:rFonts w:ascii="Book Antiqua" w:eastAsia="Book Antiqua" w:hAnsi="Book Antiqua" w:cs="Book Antiqua"/>
          <w:b/>
          <w:bCs/>
        </w:rPr>
        <w:t>23</w:t>
      </w:r>
      <w:r w:rsidRPr="00C77471">
        <w:rPr>
          <w:rFonts w:ascii="Book Antiqua" w:eastAsia="Book Antiqua" w:hAnsi="Book Antiqua" w:cs="Book Antiqua"/>
        </w:rPr>
        <w:t>: 1586-1589 [PMID: 18713297 DOI: 10.1111/j.1440-1746.2008.05547.x]</w:t>
      </w:r>
    </w:p>
    <w:p w14:paraId="627577D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37 </w:t>
      </w:r>
      <w:r w:rsidRPr="00C77471">
        <w:rPr>
          <w:rFonts w:ascii="Book Antiqua" w:eastAsia="Book Antiqua" w:hAnsi="Book Antiqua" w:cs="Book Antiqua"/>
          <w:b/>
          <w:bCs/>
        </w:rPr>
        <w:t>Saito H</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Iwagoi</w:t>
      </w:r>
      <w:proofErr w:type="spellEnd"/>
      <w:r w:rsidRPr="00C77471">
        <w:rPr>
          <w:rFonts w:ascii="Book Antiqua" w:eastAsia="Book Antiqua" w:hAnsi="Book Antiqua" w:cs="Book Antiqua"/>
        </w:rPr>
        <w:t xml:space="preserve"> Y, Noda K, </w:t>
      </w:r>
      <w:proofErr w:type="spellStart"/>
      <w:r w:rsidRPr="00C77471">
        <w:rPr>
          <w:rFonts w:ascii="Book Antiqua" w:eastAsia="Book Antiqua" w:hAnsi="Book Antiqua" w:cs="Book Antiqua"/>
        </w:rPr>
        <w:t>Atsuji</w:t>
      </w:r>
      <w:proofErr w:type="spellEnd"/>
      <w:r w:rsidRPr="00C77471">
        <w:rPr>
          <w:rFonts w:ascii="Book Antiqua" w:eastAsia="Book Antiqua" w:hAnsi="Book Antiqua" w:cs="Book Antiqua"/>
        </w:rPr>
        <w:t xml:space="preserve"> S, Takaoka H, </w:t>
      </w:r>
      <w:proofErr w:type="spellStart"/>
      <w:r w:rsidRPr="00C77471">
        <w:rPr>
          <w:rFonts w:ascii="Book Antiqua" w:eastAsia="Book Antiqua" w:hAnsi="Book Antiqua" w:cs="Book Antiqua"/>
        </w:rPr>
        <w:t>Kajihara</w:t>
      </w:r>
      <w:proofErr w:type="spellEnd"/>
      <w:r w:rsidRPr="00C77471">
        <w:rPr>
          <w:rFonts w:ascii="Book Antiqua" w:eastAsia="Book Antiqua" w:hAnsi="Book Antiqua" w:cs="Book Antiqua"/>
        </w:rPr>
        <w:t xml:space="preserve"> H, </w:t>
      </w:r>
      <w:proofErr w:type="spellStart"/>
      <w:r w:rsidRPr="00C77471">
        <w:rPr>
          <w:rFonts w:ascii="Book Antiqua" w:eastAsia="Book Antiqua" w:hAnsi="Book Antiqua" w:cs="Book Antiqua"/>
        </w:rPr>
        <w:t>Shono</w:t>
      </w:r>
      <w:proofErr w:type="spellEnd"/>
      <w:r w:rsidRPr="00C77471">
        <w:rPr>
          <w:rFonts w:ascii="Book Antiqua" w:eastAsia="Book Antiqua" w:hAnsi="Book Antiqua" w:cs="Book Antiqua"/>
        </w:rPr>
        <w:t xml:space="preserve"> T, </w:t>
      </w:r>
      <w:proofErr w:type="spellStart"/>
      <w:r w:rsidRPr="00C77471">
        <w:rPr>
          <w:rFonts w:ascii="Book Antiqua" w:eastAsia="Book Antiqua" w:hAnsi="Book Antiqua" w:cs="Book Antiqua"/>
        </w:rPr>
        <w:t>Nasu</w:t>
      </w:r>
      <w:proofErr w:type="spellEnd"/>
      <w:r w:rsidRPr="00C77471">
        <w:rPr>
          <w:rFonts w:ascii="Book Antiqua" w:eastAsia="Book Antiqua" w:hAnsi="Book Antiqua" w:cs="Book Antiqua"/>
        </w:rPr>
        <w:t xml:space="preserve"> J, </w:t>
      </w:r>
      <w:proofErr w:type="spellStart"/>
      <w:r w:rsidRPr="00C77471">
        <w:rPr>
          <w:rFonts w:ascii="Book Antiqua" w:eastAsia="Book Antiqua" w:hAnsi="Book Antiqua" w:cs="Book Antiqua"/>
        </w:rPr>
        <w:t>Obara</w:t>
      </w:r>
      <w:proofErr w:type="spellEnd"/>
      <w:r w:rsidRPr="00C77471">
        <w:rPr>
          <w:rFonts w:ascii="Book Antiqua" w:eastAsia="Book Antiqua" w:hAnsi="Book Antiqua" w:cs="Book Antiqua"/>
        </w:rPr>
        <w:t xml:space="preserve"> H, Kakuma T, Tada S, </w:t>
      </w:r>
      <w:proofErr w:type="spellStart"/>
      <w:r w:rsidRPr="00C77471">
        <w:rPr>
          <w:rFonts w:ascii="Book Antiqua" w:eastAsia="Book Antiqua" w:hAnsi="Book Antiqua" w:cs="Book Antiqua"/>
        </w:rPr>
        <w:t>Morishita</w:t>
      </w:r>
      <w:proofErr w:type="spellEnd"/>
      <w:r w:rsidRPr="00C77471">
        <w:rPr>
          <w:rFonts w:ascii="Book Antiqua" w:eastAsia="Book Antiqua" w:hAnsi="Book Antiqua" w:cs="Book Antiqua"/>
        </w:rPr>
        <w:t xml:space="preserve"> S, Matsushita I, </w:t>
      </w:r>
      <w:proofErr w:type="spellStart"/>
      <w:r w:rsidRPr="00C77471">
        <w:rPr>
          <w:rFonts w:ascii="Book Antiqua" w:eastAsia="Book Antiqua" w:hAnsi="Book Antiqua" w:cs="Book Antiqua"/>
        </w:rPr>
        <w:t>Katahira</w:t>
      </w:r>
      <w:proofErr w:type="spellEnd"/>
      <w:r w:rsidRPr="00C77471">
        <w:rPr>
          <w:rFonts w:ascii="Book Antiqua" w:eastAsia="Book Antiqua" w:hAnsi="Book Antiqua" w:cs="Book Antiqua"/>
        </w:rPr>
        <w:t xml:space="preserve"> K. Dual-layer spectral detector computed tomography </w:t>
      </w:r>
      <w:r w:rsidR="00A15634" w:rsidRPr="00C77471">
        <w:rPr>
          <w:rFonts w:ascii="Book Antiqua" w:eastAsia="Book Antiqua" w:hAnsi="Book Antiqua" w:cs="Book Antiqua"/>
          <w:iCs/>
        </w:rPr>
        <w:t>versus</w:t>
      </w:r>
      <w:r w:rsidRPr="00C77471">
        <w:rPr>
          <w:rFonts w:ascii="Book Antiqua" w:eastAsia="Book Antiqua" w:hAnsi="Book Antiqua" w:cs="Book Antiqua"/>
        </w:rPr>
        <w:t xml:space="preserve"> magnetic resonance cholangiopancreatography for biliary stones. </w:t>
      </w:r>
      <w:r w:rsidRPr="00C77471">
        <w:rPr>
          <w:rFonts w:ascii="Book Antiqua" w:eastAsia="Book Antiqua" w:hAnsi="Book Antiqua" w:cs="Book Antiqua"/>
          <w:i/>
          <w:iCs/>
        </w:rPr>
        <w:t>Eur J Gastroenterol Hepatol</w:t>
      </w:r>
      <w:r w:rsidRPr="00C77471">
        <w:rPr>
          <w:rFonts w:ascii="Book Antiqua" w:eastAsia="Book Antiqua" w:hAnsi="Book Antiqua" w:cs="Book Antiqua"/>
        </w:rPr>
        <w:t xml:space="preserve"> 2021; </w:t>
      </w:r>
      <w:r w:rsidRPr="00C77471">
        <w:rPr>
          <w:rFonts w:ascii="Book Antiqua" w:eastAsia="Book Antiqua" w:hAnsi="Book Antiqua" w:cs="Book Antiqua"/>
          <w:b/>
          <w:bCs/>
        </w:rPr>
        <w:t>33</w:t>
      </w:r>
      <w:r w:rsidRPr="00C77471">
        <w:rPr>
          <w:rFonts w:ascii="Book Antiqua" w:eastAsia="Book Antiqua" w:hAnsi="Book Antiqua" w:cs="Book Antiqua"/>
        </w:rPr>
        <w:t>: 32-39 [PMID: 32639415 DOI: 10.1097/MEG.0000000000001832]</w:t>
      </w:r>
    </w:p>
    <w:p w14:paraId="4F83AEF3"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38 </w:t>
      </w:r>
      <w:r w:rsidRPr="00C77471">
        <w:rPr>
          <w:rFonts w:ascii="Book Antiqua" w:eastAsia="Book Antiqua" w:hAnsi="Book Antiqua" w:cs="Book Antiqua"/>
          <w:b/>
          <w:bCs/>
        </w:rPr>
        <w:t>Kim JE</w:t>
      </w:r>
      <w:r w:rsidRPr="00C77471">
        <w:rPr>
          <w:rFonts w:ascii="Book Antiqua" w:eastAsia="Book Antiqua" w:hAnsi="Book Antiqua" w:cs="Book Antiqua"/>
        </w:rPr>
        <w:t xml:space="preserve">, Lee JM, </w:t>
      </w:r>
      <w:proofErr w:type="spellStart"/>
      <w:r w:rsidRPr="00C77471">
        <w:rPr>
          <w:rFonts w:ascii="Book Antiqua" w:eastAsia="Book Antiqua" w:hAnsi="Book Antiqua" w:cs="Book Antiqua"/>
        </w:rPr>
        <w:t>Baek</w:t>
      </w:r>
      <w:proofErr w:type="spellEnd"/>
      <w:r w:rsidRPr="00C77471">
        <w:rPr>
          <w:rFonts w:ascii="Book Antiqua" w:eastAsia="Book Antiqua" w:hAnsi="Book Antiqua" w:cs="Book Antiqua"/>
        </w:rPr>
        <w:t xml:space="preserve"> JH, Han JK, Choi BI. Initial assessment of dual-energy CT in patients with gallstones or bile duct stones: can virtual nonenhanced images replace true nonenhanced images? </w:t>
      </w:r>
      <w:r w:rsidRPr="00C77471">
        <w:rPr>
          <w:rFonts w:ascii="Book Antiqua" w:eastAsia="Book Antiqua" w:hAnsi="Book Antiqua" w:cs="Book Antiqua"/>
          <w:i/>
          <w:iCs/>
        </w:rPr>
        <w:t xml:space="preserve">AJR Am J </w:t>
      </w:r>
      <w:proofErr w:type="spellStart"/>
      <w:r w:rsidRPr="00C77471">
        <w:rPr>
          <w:rFonts w:ascii="Book Antiqua" w:eastAsia="Book Antiqua" w:hAnsi="Book Antiqua" w:cs="Book Antiqua"/>
          <w:i/>
          <w:iCs/>
        </w:rPr>
        <w:t>Roentgenol</w:t>
      </w:r>
      <w:proofErr w:type="spellEnd"/>
      <w:r w:rsidRPr="00C77471">
        <w:rPr>
          <w:rFonts w:ascii="Book Antiqua" w:eastAsia="Book Antiqua" w:hAnsi="Book Antiqua" w:cs="Book Antiqua"/>
        </w:rPr>
        <w:t xml:space="preserve"> 2012; </w:t>
      </w:r>
      <w:r w:rsidRPr="00C77471">
        <w:rPr>
          <w:rFonts w:ascii="Book Antiqua" w:eastAsia="Book Antiqua" w:hAnsi="Book Antiqua" w:cs="Book Antiqua"/>
          <w:b/>
          <w:bCs/>
        </w:rPr>
        <w:t>198</w:t>
      </w:r>
      <w:r w:rsidRPr="00C77471">
        <w:rPr>
          <w:rFonts w:ascii="Book Antiqua" w:eastAsia="Book Antiqua" w:hAnsi="Book Antiqua" w:cs="Book Antiqua"/>
        </w:rPr>
        <w:t>: 817-824 [PMID: 22451546 DOI: 10.2214/AJR.11.6972]</w:t>
      </w:r>
    </w:p>
    <w:p w14:paraId="09DB886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39 </w:t>
      </w:r>
      <w:r w:rsidRPr="00C77471">
        <w:rPr>
          <w:rFonts w:ascii="Book Antiqua" w:eastAsia="Book Antiqua" w:hAnsi="Book Antiqua" w:cs="Book Antiqua"/>
          <w:b/>
          <w:bCs/>
        </w:rPr>
        <w:t>Uyeda JW</w:t>
      </w:r>
      <w:r w:rsidRPr="00C77471">
        <w:rPr>
          <w:rFonts w:ascii="Book Antiqua" w:eastAsia="Book Antiqua" w:hAnsi="Book Antiqua" w:cs="Book Antiqua"/>
        </w:rPr>
        <w:t xml:space="preserve">, Richardson IJ, </w:t>
      </w:r>
      <w:proofErr w:type="spellStart"/>
      <w:r w:rsidRPr="00C77471">
        <w:rPr>
          <w:rFonts w:ascii="Book Antiqua" w:eastAsia="Book Antiqua" w:hAnsi="Book Antiqua" w:cs="Book Antiqua"/>
        </w:rPr>
        <w:t>Sodickson</w:t>
      </w:r>
      <w:proofErr w:type="spellEnd"/>
      <w:r w:rsidRPr="00C77471">
        <w:rPr>
          <w:rFonts w:ascii="Book Antiqua" w:eastAsia="Book Antiqua" w:hAnsi="Book Antiqua" w:cs="Book Antiqua"/>
        </w:rPr>
        <w:t xml:space="preserve"> AD. Making the invisible visible: improving conspicuity of noncalcified gallstones using dual-energy CT. </w:t>
      </w:r>
      <w:proofErr w:type="spellStart"/>
      <w:r w:rsidRPr="00C77471">
        <w:rPr>
          <w:rFonts w:ascii="Book Antiqua" w:eastAsia="Book Antiqua" w:hAnsi="Book Antiqua" w:cs="Book Antiqua"/>
          <w:i/>
          <w:iCs/>
        </w:rPr>
        <w:t>Abdom</w:t>
      </w:r>
      <w:proofErr w:type="spellEnd"/>
      <w:r w:rsidRPr="00C77471">
        <w:rPr>
          <w:rFonts w:ascii="Book Antiqua" w:eastAsia="Book Antiqua" w:hAnsi="Book Antiqua" w:cs="Book Antiqua"/>
          <w:i/>
          <w:iCs/>
        </w:rPr>
        <w:t xml:space="preserve"> </w:t>
      </w:r>
      <w:proofErr w:type="spellStart"/>
      <w:r w:rsidRPr="00C77471">
        <w:rPr>
          <w:rFonts w:ascii="Book Antiqua" w:eastAsia="Book Antiqua" w:hAnsi="Book Antiqua" w:cs="Book Antiqua"/>
          <w:i/>
          <w:iCs/>
        </w:rPr>
        <w:t>Radiol</w:t>
      </w:r>
      <w:proofErr w:type="spellEnd"/>
      <w:r w:rsidRPr="00C77471">
        <w:rPr>
          <w:rFonts w:ascii="Book Antiqua" w:eastAsia="Book Antiqua" w:hAnsi="Book Antiqua" w:cs="Book Antiqua"/>
          <w:i/>
          <w:iCs/>
        </w:rPr>
        <w:t xml:space="preserve"> (NY)</w:t>
      </w:r>
      <w:r w:rsidRPr="00C77471">
        <w:rPr>
          <w:rFonts w:ascii="Book Antiqua" w:eastAsia="Book Antiqua" w:hAnsi="Book Antiqua" w:cs="Book Antiqua"/>
        </w:rPr>
        <w:t xml:space="preserve"> 2017; </w:t>
      </w:r>
      <w:r w:rsidRPr="00C77471">
        <w:rPr>
          <w:rFonts w:ascii="Book Antiqua" w:eastAsia="Book Antiqua" w:hAnsi="Book Antiqua" w:cs="Book Antiqua"/>
          <w:b/>
          <w:bCs/>
        </w:rPr>
        <w:t>42</w:t>
      </w:r>
      <w:r w:rsidRPr="00C77471">
        <w:rPr>
          <w:rFonts w:ascii="Book Antiqua" w:eastAsia="Book Antiqua" w:hAnsi="Book Antiqua" w:cs="Book Antiqua"/>
        </w:rPr>
        <w:t>: 2933-2939 [PMID: 28660332 DOI: 10.1007/s00261-017-1229-x]</w:t>
      </w:r>
    </w:p>
    <w:p w14:paraId="460DA9D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lastRenderedPageBreak/>
        <w:t xml:space="preserve">40 </w:t>
      </w:r>
      <w:proofErr w:type="spellStart"/>
      <w:r w:rsidRPr="00C77471">
        <w:rPr>
          <w:rFonts w:ascii="Book Antiqua" w:eastAsia="Book Antiqua" w:hAnsi="Book Antiqua" w:cs="Book Antiqua"/>
          <w:b/>
          <w:bCs/>
        </w:rPr>
        <w:t>Wittenburg</w:t>
      </w:r>
      <w:proofErr w:type="spellEnd"/>
      <w:r w:rsidRPr="00C77471">
        <w:rPr>
          <w:rFonts w:ascii="Book Antiqua" w:eastAsia="Book Antiqua" w:hAnsi="Book Antiqua" w:cs="Book Antiqua"/>
          <w:b/>
          <w:bCs/>
        </w:rPr>
        <w:t xml:space="preserve"> H</w:t>
      </w:r>
      <w:r w:rsidRPr="00C77471">
        <w:rPr>
          <w:rFonts w:ascii="Book Antiqua" w:eastAsia="Book Antiqua" w:hAnsi="Book Antiqua" w:cs="Book Antiqua"/>
        </w:rPr>
        <w:t xml:space="preserve">. Hereditary liver disease: gallstones. </w:t>
      </w:r>
      <w:r w:rsidRPr="00C77471">
        <w:rPr>
          <w:rFonts w:ascii="Book Antiqua" w:eastAsia="Book Antiqua" w:hAnsi="Book Antiqua" w:cs="Book Antiqua"/>
          <w:i/>
          <w:iCs/>
        </w:rPr>
        <w:t xml:space="preserve">Best </w:t>
      </w:r>
      <w:proofErr w:type="spellStart"/>
      <w:r w:rsidRPr="00C77471">
        <w:rPr>
          <w:rFonts w:ascii="Book Antiqua" w:eastAsia="Book Antiqua" w:hAnsi="Book Antiqua" w:cs="Book Antiqua"/>
          <w:i/>
          <w:iCs/>
        </w:rPr>
        <w:t>Pract</w:t>
      </w:r>
      <w:proofErr w:type="spellEnd"/>
      <w:r w:rsidRPr="00C77471">
        <w:rPr>
          <w:rFonts w:ascii="Book Antiqua" w:eastAsia="Book Antiqua" w:hAnsi="Book Antiqua" w:cs="Book Antiqua"/>
          <w:i/>
          <w:iCs/>
        </w:rPr>
        <w:t xml:space="preserve"> Res Clin Gastroenterol</w:t>
      </w:r>
      <w:r w:rsidRPr="00C77471">
        <w:rPr>
          <w:rFonts w:ascii="Book Antiqua" w:eastAsia="Book Antiqua" w:hAnsi="Book Antiqua" w:cs="Book Antiqua"/>
        </w:rPr>
        <w:t xml:space="preserve"> 2010; </w:t>
      </w:r>
      <w:r w:rsidRPr="00C77471">
        <w:rPr>
          <w:rFonts w:ascii="Book Antiqua" w:eastAsia="Book Antiqua" w:hAnsi="Book Antiqua" w:cs="Book Antiqua"/>
          <w:b/>
          <w:bCs/>
        </w:rPr>
        <w:t>24</w:t>
      </w:r>
      <w:r w:rsidRPr="00C77471">
        <w:rPr>
          <w:rFonts w:ascii="Book Antiqua" w:eastAsia="Book Antiqua" w:hAnsi="Book Antiqua" w:cs="Book Antiqua"/>
        </w:rPr>
        <w:t>: 747-756 [PMID: 20955975 DOI: 10.1016/j.bpg.2010.07.004]</w:t>
      </w:r>
    </w:p>
    <w:p w14:paraId="153A958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41 </w:t>
      </w:r>
      <w:proofErr w:type="spellStart"/>
      <w:r w:rsidRPr="00C77471">
        <w:rPr>
          <w:rFonts w:ascii="Book Antiqua" w:eastAsia="Book Antiqua" w:hAnsi="Book Antiqua" w:cs="Book Antiqua"/>
          <w:b/>
          <w:bCs/>
        </w:rPr>
        <w:t>Ransohoff</w:t>
      </w:r>
      <w:proofErr w:type="spellEnd"/>
      <w:r w:rsidRPr="00C77471">
        <w:rPr>
          <w:rFonts w:ascii="Book Antiqua" w:eastAsia="Book Antiqua" w:hAnsi="Book Antiqua" w:cs="Book Antiqua"/>
          <w:b/>
          <w:bCs/>
        </w:rPr>
        <w:t xml:space="preserve"> DF</w:t>
      </w:r>
      <w:r w:rsidRPr="00C77471">
        <w:rPr>
          <w:rFonts w:ascii="Book Antiqua" w:eastAsia="Book Antiqua" w:hAnsi="Book Antiqua" w:cs="Book Antiqua"/>
        </w:rPr>
        <w:t xml:space="preserve">, Gracie WA. Treatment of gallstones. </w:t>
      </w:r>
      <w:r w:rsidRPr="00C77471">
        <w:rPr>
          <w:rFonts w:ascii="Book Antiqua" w:eastAsia="Book Antiqua" w:hAnsi="Book Antiqua" w:cs="Book Antiqua"/>
          <w:i/>
          <w:iCs/>
        </w:rPr>
        <w:t>Ann Intern Med</w:t>
      </w:r>
      <w:r w:rsidRPr="00C77471">
        <w:rPr>
          <w:rFonts w:ascii="Book Antiqua" w:eastAsia="Book Antiqua" w:hAnsi="Book Antiqua" w:cs="Book Antiqua"/>
        </w:rPr>
        <w:t xml:space="preserve"> 1993; </w:t>
      </w:r>
      <w:r w:rsidRPr="00C77471">
        <w:rPr>
          <w:rFonts w:ascii="Book Antiqua" w:eastAsia="Book Antiqua" w:hAnsi="Book Antiqua" w:cs="Book Antiqua"/>
          <w:b/>
          <w:bCs/>
        </w:rPr>
        <w:t>119</w:t>
      </w:r>
      <w:r w:rsidRPr="00C77471">
        <w:rPr>
          <w:rFonts w:ascii="Book Antiqua" w:eastAsia="Book Antiqua" w:hAnsi="Book Antiqua" w:cs="Book Antiqua"/>
        </w:rPr>
        <w:t>: 606-619 [PMID: 8363172 DOI: 10.7326/0003-4819-119-7_part_1-199310010-00010]</w:t>
      </w:r>
    </w:p>
    <w:p w14:paraId="0387E4EB"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42 </w:t>
      </w:r>
      <w:proofErr w:type="spellStart"/>
      <w:r w:rsidRPr="00C77471">
        <w:rPr>
          <w:rFonts w:ascii="Book Antiqua" w:eastAsia="Book Antiqua" w:hAnsi="Book Antiqua" w:cs="Book Antiqua"/>
          <w:b/>
          <w:bCs/>
        </w:rPr>
        <w:t>Halldestam</w:t>
      </w:r>
      <w:proofErr w:type="spellEnd"/>
      <w:r w:rsidRPr="00C77471">
        <w:rPr>
          <w:rFonts w:ascii="Book Antiqua" w:eastAsia="Book Antiqua" w:hAnsi="Book Antiqua" w:cs="Book Antiqua"/>
          <w:b/>
          <w:bCs/>
        </w:rPr>
        <w:t xml:space="preserve"> I</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Enell</w:t>
      </w:r>
      <w:proofErr w:type="spellEnd"/>
      <w:r w:rsidRPr="00C77471">
        <w:rPr>
          <w:rFonts w:ascii="Book Antiqua" w:eastAsia="Book Antiqua" w:hAnsi="Book Antiqua" w:cs="Book Antiqua"/>
        </w:rPr>
        <w:t xml:space="preserve"> EL, </w:t>
      </w:r>
      <w:proofErr w:type="spellStart"/>
      <w:r w:rsidRPr="00C77471">
        <w:rPr>
          <w:rFonts w:ascii="Book Antiqua" w:eastAsia="Book Antiqua" w:hAnsi="Book Antiqua" w:cs="Book Antiqua"/>
        </w:rPr>
        <w:t>Kullman</w:t>
      </w:r>
      <w:proofErr w:type="spellEnd"/>
      <w:r w:rsidRPr="00C77471">
        <w:rPr>
          <w:rFonts w:ascii="Book Antiqua" w:eastAsia="Book Antiqua" w:hAnsi="Book Antiqua" w:cs="Book Antiqua"/>
        </w:rPr>
        <w:t xml:space="preserve"> E, </w:t>
      </w:r>
      <w:proofErr w:type="spellStart"/>
      <w:r w:rsidRPr="00C77471">
        <w:rPr>
          <w:rFonts w:ascii="Book Antiqua" w:eastAsia="Book Antiqua" w:hAnsi="Book Antiqua" w:cs="Book Antiqua"/>
        </w:rPr>
        <w:t>Borch</w:t>
      </w:r>
      <w:proofErr w:type="spellEnd"/>
      <w:r w:rsidRPr="00C77471">
        <w:rPr>
          <w:rFonts w:ascii="Book Antiqua" w:eastAsia="Book Antiqua" w:hAnsi="Book Antiqua" w:cs="Book Antiqua"/>
        </w:rPr>
        <w:t xml:space="preserve"> K. Development of symptoms and complications in individuals with asymptomatic gallstones. </w:t>
      </w:r>
      <w:r w:rsidRPr="00C77471">
        <w:rPr>
          <w:rFonts w:ascii="Book Antiqua" w:eastAsia="Book Antiqua" w:hAnsi="Book Antiqua" w:cs="Book Antiqua"/>
          <w:i/>
          <w:iCs/>
        </w:rPr>
        <w:t>Br J Surg</w:t>
      </w:r>
      <w:r w:rsidRPr="00C77471">
        <w:rPr>
          <w:rFonts w:ascii="Book Antiqua" w:eastAsia="Book Antiqua" w:hAnsi="Book Antiqua" w:cs="Book Antiqua"/>
        </w:rPr>
        <w:t xml:space="preserve"> 2004; </w:t>
      </w:r>
      <w:r w:rsidRPr="00C77471">
        <w:rPr>
          <w:rFonts w:ascii="Book Antiqua" w:eastAsia="Book Antiqua" w:hAnsi="Book Antiqua" w:cs="Book Antiqua"/>
          <w:b/>
          <w:bCs/>
        </w:rPr>
        <w:t>91</w:t>
      </w:r>
      <w:r w:rsidRPr="00C77471">
        <w:rPr>
          <w:rFonts w:ascii="Book Antiqua" w:eastAsia="Book Antiqua" w:hAnsi="Book Antiqua" w:cs="Book Antiqua"/>
        </w:rPr>
        <w:t>: 734-738 [PMID: 15164444 DOI: 10.1002/bjs.4547]</w:t>
      </w:r>
    </w:p>
    <w:p w14:paraId="0F65C2A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43 </w:t>
      </w:r>
      <w:proofErr w:type="spellStart"/>
      <w:r w:rsidRPr="00C77471">
        <w:rPr>
          <w:rFonts w:ascii="Book Antiqua" w:eastAsia="Book Antiqua" w:hAnsi="Book Antiqua" w:cs="Book Antiqua"/>
          <w:b/>
          <w:bCs/>
        </w:rPr>
        <w:t>Attili</w:t>
      </w:r>
      <w:proofErr w:type="spellEnd"/>
      <w:r w:rsidRPr="00C77471">
        <w:rPr>
          <w:rFonts w:ascii="Book Antiqua" w:eastAsia="Book Antiqua" w:hAnsi="Book Antiqua" w:cs="Book Antiqua"/>
          <w:b/>
          <w:bCs/>
        </w:rPr>
        <w:t xml:space="preserve"> AF</w:t>
      </w:r>
      <w:r w:rsidRPr="00C77471">
        <w:rPr>
          <w:rFonts w:ascii="Book Antiqua" w:eastAsia="Book Antiqua" w:hAnsi="Book Antiqua" w:cs="Book Antiqua"/>
        </w:rPr>
        <w:t xml:space="preserve">, De </w:t>
      </w:r>
      <w:proofErr w:type="spellStart"/>
      <w:r w:rsidRPr="00C77471">
        <w:rPr>
          <w:rFonts w:ascii="Book Antiqua" w:eastAsia="Book Antiqua" w:hAnsi="Book Antiqua" w:cs="Book Antiqua"/>
        </w:rPr>
        <w:t>Santis</w:t>
      </w:r>
      <w:proofErr w:type="spellEnd"/>
      <w:r w:rsidRPr="00C77471">
        <w:rPr>
          <w:rFonts w:ascii="Book Antiqua" w:eastAsia="Book Antiqua" w:hAnsi="Book Antiqua" w:cs="Book Antiqua"/>
        </w:rPr>
        <w:t xml:space="preserve"> A, Capri R, </w:t>
      </w:r>
      <w:proofErr w:type="spellStart"/>
      <w:r w:rsidRPr="00C77471">
        <w:rPr>
          <w:rFonts w:ascii="Book Antiqua" w:eastAsia="Book Antiqua" w:hAnsi="Book Antiqua" w:cs="Book Antiqua"/>
        </w:rPr>
        <w:t>Repice</w:t>
      </w:r>
      <w:proofErr w:type="spellEnd"/>
      <w:r w:rsidRPr="00C77471">
        <w:rPr>
          <w:rFonts w:ascii="Book Antiqua" w:eastAsia="Book Antiqua" w:hAnsi="Book Antiqua" w:cs="Book Antiqua"/>
        </w:rPr>
        <w:t xml:space="preserve"> AM, </w:t>
      </w:r>
      <w:proofErr w:type="spellStart"/>
      <w:r w:rsidRPr="00C77471">
        <w:rPr>
          <w:rFonts w:ascii="Book Antiqua" w:eastAsia="Book Antiqua" w:hAnsi="Book Antiqua" w:cs="Book Antiqua"/>
        </w:rPr>
        <w:t>Maselli</w:t>
      </w:r>
      <w:proofErr w:type="spellEnd"/>
      <w:r w:rsidRPr="00C77471">
        <w:rPr>
          <w:rFonts w:ascii="Book Antiqua" w:eastAsia="Book Antiqua" w:hAnsi="Book Antiqua" w:cs="Book Antiqua"/>
        </w:rPr>
        <w:t xml:space="preserve"> S. The natural history of gallstones: the GREPCO experience. The GREPCO Group. </w:t>
      </w:r>
      <w:r w:rsidRPr="00C77471">
        <w:rPr>
          <w:rFonts w:ascii="Book Antiqua" w:eastAsia="Book Antiqua" w:hAnsi="Book Antiqua" w:cs="Book Antiqua"/>
          <w:i/>
          <w:iCs/>
        </w:rPr>
        <w:t>Hepatology</w:t>
      </w:r>
      <w:r w:rsidRPr="00C77471">
        <w:rPr>
          <w:rFonts w:ascii="Book Antiqua" w:eastAsia="Book Antiqua" w:hAnsi="Book Antiqua" w:cs="Book Antiqua"/>
        </w:rPr>
        <w:t xml:space="preserve"> 1995; </w:t>
      </w:r>
      <w:r w:rsidRPr="00C77471">
        <w:rPr>
          <w:rFonts w:ascii="Book Antiqua" w:eastAsia="Book Antiqua" w:hAnsi="Book Antiqua" w:cs="Book Antiqua"/>
          <w:b/>
          <w:bCs/>
        </w:rPr>
        <w:t>21</w:t>
      </w:r>
      <w:r w:rsidRPr="00C77471">
        <w:rPr>
          <w:rFonts w:ascii="Book Antiqua" w:eastAsia="Book Antiqua" w:hAnsi="Book Antiqua" w:cs="Book Antiqua"/>
        </w:rPr>
        <w:t>: 655-660 [PMID: 7875663 DOI: 10.1002/hep.1840210309]</w:t>
      </w:r>
    </w:p>
    <w:p w14:paraId="4DE9F5E8"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44 </w:t>
      </w:r>
      <w:proofErr w:type="spellStart"/>
      <w:r w:rsidRPr="00C77471">
        <w:rPr>
          <w:rFonts w:ascii="Book Antiqua" w:eastAsia="Book Antiqua" w:hAnsi="Book Antiqua" w:cs="Book Antiqua"/>
          <w:b/>
          <w:bCs/>
        </w:rPr>
        <w:t>Murison</w:t>
      </w:r>
      <w:proofErr w:type="spellEnd"/>
      <w:r w:rsidRPr="00C77471">
        <w:rPr>
          <w:rFonts w:ascii="Book Antiqua" w:eastAsia="Book Antiqua" w:hAnsi="Book Antiqua" w:cs="Book Antiqua"/>
          <w:b/>
          <w:bCs/>
        </w:rPr>
        <w:t xml:space="preserve"> MS</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Gartell</w:t>
      </w:r>
      <w:proofErr w:type="spellEnd"/>
      <w:r w:rsidRPr="00C77471">
        <w:rPr>
          <w:rFonts w:ascii="Book Antiqua" w:eastAsia="Book Antiqua" w:hAnsi="Book Antiqua" w:cs="Book Antiqua"/>
        </w:rPr>
        <w:t xml:space="preserve"> PC, McGinn FP. Does selective </w:t>
      </w:r>
      <w:proofErr w:type="spellStart"/>
      <w:r w:rsidRPr="00C77471">
        <w:rPr>
          <w:rFonts w:ascii="Book Antiqua" w:eastAsia="Book Antiqua" w:hAnsi="Book Antiqua" w:cs="Book Antiqua"/>
        </w:rPr>
        <w:t>peroperative</w:t>
      </w:r>
      <w:proofErr w:type="spellEnd"/>
      <w:r w:rsidRPr="00C77471">
        <w:rPr>
          <w:rFonts w:ascii="Book Antiqua" w:eastAsia="Book Antiqua" w:hAnsi="Book Antiqua" w:cs="Book Antiqua"/>
        </w:rPr>
        <w:t xml:space="preserve"> cholangiography result in missed common bile duct stones? </w:t>
      </w:r>
      <w:r w:rsidRPr="00C77471">
        <w:rPr>
          <w:rFonts w:ascii="Book Antiqua" w:eastAsia="Book Antiqua" w:hAnsi="Book Antiqua" w:cs="Book Antiqua"/>
          <w:i/>
          <w:iCs/>
        </w:rPr>
        <w:t xml:space="preserve">J R Coll Surg </w:t>
      </w:r>
      <w:proofErr w:type="spellStart"/>
      <w:r w:rsidRPr="00C77471">
        <w:rPr>
          <w:rFonts w:ascii="Book Antiqua" w:eastAsia="Book Antiqua" w:hAnsi="Book Antiqua" w:cs="Book Antiqua"/>
          <w:i/>
          <w:iCs/>
        </w:rPr>
        <w:t>Edinb</w:t>
      </w:r>
      <w:proofErr w:type="spellEnd"/>
      <w:r w:rsidRPr="00C77471">
        <w:rPr>
          <w:rFonts w:ascii="Book Antiqua" w:eastAsia="Book Antiqua" w:hAnsi="Book Antiqua" w:cs="Book Antiqua"/>
        </w:rPr>
        <w:t xml:space="preserve"> 1993; </w:t>
      </w:r>
      <w:r w:rsidRPr="00C77471">
        <w:rPr>
          <w:rFonts w:ascii="Book Antiqua" w:eastAsia="Book Antiqua" w:hAnsi="Book Antiqua" w:cs="Book Antiqua"/>
          <w:b/>
          <w:bCs/>
        </w:rPr>
        <w:t>38</w:t>
      </w:r>
      <w:r w:rsidRPr="00C77471">
        <w:rPr>
          <w:rFonts w:ascii="Book Antiqua" w:eastAsia="Book Antiqua" w:hAnsi="Book Antiqua" w:cs="Book Antiqua"/>
        </w:rPr>
        <w:t>: 220-224 [PMID: 7693932]</w:t>
      </w:r>
    </w:p>
    <w:p w14:paraId="238BB2A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45 </w:t>
      </w:r>
      <w:r w:rsidRPr="00C77471">
        <w:rPr>
          <w:rFonts w:ascii="Book Antiqua" w:eastAsia="Book Antiqua" w:hAnsi="Book Antiqua" w:cs="Book Antiqua"/>
          <w:b/>
          <w:bCs/>
        </w:rPr>
        <w:t>Soper NJ</w:t>
      </w:r>
      <w:r w:rsidRPr="00C77471">
        <w:rPr>
          <w:rFonts w:ascii="Book Antiqua" w:eastAsia="Book Antiqua" w:hAnsi="Book Antiqua" w:cs="Book Antiqua"/>
        </w:rPr>
        <w:t xml:space="preserve">, Dunnegan DL. Routine </w:t>
      </w:r>
      <w:r w:rsidR="00A15634" w:rsidRPr="00C77471">
        <w:rPr>
          <w:rFonts w:ascii="Book Antiqua" w:eastAsia="Book Antiqua" w:hAnsi="Book Antiqua" w:cs="Book Antiqua"/>
          <w:iCs/>
        </w:rPr>
        <w:t>versus</w:t>
      </w:r>
      <w:r w:rsidRPr="00C77471">
        <w:rPr>
          <w:rFonts w:ascii="Book Antiqua" w:eastAsia="Book Antiqua" w:hAnsi="Book Antiqua" w:cs="Book Antiqua"/>
        </w:rPr>
        <w:t xml:space="preserve"> selective intra-operative cholangiography during laparoscopic cholecystectomy. </w:t>
      </w:r>
      <w:r w:rsidRPr="00C77471">
        <w:rPr>
          <w:rFonts w:ascii="Book Antiqua" w:eastAsia="Book Antiqua" w:hAnsi="Book Antiqua" w:cs="Book Antiqua"/>
          <w:i/>
          <w:iCs/>
        </w:rPr>
        <w:t>World J Surg</w:t>
      </w:r>
      <w:r w:rsidRPr="00C77471">
        <w:rPr>
          <w:rFonts w:ascii="Book Antiqua" w:eastAsia="Book Antiqua" w:hAnsi="Book Antiqua" w:cs="Book Antiqua"/>
        </w:rPr>
        <w:t xml:space="preserve"> 1992; </w:t>
      </w:r>
      <w:r w:rsidRPr="00C77471">
        <w:rPr>
          <w:rFonts w:ascii="Book Antiqua" w:eastAsia="Book Antiqua" w:hAnsi="Book Antiqua" w:cs="Book Antiqua"/>
          <w:b/>
          <w:bCs/>
        </w:rPr>
        <w:t>16</w:t>
      </w:r>
      <w:r w:rsidRPr="00C77471">
        <w:rPr>
          <w:rFonts w:ascii="Book Antiqua" w:eastAsia="Book Antiqua" w:hAnsi="Book Antiqua" w:cs="Book Antiqua"/>
        </w:rPr>
        <w:t>: 1133-1140 [PMID: 1455885 DOI: 10.1007/BF02067079]</w:t>
      </w:r>
    </w:p>
    <w:p w14:paraId="4152782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46 </w:t>
      </w:r>
      <w:proofErr w:type="spellStart"/>
      <w:r w:rsidRPr="00C77471">
        <w:rPr>
          <w:rFonts w:ascii="Book Antiqua" w:eastAsia="Book Antiqua" w:hAnsi="Book Antiqua" w:cs="Book Antiqua"/>
          <w:b/>
          <w:bCs/>
        </w:rPr>
        <w:t>Nies</w:t>
      </w:r>
      <w:proofErr w:type="spellEnd"/>
      <w:r w:rsidRPr="00C77471">
        <w:rPr>
          <w:rFonts w:ascii="Book Antiqua" w:eastAsia="Book Antiqua" w:hAnsi="Book Antiqua" w:cs="Book Antiqua"/>
          <w:b/>
          <w:bCs/>
        </w:rPr>
        <w:t xml:space="preserve"> C</w:t>
      </w:r>
      <w:r w:rsidRPr="00C77471">
        <w:rPr>
          <w:rFonts w:ascii="Book Antiqua" w:eastAsia="Book Antiqua" w:hAnsi="Book Antiqua" w:cs="Book Antiqua"/>
        </w:rPr>
        <w:t xml:space="preserve">, Bauknecht F, </w:t>
      </w:r>
      <w:proofErr w:type="spellStart"/>
      <w:r w:rsidRPr="00C77471">
        <w:rPr>
          <w:rFonts w:ascii="Book Antiqua" w:eastAsia="Book Antiqua" w:hAnsi="Book Antiqua" w:cs="Book Antiqua"/>
        </w:rPr>
        <w:t>Groth</w:t>
      </w:r>
      <w:proofErr w:type="spellEnd"/>
      <w:r w:rsidRPr="00C77471">
        <w:rPr>
          <w:rFonts w:ascii="Book Antiqua" w:eastAsia="Book Antiqua" w:hAnsi="Book Antiqua" w:cs="Book Antiqua"/>
        </w:rPr>
        <w:t xml:space="preserve"> C, </w:t>
      </w:r>
      <w:proofErr w:type="spellStart"/>
      <w:r w:rsidRPr="00C77471">
        <w:rPr>
          <w:rFonts w:ascii="Book Antiqua" w:eastAsia="Book Antiqua" w:hAnsi="Book Antiqua" w:cs="Book Antiqua"/>
        </w:rPr>
        <w:t>Clerici</w:t>
      </w:r>
      <w:proofErr w:type="spellEnd"/>
      <w:r w:rsidRPr="00C77471">
        <w:rPr>
          <w:rFonts w:ascii="Book Antiqua" w:eastAsia="Book Antiqua" w:hAnsi="Book Antiqua" w:cs="Book Antiqua"/>
        </w:rPr>
        <w:t xml:space="preserve"> T, Bartsch D, Lange J, </w:t>
      </w:r>
      <w:proofErr w:type="spellStart"/>
      <w:r w:rsidRPr="00C77471">
        <w:rPr>
          <w:rFonts w:ascii="Book Antiqua" w:eastAsia="Book Antiqua" w:hAnsi="Book Antiqua" w:cs="Book Antiqua"/>
        </w:rPr>
        <w:t>Rothmund</w:t>
      </w:r>
      <w:proofErr w:type="spellEnd"/>
      <w:r w:rsidRPr="00C77471">
        <w:rPr>
          <w:rFonts w:ascii="Book Antiqua" w:eastAsia="Book Antiqua" w:hAnsi="Book Antiqua" w:cs="Book Antiqua"/>
        </w:rPr>
        <w:t xml:space="preserve"> M. [Intraoperative cholangiography as a routine method? A prospective, controlled, randomized study]. </w:t>
      </w:r>
      <w:proofErr w:type="spellStart"/>
      <w:r w:rsidRPr="00C77471">
        <w:rPr>
          <w:rFonts w:ascii="Book Antiqua" w:eastAsia="Book Antiqua" w:hAnsi="Book Antiqua" w:cs="Book Antiqua"/>
          <w:i/>
          <w:iCs/>
        </w:rPr>
        <w:t>Chirurg</w:t>
      </w:r>
      <w:proofErr w:type="spellEnd"/>
      <w:r w:rsidRPr="00C77471">
        <w:rPr>
          <w:rFonts w:ascii="Book Antiqua" w:eastAsia="Book Antiqua" w:hAnsi="Book Antiqua" w:cs="Book Antiqua"/>
        </w:rPr>
        <w:t xml:space="preserve"> 1997; </w:t>
      </w:r>
      <w:r w:rsidRPr="00C77471">
        <w:rPr>
          <w:rFonts w:ascii="Book Antiqua" w:eastAsia="Book Antiqua" w:hAnsi="Book Antiqua" w:cs="Book Antiqua"/>
          <w:b/>
          <w:bCs/>
        </w:rPr>
        <w:t>68</w:t>
      </w:r>
      <w:r w:rsidRPr="00C77471">
        <w:rPr>
          <w:rFonts w:ascii="Book Antiqua" w:eastAsia="Book Antiqua" w:hAnsi="Book Antiqua" w:cs="Book Antiqua"/>
        </w:rPr>
        <w:t>: 892-897 [PMID: 9410677 DOI: 10.1007/s001040050290]</w:t>
      </w:r>
    </w:p>
    <w:p w14:paraId="13D954A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47 </w:t>
      </w:r>
      <w:r w:rsidRPr="00C77471">
        <w:rPr>
          <w:rFonts w:ascii="Book Antiqua" w:eastAsia="Book Antiqua" w:hAnsi="Book Antiqua" w:cs="Book Antiqua"/>
          <w:b/>
          <w:bCs/>
        </w:rPr>
        <w:t>Khan OA</w:t>
      </w:r>
      <w:r w:rsidRPr="00C77471">
        <w:rPr>
          <w:rFonts w:ascii="Book Antiqua" w:eastAsia="Book Antiqua" w:hAnsi="Book Antiqua" w:cs="Book Antiqua"/>
        </w:rPr>
        <w:t xml:space="preserve">, Balaji S, </w:t>
      </w:r>
      <w:proofErr w:type="spellStart"/>
      <w:r w:rsidRPr="00C77471">
        <w:rPr>
          <w:rFonts w:ascii="Book Antiqua" w:eastAsia="Book Antiqua" w:hAnsi="Book Antiqua" w:cs="Book Antiqua"/>
        </w:rPr>
        <w:t>Branagan</w:t>
      </w:r>
      <w:proofErr w:type="spellEnd"/>
      <w:r w:rsidRPr="00C77471">
        <w:rPr>
          <w:rFonts w:ascii="Book Antiqua" w:eastAsia="Book Antiqua" w:hAnsi="Book Antiqua" w:cs="Book Antiqua"/>
        </w:rPr>
        <w:t xml:space="preserve"> G, Bennett DH, Davies N. Randomized clinical trial of routine on-table cholangiography during laparoscopic cholecystectomy. </w:t>
      </w:r>
      <w:r w:rsidRPr="00C77471">
        <w:rPr>
          <w:rFonts w:ascii="Book Antiqua" w:eastAsia="Book Antiqua" w:hAnsi="Book Antiqua" w:cs="Book Antiqua"/>
          <w:i/>
          <w:iCs/>
        </w:rPr>
        <w:t>Br J Surg</w:t>
      </w:r>
      <w:r w:rsidRPr="00C77471">
        <w:rPr>
          <w:rFonts w:ascii="Book Antiqua" w:eastAsia="Book Antiqua" w:hAnsi="Book Antiqua" w:cs="Book Antiqua"/>
        </w:rPr>
        <w:t xml:space="preserve"> 2011; </w:t>
      </w:r>
      <w:r w:rsidRPr="00C77471">
        <w:rPr>
          <w:rFonts w:ascii="Book Antiqua" w:eastAsia="Book Antiqua" w:hAnsi="Book Antiqua" w:cs="Book Antiqua"/>
          <w:b/>
          <w:bCs/>
        </w:rPr>
        <w:t>98</w:t>
      </w:r>
      <w:r w:rsidRPr="00C77471">
        <w:rPr>
          <w:rFonts w:ascii="Book Antiqua" w:eastAsia="Book Antiqua" w:hAnsi="Book Antiqua" w:cs="Book Antiqua"/>
        </w:rPr>
        <w:t>: 362-367 [PMID: 21254008 DOI: 10.1002/bjs.7356]</w:t>
      </w:r>
    </w:p>
    <w:p w14:paraId="13925421"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48 </w:t>
      </w:r>
      <w:r w:rsidRPr="00C77471">
        <w:rPr>
          <w:rFonts w:ascii="Book Antiqua" w:eastAsia="Book Antiqua" w:hAnsi="Book Antiqua" w:cs="Book Antiqua"/>
          <w:b/>
          <w:bCs/>
        </w:rPr>
        <w:t>Hauer-Jensen M</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Karesen</w:t>
      </w:r>
      <w:proofErr w:type="spellEnd"/>
      <w:r w:rsidRPr="00C77471">
        <w:rPr>
          <w:rFonts w:ascii="Book Antiqua" w:eastAsia="Book Antiqua" w:hAnsi="Book Antiqua" w:cs="Book Antiqua"/>
        </w:rPr>
        <w:t xml:space="preserve"> R, Nygaard K, Solheim K, </w:t>
      </w:r>
      <w:proofErr w:type="spellStart"/>
      <w:r w:rsidRPr="00C77471">
        <w:rPr>
          <w:rFonts w:ascii="Book Antiqua" w:eastAsia="Book Antiqua" w:hAnsi="Book Antiqua" w:cs="Book Antiqua"/>
        </w:rPr>
        <w:t>Amlie</w:t>
      </w:r>
      <w:proofErr w:type="spellEnd"/>
      <w:r w:rsidRPr="00C77471">
        <w:rPr>
          <w:rFonts w:ascii="Book Antiqua" w:eastAsia="Book Antiqua" w:hAnsi="Book Antiqua" w:cs="Book Antiqua"/>
        </w:rPr>
        <w:t xml:space="preserve"> EJ, </w:t>
      </w:r>
      <w:proofErr w:type="spellStart"/>
      <w:r w:rsidRPr="00C77471">
        <w:rPr>
          <w:rFonts w:ascii="Book Antiqua" w:eastAsia="Book Antiqua" w:hAnsi="Book Antiqua" w:cs="Book Antiqua"/>
        </w:rPr>
        <w:t>Havig</w:t>
      </w:r>
      <w:proofErr w:type="spellEnd"/>
      <w:r w:rsidRPr="00C77471">
        <w:rPr>
          <w:rFonts w:ascii="Book Antiqua" w:eastAsia="Book Antiqua" w:hAnsi="Book Antiqua" w:cs="Book Antiqua"/>
        </w:rPr>
        <w:t xml:space="preserve"> O, </w:t>
      </w:r>
      <w:proofErr w:type="spellStart"/>
      <w:r w:rsidRPr="00C77471">
        <w:rPr>
          <w:rFonts w:ascii="Book Antiqua" w:eastAsia="Book Antiqua" w:hAnsi="Book Antiqua" w:cs="Book Antiqua"/>
        </w:rPr>
        <w:t>Rosseland</w:t>
      </w:r>
      <w:proofErr w:type="spellEnd"/>
      <w:r w:rsidRPr="00C77471">
        <w:rPr>
          <w:rFonts w:ascii="Book Antiqua" w:eastAsia="Book Antiqua" w:hAnsi="Book Antiqua" w:cs="Book Antiqua"/>
        </w:rPr>
        <w:t xml:space="preserve"> AR. Prospective randomized study of routine intraoperative cholangiography during open cholecystectomy: long-term follow-up and multivariate analysis of predictors of choledocholithiasis. </w:t>
      </w:r>
      <w:r w:rsidRPr="00C77471">
        <w:rPr>
          <w:rFonts w:ascii="Book Antiqua" w:eastAsia="Book Antiqua" w:hAnsi="Book Antiqua" w:cs="Book Antiqua"/>
          <w:i/>
          <w:iCs/>
        </w:rPr>
        <w:t>Surgery</w:t>
      </w:r>
      <w:r w:rsidRPr="00C77471">
        <w:rPr>
          <w:rFonts w:ascii="Book Antiqua" w:eastAsia="Book Antiqua" w:hAnsi="Book Antiqua" w:cs="Book Antiqua"/>
        </w:rPr>
        <w:t xml:space="preserve"> 1993; </w:t>
      </w:r>
      <w:r w:rsidRPr="00C77471">
        <w:rPr>
          <w:rFonts w:ascii="Book Antiqua" w:eastAsia="Book Antiqua" w:hAnsi="Book Antiqua" w:cs="Book Antiqua"/>
          <w:b/>
          <w:bCs/>
        </w:rPr>
        <w:t>113</w:t>
      </w:r>
      <w:r w:rsidRPr="00C77471">
        <w:rPr>
          <w:rFonts w:ascii="Book Antiqua" w:eastAsia="Book Antiqua" w:hAnsi="Book Antiqua" w:cs="Book Antiqua"/>
        </w:rPr>
        <w:t>: 318-323 [PMID: 8441966]</w:t>
      </w:r>
    </w:p>
    <w:p w14:paraId="6FB24350"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49 </w:t>
      </w:r>
      <w:proofErr w:type="spellStart"/>
      <w:r w:rsidRPr="00C77471">
        <w:rPr>
          <w:rFonts w:ascii="Book Antiqua" w:eastAsia="Book Antiqua" w:hAnsi="Book Antiqua" w:cs="Book Antiqua"/>
          <w:b/>
          <w:bCs/>
        </w:rPr>
        <w:t>Frossard</w:t>
      </w:r>
      <w:proofErr w:type="spellEnd"/>
      <w:r w:rsidRPr="00C77471">
        <w:rPr>
          <w:rFonts w:ascii="Book Antiqua" w:eastAsia="Book Antiqua" w:hAnsi="Book Antiqua" w:cs="Book Antiqua"/>
          <w:b/>
          <w:bCs/>
        </w:rPr>
        <w:t xml:space="preserve"> JL</w:t>
      </w:r>
      <w:r w:rsidRPr="00C77471">
        <w:rPr>
          <w:rFonts w:ascii="Book Antiqua" w:eastAsia="Book Antiqua" w:hAnsi="Book Antiqua" w:cs="Book Antiqua"/>
        </w:rPr>
        <w:t xml:space="preserve">, </w:t>
      </w:r>
      <w:proofErr w:type="spellStart"/>
      <w:r w:rsidRPr="00C77471">
        <w:rPr>
          <w:rFonts w:ascii="Book Antiqua" w:eastAsia="Book Antiqua" w:hAnsi="Book Antiqua" w:cs="Book Antiqua"/>
        </w:rPr>
        <w:t>Hadengue</w:t>
      </w:r>
      <w:proofErr w:type="spellEnd"/>
      <w:r w:rsidRPr="00C77471">
        <w:rPr>
          <w:rFonts w:ascii="Book Antiqua" w:eastAsia="Book Antiqua" w:hAnsi="Book Antiqua" w:cs="Book Antiqua"/>
        </w:rPr>
        <w:t xml:space="preserve"> A, </w:t>
      </w:r>
      <w:proofErr w:type="spellStart"/>
      <w:r w:rsidRPr="00C77471">
        <w:rPr>
          <w:rFonts w:ascii="Book Antiqua" w:eastAsia="Book Antiqua" w:hAnsi="Book Antiqua" w:cs="Book Antiqua"/>
        </w:rPr>
        <w:t>Amouyal</w:t>
      </w:r>
      <w:proofErr w:type="spellEnd"/>
      <w:r w:rsidRPr="00C77471">
        <w:rPr>
          <w:rFonts w:ascii="Book Antiqua" w:eastAsia="Book Antiqua" w:hAnsi="Book Antiqua" w:cs="Book Antiqua"/>
        </w:rPr>
        <w:t xml:space="preserve"> G, </w:t>
      </w:r>
      <w:proofErr w:type="spellStart"/>
      <w:r w:rsidRPr="00C77471">
        <w:rPr>
          <w:rFonts w:ascii="Book Antiqua" w:eastAsia="Book Antiqua" w:hAnsi="Book Antiqua" w:cs="Book Antiqua"/>
        </w:rPr>
        <w:t>Choury</w:t>
      </w:r>
      <w:proofErr w:type="spellEnd"/>
      <w:r w:rsidRPr="00C77471">
        <w:rPr>
          <w:rFonts w:ascii="Book Antiqua" w:eastAsia="Book Antiqua" w:hAnsi="Book Antiqua" w:cs="Book Antiqua"/>
        </w:rPr>
        <w:t xml:space="preserve"> A, Marty O, </w:t>
      </w:r>
      <w:proofErr w:type="spellStart"/>
      <w:r w:rsidRPr="00C77471">
        <w:rPr>
          <w:rFonts w:ascii="Book Antiqua" w:eastAsia="Book Antiqua" w:hAnsi="Book Antiqua" w:cs="Book Antiqua"/>
        </w:rPr>
        <w:t>Giostra</w:t>
      </w:r>
      <w:proofErr w:type="spellEnd"/>
      <w:r w:rsidRPr="00C77471">
        <w:rPr>
          <w:rFonts w:ascii="Book Antiqua" w:eastAsia="Book Antiqua" w:hAnsi="Book Antiqua" w:cs="Book Antiqua"/>
        </w:rPr>
        <w:t xml:space="preserve"> E, </w:t>
      </w:r>
      <w:proofErr w:type="spellStart"/>
      <w:r w:rsidRPr="00C77471">
        <w:rPr>
          <w:rFonts w:ascii="Book Antiqua" w:eastAsia="Book Antiqua" w:hAnsi="Book Antiqua" w:cs="Book Antiqua"/>
        </w:rPr>
        <w:t>Sivignon</w:t>
      </w:r>
      <w:proofErr w:type="spellEnd"/>
      <w:r w:rsidRPr="00C77471">
        <w:rPr>
          <w:rFonts w:ascii="Book Antiqua" w:eastAsia="Book Antiqua" w:hAnsi="Book Antiqua" w:cs="Book Antiqua"/>
        </w:rPr>
        <w:t xml:space="preserve"> F, Sosa L, </w:t>
      </w:r>
      <w:proofErr w:type="spellStart"/>
      <w:r w:rsidRPr="00C77471">
        <w:rPr>
          <w:rFonts w:ascii="Book Antiqua" w:eastAsia="Book Antiqua" w:hAnsi="Book Antiqua" w:cs="Book Antiqua"/>
        </w:rPr>
        <w:t>Amouyal</w:t>
      </w:r>
      <w:proofErr w:type="spellEnd"/>
      <w:r w:rsidRPr="00C77471">
        <w:rPr>
          <w:rFonts w:ascii="Book Antiqua" w:eastAsia="Book Antiqua" w:hAnsi="Book Antiqua" w:cs="Book Antiqua"/>
        </w:rPr>
        <w:t xml:space="preserve"> P. Choledocholithiasis: a prospective study of spontaneous common bile </w:t>
      </w:r>
      <w:r w:rsidRPr="00C77471">
        <w:rPr>
          <w:rFonts w:ascii="Book Antiqua" w:eastAsia="Book Antiqua" w:hAnsi="Book Antiqua" w:cs="Book Antiqua"/>
        </w:rPr>
        <w:lastRenderedPageBreak/>
        <w:t xml:space="preserve">duct stone migration. </w:t>
      </w:r>
      <w:proofErr w:type="spellStart"/>
      <w:r w:rsidRPr="00C77471">
        <w:rPr>
          <w:rFonts w:ascii="Book Antiqua" w:eastAsia="Book Antiqua" w:hAnsi="Book Antiqua" w:cs="Book Antiqua"/>
          <w:i/>
          <w:iCs/>
        </w:rPr>
        <w:t>Gastrointest</w:t>
      </w:r>
      <w:proofErr w:type="spellEnd"/>
      <w:r w:rsidRPr="00C77471">
        <w:rPr>
          <w:rFonts w:ascii="Book Antiqua" w:eastAsia="Book Antiqua" w:hAnsi="Book Antiqua" w:cs="Book Antiqua"/>
          <w:i/>
          <w:iCs/>
        </w:rPr>
        <w:t xml:space="preserve"> </w:t>
      </w:r>
      <w:proofErr w:type="spellStart"/>
      <w:r w:rsidRPr="00C77471">
        <w:rPr>
          <w:rFonts w:ascii="Book Antiqua" w:eastAsia="Book Antiqua" w:hAnsi="Book Antiqua" w:cs="Book Antiqua"/>
          <w:i/>
          <w:iCs/>
        </w:rPr>
        <w:t>Endosc</w:t>
      </w:r>
      <w:proofErr w:type="spellEnd"/>
      <w:r w:rsidRPr="00C77471">
        <w:rPr>
          <w:rFonts w:ascii="Book Antiqua" w:eastAsia="Book Antiqua" w:hAnsi="Book Antiqua" w:cs="Book Antiqua"/>
        </w:rPr>
        <w:t xml:space="preserve"> 2000; </w:t>
      </w:r>
      <w:r w:rsidRPr="00C77471">
        <w:rPr>
          <w:rFonts w:ascii="Book Antiqua" w:eastAsia="Book Antiqua" w:hAnsi="Book Antiqua" w:cs="Book Antiqua"/>
          <w:b/>
          <w:bCs/>
        </w:rPr>
        <w:t>51</w:t>
      </w:r>
      <w:r w:rsidRPr="00C77471">
        <w:rPr>
          <w:rFonts w:ascii="Book Antiqua" w:eastAsia="Book Antiqua" w:hAnsi="Book Antiqua" w:cs="Book Antiqua"/>
        </w:rPr>
        <w:t>: 175-179 [PMID: 10650260 DOI: 10.1016/s0016-5107(00)70414-7]</w:t>
      </w:r>
    </w:p>
    <w:p w14:paraId="24CD3F4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50 </w:t>
      </w:r>
      <w:r w:rsidRPr="00C77471">
        <w:rPr>
          <w:rFonts w:ascii="Book Antiqua" w:eastAsia="Book Antiqua" w:hAnsi="Book Antiqua" w:cs="Book Antiqua"/>
          <w:b/>
          <w:bCs/>
        </w:rPr>
        <w:t>Saito H</w:t>
      </w:r>
      <w:r w:rsidRPr="00C77471">
        <w:rPr>
          <w:rFonts w:ascii="Book Antiqua" w:eastAsia="Book Antiqua" w:hAnsi="Book Antiqua" w:cs="Book Antiqua"/>
        </w:rPr>
        <w:t xml:space="preserve">, Kakuma T, Matsushita I. Risk factors for the development of post-endoscopic retrograde cholangiopancreatography pancreatitis in patients with asymptomatic common bile duct stones. </w:t>
      </w:r>
      <w:r w:rsidRPr="00C77471">
        <w:rPr>
          <w:rFonts w:ascii="Book Antiqua" w:eastAsia="Book Antiqua" w:hAnsi="Book Antiqua" w:cs="Book Antiqua"/>
          <w:i/>
          <w:iCs/>
        </w:rPr>
        <w:t xml:space="preserve">World J </w:t>
      </w:r>
      <w:proofErr w:type="spellStart"/>
      <w:r w:rsidRPr="00C77471">
        <w:rPr>
          <w:rFonts w:ascii="Book Antiqua" w:eastAsia="Book Antiqua" w:hAnsi="Book Antiqua" w:cs="Book Antiqua"/>
          <w:i/>
          <w:iCs/>
        </w:rPr>
        <w:t>Gastrointest</w:t>
      </w:r>
      <w:proofErr w:type="spellEnd"/>
      <w:r w:rsidRPr="00C77471">
        <w:rPr>
          <w:rFonts w:ascii="Book Antiqua" w:eastAsia="Book Antiqua" w:hAnsi="Book Antiqua" w:cs="Book Antiqua"/>
          <w:i/>
          <w:iCs/>
        </w:rPr>
        <w:t xml:space="preserve"> </w:t>
      </w:r>
      <w:proofErr w:type="spellStart"/>
      <w:r w:rsidRPr="00C77471">
        <w:rPr>
          <w:rFonts w:ascii="Book Antiqua" w:eastAsia="Book Antiqua" w:hAnsi="Book Antiqua" w:cs="Book Antiqua"/>
          <w:i/>
          <w:iCs/>
        </w:rPr>
        <w:t>Endosc</w:t>
      </w:r>
      <w:proofErr w:type="spellEnd"/>
      <w:r w:rsidRPr="00C77471">
        <w:rPr>
          <w:rFonts w:ascii="Book Antiqua" w:eastAsia="Book Antiqua" w:hAnsi="Book Antiqua" w:cs="Book Antiqua"/>
        </w:rPr>
        <w:t xml:space="preserve"> 2019; </w:t>
      </w:r>
      <w:r w:rsidRPr="00C77471">
        <w:rPr>
          <w:rFonts w:ascii="Book Antiqua" w:eastAsia="Book Antiqua" w:hAnsi="Book Antiqua" w:cs="Book Antiqua"/>
          <w:b/>
          <w:bCs/>
        </w:rPr>
        <w:t>11</w:t>
      </w:r>
      <w:r w:rsidRPr="00C77471">
        <w:rPr>
          <w:rFonts w:ascii="Book Antiqua" w:eastAsia="Book Antiqua" w:hAnsi="Book Antiqua" w:cs="Book Antiqua"/>
        </w:rPr>
        <w:t>: 515-522 [PMID: 31798772 DOI: 10.4253/wjge.v11.i10.515]</w:t>
      </w:r>
    </w:p>
    <w:p w14:paraId="7101AAA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51 </w:t>
      </w:r>
      <w:r w:rsidRPr="00C77471">
        <w:rPr>
          <w:rFonts w:ascii="Book Antiqua" w:eastAsia="Book Antiqua" w:hAnsi="Book Antiqua" w:cs="Book Antiqua"/>
          <w:b/>
          <w:bCs/>
        </w:rPr>
        <w:t>Miura F</w:t>
      </w:r>
      <w:r w:rsidRPr="00C77471">
        <w:rPr>
          <w:rFonts w:ascii="Book Antiqua" w:eastAsia="Book Antiqua" w:hAnsi="Book Antiqua" w:cs="Book Antiqua"/>
        </w:rPr>
        <w:t xml:space="preserve">, Okamoto K, Takada T, Strasberg SM, </w:t>
      </w:r>
      <w:proofErr w:type="spellStart"/>
      <w:r w:rsidRPr="00C77471">
        <w:rPr>
          <w:rFonts w:ascii="Book Antiqua" w:eastAsia="Book Antiqua" w:hAnsi="Book Antiqua" w:cs="Book Antiqua"/>
        </w:rPr>
        <w:t>Asbun</w:t>
      </w:r>
      <w:proofErr w:type="spellEnd"/>
      <w:r w:rsidRPr="00C77471">
        <w:rPr>
          <w:rFonts w:ascii="Book Antiqua" w:eastAsia="Book Antiqua" w:hAnsi="Book Antiqua" w:cs="Book Antiqua"/>
        </w:rPr>
        <w:t xml:space="preserve"> HJ, Pitt HA, </w:t>
      </w:r>
      <w:proofErr w:type="spellStart"/>
      <w:r w:rsidRPr="00C77471">
        <w:rPr>
          <w:rFonts w:ascii="Book Antiqua" w:eastAsia="Book Antiqua" w:hAnsi="Book Antiqua" w:cs="Book Antiqua"/>
        </w:rPr>
        <w:t>Gomi</w:t>
      </w:r>
      <w:proofErr w:type="spellEnd"/>
      <w:r w:rsidRPr="00C77471">
        <w:rPr>
          <w:rFonts w:ascii="Book Antiqua" w:eastAsia="Book Antiqua" w:hAnsi="Book Antiqua" w:cs="Book Antiqua"/>
        </w:rPr>
        <w:t xml:space="preserve"> H, </w:t>
      </w:r>
      <w:proofErr w:type="spellStart"/>
      <w:r w:rsidRPr="00C77471">
        <w:rPr>
          <w:rFonts w:ascii="Book Antiqua" w:eastAsia="Book Antiqua" w:hAnsi="Book Antiqua" w:cs="Book Antiqua"/>
        </w:rPr>
        <w:t>Solomkin</w:t>
      </w:r>
      <w:proofErr w:type="spellEnd"/>
      <w:r w:rsidRPr="00C77471">
        <w:rPr>
          <w:rFonts w:ascii="Book Antiqua" w:eastAsia="Book Antiqua" w:hAnsi="Book Antiqua" w:cs="Book Antiqua"/>
        </w:rPr>
        <w:t xml:space="preserve"> JS, Schlossberg D, Han HS, Kim MH, Hwang TL, Chen MF, Huang WS, </w:t>
      </w:r>
      <w:proofErr w:type="spellStart"/>
      <w:r w:rsidRPr="00C77471">
        <w:rPr>
          <w:rFonts w:ascii="Book Antiqua" w:eastAsia="Book Antiqua" w:hAnsi="Book Antiqua" w:cs="Book Antiqua"/>
        </w:rPr>
        <w:t>Kiriyama</w:t>
      </w:r>
      <w:proofErr w:type="spellEnd"/>
      <w:r w:rsidRPr="00C77471">
        <w:rPr>
          <w:rFonts w:ascii="Book Antiqua" w:eastAsia="Book Antiqua" w:hAnsi="Book Antiqua" w:cs="Book Antiqua"/>
        </w:rPr>
        <w:t xml:space="preserve"> S, </w:t>
      </w:r>
      <w:proofErr w:type="spellStart"/>
      <w:r w:rsidRPr="00C77471">
        <w:rPr>
          <w:rFonts w:ascii="Book Antiqua" w:eastAsia="Book Antiqua" w:hAnsi="Book Antiqua" w:cs="Book Antiqua"/>
        </w:rPr>
        <w:t>Itoi</w:t>
      </w:r>
      <w:proofErr w:type="spellEnd"/>
      <w:r w:rsidRPr="00C77471">
        <w:rPr>
          <w:rFonts w:ascii="Book Antiqua" w:eastAsia="Book Antiqua" w:hAnsi="Book Antiqua" w:cs="Book Antiqua"/>
        </w:rPr>
        <w:t xml:space="preserve"> T, Garden OJ, </w:t>
      </w:r>
      <w:proofErr w:type="spellStart"/>
      <w:r w:rsidRPr="00C77471">
        <w:rPr>
          <w:rFonts w:ascii="Book Antiqua" w:eastAsia="Book Antiqua" w:hAnsi="Book Antiqua" w:cs="Book Antiqua"/>
        </w:rPr>
        <w:t>Liau</w:t>
      </w:r>
      <w:proofErr w:type="spellEnd"/>
      <w:r w:rsidRPr="00C77471">
        <w:rPr>
          <w:rFonts w:ascii="Book Antiqua" w:eastAsia="Book Antiqua" w:hAnsi="Book Antiqua" w:cs="Book Antiqua"/>
        </w:rPr>
        <w:t xml:space="preserve"> KH, </w:t>
      </w:r>
      <w:proofErr w:type="spellStart"/>
      <w:r w:rsidRPr="00C77471">
        <w:rPr>
          <w:rFonts w:ascii="Book Antiqua" w:eastAsia="Book Antiqua" w:hAnsi="Book Antiqua" w:cs="Book Antiqua"/>
        </w:rPr>
        <w:t>Horiguchi</w:t>
      </w:r>
      <w:proofErr w:type="spellEnd"/>
      <w:r w:rsidRPr="00C77471">
        <w:rPr>
          <w:rFonts w:ascii="Book Antiqua" w:eastAsia="Book Antiqua" w:hAnsi="Book Antiqua" w:cs="Book Antiqua"/>
        </w:rPr>
        <w:t xml:space="preserve"> A, Liu KH, </w:t>
      </w:r>
      <w:proofErr w:type="spellStart"/>
      <w:r w:rsidRPr="00C77471">
        <w:rPr>
          <w:rFonts w:ascii="Book Antiqua" w:eastAsia="Book Antiqua" w:hAnsi="Book Antiqua" w:cs="Book Antiqua"/>
        </w:rPr>
        <w:t>Su</w:t>
      </w:r>
      <w:proofErr w:type="spellEnd"/>
      <w:r w:rsidRPr="00C77471">
        <w:rPr>
          <w:rFonts w:ascii="Book Antiqua" w:eastAsia="Book Antiqua" w:hAnsi="Book Antiqua" w:cs="Book Antiqua"/>
        </w:rPr>
        <w:t xml:space="preserve"> CH, </w:t>
      </w:r>
      <w:proofErr w:type="spellStart"/>
      <w:r w:rsidRPr="00C77471">
        <w:rPr>
          <w:rFonts w:ascii="Book Antiqua" w:eastAsia="Book Antiqua" w:hAnsi="Book Antiqua" w:cs="Book Antiqua"/>
        </w:rPr>
        <w:t>Gouma</w:t>
      </w:r>
      <w:proofErr w:type="spellEnd"/>
      <w:r w:rsidRPr="00C77471">
        <w:rPr>
          <w:rFonts w:ascii="Book Antiqua" w:eastAsia="Book Antiqua" w:hAnsi="Book Antiqua" w:cs="Book Antiqua"/>
        </w:rPr>
        <w:t xml:space="preserve"> DJ, Belli G, </w:t>
      </w:r>
      <w:proofErr w:type="spellStart"/>
      <w:r w:rsidRPr="00C77471">
        <w:rPr>
          <w:rFonts w:ascii="Book Antiqua" w:eastAsia="Book Antiqua" w:hAnsi="Book Antiqua" w:cs="Book Antiqua"/>
        </w:rPr>
        <w:t>Dervenis</w:t>
      </w:r>
      <w:proofErr w:type="spellEnd"/>
      <w:r w:rsidRPr="00C77471">
        <w:rPr>
          <w:rFonts w:ascii="Book Antiqua" w:eastAsia="Book Antiqua" w:hAnsi="Book Antiqua" w:cs="Book Antiqua"/>
        </w:rPr>
        <w:t xml:space="preserve"> C, Jagannath P, Chan ACW, Lau WY, Endo I, Suzuki K, Yoon YS, de </w:t>
      </w:r>
      <w:proofErr w:type="spellStart"/>
      <w:r w:rsidRPr="00C77471">
        <w:rPr>
          <w:rFonts w:ascii="Book Antiqua" w:eastAsia="Book Antiqua" w:hAnsi="Book Antiqua" w:cs="Book Antiqua"/>
        </w:rPr>
        <w:t>Santibañes</w:t>
      </w:r>
      <w:proofErr w:type="spellEnd"/>
      <w:r w:rsidRPr="00C77471">
        <w:rPr>
          <w:rFonts w:ascii="Book Antiqua" w:eastAsia="Book Antiqua" w:hAnsi="Book Antiqua" w:cs="Book Antiqua"/>
        </w:rPr>
        <w:t xml:space="preserve"> E, </w:t>
      </w:r>
      <w:proofErr w:type="spellStart"/>
      <w:r w:rsidRPr="00C77471">
        <w:rPr>
          <w:rFonts w:ascii="Book Antiqua" w:eastAsia="Book Antiqua" w:hAnsi="Book Antiqua" w:cs="Book Antiqua"/>
        </w:rPr>
        <w:t>Giménez</w:t>
      </w:r>
      <w:proofErr w:type="spellEnd"/>
      <w:r w:rsidRPr="00C77471">
        <w:rPr>
          <w:rFonts w:ascii="Book Antiqua" w:eastAsia="Book Antiqua" w:hAnsi="Book Antiqua" w:cs="Book Antiqua"/>
        </w:rPr>
        <w:t xml:space="preserve"> ME, Jonas E, Singh H, Honda G, </w:t>
      </w:r>
      <w:proofErr w:type="spellStart"/>
      <w:r w:rsidRPr="00C77471">
        <w:rPr>
          <w:rFonts w:ascii="Book Antiqua" w:eastAsia="Book Antiqua" w:hAnsi="Book Antiqua" w:cs="Book Antiqua"/>
        </w:rPr>
        <w:t>Asai</w:t>
      </w:r>
      <w:proofErr w:type="spellEnd"/>
      <w:r w:rsidRPr="00C77471">
        <w:rPr>
          <w:rFonts w:ascii="Book Antiqua" w:eastAsia="Book Antiqua" w:hAnsi="Book Antiqua" w:cs="Book Antiqua"/>
        </w:rPr>
        <w:t xml:space="preserve"> K, Mori Y, Wada K, Higuchi R, Watanabe M, </w:t>
      </w:r>
      <w:proofErr w:type="spellStart"/>
      <w:r w:rsidRPr="00C77471">
        <w:rPr>
          <w:rFonts w:ascii="Book Antiqua" w:eastAsia="Book Antiqua" w:hAnsi="Book Antiqua" w:cs="Book Antiqua"/>
        </w:rPr>
        <w:t>Rikiyama</w:t>
      </w:r>
      <w:proofErr w:type="spellEnd"/>
      <w:r w:rsidRPr="00C77471">
        <w:rPr>
          <w:rFonts w:ascii="Book Antiqua" w:eastAsia="Book Antiqua" w:hAnsi="Book Antiqua" w:cs="Book Antiqua"/>
        </w:rPr>
        <w:t xml:space="preserve"> T, </w:t>
      </w:r>
      <w:proofErr w:type="spellStart"/>
      <w:r w:rsidRPr="00C77471">
        <w:rPr>
          <w:rFonts w:ascii="Book Antiqua" w:eastAsia="Book Antiqua" w:hAnsi="Book Antiqua" w:cs="Book Antiqua"/>
        </w:rPr>
        <w:t>Sata</w:t>
      </w:r>
      <w:proofErr w:type="spellEnd"/>
      <w:r w:rsidRPr="00C77471">
        <w:rPr>
          <w:rFonts w:ascii="Book Antiqua" w:eastAsia="Book Antiqua" w:hAnsi="Book Antiqua" w:cs="Book Antiqua"/>
        </w:rPr>
        <w:t xml:space="preserve"> N, Kano N, </w:t>
      </w:r>
      <w:proofErr w:type="spellStart"/>
      <w:r w:rsidRPr="00C77471">
        <w:rPr>
          <w:rFonts w:ascii="Book Antiqua" w:eastAsia="Book Antiqua" w:hAnsi="Book Antiqua" w:cs="Book Antiqua"/>
        </w:rPr>
        <w:t>Umezawa</w:t>
      </w:r>
      <w:proofErr w:type="spellEnd"/>
      <w:r w:rsidRPr="00C77471">
        <w:rPr>
          <w:rFonts w:ascii="Book Antiqua" w:eastAsia="Book Antiqua" w:hAnsi="Book Antiqua" w:cs="Book Antiqua"/>
        </w:rPr>
        <w:t xml:space="preserve"> A, Mukai S, </w:t>
      </w:r>
      <w:proofErr w:type="spellStart"/>
      <w:r w:rsidRPr="00C77471">
        <w:rPr>
          <w:rFonts w:ascii="Book Antiqua" w:eastAsia="Book Antiqua" w:hAnsi="Book Antiqua" w:cs="Book Antiqua"/>
        </w:rPr>
        <w:t>Tokumura</w:t>
      </w:r>
      <w:proofErr w:type="spellEnd"/>
      <w:r w:rsidRPr="00C77471">
        <w:rPr>
          <w:rFonts w:ascii="Book Antiqua" w:eastAsia="Book Antiqua" w:hAnsi="Book Antiqua" w:cs="Book Antiqua"/>
        </w:rPr>
        <w:t xml:space="preserve"> H, </w:t>
      </w:r>
      <w:proofErr w:type="spellStart"/>
      <w:r w:rsidRPr="00C77471">
        <w:rPr>
          <w:rFonts w:ascii="Book Antiqua" w:eastAsia="Book Antiqua" w:hAnsi="Book Antiqua" w:cs="Book Antiqua"/>
        </w:rPr>
        <w:t>Hata</w:t>
      </w:r>
      <w:proofErr w:type="spellEnd"/>
      <w:r w:rsidRPr="00C77471">
        <w:rPr>
          <w:rFonts w:ascii="Book Antiqua" w:eastAsia="Book Antiqua" w:hAnsi="Book Antiqua" w:cs="Book Antiqua"/>
        </w:rPr>
        <w:t xml:space="preserve"> J, </w:t>
      </w:r>
      <w:proofErr w:type="spellStart"/>
      <w:r w:rsidRPr="00C77471">
        <w:rPr>
          <w:rFonts w:ascii="Book Antiqua" w:eastAsia="Book Antiqua" w:hAnsi="Book Antiqua" w:cs="Book Antiqua"/>
        </w:rPr>
        <w:t>Kozaka</w:t>
      </w:r>
      <w:proofErr w:type="spellEnd"/>
      <w:r w:rsidRPr="00C77471">
        <w:rPr>
          <w:rFonts w:ascii="Book Antiqua" w:eastAsia="Book Antiqua" w:hAnsi="Book Antiqua" w:cs="Book Antiqua"/>
        </w:rPr>
        <w:t xml:space="preserve"> K, Iwashita Y, </w:t>
      </w:r>
      <w:proofErr w:type="spellStart"/>
      <w:r w:rsidRPr="00C77471">
        <w:rPr>
          <w:rFonts w:ascii="Book Antiqua" w:eastAsia="Book Antiqua" w:hAnsi="Book Antiqua" w:cs="Book Antiqua"/>
        </w:rPr>
        <w:t>Hibi</w:t>
      </w:r>
      <w:proofErr w:type="spellEnd"/>
      <w:r w:rsidRPr="00C77471">
        <w:rPr>
          <w:rFonts w:ascii="Book Antiqua" w:eastAsia="Book Antiqua" w:hAnsi="Book Antiqua" w:cs="Book Antiqua"/>
        </w:rPr>
        <w:t xml:space="preserve"> T, </w:t>
      </w:r>
      <w:proofErr w:type="spellStart"/>
      <w:r w:rsidRPr="00C77471">
        <w:rPr>
          <w:rFonts w:ascii="Book Antiqua" w:eastAsia="Book Antiqua" w:hAnsi="Book Antiqua" w:cs="Book Antiqua"/>
        </w:rPr>
        <w:t>Yokoe</w:t>
      </w:r>
      <w:proofErr w:type="spellEnd"/>
      <w:r w:rsidRPr="00C77471">
        <w:rPr>
          <w:rFonts w:ascii="Book Antiqua" w:eastAsia="Book Antiqua" w:hAnsi="Book Antiqua" w:cs="Book Antiqua"/>
        </w:rPr>
        <w:t xml:space="preserve"> M, Kimura T, Kitano S, Inomata M, Hirata K, </w:t>
      </w:r>
      <w:proofErr w:type="spellStart"/>
      <w:r w:rsidRPr="00C77471">
        <w:rPr>
          <w:rFonts w:ascii="Book Antiqua" w:eastAsia="Book Antiqua" w:hAnsi="Book Antiqua" w:cs="Book Antiqua"/>
        </w:rPr>
        <w:t>Sumiyama</w:t>
      </w:r>
      <w:proofErr w:type="spellEnd"/>
      <w:r w:rsidRPr="00C77471">
        <w:rPr>
          <w:rFonts w:ascii="Book Antiqua" w:eastAsia="Book Antiqua" w:hAnsi="Book Antiqua" w:cs="Book Antiqua"/>
        </w:rPr>
        <w:t xml:space="preserve"> Y, Inui K, Yamamoto M. Tokyo Guidelines 2018: initial management of acute biliary infection and flowchart for acute cholangitis. </w:t>
      </w:r>
      <w:r w:rsidRPr="00C77471">
        <w:rPr>
          <w:rFonts w:ascii="Book Antiqua" w:eastAsia="Book Antiqua" w:hAnsi="Book Antiqua" w:cs="Book Antiqua"/>
          <w:i/>
          <w:iCs/>
        </w:rPr>
        <w:t xml:space="preserve">J Hepatobiliary </w:t>
      </w:r>
      <w:proofErr w:type="spellStart"/>
      <w:r w:rsidRPr="00C77471">
        <w:rPr>
          <w:rFonts w:ascii="Book Antiqua" w:eastAsia="Book Antiqua" w:hAnsi="Book Antiqua" w:cs="Book Antiqua"/>
          <w:i/>
          <w:iCs/>
        </w:rPr>
        <w:t>Pancreat</w:t>
      </w:r>
      <w:proofErr w:type="spellEnd"/>
      <w:r w:rsidRPr="00C77471">
        <w:rPr>
          <w:rFonts w:ascii="Book Antiqua" w:eastAsia="Book Antiqua" w:hAnsi="Book Antiqua" w:cs="Book Antiqua"/>
          <w:i/>
          <w:iCs/>
        </w:rPr>
        <w:t xml:space="preserve"> Sci</w:t>
      </w:r>
      <w:r w:rsidRPr="00C77471">
        <w:rPr>
          <w:rFonts w:ascii="Book Antiqua" w:eastAsia="Book Antiqua" w:hAnsi="Book Antiqua" w:cs="Book Antiqua"/>
        </w:rPr>
        <w:t xml:space="preserve"> 2018; </w:t>
      </w:r>
      <w:r w:rsidRPr="00C77471">
        <w:rPr>
          <w:rFonts w:ascii="Book Antiqua" w:eastAsia="Book Antiqua" w:hAnsi="Book Antiqua" w:cs="Book Antiqua"/>
          <w:b/>
          <w:bCs/>
        </w:rPr>
        <w:t>25</w:t>
      </w:r>
      <w:r w:rsidRPr="00C77471">
        <w:rPr>
          <w:rFonts w:ascii="Book Antiqua" w:eastAsia="Book Antiqua" w:hAnsi="Book Antiqua" w:cs="Book Antiqua"/>
        </w:rPr>
        <w:t>: 31-40 [PMID: 28941329 DOI: 10.1002/jhbp.509]</w:t>
      </w:r>
    </w:p>
    <w:p w14:paraId="67FCF8BF"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52 </w:t>
      </w:r>
      <w:r w:rsidRPr="00C77471">
        <w:rPr>
          <w:rFonts w:ascii="Book Antiqua" w:eastAsia="Book Antiqua" w:hAnsi="Book Antiqua" w:cs="Book Antiqua"/>
          <w:b/>
          <w:bCs/>
        </w:rPr>
        <w:t>Saito H</w:t>
      </w:r>
      <w:r w:rsidRPr="00C77471">
        <w:rPr>
          <w:rFonts w:ascii="Book Antiqua" w:eastAsia="Book Antiqua" w:hAnsi="Book Antiqua" w:cs="Book Antiqua"/>
        </w:rPr>
        <w:t xml:space="preserve">, Koga T, </w:t>
      </w:r>
      <w:proofErr w:type="spellStart"/>
      <w:r w:rsidRPr="00C77471">
        <w:rPr>
          <w:rFonts w:ascii="Book Antiqua" w:eastAsia="Book Antiqua" w:hAnsi="Book Antiqua" w:cs="Book Antiqua"/>
        </w:rPr>
        <w:t>Sakaguchi</w:t>
      </w:r>
      <w:proofErr w:type="spellEnd"/>
      <w:r w:rsidRPr="00C77471">
        <w:rPr>
          <w:rFonts w:ascii="Book Antiqua" w:eastAsia="Book Antiqua" w:hAnsi="Book Antiqua" w:cs="Book Antiqua"/>
        </w:rPr>
        <w:t xml:space="preserve"> M, </w:t>
      </w:r>
      <w:proofErr w:type="spellStart"/>
      <w:r w:rsidRPr="00C77471">
        <w:rPr>
          <w:rFonts w:ascii="Book Antiqua" w:eastAsia="Book Antiqua" w:hAnsi="Book Antiqua" w:cs="Book Antiqua"/>
        </w:rPr>
        <w:t>Kadono</w:t>
      </w:r>
      <w:proofErr w:type="spellEnd"/>
      <w:r w:rsidRPr="00C77471">
        <w:rPr>
          <w:rFonts w:ascii="Book Antiqua" w:eastAsia="Book Antiqua" w:hAnsi="Book Antiqua" w:cs="Book Antiqua"/>
        </w:rPr>
        <w:t xml:space="preserve"> Y, </w:t>
      </w:r>
      <w:proofErr w:type="spellStart"/>
      <w:r w:rsidRPr="00C77471">
        <w:rPr>
          <w:rFonts w:ascii="Book Antiqua" w:eastAsia="Book Antiqua" w:hAnsi="Book Antiqua" w:cs="Book Antiqua"/>
        </w:rPr>
        <w:t>Kamikawa</w:t>
      </w:r>
      <w:proofErr w:type="spellEnd"/>
      <w:r w:rsidRPr="00C77471">
        <w:rPr>
          <w:rFonts w:ascii="Book Antiqua" w:eastAsia="Book Antiqua" w:hAnsi="Book Antiqua" w:cs="Book Antiqua"/>
        </w:rPr>
        <w:t xml:space="preserve"> K, Urata A, Imamura H, Tada S, Kakuma T, Matsushita I. Post-endoscopic retrograde cholangiopancreatography pancreatitis in single-stage endoscopic common bile duct stone removal. </w:t>
      </w:r>
      <w:r w:rsidRPr="00C77471">
        <w:rPr>
          <w:rFonts w:ascii="Book Antiqua" w:eastAsia="Book Antiqua" w:hAnsi="Book Antiqua" w:cs="Book Antiqua"/>
          <w:i/>
          <w:iCs/>
        </w:rPr>
        <w:t>JGH Open</w:t>
      </w:r>
      <w:r w:rsidRPr="00C77471">
        <w:rPr>
          <w:rFonts w:ascii="Book Antiqua" w:eastAsia="Book Antiqua" w:hAnsi="Book Antiqua" w:cs="Book Antiqua"/>
        </w:rPr>
        <w:t xml:space="preserve"> 2020; </w:t>
      </w:r>
      <w:r w:rsidRPr="00C77471">
        <w:rPr>
          <w:rFonts w:ascii="Book Antiqua" w:eastAsia="Book Antiqua" w:hAnsi="Book Antiqua" w:cs="Book Antiqua"/>
          <w:b/>
          <w:bCs/>
        </w:rPr>
        <w:t>4</w:t>
      </w:r>
      <w:r w:rsidRPr="00C77471">
        <w:rPr>
          <w:rFonts w:ascii="Book Antiqua" w:eastAsia="Book Antiqua" w:hAnsi="Book Antiqua" w:cs="Book Antiqua"/>
        </w:rPr>
        <w:t>: 394-399 [PMID: 32514443 DOI: 10.1002/jgh3.12263]</w:t>
      </w:r>
    </w:p>
    <w:bookmarkEnd w:id="0"/>
    <w:bookmarkEnd w:id="1"/>
    <w:p w14:paraId="6EDFB231" w14:textId="77777777" w:rsidR="00A77B3E" w:rsidRPr="00C77471" w:rsidRDefault="00A77B3E">
      <w:pPr>
        <w:spacing w:line="360" w:lineRule="auto"/>
        <w:jc w:val="both"/>
        <w:rPr>
          <w:rFonts w:ascii="Book Antiqua" w:hAnsi="Book Antiqua"/>
        </w:rPr>
        <w:sectPr w:rsidR="00A77B3E" w:rsidRPr="00C77471">
          <w:pgSz w:w="12240" w:h="15840"/>
          <w:pgMar w:top="1440" w:right="1440" w:bottom="1440" w:left="1440" w:header="720" w:footer="720" w:gutter="0"/>
          <w:cols w:space="720"/>
          <w:docGrid w:linePitch="360"/>
        </w:sectPr>
      </w:pPr>
    </w:p>
    <w:p w14:paraId="16C3F6D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lastRenderedPageBreak/>
        <w:t>Footnotes</w:t>
      </w:r>
    </w:p>
    <w:p w14:paraId="76E16574"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Conflict-of-interest statement: </w:t>
      </w:r>
      <w:r w:rsidRPr="00C77471">
        <w:rPr>
          <w:rFonts w:ascii="Book Antiqua" w:eastAsia="Book Antiqua" w:hAnsi="Book Antiqua" w:cs="Book Antiqua"/>
        </w:rPr>
        <w:t>There are no conflicts of interest to declare in relation to this article.</w:t>
      </w:r>
    </w:p>
    <w:p w14:paraId="3FFDFAB1" w14:textId="77777777" w:rsidR="00A77B3E" w:rsidRPr="00C77471" w:rsidRDefault="00A77B3E">
      <w:pPr>
        <w:spacing w:line="360" w:lineRule="auto"/>
        <w:jc w:val="both"/>
        <w:rPr>
          <w:rFonts w:ascii="Book Antiqua" w:hAnsi="Book Antiqua"/>
        </w:rPr>
      </w:pPr>
    </w:p>
    <w:p w14:paraId="0D873358"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Open-Access: </w:t>
      </w:r>
      <w:r w:rsidRPr="00C7747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77471">
        <w:rPr>
          <w:rFonts w:ascii="Book Antiqua" w:eastAsia="Book Antiqua" w:hAnsi="Book Antiqua" w:cs="Book Antiqua"/>
        </w:rPr>
        <w:t>NonCommercial</w:t>
      </w:r>
      <w:proofErr w:type="spellEnd"/>
      <w:r w:rsidRPr="00C7747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C95EAF" w14:textId="77777777" w:rsidR="00A77B3E" w:rsidRPr="00C77471" w:rsidRDefault="00A77B3E">
      <w:pPr>
        <w:spacing w:line="360" w:lineRule="auto"/>
        <w:jc w:val="both"/>
        <w:rPr>
          <w:rFonts w:ascii="Book Antiqua" w:hAnsi="Book Antiqua"/>
        </w:rPr>
      </w:pPr>
    </w:p>
    <w:p w14:paraId="46421D64"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Manuscript source: </w:t>
      </w:r>
      <w:r w:rsidRPr="00C77471">
        <w:rPr>
          <w:rFonts w:ascii="Book Antiqua" w:eastAsia="Book Antiqua" w:hAnsi="Book Antiqua" w:cs="Book Antiqua"/>
        </w:rPr>
        <w:t xml:space="preserve">Invited </w:t>
      </w:r>
      <w:r w:rsidR="005B2F7A" w:rsidRPr="00C77471">
        <w:rPr>
          <w:rFonts w:ascii="Book Antiqua" w:eastAsia="Book Antiqua" w:hAnsi="Book Antiqua" w:cs="Book Antiqua"/>
        </w:rPr>
        <w:t>m</w:t>
      </w:r>
      <w:r w:rsidRPr="00C77471">
        <w:rPr>
          <w:rFonts w:ascii="Book Antiqua" w:eastAsia="Book Antiqua" w:hAnsi="Book Antiqua" w:cs="Book Antiqua"/>
        </w:rPr>
        <w:t>anuscript</w:t>
      </w:r>
    </w:p>
    <w:p w14:paraId="716E598B" w14:textId="77777777" w:rsidR="00A77B3E" w:rsidRPr="00C77471" w:rsidRDefault="00A77B3E">
      <w:pPr>
        <w:spacing w:line="360" w:lineRule="auto"/>
        <w:jc w:val="both"/>
        <w:rPr>
          <w:rFonts w:ascii="Book Antiqua" w:hAnsi="Book Antiqua"/>
        </w:rPr>
      </w:pPr>
    </w:p>
    <w:p w14:paraId="316E2FF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Peer-review started: </w:t>
      </w:r>
      <w:r w:rsidRPr="00C77471">
        <w:rPr>
          <w:rFonts w:ascii="Book Antiqua" w:eastAsia="Book Antiqua" w:hAnsi="Book Antiqua" w:cs="Book Antiqua"/>
        </w:rPr>
        <w:t>February 12, 2021</w:t>
      </w:r>
    </w:p>
    <w:p w14:paraId="6B33FEE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First decision: </w:t>
      </w:r>
      <w:r w:rsidRPr="00C77471">
        <w:rPr>
          <w:rFonts w:ascii="Book Antiqua" w:eastAsia="Book Antiqua" w:hAnsi="Book Antiqua" w:cs="Book Antiqua"/>
        </w:rPr>
        <w:t>March 28, 2021</w:t>
      </w:r>
    </w:p>
    <w:p w14:paraId="44C7101A"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Article in press: </w:t>
      </w:r>
    </w:p>
    <w:p w14:paraId="23C19F2C" w14:textId="77777777" w:rsidR="00A77B3E" w:rsidRPr="00C77471" w:rsidRDefault="00A77B3E">
      <w:pPr>
        <w:spacing w:line="360" w:lineRule="auto"/>
        <w:jc w:val="both"/>
        <w:rPr>
          <w:rFonts w:ascii="Book Antiqua" w:hAnsi="Book Antiqua"/>
        </w:rPr>
      </w:pPr>
    </w:p>
    <w:p w14:paraId="560419C6"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Specialty type: </w:t>
      </w:r>
      <w:r w:rsidRPr="00C77471">
        <w:rPr>
          <w:rFonts w:ascii="Book Antiqua" w:eastAsia="Book Antiqua" w:hAnsi="Book Antiqua" w:cs="Book Antiqua"/>
        </w:rPr>
        <w:t xml:space="preserve">Gastroenterology and </w:t>
      </w:r>
      <w:r w:rsidR="005E422A" w:rsidRPr="00C77471">
        <w:rPr>
          <w:rFonts w:ascii="Book Antiqua" w:eastAsia="Book Antiqua" w:hAnsi="Book Antiqua" w:cs="Book Antiqua"/>
        </w:rPr>
        <w:t>h</w:t>
      </w:r>
      <w:r w:rsidRPr="00C77471">
        <w:rPr>
          <w:rFonts w:ascii="Book Antiqua" w:eastAsia="Book Antiqua" w:hAnsi="Book Antiqua" w:cs="Book Antiqua"/>
        </w:rPr>
        <w:t>epatology</w:t>
      </w:r>
    </w:p>
    <w:p w14:paraId="765DA302"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Country/Territory of origin: </w:t>
      </w:r>
      <w:r w:rsidRPr="00C77471">
        <w:rPr>
          <w:rFonts w:ascii="Book Antiqua" w:eastAsia="Book Antiqua" w:hAnsi="Book Antiqua" w:cs="Book Antiqua"/>
        </w:rPr>
        <w:t>Japan</w:t>
      </w:r>
    </w:p>
    <w:p w14:paraId="01437B04"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Peer-review report’s scientific quality classification</w:t>
      </w:r>
    </w:p>
    <w:p w14:paraId="14D3028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Grade A (Excellent): 0</w:t>
      </w:r>
    </w:p>
    <w:p w14:paraId="7E149FC0"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Grade B (Very good): B</w:t>
      </w:r>
      <w:r w:rsidR="00B51AC0" w:rsidRPr="00C77471">
        <w:rPr>
          <w:rFonts w:ascii="Book Antiqua" w:eastAsia="Book Antiqua" w:hAnsi="Book Antiqua" w:cs="Book Antiqua"/>
        </w:rPr>
        <w:t>, B</w:t>
      </w:r>
    </w:p>
    <w:p w14:paraId="7841829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Grade C (Good): 0</w:t>
      </w:r>
    </w:p>
    <w:p w14:paraId="043CE55B"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Grade D (Fair): 0</w:t>
      </w:r>
    </w:p>
    <w:p w14:paraId="2F379493"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Grade E (Poor): 0</w:t>
      </w:r>
    </w:p>
    <w:p w14:paraId="024B8DF1" w14:textId="77777777" w:rsidR="00A77B3E" w:rsidRPr="00C77471" w:rsidRDefault="00A77B3E">
      <w:pPr>
        <w:spacing w:line="360" w:lineRule="auto"/>
        <w:jc w:val="both"/>
        <w:rPr>
          <w:rFonts w:ascii="Book Antiqua" w:hAnsi="Book Antiqua"/>
        </w:rPr>
      </w:pPr>
    </w:p>
    <w:p w14:paraId="2791156B" w14:textId="77777777" w:rsidR="00B51AC0" w:rsidRPr="00C77471" w:rsidRDefault="00AC1F5E">
      <w:pPr>
        <w:spacing w:line="360" w:lineRule="auto"/>
        <w:jc w:val="both"/>
        <w:rPr>
          <w:rFonts w:ascii="Book Antiqua" w:eastAsia="Book Antiqua" w:hAnsi="Book Antiqua" w:cs="Book Antiqua"/>
          <w:b/>
        </w:rPr>
      </w:pPr>
      <w:r w:rsidRPr="00C77471">
        <w:rPr>
          <w:rFonts w:ascii="Book Antiqua" w:eastAsia="Book Antiqua" w:hAnsi="Book Antiqua" w:cs="Book Antiqua"/>
          <w:b/>
        </w:rPr>
        <w:t xml:space="preserve">P-Reviewer: </w:t>
      </w:r>
      <w:r w:rsidRPr="00C77471">
        <w:rPr>
          <w:rFonts w:ascii="Book Antiqua" w:eastAsia="Book Antiqua" w:hAnsi="Book Antiqua" w:cs="Book Antiqua"/>
          <w:caps/>
        </w:rPr>
        <w:t>p</w:t>
      </w:r>
      <w:r w:rsidRPr="00C77471">
        <w:rPr>
          <w:rFonts w:ascii="Book Antiqua" w:eastAsia="Book Antiqua" w:hAnsi="Book Antiqua" w:cs="Book Antiqua"/>
        </w:rPr>
        <w:t>an W</w:t>
      </w:r>
      <w:r w:rsidRPr="00C77471">
        <w:rPr>
          <w:rFonts w:ascii="Book Antiqua" w:eastAsia="Book Antiqua" w:hAnsi="Book Antiqua" w:cs="Book Antiqua"/>
          <w:b/>
        </w:rPr>
        <w:t xml:space="preserve"> S-Editor: </w:t>
      </w:r>
      <w:r w:rsidRPr="00C77471">
        <w:rPr>
          <w:rFonts w:ascii="Book Antiqua" w:eastAsia="Book Antiqua" w:hAnsi="Book Antiqua" w:cs="Book Antiqua"/>
        </w:rPr>
        <w:t>Gong ZM</w:t>
      </w:r>
      <w:r w:rsidRPr="00C77471">
        <w:rPr>
          <w:rFonts w:ascii="Book Antiqua" w:eastAsia="Book Antiqua" w:hAnsi="Book Antiqua" w:cs="Book Antiqua"/>
          <w:b/>
        </w:rPr>
        <w:t xml:space="preserve"> L-Editor:  P-Editor: </w:t>
      </w:r>
    </w:p>
    <w:p w14:paraId="03EF6C90" w14:textId="77777777" w:rsidR="00A77B3E" w:rsidRPr="00C77471" w:rsidRDefault="00B51AC0">
      <w:pPr>
        <w:spacing w:line="360" w:lineRule="auto"/>
        <w:jc w:val="both"/>
        <w:rPr>
          <w:rFonts w:ascii="Book Antiqua" w:eastAsia="Book Antiqua" w:hAnsi="Book Antiqua" w:cs="Book Antiqua"/>
          <w:b/>
        </w:rPr>
      </w:pPr>
      <w:r w:rsidRPr="00C77471">
        <w:rPr>
          <w:rFonts w:ascii="Book Antiqua" w:eastAsia="Book Antiqua" w:hAnsi="Book Antiqua" w:cs="Book Antiqua"/>
          <w:b/>
        </w:rPr>
        <w:br w:type="page"/>
      </w:r>
      <w:r w:rsidR="0098785A" w:rsidRPr="00C77471">
        <w:rPr>
          <w:rFonts w:ascii="Book Antiqua" w:hAnsi="Book Antiqua"/>
          <w:b/>
        </w:rPr>
        <w:lastRenderedPageBreak/>
        <w:t>Table 1 Recommended management and evidence level in current guidelines for asymptomatic common bile duct stones</w:t>
      </w:r>
    </w:p>
    <w:tbl>
      <w:tblPr>
        <w:tblW w:w="9597" w:type="dxa"/>
        <w:tblInd w:w="-142" w:type="dxa"/>
        <w:tblCellMar>
          <w:left w:w="99" w:type="dxa"/>
          <w:right w:w="99" w:type="dxa"/>
        </w:tblCellMar>
        <w:tblLook w:val="04A0" w:firstRow="1" w:lastRow="0" w:firstColumn="1" w:lastColumn="0" w:noHBand="0" w:noVBand="1"/>
      </w:tblPr>
      <w:tblGrid>
        <w:gridCol w:w="1348"/>
        <w:gridCol w:w="8249"/>
      </w:tblGrid>
      <w:tr w:rsidR="00C77471" w:rsidRPr="00C77471" w14:paraId="63172BEF" w14:textId="77777777" w:rsidTr="00F65544">
        <w:trPr>
          <w:trHeight w:val="510"/>
        </w:trPr>
        <w:tc>
          <w:tcPr>
            <w:tcW w:w="1348" w:type="dxa"/>
            <w:tcBorders>
              <w:top w:val="single" w:sz="4" w:space="0" w:color="auto"/>
              <w:left w:val="nil"/>
              <w:bottom w:val="single" w:sz="4" w:space="0" w:color="auto"/>
              <w:right w:val="nil"/>
            </w:tcBorders>
            <w:shd w:val="clear" w:color="auto" w:fill="auto"/>
            <w:noWrap/>
            <w:vAlign w:val="center"/>
            <w:hideMark/>
          </w:tcPr>
          <w:p w14:paraId="13248DC2" w14:textId="77777777" w:rsidR="0098785A" w:rsidRPr="00C77471" w:rsidRDefault="0098785A" w:rsidP="003F1A36">
            <w:pPr>
              <w:spacing w:line="360" w:lineRule="auto"/>
              <w:rPr>
                <w:rFonts w:ascii="Book Antiqua" w:hAnsi="Book Antiqua"/>
                <w:b/>
              </w:rPr>
            </w:pPr>
            <w:r w:rsidRPr="00C77471">
              <w:rPr>
                <w:rFonts w:ascii="Book Antiqua" w:hAnsi="Book Antiqua"/>
                <w:b/>
              </w:rPr>
              <w:t>Guideline</w:t>
            </w:r>
          </w:p>
        </w:tc>
        <w:tc>
          <w:tcPr>
            <w:tcW w:w="8249" w:type="dxa"/>
            <w:tcBorders>
              <w:top w:val="single" w:sz="4" w:space="0" w:color="auto"/>
              <w:left w:val="nil"/>
              <w:bottom w:val="single" w:sz="4" w:space="0" w:color="auto"/>
              <w:right w:val="nil"/>
            </w:tcBorders>
            <w:shd w:val="clear" w:color="auto" w:fill="auto"/>
            <w:noWrap/>
            <w:vAlign w:val="center"/>
            <w:hideMark/>
          </w:tcPr>
          <w:p w14:paraId="7C5EFCDA" w14:textId="77777777" w:rsidR="0098785A" w:rsidRPr="00C77471" w:rsidRDefault="0098785A" w:rsidP="00E04E39">
            <w:pPr>
              <w:spacing w:line="360" w:lineRule="auto"/>
              <w:jc w:val="both"/>
              <w:rPr>
                <w:rFonts w:ascii="Book Antiqua" w:hAnsi="Book Antiqua"/>
                <w:b/>
              </w:rPr>
            </w:pPr>
            <w:r w:rsidRPr="00C77471">
              <w:rPr>
                <w:rFonts w:ascii="Book Antiqua" w:hAnsi="Book Antiqua"/>
                <w:b/>
              </w:rPr>
              <w:t>Recommendation</w:t>
            </w:r>
          </w:p>
        </w:tc>
      </w:tr>
      <w:tr w:rsidR="00C77471" w:rsidRPr="00C77471" w14:paraId="3DEBE55A" w14:textId="77777777" w:rsidTr="00F65544">
        <w:trPr>
          <w:trHeight w:val="811"/>
        </w:trPr>
        <w:tc>
          <w:tcPr>
            <w:tcW w:w="1348" w:type="dxa"/>
            <w:tcBorders>
              <w:top w:val="nil"/>
              <w:left w:val="nil"/>
              <w:bottom w:val="nil"/>
              <w:right w:val="nil"/>
            </w:tcBorders>
            <w:shd w:val="clear" w:color="auto" w:fill="auto"/>
            <w:noWrap/>
            <w:vAlign w:val="center"/>
            <w:hideMark/>
          </w:tcPr>
          <w:p w14:paraId="0AFD49AB" w14:textId="77777777" w:rsidR="0098785A" w:rsidRPr="00C77471" w:rsidRDefault="0098785A" w:rsidP="003F1A36">
            <w:pPr>
              <w:spacing w:line="360" w:lineRule="auto"/>
              <w:rPr>
                <w:rFonts w:ascii="Book Antiqua" w:hAnsi="Book Antiqua"/>
              </w:rPr>
            </w:pPr>
            <w:r w:rsidRPr="00C77471">
              <w:rPr>
                <w:rFonts w:ascii="Book Antiqua" w:hAnsi="Book Antiqua"/>
              </w:rPr>
              <w:t>ESGE</w:t>
            </w:r>
            <w:r w:rsidRPr="00C77471">
              <w:rPr>
                <w:rFonts w:ascii="Book Antiqua" w:hAnsi="Book Antiqua"/>
                <w:vertAlign w:val="superscript"/>
              </w:rPr>
              <w:t>[1]</w:t>
            </w:r>
          </w:p>
        </w:tc>
        <w:tc>
          <w:tcPr>
            <w:tcW w:w="8249" w:type="dxa"/>
            <w:tcBorders>
              <w:top w:val="nil"/>
              <w:left w:val="nil"/>
              <w:bottom w:val="nil"/>
              <w:right w:val="nil"/>
            </w:tcBorders>
            <w:shd w:val="clear" w:color="auto" w:fill="auto"/>
            <w:noWrap/>
            <w:vAlign w:val="center"/>
            <w:hideMark/>
          </w:tcPr>
          <w:p w14:paraId="31FFD06E" w14:textId="77777777" w:rsidR="0098785A" w:rsidRPr="00C77471" w:rsidRDefault="0098785A" w:rsidP="00E04E39">
            <w:pPr>
              <w:spacing w:line="360" w:lineRule="auto"/>
              <w:jc w:val="both"/>
              <w:rPr>
                <w:rFonts w:ascii="Book Antiqua" w:hAnsi="Book Antiqua"/>
              </w:rPr>
            </w:pPr>
            <w:r w:rsidRPr="00C77471">
              <w:rPr>
                <w:rFonts w:ascii="Book Antiqua" w:hAnsi="Book Antiqua"/>
              </w:rPr>
              <w:t xml:space="preserve">ESGE recommends stone extraction in all patients with CBDS, regardless of being symptomatic or not, who are fit enough to tolerate the intervention. </w:t>
            </w:r>
            <w:r w:rsidRPr="00C77471">
              <w:rPr>
                <w:rFonts w:ascii="Book Antiqua" w:hAnsi="Book Antiqua"/>
                <w:bCs/>
              </w:rPr>
              <w:t>(</w:t>
            </w:r>
            <w:r w:rsidRPr="00C77471">
              <w:rPr>
                <w:rFonts w:ascii="Book Antiqua" w:hAnsi="Book Antiqua"/>
              </w:rPr>
              <w:t>Strong recommendation, low quality evidence</w:t>
            </w:r>
            <w:r w:rsidRPr="00C77471">
              <w:rPr>
                <w:rFonts w:ascii="Book Antiqua" w:hAnsi="Book Antiqua"/>
                <w:bCs/>
              </w:rPr>
              <w:t>)</w:t>
            </w:r>
          </w:p>
        </w:tc>
      </w:tr>
      <w:tr w:rsidR="00C77471" w:rsidRPr="00C77471" w14:paraId="477DFF63" w14:textId="77777777" w:rsidTr="00F65544">
        <w:trPr>
          <w:trHeight w:val="811"/>
        </w:trPr>
        <w:tc>
          <w:tcPr>
            <w:tcW w:w="1348" w:type="dxa"/>
            <w:tcBorders>
              <w:top w:val="nil"/>
              <w:left w:val="nil"/>
              <w:bottom w:val="nil"/>
              <w:right w:val="nil"/>
            </w:tcBorders>
            <w:shd w:val="clear" w:color="auto" w:fill="auto"/>
            <w:noWrap/>
            <w:vAlign w:val="center"/>
            <w:hideMark/>
          </w:tcPr>
          <w:p w14:paraId="1DCA7BEC" w14:textId="77777777" w:rsidR="0098785A" w:rsidRPr="00C77471" w:rsidRDefault="0098785A" w:rsidP="003F1A36">
            <w:pPr>
              <w:spacing w:line="360" w:lineRule="auto"/>
              <w:rPr>
                <w:rFonts w:ascii="Book Antiqua" w:hAnsi="Book Antiqua"/>
              </w:rPr>
            </w:pPr>
            <w:r w:rsidRPr="00C77471">
              <w:rPr>
                <w:rFonts w:ascii="Book Antiqua" w:hAnsi="Book Antiqua"/>
              </w:rPr>
              <w:t>BSG</w:t>
            </w:r>
            <w:r w:rsidRPr="00C77471">
              <w:rPr>
                <w:rFonts w:ascii="Book Antiqua" w:hAnsi="Book Antiqua"/>
                <w:vertAlign w:val="superscript"/>
              </w:rPr>
              <w:t>[3]</w:t>
            </w:r>
          </w:p>
        </w:tc>
        <w:tc>
          <w:tcPr>
            <w:tcW w:w="8249" w:type="dxa"/>
            <w:tcBorders>
              <w:top w:val="nil"/>
              <w:left w:val="nil"/>
              <w:bottom w:val="nil"/>
              <w:right w:val="nil"/>
            </w:tcBorders>
            <w:shd w:val="clear" w:color="auto" w:fill="auto"/>
            <w:noWrap/>
            <w:vAlign w:val="center"/>
            <w:hideMark/>
          </w:tcPr>
          <w:p w14:paraId="7C00D87C" w14:textId="339DE5EC" w:rsidR="0098785A" w:rsidRPr="00C77471" w:rsidRDefault="0098785A" w:rsidP="00E04E39">
            <w:pPr>
              <w:spacing w:line="360" w:lineRule="auto"/>
              <w:jc w:val="both"/>
              <w:rPr>
                <w:rFonts w:ascii="Book Antiqua" w:hAnsi="Book Antiqua"/>
                <w:bCs/>
              </w:rPr>
            </w:pPr>
            <w:r w:rsidRPr="00C77471">
              <w:rPr>
                <w:rFonts w:ascii="Book Antiqua" w:hAnsi="Book Antiqua"/>
              </w:rPr>
              <w:t>Stone extraction is recommended in patients diagnosed with CBDS if possible. Evidence of benefit of stone extraction is greatest for symptomatic patients (</w:t>
            </w:r>
            <w:r w:rsidR="00635E54">
              <w:rPr>
                <w:rFonts w:ascii="Book Antiqua" w:hAnsi="Book Antiqua"/>
              </w:rPr>
              <w:t>L</w:t>
            </w:r>
            <w:r w:rsidRPr="00C77471">
              <w:rPr>
                <w:rFonts w:ascii="Book Antiqua" w:hAnsi="Book Antiqua"/>
              </w:rPr>
              <w:t xml:space="preserve">ow quality evidence; strong recommendation) </w:t>
            </w:r>
          </w:p>
        </w:tc>
      </w:tr>
      <w:tr w:rsidR="00C77471" w:rsidRPr="00C77471" w14:paraId="1C245C1F" w14:textId="77777777" w:rsidTr="00F65544">
        <w:trPr>
          <w:trHeight w:val="811"/>
        </w:trPr>
        <w:tc>
          <w:tcPr>
            <w:tcW w:w="1348" w:type="dxa"/>
            <w:tcBorders>
              <w:top w:val="nil"/>
              <w:left w:val="nil"/>
              <w:right w:val="nil"/>
            </w:tcBorders>
            <w:shd w:val="clear" w:color="auto" w:fill="auto"/>
            <w:noWrap/>
            <w:vAlign w:val="center"/>
          </w:tcPr>
          <w:p w14:paraId="47BB59FF" w14:textId="77777777" w:rsidR="0098785A" w:rsidRPr="00C77471" w:rsidRDefault="0098785A" w:rsidP="003F1A36">
            <w:pPr>
              <w:spacing w:line="360" w:lineRule="auto"/>
              <w:rPr>
                <w:rFonts w:ascii="Book Antiqua" w:hAnsi="Book Antiqua"/>
              </w:rPr>
            </w:pPr>
            <w:r w:rsidRPr="00C77471">
              <w:rPr>
                <w:rFonts w:ascii="Book Antiqua" w:hAnsi="Book Antiqua"/>
              </w:rPr>
              <w:t>JGES</w:t>
            </w:r>
            <w:r w:rsidRPr="00C77471">
              <w:rPr>
                <w:rFonts w:ascii="Book Antiqua" w:hAnsi="Book Antiqua"/>
                <w:vertAlign w:val="superscript"/>
              </w:rPr>
              <w:t>[4]</w:t>
            </w:r>
          </w:p>
        </w:tc>
        <w:tc>
          <w:tcPr>
            <w:tcW w:w="8249" w:type="dxa"/>
            <w:tcBorders>
              <w:top w:val="nil"/>
              <w:left w:val="nil"/>
              <w:right w:val="nil"/>
            </w:tcBorders>
            <w:shd w:val="clear" w:color="auto" w:fill="auto"/>
            <w:noWrap/>
            <w:vAlign w:val="center"/>
          </w:tcPr>
          <w:p w14:paraId="79786E17" w14:textId="77777777" w:rsidR="0098785A" w:rsidRPr="00C77471" w:rsidRDefault="0098785A" w:rsidP="00E04E39">
            <w:pPr>
              <w:spacing w:line="360" w:lineRule="auto"/>
              <w:jc w:val="both"/>
              <w:rPr>
                <w:rFonts w:ascii="Book Antiqua" w:hAnsi="Book Antiqua"/>
                <w:bCs/>
              </w:rPr>
            </w:pPr>
            <w:r w:rsidRPr="00C77471">
              <w:rPr>
                <w:rFonts w:ascii="Book Antiqua" w:hAnsi="Book Antiqua"/>
              </w:rPr>
              <w:t>Asymptomatic choledocholithiasis should be treated because of a risk of developing biliary complications.</w:t>
            </w:r>
            <w:r w:rsidR="00046A7A" w:rsidRPr="00C77471">
              <w:rPr>
                <w:rFonts w:ascii="Book Antiqua" w:hAnsi="Book Antiqua" w:hint="eastAsia"/>
                <w:bCs/>
                <w:lang w:eastAsia="zh-CN"/>
              </w:rPr>
              <w:t xml:space="preserve"> </w:t>
            </w:r>
            <w:r w:rsidRPr="00C77471">
              <w:rPr>
                <w:rFonts w:ascii="Book Antiqua" w:hAnsi="Book Antiqua"/>
                <w:bCs/>
              </w:rPr>
              <w:t>[Evidence level: A;</w:t>
            </w:r>
            <w:r w:rsidRPr="00C77471">
              <w:rPr>
                <w:rFonts w:ascii="Book Antiqua" w:hAnsi="Book Antiqua"/>
              </w:rPr>
              <w:t xml:space="preserve"> Strength of recommendation (agreement rate): 2 (100</w:t>
            </w:r>
            <w:r w:rsidRPr="00C77471">
              <w:rPr>
                <w:rFonts w:ascii="Book Antiqua" w:hAnsi="Book Antiqua"/>
                <w:bCs/>
              </w:rPr>
              <w:t>%)]</w:t>
            </w:r>
          </w:p>
        </w:tc>
      </w:tr>
      <w:tr w:rsidR="00C77471" w:rsidRPr="00C77471" w14:paraId="013A66A1" w14:textId="77777777" w:rsidTr="00F65544">
        <w:trPr>
          <w:trHeight w:val="811"/>
        </w:trPr>
        <w:tc>
          <w:tcPr>
            <w:tcW w:w="1348" w:type="dxa"/>
            <w:tcBorders>
              <w:left w:val="nil"/>
              <w:bottom w:val="single" w:sz="4" w:space="0" w:color="auto"/>
              <w:right w:val="nil"/>
            </w:tcBorders>
            <w:shd w:val="clear" w:color="auto" w:fill="auto"/>
            <w:noWrap/>
            <w:vAlign w:val="center"/>
            <w:hideMark/>
          </w:tcPr>
          <w:p w14:paraId="39EEDD2A" w14:textId="0AE51A4B" w:rsidR="0098785A" w:rsidRPr="00C77471" w:rsidRDefault="0098785A" w:rsidP="003F1A36">
            <w:pPr>
              <w:spacing w:line="360" w:lineRule="auto"/>
              <w:rPr>
                <w:rFonts w:ascii="Book Antiqua" w:hAnsi="Book Antiqua"/>
              </w:rPr>
            </w:pPr>
            <w:proofErr w:type="gramStart"/>
            <w:r w:rsidRPr="00C77471">
              <w:rPr>
                <w:rFonts w:ascii="Book Antiqua" w:hAnsi="Book Antiqua"/>
              </w:rPr>
              <w:t>ASGE</w:t>
            </w:r>
            <w:r w:rsidRPr="00C77471">
              <w:rPr>
                <w:rFonts w:ascii="Book Antiqua" w:hAnsi="Book Antiqua"/>
                <w:vertAlign w:val="superscript"/>
              </w:rPr>
              <w:t>[</w:t>
            </w:r>
            <w:proofErr w:type="gramEnd"/>
            <w:r w:rsidRPr="00C77471">
              <w:rPr>
                <w:rFonts w:ascii="Book Antiqua" w:hAnsi="Book Antiqua"/>
                <w:vertAlign w:val="superscript"/>
              </w:rPr>
              <w:t>5]</w:t>
            </w:r>
          </w:p>
        </w:tc>
        <w:tc>
          <w:tcPr>
            <w:tcW w:w="8249" w:type="dxa"/>
            <w:tcBorders>
              <w:left w:val="nil"/>
              <w:bottom w:val="single" w:sz="4" w:space="0" w:color="auto"/>
              <w:right w:val="nil"/>
            </w:tcBorders>
            <w:shd w:val="clear" w:color="auto" w:fill="auto"/>
            <w:noWrap/>
            <w:vAlign w:val="center"/>
            <w:hideMark/>
          </w:tcPr>
          <w:p w14:paraId="1BA76E2D" w14:textId="2C450085" w:rsidR="0098785A" w:rsidRPr="00C77471" w:rsidRDefault="0098785A" w:rsidP="00E04E39">
            <w:pPr>
              <w:spacing w:line="360" w:lineRule="auto"/>
              <w:jc w:val="both"/>
              <w:rPr>
                <w:rFonts w:ascii="Book Antiqua" w:hAnsi="Book Antiqua"/>
                <w:bCs/>
              </w:rPr>
            </w:pPr>
            <w:r w:rsidRPr="00C77471">
              <w:rPr>
                <w:rFonts w:ascii="Book Antiqua" w:hAnsi="Book Antiqua"/>
              </w:rPr>
              <w:t>CBDS should be treated if detected regardless of the presence or absence of significant mitigating clinical circumstances (</w:t>
            </w:r>
            <w:r w:rsidR="00635E54">
              <w:rPr>
                <w:rFonts w:ascii="Book Antiqua" w:hAnsi="Book Antiqua"/>
              </w:rPr>
              <w:t>M</w:t>
            </w:r>
            <w:r w:rsidRPr="00C77471">
              <w:rPr>
                <w:rFonts w:ascii="Book Antiqua" w:hAnsi="Book Antiqua"/>
              </w:rPr>
              <w:t>oderate quality)</w:t>
            </w:r>
          </w:p>
        </w:tc>
      </w:tr>
    </w:tbl>
    <w:p w14:paraId="387FDD65" w14:textId="77777777" w:rsidR="00F65544" w:rsidRPr="00C77471" w:rsidRDefault="00F65544">
      <w:pPr>
        <w:spacing w:line="360" w:lineRule="auto"/>
        <w:jc w:val="both"/>
        <w:rPr>
          <w:rFonts w:ascii="Book Antiqua" w:hAnsi="Book Antiqua"/>
          <w:shd w:val="clear" w:color="auto" w:fill="FFFFFF"/>
        </w:rPr>
      </w:pPr>
      <w:r w:rsidRPr="00C77471">
        <w:rPr>
          <w:rFonts w:ascii="Book Antiqua" w:hAnsi="Book Antiqua"/>
          <w:bCs/>
        </w:rPr>
        <w:t>CBDS</w:t>
      </w:r>
      <w:r w:rsidRPr="00C77471">
        <w:rPr>
          <w:rFonts w:ascii="Book Antiqua" w:hAnsi="Book Antiqua"/>
        </w:rPr>
        <w:t xml:space="preserve">: </w:t>
      </w:r>
      <w:r w:rsidRPr="00C77471">
        <w:rPr>
          <w:rFonts w:ascii="Book Antiqua" w:hAnsi="Book Antiqua"/>
          <w:caps/>
        </w:rPr>
        <w:t>c</w:t>
      </w:r>
      <w:r w:rsidRPr="00C77471">
        <w:rPr>
          <w:rFonts w:ascii="Book Antiqua" w:hAnsi="Book Antiqua"/>
        </w:rPr>
        <w:t>ommon bile duct</w:t>
      </w:r>
      <w:r w:rsidRPr="00C77471">
        <w:rPr>
          <w:rFonts w:ascii="Book Antiqua" w:hAnsi="Book Antiqua"/>
          <w:bCs/>
        </w:rPr>
        <w:t xml:space="preserve"> stones</w:t>
      </w:r>
      <w:r w:rsidRPr="00C77471">
        <w:rPr>
          <w:rFonts w:ascii="Book Antiqua" w:hAnsi="Book Antiqua"/>
        </w:rPr>
        <w:t xml:space="preserve">; ESGE: European Society of Gastrointestinal Endoscopy; BSG: The British Society of Gastroenterology; ASGE: American Society for Gastrointestinal Endoscopy; JSGE: </w:t>
      </w:r>
      <w:r w:rsidRPr="00C77471">
        <w:rPr>
          <w:rFonts w:ascii="Book Antiqua" w:hAnsi="Book Antiqua"/>
          <w:shd w:val="clear" w:color="auto" w:fill="FFFFFF"/>
        </w:rPr>
        <w:t>The Japanese Society of Gastroenterology</w:t>
      </w:r>
      <w:r w:rsidR="00576779" w:rsidRPr="00C77471">
        <w:rPr>
          <w:rFonts w:ascii="Book Antiqua" w:hAnsi="Book Antiqua"/>
          <w:shd w:val="clear" w:color="auto" w:fill="FFFFFF"/>
        </w:rPr>
        <w:t>.</w:t>
      </w:r>
    </w:p>
    <w:p w14:paraId="1C5D3A4B" w14:textId="095EBF87" w:rsidR="000417DE" w:rsidRPr="00C77471" w:rsidRDefault="000417DE">
      <w:pPr>
        <w:spacing w:line="360" w:lineRule="auto"/>
        <w:jc w:val="both"/>
        <w:rPr>
          <w:rFonts w:ascii="Book Antiqua" w:hAnsi="Book Antiqua"/>
          <w:b/>
          <w:shd w:val="clear" w:color="auto" w:fill="FFFFFF"/>
        </w:rPr>
      </w:pPr>
      <w:r w:rsidRPr="00C77471">
        <w:rPr>
          <w:rFonts w:ascii="Book Antiqua" w:hAnsi="Book Antiqua"/>
          <w:shd w:val="clear" w:color="auto" w:fill="FFFFFF"/>
        </w:rPr>
        <w:br w:type="page"/>
      </w:r>
      <w:r w:rsidRPr="00C77471">
        <w:rPr>
          <w:rFonts w:ascii="Book Antiqua" w:hAnsi="Book Antiqua"/>
          <w:b/>
        </w:rPr>
        <w:lastRenderedPageBreak/>
        <w:t xml:space="preserve">Table 2 Summary of studies comparing the risks of </w:t>
      </w:r>
      <w:r w:rsidR="00825702" w:rsidRPr="00825702">
        <w:rPr>
          <w:rFonts w:ascii="Book Antiqua" w:hAnsi="Book Antiqua"/>
          <w:b/>
        </w:rPr>
        <w:t>endoscopic retrograde cholangiopancreatography</w:t>
      </w:r>
      <w:r w:rsidRPr="00C77471">
        <w:rPr>
          <w:rFonts w:ascii="Book Antiqua" w:hAnsi="Book Antiqua"/>
          <w:b/>
        </w:rPr>
        <w:t xml:space="preserve">-related complications for asymptomatic and symptomatic patients with </w:t>
      </w:r>
      <w:r w:rsidRPr="00C77471">
        <w:rPr>
          <w:rFonts w:ascii="Book Antiqua" w:hAnsi="Book Antiqua"/>
          <w:b/>
          <w:bCs/>
        </w:rPr>
        <w:t>common bile duct</w:t>
      </w:r>
      <w:r w:rsidRPr="00C77471">
        <w:rPr>
          <w:rFonts w:ascii="Book Antiqua" w:hAnsi="Book Antiqua"/>
          <w:b/>
        </w:rPr>
        <w:t xml:space="preserve"> stones</w:t>
      </w:r>
    </w:p>
    <w:tbl>
      <w:tblPr>
        <w:tblW w:w="11625" w:type="dxa"/>
        <w:tblInd w:w="-894"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093"/>
        <w:gridCol w:w="1877"/>
        <w:gridCol w:w="1276"/>
        <w:gridCol w:w="1276"/>
        <w:gridCol w:w="1275"/>
        <w:gridCol w:w="1276"/>
        <w:gridCol w:w="1276"/>
        <w:gridCol w:w="1276"/>
      </w:tblGrid>
      <w:tr w:rsidR="00C77471" w:rsidRPr="00C77471" w14:paraId="601077C9" w14:textId="77777777" w:rsidTr="00EB3724">
        <w:trPr>
          <w:trHeight w:val="325"/>
        </w:trPr>
        <w:tc>
          <w:tcPr>
            <w:tcW w:w="2093" w:type="dxa"/>
            <w:vMerge w:val="restart"/>
            <w:tcBorders>
              <w:top w:val="single" w:sz="4" w:space="0" w:color="auto"/>
              <w:bottom w:val="nil"/>
            </w:tcBorders>
            <w:noWrap/>
            <w:hideMark/>
          </w:tcPr>
          <w:p w14:paraId="3F9222F1" w14:textId="77777777" w:rsidR="000417DE" w:rsidRPr="00C77471" w:rsidRDefault="000417DE" w:rsidP="000417DE">
            <w:pPr>
              <w:spacing w:line="360" w:lineRule="auto"/>
              <w:jc w:val="both"/>
              <w:rPr>
                <w:rFonts w:ascii="Book Antiqua" w:hAnsi="Book Antiqua"/>
                <w:b/>
              </w:rPr>
            </w:pPr>
            <w:r w:rsidRPr="00C77471">
              <w:rPr>
                <w:rFonts w:ascii="Book Antiqua" w:hAnsi="Book Antiqua"/>
                <w:b/>
              </w:rPr>
              <w:t>Ref.</w:t>
            </w:r>
          </w:p>
        </w:tc>
        <w:tc>
          <w:tcPr>
            <w:tcW w:w="1877" w:type="dxa"/>
            <w:vMerge w:val="restart"/>
            <w:tcBorders>
              <w:top w:val="single" w:sz="4" w:space="0" w:color="auto"/>
              <w:bottom w:val="nil"/>
            </w:tcBorders>
            <w:noWrap/>
            <w:hideMark/>
          </w:tcPr>
          <w:p w14:paraId="64534D44" w14:textId="77777777" w:rsidR="000417DE" w:rsidRPr="00C77471" w:rsidRDefault="000417DE" w:rsidP="000417DE">
            <w:pPr>
              <w:spacing w:line="360" w:lineRule="auto"/>
              <w:jc w:val="both"/>
              <w:rPr>
                <w:rFonts w:ascii="Book Antiqua" w:hAnsi="Book Antiqua"/>
                <w:b/>
              </w:rPr>
            </w:pPr>
            <w:r w:rsidRPr="00C77471">
              <w:rPr>
                <w:rFonts w:ascii="Book Antiqua" w:hAnsi="Book Antiqua"/>
                <w:b/>
                <w:bCs/>
              </w:rPr>
              <w:t>Study</w:t>
            </w:r>
            <w:r w:rsidRPr="00C77471">
              <w:rPr>
                <w:rFonts w:ascii="Book Antiqua" w:hAnsi="Book Antiqua"/>
                <w:b/>
              </w:rPr>
              <w:t xml:space="preserve"> design </w:t>
            </w:r>
          </w:p>
        </w:tc>
        <w:tc>
          <w:tcPr>
            <w:tcW w:w="2552" w:type="dxa"/>
            <w:gridSpan w:val="2"/>
            <w:tcBorders>
              <w:top w:val="single" w:sz="4" w:space="0" w:color="auto"/>
              <w:bottom w:val="single" w:sz="4" w:space="0" w:color="auto"/>
            </w:tcBorders>
            <w:hideMark/>
          </w:tcPr>
          <w:p w14:paraId="6AC8221C" w14:textId="77777777" w:rsidR="000417DE" w:rsidRPr="00C77471" w:rsidRDefault="000417DE" w:rsidP="000417DE">
            <w:pPr>
              <w:spacing w:line="360" w:lineRule="auto"/>
              <w:jc w:val="both"/>
              <w:rPr>
                <w:rFonts w:ascii="Book Antiqua" w:hAnsi="Book Antiqua"/>
                <w:b/>
              </w:rPr>
            </w:pPr>
            <w:r w:rsidRPr="00C77471">
              <w:rPr>
                <w:rFonts w:ascii="Book Antiqua" w:hAnsi="Book Antiqua"/>
                <w:b/>
                <w:bCs/>
              </w:rPr>
              <w:t xml:space="preserve">Patients, </w:t>
            </w:r>
            <w:r w:rsidRPr="00C77471">
              <w:rPr>
                <w:rFonts w:ascii="Book Antiqua" w:hAnsi="Book Antiqua"/>
                <w:b/>
                <w:bCs/>
                <w:i/>
              </w:rPr>
              <w:t>n</w:t>
            </w:r>
          </w:p>
        </w:tc>
        <w:tc>
          <w:tcPr>
            <w:tcW w:w="2551" w:type="dxa"/>
            <w:gridSpan w:val="2"/>
            <w:tcBorders>
              <w:top w:val="single" w:sz="4" w:space="0" w:color="auto"/>
              <w:bottom w:val="single" w:sz="4" w:space="0" w:color="auto"/>
            </w:tcBorders>
            <w:hideMark/>
          </w:tcPr>
          <w:p w14:paraId="1AD18868" w14:textId="77777777" w:rsidR="000417DE" w:rsidRPr="00C77471" w:rsidRDefault="000417DE" w:rsidP="000417DE">
            <w:pPr>
              <w:spacing w:line="360" w:lineRule="auto"/>
              <w:jc w:val="both"/>
              <w:rPr>
                <w:rFonts w:ascii="Book Antiqua" w:hAnsi="Book Antiqua"/>
                <w:b/>
              </w:rPr>
            </w:pPr>
            <w:r w:rsidRPr="00C77471">
              <w:rPr>
                <w:rFonts w:ascii="Book Antiqua" w:hAnsi="Book Antiqua"/>
                <w:b/>
                <w:bCs/>
              </w:rPr>
              <w:t>Overall</w:t>
            </w:r>
            <w:r w:rsidR="009F0B98" w:rsidRPr="00C77471">
              <w:rPr>
                <w:rFonts w:ascii="Book Antiqua" w:hAnsi="Book Antiqua"/>
                <w:b/>
              </w:rPr>
              <w:t>, complications</w:t>
            </w:r>
            <w:r w:rsidR="009F0B98" w:rsidRPr="00C77471">
              <w:rPr>
                <w:rFonts w:ascii="Book Antiqua" w:hAnsi="Book Antiqua"/>
                <w:b/>
                <w:bCs/>
              </w:rPr>
              <w:t xml:space="preserve"> (%)</w:t>
            </w:r>
          </w:p>
        </w:tc>
        <w:tc>
          <w:tcPr>
            <w:tcW w:w="2552" w:type="dxa"/>
            <w:gridSpan w:val="2"/>
            <w:tcBorders>
              <w:top w:val="single" w:sz="4" w:space="0" w:color="auto"/>
              <w:bottom w:val="single" w:sz="4" w:space="0" w:color="auto"/>
            </w:tcBorders>
            <w:hideMark/>
          </w:tcPr>
          <w:p w14:paraId="736AB78C" w14:textId="77777777" w:rsidR="000417DE" w:rsidRPr="00C77471" w:rsidRDefault="000417DE" w:rsidP="000417DE">
            <w:pPr>
              <w:spacing w:line="360" w:lineRule="auto"/>
              <w:jc w:val="both"/>
              <w:rPr>
                <w:rFonts w:ascii="Book Antiqua" w:hAnsi="Book Antiqua"/>
                <w:b/>
              </w:rPr>
            </w:pPr>
            <w:r w:rsidRPr="00C77471">
              <w:rPr>
                <w:rFonts w:ascii="Book Antiqua" w:hAnsi="Book Antiqua"/>
                <w:b/>
              </w:rPr>
              <w:t>PEP</w:t>
            </w:r>
            <w:r w:rsidRPr="00C77471">
              <w:rPr>
                <w:rFonts w:ascii="Book Antiqua" w:hAnsi="Book Antiqua"/>
                <w:b/>
                <w:bCs/>
              </w:rPr>
              <w:t xml:space="preserve"> (%)</w:t>
            </w:r>
          </w:p>
        </w:tc>
      </w:tr>
      <w:tr w:rsidR="00C77471" w:rsidRPr="00C77471" w14:paraId="6A942553" w14:textId="77777777" w:rsidTr="00EB3724">
        <w:trPr>
          <w:trHeight w:val="1361"/>
        </w:trPr>
        <w:tc>
          <w:tcPr>
            <w:tcW w:w="2093" w:type="dxa"/>
            <w:vMerge/>
            <w:tcBorders>
              <w:top w:val="nil"/>
              <w:bottom w:val="single" w:sz="4" w:space="0" w:color="auto"/>
            </w:tcBorders>
            <w:noWrap/>
          </w:tcPr>
          <w:p w14:paraId="72D032A8" w14:textId="77777777" w:rsidR="006101AC" w:rsidRPr="00C77471" w:rsidRDefault="006101AC" w:rsidP="000417DE">
            <w:pPr>
              <w:spacing w:line="360" w:lineRule="auto"/>
              <w:jc w:val="both"/>
              <w:rPr>
                <w:rFonts w:ascii="Book Antiqua" w:hAnsi="Book Antiqua"/>
                <w:b/>
              </w:rPr>
            </w:pPr>
          </w:p>
        </w:tc>
        <w:tc>
          <w:tcPr>
            <w:tcW w:w="1877" w:type="dxa"/>
            <w:vMerge/>
            <w:tcBorders>
              <w:top w:val="nil"/>
              <w:bottom w:val="single" w:sz="4" w:space="0" w:color="auto"/>
            </w:tcBorders>
            <w:noWrap/>
          </w:tcPr>
          <w:p w14:paraId="383452AA" w14:textId="77777777" w:rsidR="006101AC" w:rsidRPr="00C77471" w:rsidRDefault="006101AC" w:rsidP="000417DE">
            <w:pPr>
              <w:spacing w:line="360" w:lineRule="auto"/>
              <w:jc w:val="both"/>
              <w:rPr>
                <w:rFonts w:ascii="Book Antiqua" w:hAnsi="Book Antiqua"/>
                <w:b/>
                <w:bCs/>
              </w:rPr>
            </w:pPr>
          </w:p>
        </w:tc>
        <w:tc>
          <w:tcPr>
            <w:tcW w:w="1276" w:type="dxa"/>
            <w:tcBorders>
              <w:top w:val="single" w:sz="4" w:space="0" w:color="auto"/>
              <w:bottom w:val="single" w:sz="4" w:space="0" w:color="auto"/>
            </w:tcBorders>
          </w:tcPr>
          <w:p w14:paraId="4A541282" w14:textId="77777777" w:rsidR="006101AC" w:rsidRPr="00C77471" w:rsidRDefault="006101AC" w:rsidP="009F0B98">
            <w:pPr>
              <w:spacing w:line="360" w:lineRule="auto"/>
              <w:jc w:val="both"/>
              <w:rPr>
                <w:rFonts w:ascii="Book Antiqua" w:hAnsi="Book Antiqua"/>
                <w:b/>
              </w:rPr>
            </w:pPr>
            <w:r w:rsidRPr="00C77471">
              <w:rPr>
                <w:rFonts w:ascii="Book Antiqua" w:hAnsi="Book Antiqua"/>
                <w:b/>
                <w:caps/>
              </w:rPr>
              <w:t>a</w:t>
            </w:r>
            <w:r w:rsidRPr="00C77471">
              <w:rPr>
                <w:rFonts w:ascii="Book Antiqua" w:hAnsi="Book Antiqua"/>
                <w:b/>
              </w:rPr>
              <w:t>symptomatic group</w:t>
            </w:r>
          </w:p>
        </w:tc>
        <w:tc>
          <w:tcPr>
            <w:tcW w:w="1276" w:type="dxa"/>
            <w:tcBorders>
              <w:top w:val="single" w:sz="4" w:space="0" w:color="auto"/>
              <w:bottom w:val="single" w:sz="4" w:space="0" w:color="auto"/>
            </w:tcBorders>
          </w:tcPr>
          <w:p w14:paraId="1656DB66" w14:textId="77777777" w:rsidR="006101AC" w:rsidRPr="00C77471" w:rsidRDefault="006101AC" w:rsidP="000417DE">
            <w:pPr>
              <w:spacing w:line="360" w:lineRule="auto"/>
              <w:jc w:val="both"/>
              <w:rPr>
                <w:rFonts w:ascii="Book Antiqua" w:hAnsi="Book Antiqua"/>
                <w:b/>
                <w:bCs/>
              </w:rPr>
            </w:pPr>
            <w:r w:rsidRPr="00C77471">
              <w:rPr>
                <w:rFonts w:ascii="Book Antiqua" w:hAnsi="Book Antiqua"/>
                <w:b/>
                <w:caps/>
              </w:rPr>
              <w:t>s</w:t>
            </w:r>
            <w:r w:rsidRPr="00C77471">
              <w:rPr>
                <w:rFonts w:ascii="Book Antiqua" w:hAnsi="Book Antiqua"/>
                <w:b/>
              </w:rPr>
              <w:t>ymptomatic group</w:t>
            </w:r>
          </w:p>
        </w:tc>
        <w:tc>
          <w:tcPr>
            <w:tcW w:w="1275" w:type="dxa"/>
            <w:tcBorders>
              <w:top w:val="single" w:sz="4" w:space="0" w:color="auto"/>
              <w:bottom w:val="single" w:sz="4" w:space="0" w:color="auto"/>
            </w:tcBorders>
          </w:tcPr>
          <w:p w14:paraId="1D2B8730" w14:textId="77777777" w:rsidR="006101AC" w:rsidRPr="00C77471" w:rsidRDefault="006101AC" w:rsidP="009F0B98">
            <w:pPr>
              <w:spacing w:line="360" w:lineRule="auto"/>
              <w:jc w:val="both"/>
              <w:rPr>
                <w:rFonts w:ascii="Book Antiqua" w:hAnsi="Book Antiqua"/>
                <w:b/>
                <w:bCs/>
              </w:rPr>
            </w:pPr>
            <w:r w:rsidRPr="00C77471">
              <w:rPr>
                <w:rFonts w:ascii="Book Antiqua" w:hAnsi="Book Antiqua"/>
                <w:b/>
                <w:bCs/>
                <w:caps/>
              </w:rPr>
              <w:t>a</w:t>
            </w:r>
            <w:r w:rsidRPr="00C77471">
              <w:rPr>
                <w:rFonts w:ascii="Book Antiqua" w:hAnsi="Book Antiqua"/>
                <w:b/>
                <w:bCs/>
              </w:rPr>
              <w:t>symptomatic group</w:t>
            </w:r>
          </w:p>
        </w:tc>
        <w:tc>
          <w:tcPr>
            <w:tcW w:w="1276" w:type="dxa"/>
            <w:tcBorders>
              <w:top w:val="single" w:sz="4" w:space="0" w:color="auto"/>
              <w:bottom w:val="single" w:sz="4" w:space="0" w:color="auto"/>
            </w:tcBorders>
          </w:tcPr>
          <w:p w14:paraId="29EDF995" w14:textId="77777777" w:rsidR="006101AC" w:rsidRPr="00C77471" w:rsidRDefault="006101AC" w:rsidP="009F0B98">
            <w:pPr>
              <w:spacing w:line="360" w:lineRule="auto"/>
              <w:jc w:val="both"/>
              <w:rPr>
                <w:rFonts w:ascii="Book Antiqua" w:hAnsi="Book Antiqua"/>
                <w:b/>
                <w:bCs/>
              </w:rPr>
            </w:pPr>
            <w:r w:rsidRPr="00C77471">
              <w:rPr>
                <w:rFonts w:ascii="Book Antiqua" w:hAnsi="Book Antiqua"/>
                <w:b/>
                <w:caps/>
              </w:rPr>
              <w:t>s</w:t>
            </w:r>
            <w:r w:rsidRPr="00C77471">
              <w:rPr>
                <w:rFonts w:ascii="Book Antiqua" w:hAnsi="Book Antiqua"/>
                <w:b/>
              </w:rPr>
              <w:t>ymptomatic group</w:t>
            </w:r>
          </w:p>
        </w:tc>
        <w:tc>
          <w:tcPr>
            <w:tcW w:w="1276" w:type="dxa"/>
            <w:tcBorders>
              <w:top w:val="single" w:sz="4" w:space="0" w:color="auto"/>
              <w:bottom w:val="single" w:sz="4" w:space="0" w:color="auto"/>
            </w:tcBorders>
          </w:tcPr>
          <w:p w14:paraId="298C8500" w14:textId="77777777" w:rsidR="006101AC" w:rsidRPr="00C77471" w:rsidRDefault="006101AC" w:rsidP="006101AC">
            <w:pPr>
              <w:spacing w:line="360" w:lineRule="auto"/>
              <w:jc w:val="both"/>
              <w:rPr>
                <w:rFonts w:ascii="Book Antiqua" w:hAnsi="Book Antiqua"/>
                <w:b/>
              </w:rPr>
            </w:pPr>
            <w:r w:rsidRPr="00C77471">
              <w:rPr>
                <w:rFonts w:ascii="Book Antiqua" w:hAnsi="Book Antiqua"/>
                <w:b/>
                <w:bCs/>
                <w:caps/>
              </w:rPr>
              <w:t>a</w:t>
            </w:r>
            <w:r w:rsidRPr="00C77471">
              <w:rPr>
                <w:rFonts w:ascii="Book Antiqua" w:hAnsi="Book Antiqua"/>
                <w:b/>
                <w:bCs/>
              </w:rPr>
              <w:t>symptomatic group</w:t>
            </w:r>
          </w:p>
        </w:tc>
        <w:tc>
          <w:tcPr>
            <w:tcW w:w="1276" w:type="dxa"/>
            <w:tcBorders>
              <w:top w:val="single" w:sz="4" w:space="0" w:color="auto"/>
              <w:bottom w:val="single" w:sz="4" w:space="0" w:color="auto"/>
            </w:tcBorders>
          </w:tcPr>
          <w:p w14:paraId="0ED70980" w14:textId="77777777" w:rsidR="006101AC" w:rsidRPr="00C77471" w:rsidRDefault="006101AC" w:rsidP="006101AC">
            <w:pPr>
              <w:spacing w:line="360" w:lineRule="auto"/>
              <w:jc w:val="both"/>
              <w:rPr>
                <w:rFonts w:ascii="Book Antiqua" w:hAnsi="Book Antiqua"/>
                <w:b/>
              </w:rPr>
            </w:pPr>
            <w:r w:rsidRPr="00C77471">
              <w:rPr>
                <w:rFonts w:ascii="Book Antiqua" w:hAnsi="Book Antiqua"/>
                <w:b/>
                <w:caps/>
              </w:rPr>
              <w:t>s</w:t>
            </w:r>
            <w:r w:rsidRPr="00C77471">
              <w:rPr>
                <w:rFonts w:ascii="Book Antiqua" w:hAnsi="Book Antiqua"/>
                <w:b/>
              </w:rPr>
              <w:t xml:space="preserve">ymptomatic group </w:t>
            </w:r>
          </w:p>
        </w:tc>
      </w:tr>
      <w:tr w:rsidR="00C77471" w:rsidRPr="00C77471" w14:paraId="2CF43A4A" w14:textId="77777777" w:rsidTr="00EB3724">
        <w:trPr>
          <w:trHeight w:val="920"/>
        </w:trPr>
        <w:tc>
          <w:tcPr>
            <w:tcW w:w="2093" w:type="dxa"/>
            <w:tcBorders>
              <w:top w:val="single" w:sz="4" w:space="0" w:color="auto"/>
            </w:tcBorders>
            <w:noWrap/>
            <w:hideMark/>
          </w:tcPr>
          <w:p w14:paraId="5068D956" w14:textId="77777777" w:rsidR="006B328E" w:rsidRPr="00C77471" w:rsidRDefault="006B328E" w:rsidP="0092067F">
            <w:pPr>
              <w:spacing w:line="360" w:lineRule="auto"/>
              <w:jc w:val="both"/>
              <w:rPr>
                <w:rFonts w:ascii="Book Antiqua" w:hAnsi="Book Antiqua"/>
              </w:rPr>
            </w:pPr>
            <w:r w:rsidRPr="00C77471">
              <w:rPr>
                <w:rFonts w:ascii="Book Antiqua" w:hAnsi="Book Antiqua"/>
              </w:rPr>
              <w:t xml:space="preserve">Kim </w:t>
            </w:r>
            <w:r w:rsidRPr="00C77471">
              <w:rPr>
                <w:rFonts w:ascii="Book Antiqua" w:hAnsi="Book Antiqua"/>
                <w:i/>
              </w:rPr>
              <w:t>et al</w:t>
            </w:r>
            <w:r w:rsidR="0092067F" w:rsidRPr="00C77471">
              <w:rPr>
                <w:rFonts w:ascii="Book Antiqua" w:hAnsi="Book Antiqua"/>
                <w:vertAlign w:val="superscript"/>
              </w:rPr>
              <w:t>[9]</w:t>
            </w:r>
            <w:r w:rsidR="0092067F" w:rsidRPr="00C77471">
              <w:rPr>
                <w:rFonts w:ascii="Book Antiqua" w:hAnsi="Book Antiqua"/>
              </w:rPr>
              <w:t xml:space="preserve">, </w:t>
            </w:r>
            <w:r w:rsidRPr="00C77471">
              <w:rPr>
                <w:rFonts w:ascii="Book Antiqua" w:hAnsi="Book Antiqua"/>
              </w:rPr>
              <w:t>2016</w:t>
            </w:r>
          </w:p>
        </w:tc>
        <w:tc>
          <w:tcPr>
            <w:tcW w:w="1877" w:type="dxa"/>
            <w:tcBorders>
              <w:top w:val="single" w:sz="4" w:space="0" w:color="auto"/>
            </w:tcBorders>
            <w:noWrap/>
            <w:hideMark/>
          </w:tcPr>
          <w:p w14:paraId="61669F91" w14:textId="77777777" w:rsidR="006B328E" w:rsidRPr="00C77471" w:rsidRDefault="006B328E" w:rsidP="000417DE">
            <w:pPr>
              <w:spacing w:line="360" w:lineRule="auto"/>
              <w:jc w:val="both"/>
              <w:rPr>
                <w:rFonts w:ascii="Book Antiqua" w:hAnsi="Book Antiqua"/>
              </w:rPr>
            </w:pPr>
            <w:r w:rsidRPr="00C77471">
              <w:rPr>
                <w:rFonts w:ascii="Book Antiqua" w:hAnsi="Book Antiqua"/>
              </w:rPr>
              <w:t>Single-center retrospective</w:t>
            </w:r>
          </w:p>
        </w:tc>
        <w:tc>
          <w:tcPr>
            <w:tcW w:w="1276" w:type="dxa"/>
            <w:tcBorders>
              <w:top w:val="single" w:sz="4" w:space="0" w:color="auto"/>
            </w:tcBorders>
            <w:hideMark/>
          </w:tcPr>
          <w:p w14:paraId="39046A06" w14:textId="77777777" w:rsidR="006B328E" w:rsidRPr="00C77471" w:rsidRDefault="006B328E" w:rsidP="000417DE">
            <w:pPr>
              <w:spacing w:line="360" w:lineRule="auto"/>
              <w:jc w:val="both"/>
              <w:rPr>
                <w:rFonts w:ascii="Book Antiqua" w:hAnsi="Book Antiqua"/>
              </w:rPr>
            </w:pPr>
            <w:r w:rsidRPr="00C77471">
              <w:rPr>
                <w:rFonts w:ascii="Book Antiqua" w:hAnsi="Book Antiqua"/>
              </w:rPr>
              <w:t>32</w:t>
            </w:r>
          </w:p>
        </w:tc>
        <w:tc>
          <w:tcPr>
            <w:tcW w:w="1276" w:type="dxa"/>
            <w:tcBorders>
              <w:top w:val="single" w:sz="4" w:space="0" w:color="auto"/>
            </w:tcBorders>
          </w:tcPr>
          <w:p w14:paraId="796434AE" w14:textId="77777777" w:rsidR="006B328E" w:rsidRPr="00C77471" w:rsidRDefault="006B328E" w:rsidP="009F0B98">
            <w:pPr>
              <w:spacing w:line="360" w:lineRule="auto"/>
              <w:jc w:val="both"/>
              <w:rPr>
                <w:rFonts w:ascii="Book Antiqua" w:hAnsi="Book Antiqua"/>
              </w:rPr>
            </w:pPr>
            <w:r w:rsidRPr="00C77471">
              <w:rPr>
                <w:rFonts w:ascii="Book Antiqua" w:hAnsi="Book Antiqua"/>
              </w:rPr>
              <w:t>536</w:t>
            </w:r>
          </w:p>
        </w:tc>
        <w:tc>
          <w:tcPr>
            <w:tcW w:w="1275" w:type="dxa"/>
            <w:tcBorders>
              <w:top w:val="single" w:sz="4" w:space="0" w:color="auto"/>
            </w:tcBorders>
            <w:hideMark/>
          </w:tcPr>
          <w:p w14:paraId="1445E283" w14:textId="6E31B38C" w:rsidR="006B328E" w:rsidRPr="00C77471" w:rsidRDefault="006B328E" w:rsidP="000417DE">
            <w:pPr>
              <w:spacing w:line="360" w:lineRule="auto"/>
              <w:jc w:val="both"/>
              <w:rPr>
                <w:rFonts w:ascii="Book Antiqua" w:hAnsi="Book Antiqua"/>
              </w:rPr>
            </w:pPr>
            <w:r w:rsidRPr="00C77471">
              <w:rPr>
                <w:rFonts w:ascii="Book Antiqua" w:hAnsi="Book Antiqua"/>
              </w:rPr>
              <w:t>15.6</w:t>
            </w:r>
          </w:p>
        </w:tc>
        <w:tc>
          <w:tcPr>
            <w:tcW w:w="1276" w:type="dxa"/>
            <w:tcBorders>
              <w:top w:val="single" w:sz="4" w:space="0" w:color="auto"/>
            </w:tcBorders>
          </w:tcPr>
          <w:p w14:paraId="580F7343" w14:textId="611212F7" w:rsidR="006B328E" w:rsidRPr="00C77471" w:rsidRDefault="006B328E" w:rsidP="009F0B98">
            <w:pPr>
              <w:spacing w:line="360" w:lineRule="auto"/>
              <w:jc w:val="both"/>
              <w:rPr>
                <w:rFonts w:ascii="Book Antiqua" w:hAnsi="Book Antiqua"/>
              </w:rPr>
            </w:pPr>
            <w:r w:rsidRPr="00C77471">
              <w:rPr>
                <w:rFonts w:ascii="Book Antiqua" w:hAnsi="Book Antiqua"/>
              </w:rPr>
              <w:t>10.4</w:t>
            </w:r>
          </w:p>
        </w:tc>
        <w:tc>
          <w:tcPr>
            <w:tcW w:w="1276" w:type="dxa"/>
            <w:tcBorders>
              <w:top w:val="single" w:sz="4" w:space="0" w:color="auto"/>
            </w:tcBorders>
            <w:hideMark/>
          </w:tcPr>
          <w:p w14:paraId="63C5A99A" w14:textId="0D6E810C" w:rsidR="006B328E" w:rsidRPr="00C77471" w:rsidRDefault="006B328E" w:rsidP="000417DE">
            <w:pPr>
              <w:spacing w:line="360" w:lineRule="auto"/>
              <w:jc w:val="both"/>
              <w:rPr>
                <w:rFonts w:ascii="Book Antiqua" w:hAnsi="Book Antiqua"/>
              </w:rPr>
            </w:pPr>
            <w:r w:rsidRPr="00C77471">
              <w:rPr>
                <w:rFonts w:ascii="Book Antiqua" w:hAnsi="Book Antiqua"/>
              </w:rPr>
              <w:t>12.5</w:t>
            </w:r>
            <w:r w:rsidRPr="00C77471">
              <w:rPr>
                <w:rFonts w:ascii="Book Antiqua" w:hAnsi="Book Antiqua"/>
                <w:vertAlign w:val="superscript"/>
              </w:rPr>
              <w:t>a</w:t>
            </w:r>
          </w:p>
        </w:tc>
        <w:tc>
          <w:tcPr>
            <w:tcW w:w="1276" w:type="dxa"/>
            <w:tcBorders>
              <w:top w:val="single" w:sz="4" w:space="0" w:color="auto"/>
            </w:tcBorders>
          </w:tcPr>
          <w:p w14:paraId="3108781A" w14:textId="7FADEB6E" w:rsidR="006B328E" w:rsidRPr="00C77471" w:rsidRDefault="006B328E" w:rsidP="006101AC">
            <w:pPr>
              <w:spacing w:line="360" w:lineRule="auto"/>
              <w:jc w:val="both"/>
              <w:rPr>
                <w:rFonts w:ascii="Book Antiqua" w:hAnsi="Book Antiqua"/>
              </w:rPr>
            </w:pPr>
            <w:r w:rsidRPr="00C77471">
              <w:rPr>
                <w:rFonts w:ascii="Book Antiqua" w:hAnsi="Book Antiqua"/>
              </w:rPr>
              <w:t>3.9</w:t>
            </w:r>
          </w:p>
        </w:tc>
      </w:tr>
      <w:tr w:rsidR="00C77471" w:rsidRPr="00C77471" w14:paraId="77DD2F55" w14:textId="77777777" w:rsidTr="00EB3724">
        <w:trPr>
          <w:trHeight w:val="933"/>
        </w:trPr>
        <w:tc>
          <w:tcPr>
            <w:tcW w:w="2093" w:type="dxa"/>
            <w:noWrap/>
            <w:hideMark/>
          </w:tcPr>
          <w:p w14:paraId="306CEF3E" w14:textId="77777777" w:rsidR="006B328E" w:rsidRPr="00C77471" w:rsidRDefault="006B328E" w:rsidP="0092067F">
            <w:pPr>
              <w:spacing w:line="360" w:lineRule="auto"/>
              <w:jc w:val="both"/>
              <w:rPr>
                <w:rFonts w:ascii="Book Antiqua" w:hAnsi="Book Antiqua"/>
              </w:rPr>
            </w:pPr>
            <w:r w:rsidRPr="00C77471">
              <w:rPr>
                <w:rFonts w:ascii="Book Antiqua" w:hAnsi="Book Antiqua"/>
              </w:rPr>
              <w:t xml:space="preserve">Saito </w:t>
            </w:r>
            <w:r w:rsidR="0092067F" w:rsidRPr="00C77471">
              <w:rPr>
                <w:rFonts w:ascii="Book Antiqua" w:hAnsi="Book Antiqua"/>
                <w:i/>
              </w:rPr>
              <w:t>et al</w:t>
            </w:r>
            <w:r w:rsidR="0092067F" w:rsidRPr="00C77471">
              <w:rPr>
                <w:rFonts w:ascii="Book Antiqua" w:hAnsi="Book Antiqua"/>
                <w:vertAlign w:val="superscript"/>
              </w:rPr>
              <w:t>[10]</w:t>
            </w:r>
            <w:r w:rsidR="0092067F" w:rsidRPr="00C77471">
              <w:rPr>
                <w:rFonts w:ascii="Book Antiqua" w:hAnsi="Book Antiqua"/>
              </w:rPr>
              <w:t xml:space="preserve">, </w:t>
            </w:r>
            <w:r w:rsidRPr="00C77471">
              <w:rPr>
                <w:rFonts w:ascii="Book Antiqua" w:hAnsi="Book Antiqua"/>
              </w:rPr>
              <w:t>2017</w:t>
            </w:r>
          </w:p>
        </w:tc>
        <w:tc>
          <w:tcPr>
            <w:tcW w:w="1877" w:type="dxa"/>
            <w:noWrap/>
            <w:hideMark/>
          </w:tcPr>
          <w:p w14:paraId="5E22E681" w14:textId="77777777" w:rsidR="006B328E" w:rsidRPr="00C77471" w:rsidRDefault="006B328E" w:rsidP="000417DE">
            <w:pPr>
              <w:spacing w:line="360" w:lineRule="auto"/>
              <w:jc w:val="both"/>
              <w:rPr>
                <w:rFonts w:ascii="Book Antiqua" w:hAnsi="Book Antiqua"/>
              </w:rPr>
            </w:pPr>
            <w:r w:rsidRPr="00C77471">
              <w:rPr>
                <w:rFonts w:ascii="Book Antiqua" w:hAnsi="Book Antiqua"/>
              </w:rPr>
              <w:t>Multicenter retrospective</w:t>
            </w:r>
          </w:p>
        </w:tc>
        <w:tc>
          <w:tcPr>
            <w:tcW w:w="1276" w:type="dxa"/>
            <w:hideMark/>
          </w:tcPr>
          <w:p w14:paraId="7BF1B98D" w14:textId="77777777" w:rsidR="006B328E" w:rsidRPr="00C77471" w:rsidRDefault="006B328E" w:rsidP="000417DE">
            <w:pPr>
              <w:spacing w:line="360" w:lineRule="auto"/>
              <w:jc w:val="both"/>
              <w:rPr>
                <w:rFonts w:ascii="Book Antiqua" w:hAnsi="Book Antiqua"/>
              </w:rPr>
            </w:pPr>
            <w:r w:rsidRPr="00C77471">
              <w:rPr>
                <w:rFonts w:ascii="Book Antiqua" w:hAnsi="Book Antiqua"/>
              </w:rPr>
              <w:t>67</w:t>
            </w:r>
          </w:p>
        </w:tc>
        <w:tc>
          <w:tcPr>
            <w:tcW w:w="1276" w:type="dxa"/>
          </w:tcPr>
          <w:p w14:paraId="03685C80" w14:textId="77777777" w:rsidR="006B328E" w:rsidRPr="00C77471" w:rsidRDefault="006B328E" w:rsidP="009F0B98">
            <w:pPr>
              <w:spacing w:line="360" w:lineRule="auto"/>
              <w:jc w:val="both"/>
              <w:rPr>
                <w:rFonts w:ascii="Book Antiqua" w:hAnsi="Book Antiqua"/>
              </w:rPr>
            </w:pPr>
            <w:r w:rsidRPr="00C77471">
              <w:rPr>
                <w:rFonts w:ascii="Book Antiqua" w:hAnsi="Book Antiqua"/>
              </w:rPr>
              <w:t>536</w:t>
            </w:r>
          </w:p>
        </w:tc>
        <w:tc>
          <w:tcPr>
            <w:tcW w:w="1275" w:type="dxa"/>
            <w:hideMark/>
          </w:tcPr>
          <w:p w14:paraId="55B13ACB" w14:textId="03C1FBC6" w:rsidR="006B328E" w:rsidRPr="00C77471" w:rsidRDefault="006B328E" w:rsidP="000417DE">
            <w:pPr>
              <w:spacing w:line="360" w:lineRule="auto"/>
              <w:jc w:val="both"/>
              <w:rPr>
                <w:rFonts w:ascii="Book Antiqua" w:hAnsi="Book Antiqua"/>
              </w:rPr>
            </w:pPr>
            <w:r w:rsidRPr="00C77471">
              <w:rPr>
                <w:rFonts w:ascii="Book Antiqua" w:hAnsi="Book Antiqua"/>
              </w:rPr>
              <w:t>26.9</w:t>
            </w:r>
            <w:r w:rsidRPr="00C77471">
              <w:rPr>
                <w:rFonts w:ascii="Book Antiqua" w:hAnsi="Book Antiqua"/>
                <w:vertAlign w:val="superscript"/>
              </w:rPr>
              <w:t>a</w:t>
            </w:r>
          </w:p>
        </w:tc>
        <w:tc>
          <w:tcPr>
            <w:tcW w:w="1276" w:type="dxa"/>
          </w:tcPr>
          <w:p w14:paraId="0B29629A" w14:textId="46FFDEC5" w:rsidR="006B328E" w:rsidRPr="00C77471" w:rsidRDefault="006B328E" w:rsidP="009F0B98">
            <w:pPr>
              <w:spacing w:line="360" w:lineRule="auto"/>
              <w:jc w:val="both"/>
              <w:rPr>
                <w:rFonts w:ascii="Book Antiqua" w:hAnsi="Book Antiqua"/>
              </w:rPr>
            </w:pPr>
            <w:r w:rsidRPr="00C77471">
              <w:rPr>
                <w:rFonts w:ascii="Book Antiqua" w:hAnsi="Book Antiqua"/>
              </w:rPr>
              <w:t>3.9</w:t>
            </w:r>
          </w:p>
        </w:tc>
        <w:tc>
          <w:tcPr>
            <w:tcW w:w="1276" w:type="dxa"/>
            <w:hideMark/>
          </w:tcPr>
          <w:p w14:paraId="4DB87427" w14:textId="635971BD" w:rsidR="006B328E" w:rsidRPr="00C77471" w:rsidRDefault="006B328E" w:rsidP="000417DE">
            <w:pPr>
              <w:spacing w:line="360" w:lineRule="auto"/>
              <w:jc w:val="both"/>
              <w:rPr>
                <w:rFonts w:ascii="Book Antiqua" w:hAnsi="Book Antiqua"/>
              </w:rPr>
            </w:pPr>
            <w:r w:rsidRPr="00C77471">
              <w:rPr>
                <w:rFonts w:ascii="Book Antiqua" w:hAnsi="Book Antiqua"/>
              </w:rPr>
              <w:t>16.4</w:t>
            </w:r>
            <w:r w:rsidRPr="00C77471">
              <w:rPr>
                <w:rFonts w:ascii="Book Antiqua" w:hAnsi="Book Antiqua"/>
                <w:vertAlign w:val="superscript"/>
              </w:rPr>
              <w:t>a</w:t>
            </w:r>
          </w:p>
        </w:tc>
        <w:tc>
          <w:tcPr>
            <w:tcW w:w="1276" w:type="dxa"/>
          </w:tcPr>
          <w:p w14:paraId="384CDD93" w14:textId="3C00A45A" w:rsidR="006B328E" w:rsidRPr="00C77471" w:rsidRDefault="006B328E" w:rsidP="006101AC">
            <w:pPr>
              <w:spacing w:line="360" w:lineRule="auto"/>
              <w:jc w:val="both"/>
              <w:rPr>
                <w:rFonts w:ascii="Book Antiqua" w:hAnsi="Book Antiqua"/>
              </w:rPr>
            </w:pPr>
            <w:r w:rsidRPr="00C77471">
              <w:rPr>
                <w:rFonts w:ascii="Book Antiqua" w:hAnsi="Book Antiqua"/>
              </w:rPr>
              <w:t>2.2</w:t>
            </w:r>
          </w:p>
        </w:tc>
      </w:tr>
      <w:tr w:rsidR="00C77471" w:rsidRPr="00C77471" w14:paraId="6AF12F47" w14:textId="77777777" w:rsidTr="00EB3724">
        <w:trPr>
          <w:trHeight w:val="933"/>
        </w:trPr>
        <w:tc>
          <w:tcPr>
            <w:tcW w:w="2093" w:type="dxa"/>
            <w:noWrap/>
          </w:tcPr>
          <w:p w14:paraId="7B6DD566" w14:textId="77777777" w:rsidR="006B328E" w:rsidRPr="00C77471" w:rsidRDefault="006B328E" w:rsidP="0092067F">
            <w:pPr>
              <w:spacing w:line="360" w:lineRule="auto"/>
              <w:jc w:val="both"/>
              <w:rPr>
                <w:rFonts w:ascii="Book Antiqua" w:hAnsi="Book Antiqua"/>
              </w:rPr>
            </w:pPr>
            <w:r w:rsidRPr="00C77471">
              <w:rPr>
                <w:rFonts w:ascii="Book Antiqua" w:hAnsi="Book Antiqua"/>
              </w:rPr>
              <w:t xml:space="preserve">Saito </w:t>
            </w:r>
            <w:r w:rsidR="0092067F" w:rsidRPr="00C77471">
              <w:rPr>
                <w:rFonts w:ascii="Book Antiqua" w:hAnsi="Book Antiqua"/>
                <w:i/>
              </w:rPr>
              <w:t>et al</w:t>
            </w:r>
            <w:r w:rsidR="0092067F" w:rsidRPr="00C77471">
              <w:rPr>
                <w:rFonts w:ascii="Book Antiqua" w:hAnsi="Book Antiqua"/>
                <w:vertAlign w:val="superscript"/>
              </w:rPr>
              <w:t>[11]</w:t>
            </w:r>
            <w:r w:rsidR="0092067F" w:rsidRPr="00C77471">
              <w:rPr>
                <w:rFonts w:ascii="Book Antiqua" w:hAnsi="Book Antiqua"/>
              </w:rPr>
              <w:t xml:space="preserve">, </w:t>
            </w:r>
            <w:r w:rsidRPr="00C77471">
              <w:rPr>
                <w:rFonts w:ascii="Book Antiqua" w:hAnsi="Book Antiqua"/>
              </w:rPr>
              <w:t>2019</w:t>
            </w:r>
          </w:p>
        </w:tc>
        <w:tc>
          <w:tcPr>
            <w:tcW w:w="1877" w:type="dxa"/>
            <w:noWrap/>
          </w:tcPr>
          <w:p w14:paraId="3FA09E45" w14:textId="77777777" w:rsidR="006B328E" w:rsidRPr="00C77471" w:rsidRDefault="006B328E" w:rsidP="000417DE">
            <w:pPr>
              <w:spacing w:line="360" w:lineRule="auto"/>
              <w:jc w:val="both"/>
              <w:rPr>
                <w:rFonts w:ascii="Book Antiqua" w:hAnsi="Book Antiqua"/>
              </w:rPr>
            </w:pPr>
            <w:r w:rsidRPr="00C77471">
              <w:rPr>
                <w:rFonts w:ascii="Book Antiqua" w:hAnsi="Book Antiqua"/>
              </w:rPr>
              <w:t>Multicenter retrospective</w:t>
            </w:r>
          </w:p>
        </w:tc>
        <w:tc>
          <w:tcPr>
            <w:tcW w:w="1276" w:type="dxa"/>
          </w:tcPr>
          <w:p w14:paraId="0FE48C6B" w14:textId="77777777" w:rsidR="006B328E" w:rsidRPr="00C77471" w:rsidRDefault="006B328E" w:rsidP="000417DE">
            <w:pPr>
              <w:spacing w:line="360" w:lineRule="auto"/>
              <w:jc w:val="both"/>
              <w:rPr>
                <w:rFonts w:ascii="Book Antiqua" w:hAnsi="Book Antiqua"/>
              </w:rPr>
            </w:pPr>
            <w:r w:rsidRPr="00C77471">
              <w:rPr>
                <w:rFonts w:ascii="Book Antiqua" w:hAnsi="Book Antiqua"/>
              </w:rPr>
              <w:t>164</w:t>
            </w:r>
          </w:p>
        </w:tc>
        <w:tc>
          <w:tcPr>
            <w:tcW w:w="1276" w:type="dxa"/>
          </w:tcPr>
          <w:p w14:paraId="4DEBA60F" w14:textId="77777777" w:rsidR="006B328E" w:rsidRPr="00C77471" w:rsidRDefault="006B328E" w:rsidP="009F0B98">
            <w:pPr>
              <w:spacing w:line="360" w:lineRule="auto"/>
              <w:jc w:val="both"/>
              <w:rPr>
                <w:rFonts w:ascii="Book Antiqua" w:hAnsi="Book Antiqua"/>
              </w:rPr>
            </w:pPr>
            <w:r w:rsidRPr="00C77471">
              <w:rPr>
                <w:rFonts w:ascii="Book Antiqua" w:hAnsi="Book Antiqua"/>
              </w:rPr>
              <w:t>949</w:t>
            </w:r>
          </w:p>
        </w:tc>
        <w:tc>
          <w:tcPr>
            <w:tcW w:w="1275" w:type="dxa"/>
          </w:tcPr>
          <w:p w14:paraId="644E6856" w14:textId="43E47C6C" w:rsidR="006B328E" w:rsidRPr="00C77471" w:rsidRDefault="006B328E" w:rsidP="000417DE">
            <w:pPr>
              <w:spacing w:line="360" w:lineRule="auto"/>
              <w:jc w:val="both"/>
              <w:rPr>
                <w:rFonts w:ascii="Book Antiqua" w:hAnsi="Book Antiqua"/>
              </w:rPr>
            </w:pPr>
            <w:r w:rsidRPr="00C77471">
              <w:rPr>
                <w:rFonts w:ascii="Book Antiqua" w:hAnsi="Book Antiqua"/>
              </w:rPr>
              <w:t>19.5</w:t>
            </w:r>
            <w:r w:rsidRPr="00C77471">
              <w:rPr>
                <w:rFonts w:ascii="Book Antiqua" w:hAnsi="Book Antiqua"/>
                <w:vertAlign w:val="superscript"/>
              </w:rPr>
              <w:t>a</w:t>
            </w:r>
          </w:p>
        </w:tc>
        <w:tc>
          <w:tcPr>
            <w:tcW w:w="1276" w:type="dxa"/>
          </w:tcPr>
          <w:p w14:paraId="2F0591BF" w14:textId="2F861C7E" w:rsidR="006B328E" w:rsidRPr="00C77471" w:rsidRDefault="006B328E" w:rsidP="009F0B98">
            <w:pPr>
              <w:spacing w:line="360" w:lineRule="auto"/>
              <w:jc w:val="both"/>
              <w:rPr>
                <w:rFonts w:ascii="Book Antiqua" w:hAnsi="Book Antiqua"/>
              </w:rPr>
            </w:pPr>
            <w:r w:rsidRPr="00C77471">
              <w:rPr>
                <w:rFonts w:ascii="Book Antiqua" w:hAnsi="Book Antiqua"/>
              </w:rPr>
              <w:t>6.2</w:t>
            </w:r>
          </w:p>
        </w:tc>
        <w:tc>
          <w:tcPr>
            <w:tcW w:w="1276" w:type="dxa"/>
          </w:tcPr>
          <w:p w14:paraId="03B51273" w14:textId="796D4B54" w:rsidR="006B328E" w:rsidRPr="00C77471" w:rsidRDefault="006B328E" w:rsidP="000417DE">
            <w:pPr>
              <w:spacing w:line="360" w:lineRule="auto"/>
              <w:jc w:val="both"/>
              <w:rPr>
                <w:rFonts w:ascii="Book Antiqua" w:hAnsi="Book Antiqua"/>
              </w:rPr>
            </w:pPr>
            <w:r w:rsidRPr="00C77471">
              <w:rPr>
                <w:rFonts w:ascii="Book Antiqua" w:hAnsi="Book Antiqua"/>
              </w:rPr>
              <w:t>14.6</w:t>
            </w:r>
            <w:r w:rsidRPr="00C77471">
              <w:rPr>
                <w:rFonts w:ascii="Book Antiqua" w:hAnsi="Book Antiqua"/>
                <w:vertAlign w:val="superscript"/>
              </w:rPr>
              <w:t>a</w:t>
            </w:r>
          </w:p>
        </w:tc>
        <w:tc>
          <w:tcPr>
            <w:tcW w:w="1276" w:type="dxa"/>
          </w:tcPr>
          <w:p w14:paraId="549172E2" w14:textId="70EFD664" w:rsidR="006B328E" w:rsidRPr="00C77471" w:rsidRDefault="006B328E" w:rsidP="006101AC">
            <w:pPr>
              <w:spacing w:line="360" w:lineRule="auto"/>
              <w:jc w:val="both"/>
              <w:rPr>
                <w:rFonts w:ascii="Book Antiqua" w:hAnsi="Book Antiqua"/>
              </w:rPr>
            </w:pPr>
            <w:r w:rsidRPr="00C77471">
              <w:rPr>
                <w:rFonts w:ascii="Book Antiqua" w:hAnsi="Book Antiqua"/>
              </w:rPr>
              <w:t>3.0</w:t>
            </w:r>
          </w:p>
        </w:tc>
      </w:tr>
      <w:tr w:rsidR="00C77471" w:rsidRPr="00C77471" w14:paraId="13F22BFA" w14:textId="77777777" w:rsidTr="00EB3724">
        <w:trPr>
          <w:trHeight w:val="933"/>
        </w:trPr>
        <w:tc>
          <w:tcPr>
            <w:tcW w:w="2093" w:type="dxa"/>
            <w:noWrap/>
            <w:hideMark/>
          </w:tcPr>
          <w:p w14:paraId="41AF9534" w14:textId="77777777" w:rsidR="006B328E" w:rsidRPr="00C77471" w:rsidRDefault="006B328E" w:rsidP="0092067F">
            <w:pPr>
              <w:spacing w:line="360" w:lineRule="auto"/>
              <w:jc w:val="both"/>
              <w:rPr>
                <w:rFonts w:ascii="Book Antiqua" w:hAnsi="Book Antiqua"/>
              </w:rPr>
            </w:pPr>
            <w:r w:rsidRPr="00C77471">
              <w:rPr>
                <w:rFonts w:ascii="Book Antiqua" w:hAnsi="Book Antiqua"/>
              </w:rPr>
              <w:t>Xu</w:t>
            </w:r>
            <w:r w:rsidR="0092067F" w:rsidRPr="00C77471">
              <w:rPr>
                <w:rFonts w:ascii="Book Antiqua" w:hAnsi="Book Antiqua"/>
                <w:i/>
              </w:rPr>
              <w:t xml:space="preserve"> et al</w:t>
            </w:r>
            <w:r w:rsidR="0092067F" w:rsidRPr="00C77471">
              <w:rPr>
                <w:rFonts w:ascii="Book Antiqua" w:hAnsi="Book Antiqua"/>
                <w:vertAlign w:val="superscript"/>
              </w:rPr>
              <w:t>[12]</w:t>
            </w:r>
            <w:r w:rsidR="0092067F" w:rsidRPr="00C77471">
              <w:rPr>
                <w:rFonts w:ascii="Book Antiqua" w:hAnsi="Book Antiqua"/>
              </w:rPr>
              <w:t xml:space="preserve">, </w:t>
            </w:r>
            <w:r w:rsidRPr="00C77471">
              <w:rPr>
                <w:rFonts w:ascii="Book Antiqua" w:hAnsi="Book Antiqua"/>
              </w:rPr>
              <w:t>2019</w:t>
            </w:r>
          </w:p>
        </w:tc>
        <w:tc>
          <w:tcPr>
            <w:tcW w:w="1877" w:type="dxa"/>
            <w:noWrap/>
            <w:hideMark/>
          </w:tcPr>
          <w:p w14:paraId="07FBC0A3" w14:textId="77777777" w:rsidR="006B328E" w:rsidRPr="00C77471" w:rsidRDefault="006B328E" w:rsidP="000417DE">
            <w:pPr>
              <w:spacing w:line="360" w:lineRule="auto"/>
              <w:jc w:val="both"/>
              <w:rPr>
                <w:rFonts w:ascii="Book Antiqua" w:hAnsi="Book Antiqua"/>
              </w:rPr>
            </w:pPr>
            <w:r w:rsidRPr="00C77471">
              <w:rPr>
                <w:rFonts w:ascii="Book Antiqua" w:hAnsi="Book Antiqua"/>
              </w:rPr>
              <w:t>Single-center prospective</w:t>
            </w:r>
          </w:p>
        </w:tc>
        <w:tc>
          <w:tcPr>
            <w:tcW w:w="1276" w:type="dxa"/>
            <w:hideMark/>
          </w:tcPr>
          <w:p w14:paraId="6019F166" w14:textId="77777777" w:rsidR="006B328E" w:rsidRPr="00C77471" w:rsidRDefault="006B328E" w:rsidP="000417DE">
            <w:pPr>
              <w:spacing w:line="360" w:lineRule="auto"/>
              <w:jc w:val="both"/>
              <w:rPr>
                <w:rFonts w:ascii="Book Antiqua" w:hAnsi="Book Antiqua"/>
              </w:rPr>
            </w:pPr>
            <w:r w:rsidRPr="00C77471">
              <w:rPr>
                <w:rFonts w:ascii="Book Antiqua" w:hAnsi="Book Antiqua"/>
              </w:rPr>
              <w:t>53</w:t>
            </w:r>
          </w:p>
        </w:tc>
        <w:tc>
          <w:tcPr>
            <w:tcW w:w="1276" w:type="dxa"/>
          </w:tcPr>
          <w:p w14:paraId="5E4EBB22" w14:textId="77777777" w:rsidR="006B328E" w:rsidRPr="00C77471" w:rsidRDefault="006B328E" w:rsidP="009F0B98">
            <w:pPr>
              <w:spacing w:line="360" w:lineRule="auto"/>
              <w:jc w:val="both"/>
              <w:rPr>
                <w:rFonts w:ascii="Book Antiqua" w:hAnsi="Book Antiqua"/>
              </w:rPr>
            </w:pPr>
            <w:r w:rsidRPr="00C77471">
              <w:rPr>
                <w:rFonts w:ascii="Book Antiqua" w:hAnsi="Book Antiqua"/>
              </w:rPr>
              <w:t>274</w:t>
            </w:r>
          </w:p>
        </w:tc>
        <w:tc>
          <w:tcPr>
            <w:tcW w:w="1275" w:type="dxa"/>
            <w:hideMark/>
          </w:tcPr>
          <w:p w14:paraId="0D6DE278" w14:textId="4E2DD9E4" w:rsidR="006B328E" w:rsidRPr="00C77471" w:rsidRDefault="006B328E" w:rsidP="000417DE">
            <w:pPr>
              <w:spacing w:line="360" w:lineRule="auto"/>
              <w:jc w:val="both"/>
              <w:rPr>
                <w:rFonts w:ascii="Book Antiqua" w:hAnsi="Book Antiqua"/>
              </w:rPr>
            </w:pPr>
            <w:r w:rsidRPr="00C77471">
              <w:rPr>
                <w:rFonts w:ascii="Book Antiqua" w:hAnsi="Book Antiqua"/>
              </w:rPr>
              <w:t>26.4</w:t>
            </w:r>
            <w:r w:rsidRPr="00C77471">
              <w:rPr>
                <w:rFonts w:ascii="Book Antiqua" w:hAnsi="Book Antiqua"/>
                <w:vertAlign w:val="superscript"/>
              </w:rPr>
              <w:t>a</w:t>
            </w:r>
          </w:p>
        </w:tc>
        <w:tc>
          <w:tcPr>
            <w:tcW w:w="1276" w:type="dxa"/>
          </w:tcPr>
          <w:p w14:paraId="4B95C446" w14:textId="7064D3C1" w:rsidR="006B328E" w:rsidRPr="00C77471" w:rsidRDefault="006B328E" w:rsidP="009F0B98">
            <w:pPr>
              <w:spacing w:line="360" w:lineRule="auto"/>
              <w:jc w:val="both"/>
              <w:rPr>
                <w:rFonts w:ascii="Book Antiqua" w:hAnsi="Book Antiqua"/>
              </w:rPr>
            </w:pPr>
            <w:r w:rsidRPr="00C77471">
              <w:rPr>
                <w:rFonts w:ascii="Book Antiqua" w:hAnsi="Book Antiqua"/>
              </w:rPr>
              <w:t>11.7</w:t>
            </w:r>
          </w:p>
        </w:tc>
        <w:tc>
          <w:tcPr>
            <w:tcW w:w="1276" w:type="dxa"/>
            <w:hideMark/>
          </w:tcPr>
          <w:p w14:paraId="4B97917D" w14:textId="671C751E" w:rsidR="006B328E" w:rsidRPr="00C77471" w:rsidRDefault="006B328E" w:rsidP="000417DE">
            <w:pPr>
              <w:spacing w:line="360" w:lineRule="auto"/>
              <w:jc w:val="both"/>
              <w:rPr>
                <w:rFonts w:ascii="Book Antiqua" w:hAnsi="Book Antiqua"/>
              </w:rPr>
            </w:pPr>
            <w:r w:rsidRPr="00C77471">
              <w:rPr>
                <w:rFonts w:ascii="Book Antiqua" w:hAnsi="Book Antiqua"/>
              </w:rPr>
              <w:t>20.8</w:t>
            </w:r>
            <w:r w:rsidRPr="00C77471">
              <w:rPr>
                <w:rFonts w:ascii="Book Antiqua" w:hAnsi="Book Antiqua"/>
                <w:vertAlign w:val="superscript"/>
              </w:rPr>
              <w:t>a</w:t>
            </w:r>
          </w:p>
        </w:tc>
        <w:tc>
          <w:tcPr>
            <w:tcW w:w="1276" w:type="dxa"/>
          </w:tcPr>
          <w:p w14:paraId="10B53D02" w14:textId="33742278" w:rsidR="006B328E" w:rsidRPr="00C77471" w:rsidRDefault="006B328E" w:rsidP="006101AC">
            <w:pPr>
              <w:spacing w:line="360" w:lineRule="auto"/>
              <w:jc w:val="both"/>
              <w:rPr>
                <w:rFonts w:ascii="Book Antiqua" w:hAnsi="Book Antiqua"/>
              </w:rPr>
            </w:pPr>
            <w:r w:rsidRPr="00C77471">
              <w:rPr>
                <w:rFonts w:ascii="Book Antiqua" w:hAnsi="Book Antiqua"/>
              </w:rPr>
              <w:t>6.9</w:t>
            </w:r>
          </w:p>
        </w:tc>
      </w:tr>
      <w:tr w:rsidR="00C77471" w:rsidRPr="00C77471" w14:paraId="6B3FE34E" w14:textId="77777777" w:rsidTr="00EB3724">
        <w:trPr>
          <w:trHeight w:val="908"/>
        </w:trPr>
        <w:tc>
          <w:tcPr>
            <w:tcW w:w="2093" w:type="dxa"/>
            <w:noWrap/>
          </w:tcPr>
          <w:p w14:paraId="4C8DDCC7" w14:textId="77777777" w:rsidR="006B328E" w:rsidRPr="00C77471" w:rsidRDefault="00BD4C90" w:rsidP="0092067F">
            <w:pPr>
              <w:spacing w:line="360" w:lineRule="auto"/>
              <w:jc w:val="both"/>
              <w:rPr>
                <w:rFonts w:ascii="Book Antiqua" w:hAnsi="Book Antiqua"/>
                <w:bCs/>
                <w:vertAlign w:val="superscript"/>
              </w:rPr>
            </w:pPr>
            <w:hyperlink r:id="rId8" w:history="1">
              <w:r w:rsidR="006B328E" w:rsidRPr="00C77471">
                <w:rPr>
                  <w:rStyle w:val="Hyperlink"/>
                  <w:rFonts w:ascii="Book Antiqua" w:hAnsi="Book Antiqua"/>
                  <w:color w:val="auto"/>
                  <w:u w:val="none"/>
                </w:rPr>
                <w:t>Xiao</w:t>
              </w:r>
            </w:hyperlink>
            <w:r w:rsidR="006B328E" w:rsidRPr="00C77471">
              <w:rPr>
                <w:rFonts w:ascii="Book Antiqua" w:hAnsi="Book Antiqua"/>
              </w:rPr>
              <w:t xml:space="preserve"> </w:t>
            </w:r>
            <w:r w:rsidR="0092067F" w:rsidRPr="00C77471">
              <w:rPr>
                <w:rFonts w:ascii="Book Antiqua" w:hAnsi="Book Antiqua"/>
                <w:i/>
              </w:rPr>
              <w:t>et al</w:t>
            </w:r>
            <w:r w:rsidR="0092067F" w:rsidRPr="00C77471">
              <w:rPr>
                <w:rFonts w:ascii="Book Antiqua" w:hAnsi="Book Antiqua"/>
                <w:vertAlign w:val="superscript"/>
              </w:rPr>
              <w:t>[13]</w:t>
            </w:r>
            <w:r w:rsidR="0092067F" w:rsidRPr="00C77471">
              <w:rPr>
                <w:rFonts w:ascii="Book Antiqua" w:hAnsi="Book Antiqua"/>
                <w:bCs/>
              </w:rPr>
              <w:t xml:space="preserve">, </w:t>
            </w:r>
            <w:r w:rsidR="006B328E" w:rsidRPr="00C77471">
              <w:rPr>
                <w:rFonts w:ascii="Book Antiqua" w:hAnsi="Book Antiqua"/>
                <w:bCs/>
              </w:rPr>
              <w:t>2021</w:t>
            </w:r>
          </w:p>
        </w:tc>
        <w:tc>
          <w:tcPr>
            <w:tcW w:w="1877" w:type="dxa"/>
            <w:noWrap/>
          </w:tcPr>
          <w:p w14:paraId="795B98A7" w14:textId="77777777" w:rsidR="006B328E" w:rsidRPr="00C77471" w:rsidRDefault="006B328E" w:rsidP="000417DE">
            <w:pPr>
              <w:spacing w:line="360" w:lineRule="auto"/>
              <w:jc w:val="both"/>
              <w:rPr>
                <w:rFonts w:ascii="Book Antiqua" w:hAnsi="Book Antiqua"/>
              </w:rPr>
            </w:pPr>
            <w:r w:rsidRPr="00C77471">
              <w:rPr>
                <w:rFonts w:ascii="Book Antiqua" w:hAnsi="Book Antiqua"/>
              </w:rPr>
              <w:t>Single-center retrospective</w:t>
            </w:r>
          </w:p>
        </w:tc>
        <w:tc>
          <w:tcPr>
            <w:tcW w:w="1276" w:type="dxa"/>
          </w:tcPr>
          <w:p w14:paraId="49FC411E" w14:textId="77777777" w:rsidR="006B328E" w:rsidRPr="00C77471" w:rsidRDefault="006B328E" w:rsidP="000417DE">
            <w:pPr>
              <w:spacing w:line="360" w:lineRule="auto"/>
              <w:jc w:val="both"/>
              <w:rPr>
                <w:rFonts w:ascii="Book Antiqua" w:hAnsi="Book Antiqua"/>
              </w:rPr>
            </w:pPr>
            <w:r w:rsidRPr="00C77471">
              <w:rPr>
                <w:rFonts w:ascii="Book Antiqua" w:hAnsi="Book Antiqua"/>
              </w:rPr>
              <w:t>79</w:t>
            </w:r>
          </w:p>
        </w:tc>
        <w:tc>
          <w:tcPr>
            <w:tcW w:w="1276" w:type="dxa"/>
          </w:tcPr>
          <w:p w14:paraId="6D5AFEE0" w14:textId="77777777" w:rsidR="006B328E" w:rsidRPr="00C77471" w:rsidRDefault="006B328E" w:rsidP="009F0B98">
            <w:pPr>
              <w:spacing w:line="360" w:lineRule="auto"/>
              <w:jc w:val="both"/>
              <w:rPr>
                <w:rFonts w:ascii="Book Antiqua" w:hAnsi="Book Antiqua"/>
              </w:rPr>
            </w:pPr>
            <w:r w:rsidRPr="00C77471">
              <w:rPr>
                <w:rFonts w:ascii="Book Antiqua" w:hAnsi="Book Antiqua"/>
              </w:rPr>
              <w:t>795</w:t>
            </w:r>
          </w:p>
        </w:tc>
        <w:tc>
          <w:tcPr>
            <w:tcW w:w="1275" w:type="dxa"/>
          </w:tcPr>
          <w:p w14:paraId="56F0D58E" w14:textId="500CCE47" w:rsidR="006B328E" w:rsidRPr="00C77471" w:rsidRDefault="006B328E" w:rsidP="000417DE">
            <w:pPr>
              <w:spacing w:line="360" w:lineRule="auto"/>
              <w:jc w:val="both"/>
              <w:rPr>
                <w:rFonts w:ascii="Book Antiqua" w:hAnsi="Book Antiqua"/>
              </w:rPr>
            </w:pPr>
            <w:r w:rsidRPr="00C77471">
              <w:rPr>
                <w:rFonts w:ascii="Book Antiqua" w:hAnsi="Book Antiqua"/>
              </w:rPr>
              <w:t>13.3</w:t>
            </w:r>
          </w:p>
        </w:tc>
        <w:tc>
          <w:tcPr>
            <w:tcW w:w="1276" w:type="dxa"/>
          </w:tcPr>
          <w:p w14:paraId="703D7DED" w14:textId="16525A74" w:rsidR="006B328E" w:rsidRPr="00C77471" w:rsidRDefault="006B328E" w:rsidP="009F0B98">
            <w:pPr>
              <w:spacing w:line="360" w:lineRule="auto"/>
              <w:jc w:val="both"/>
              <w:rPr>
                <w:rFonts w:ascii="Book Antiqua" w:hAnsi="Book Antiqua"/>
              </w:rPr>
            </w:pPr>
            <w:r w:rsidRPr="00C77471">
              <w:rPr>
                <w:rFonts w:ascii="Book Antiqua" w:hAnsi="Book Antiqua"/>
              </w:rPr>
              <w:t>9.7</w:t>
            </w:r>
          </w:p>
        </w:tc>
        <w:tc>
          <w:tcPr>
            <w:tcW w:w="1276" w:type="dxa"/>
          </w:tcPr>
          <w:p w14:paraId="0214E908" w14:textId="49C5F037" w:rsidR="006B328E" w:rsidRPr="00C77471" w:rsidRDefault="006B328E" w:rsidP="000417DE">
            <w:pPr>
              <w:spacing w:line="360" w:lineRule="auto"/>
              <w:jc w:val="both"/>
              <w:rPr>
                <w:rFonts w:ascii="Book Antiqua" w:hAnsi="Book Antiqua"/>
              </w:rPr>
            </w:pPr>
            <w:r w:rsidRPr="00C77471">
              <w:rPr>
                <w:rFonts w:ascii="Book Antiqua" w:hAnsi="Book Antiqua"/>
              </w:rPr>
              <w:t>7.6</w:t>
            </w:r>
          </w:p>
        </w:tc>
        <w:tc>
          <w:tcPr>
            <w:tcW w:w="1276" w:type="dxa"/>
          </w:tcPr>
          <w:p w14:paraId="773C9C2A" w14:textId="499D5289" w:rsidR="006B328E" w:rsidRPr="00C77471" w:rsidRDefault="006B328E" w:rsidP="006101AC">
            <w:pPr>
              <w:spacing w:line="360" w:lineRule="auto"/>
              <w:jc w:val="both"/>
              <w:rPr>
                <w:rFonts w:ascii="Book Antiqua" w:hAnsi="Book Antiqua"/>
              </w:rPr>
            </w:pPr>
            <w:r w:rsidRPr="00C77471">
              <w:rPr>
                <w:rFonts w:ascii="Book Antiqua" w:hAnsi="Book Antiqua"/>
              </w:rPr>
              <w:t>6.9</w:t>
            </w:r>
          </w:p>
        </w:tc>
      </w:tr>
    </w:tbl>
    <w:p w14:paraId="0D001569" w14:textId="77777777" w:rsidR="000417DE" w:rsidRPr="00C77471" w:rsidRDefault="006B328E">
      <w:pPr>
        <w:spacing w:line="360" w:lineRule="auto"/>
        <w:jc w:val="both"/>
        <w:rPr>
          <w:rFonts w:ascii="Book Antiqua" w:hAnsi="Book Antiqua"/>
        </w:rPr>
      </w:pPr>
      <w:proofErr w:type="spellStart"/>
      <w:r w:rsidRPr="00C77471">
        <w:rPr>
          <w:rFonts w:ascii="Book Antiqua" w:hAnsi="Book Antiqua"/>
          <w:vertAlign w:val="superscript"/>
        </w:rPr>
        <w:t>a</w:t>
      </w:r>
      <w:r w:rsidRPr="00C77471">
        <w:rPr>
          <w:rFonts w:ascii="Book Antiqua" w:hAnsi="Book Antiqua"/>
          <w:caps/>
        </w:rPr>
        <w:t>s</w:t>
      </w:r>
      <w:r w:rsidRPr="00C77471">
        <w:rPr>
          <w:rFonts w:ascii="Book Antiqua" w:hAnsi="Book Antiqua"/>
        </w:rPr>
        <w:t>tatistically</w:t>
      </w:r>
      <w:proofErr w:type="spellEnd"/>
      <w:r w:rsidRPr="00C77471">
        <w:rPr>
          <w:rFonts w:ascii="Book Antiqua" w:hAnsi="Book Antiqua"/>
        </w:rPr>
        <w:t xml:space="preserve"> significant difference. ERCP</w:t>
      </w:r>
      <w:r w:rsidR="00B56B8E" w:rsidRPr="00C77471">
        <w:rPr>
          <w:rFonts w:ascii="Book Antiqua" w:hAnsi="Book Antiqua"/>
        </w:rPr>
        <w:t>:</w:t>
      </w:r>
      <w:r w:rsidRPr="00C77471">
        <w:rPr>
          <w:rFonts w:ascii="Book Antiqua" w:hAnsi="Book Antiqua"/>
        </w:rPr>
        <w:t xml:space="preserve"> </w:t>
      </w:r>
      <w:r w:rsidRPr="00C77471">
        <w:rPr>
          <w:rFonts w:ascii="Book Antiqua" w:hAnsi="Book Antiqua"/>
          <w:caps/>
        </w:rPr>
        <w:t>e</w:t>
      </w:r>
      <w:r w:rsidRPr="00C77471">
        <w:rPr>
          <w:rFonts w:ascii="Book Antiqua" w:hAnsi="Book Antiqua"/>
        </w:rPr>
        <w:t>ndoscopic retrograde cholangiopancreatography; PEP</w:t>
      </w:r>
      <w:r w:rsidR="00B56B8E" w:rsidRPr="00C77471">
        <w:rPr>
          <w:rFonts w:ascii="Book Antiqua" w:hAnsi="Book Antiqua"/>
        </w:rPr>
        <w:t xml:space="preserve">: </w:t>
      </w:r>
      <w:proofErr w:type="spellStart"/>
      <w:r w:rsidRPr="00C77471">
        <w:rPr>
          <w:rFonts w:ascii="Book Antiqua" w:hAnsi="Book Antiqua"/>
          <w:caps/>
        </w:rPr>
        <w:t>p</w:t>
      </w:r>
      <w:r w:rsidRPr="00C77471">
        <w:rPr>
          <w:rFonts w:ascii="Book Antiqua" w:hAnsi="Book Antiqua"/>
        </w:rPr>
        <w:t>ostendoscopic</w:t>
      </w:r>
      <w:proofErr w:type="spellEnd"/>
      <w:r w:rsidRPr="00C77471">
        <w:rPr>
          <w:rFonts w:ascii="Book Antiqua" w:hAnsi="Book Antiqua"/>
        </w:rPr>
        <w:t xml:space="preserve"> retrograde cholangiopancreatography pancreatitis</w:t>
      </w:r>
      <w:r w:rsidR="00B56B8E" w:rsidRPr="00C77471">
        <w:rPr>
          <w:rFonts w:ascii="Book Antiqua" w:hAnsi="Book Antiqua"/>
        </w:rPr>
        <w:t>.</w:t>
      </w:r>
    </w:p>
    <w:p w14:paraId="57420A2D" w14:textId="77777777" w:rsidR="00B56B8E" w:rsidRPr="00C77471" w:rsidRDefault="007D27B3">
      <w:pPr>
        <w:spacing w:line="360" w:lineRule="auto"/>
        <w:jc w:val="both"/>
        <w:rPr>
          <w:rFonts w:ascii="Book Antiqua" w:hAnsi="Book Antiqua"/>
          <w:b/>
        </w:rPr>
      </w:pPr>
      <w:r w:rsidRPr="00C77471">
        <w:rPr>
          <w:rFonts w:ascii="Book Antiqua" w:hAnsi="Book Antiqua"/>
        </w:rPr>
        <w:br w:type="page"/>
      </w:r>
      <w:r w:rsidRPr="00C77471">
        <w:rPr>
          <w:rFonts w:ascii="Book Antiqua" w:hAnsi="Book Antiqua"/>
          <w:b/>
        </w:rPr>
        <w:lastRenderedPageBreak/>
        <w:t xml:space="preserve">Table 3 Summary of studies reporting natural history of asymptomatic </w:t>
      </w:r>
      <w:r w:rsidRPr="00C77471">
        <w:rPr>
          <w:rFonts w:ascii="Book Antiqua" w:hAnsi="Book Antiqua"/>
          <w:b/>
          <w:bCs/>
        </w:rPr>
        <w:t>common bile duct</w:t>
      </w:r>
      <w:r w:rsidRPr="00C77471">
        <w:rPr>
          <w:rFonts w:ascii="Book Antiqua" w:hAnsi="Book Antiqua"/>
          <w:b/>
        </w:rPr>
        <w:t xml:space="preserve"> stones</w:t>
      </w:r>
    </w:p>
    <w:tbl>
      <w:tblPr>
        <w:tblW w:w="10191" w:type="dxa"/>
        <w:tblLook w:val="04A0" w:firstRow="1" w:lastRow="0" w:firstColumn="1" w:lastColumn="0" w:noHBand="0" w:noVBand="1"/>
      </w:tblPr>
      <w:tblGrid>
        <w:gridCol w:w="2694"/>
        <w:gridCol w:w="1662"/>
        <w:gridCol w:w="1276"/>
        <w:gridCol w:w="1564"/>
        <w:gridCol w:w="420"/>
        <w:gridCol w:w="2575"/>
      </w:tblGrid>
      <w:tr w:rsidR="00C77471" w:rsidRPr="00C77471" w14:paraId="5C6A4A7E" w14:textId="77777777" w:rsidTr="007D27B3">
        <w:trPr>
          <w:trHeight w:val="630"/>
        </w:trPr>
        <w:tc>
          <w:tcPr>
            <w:tcW w:w="2694" w:type="dxa"/>
            <w:tcBorders>
              <w:top w:val="single" w:sz="4" w:space="0" w:color="auto"/>
              <w:bottom w:val="single" w:sz="4" w:space="0" w:color="auto"/>
            </w:tcBorders>
            <w:noWrap/>
            <w:hideMark/>
          </w:tcPr>
          <w:p w14:paraId="1B8D408F" w14:textId="77777777" w:rsidR="007D27B3" w:rsidRPr="00C77471" w:rsidRDefault="007D27B3" w:rsidP="00172491">
            <w:pPr>
              <w:spacing w:line="360" w:lineRule="auto"/>
              <w:jc w:val="both"/>
              <w:rPr>
                <w:rFonts w:ascii="Book Antiqua" w:hAnsi="Book Antiqua"/>
                <w:b/>
              </w:rPr>
            </w:pPr>
            <w:r w:rsidRPr="00C77471">
              <w:rPr>
                <w:rFonts w:ascii="Book Antiqua" w:hAnsi="Book Antiqua"/>
                <w:b/>
              </w:rPr>
              <w:t>Ref</w:t>
            </w:r>
            <w:r w:rsidR="00172491" w:rsidRPr="00C77471">
              <w:rPr>
                <w:rFonts w:ascii="Book Antiqua" w:hAnsi="Book Antiqua"/>
                <w:b/>
              </w:rPr>
              <w:t>.</w:t>
            </w:r>
          </w:p>
        </w:tc>
        <w:tc>
          <w:tcPr>
            <w:tcW w:w="1662" w:type="dxa"/>
            <w:tcBorders>
              <w:top w:val="single" w:sz="4" w:space="0" w:color="auto"/>
              <w:bottom w:val="single" w:sz="4" w:space="0" w:color="auto"/>
            </w:tcBorders>
            <w:noWrap/>
            <w:hideMark/>
          </w:tcPr>
          <w:p w14:paraId="14F26A1F" w14:textId="77777777" w:rsidR="007D27B3" w:rsidRPr="00C77471" w:rsidRDefault="007D27B3" w:rsidP="00B21E06">
            <w:pPr>
              <w:spacing w:line="360" w:lineRule="auto"/>
              <w:jc w:val="center"/>
              <w:rPr>
                <w:rFonts w:ascii="Book Antiqua" w:hAnsi="Book Antiqua"/>
                <w:b/>
              </w:rPr>
            </w:pPr>
            <w:r w:rsidRPr="00C77471">
              <w:rPr>
                <w:rFonts w:ascii="Book Antiqua" w:hAnsi="Book Antiqua"/>
                <w:b/>
                <w:bCs/>
              </w:rPr>
              <w:t>Study</w:t>
            </w:r>
            <w:r w:rsidRPr="00C77471">
              <w:rPr>
                <w:rFonts w:ascii="Book Antiqua" w:hAnsi="Book Antiqua"/>
                <w:b/>
              </w:rPr>
              <w:t xml:space="preserve"> design</w:t>
            </w:r>
          </w:p>
        </w:tc>
        <w:tc>
          <w:tcPr>
            <w:tcW w:w="1276" w:type="dxa"/>
            <w:tcBorders>
              <w:top w:val="single" w:sz="4" w:space="0" w:color="auto"/>
              <w:bottom w:val="single" w:sz="4" w:space="0" w:color="auto"/>
            </w:tcBorders>
            <w:noWrap/>
            <w:hideMark/>
          </w:tcPr>
          <w:p w14:paraId="32DDD545" w14:textId="77777777" w:rsidR="007D27B3" w:rsidRPr="00C77471" w:rsidRDefault="007D27B3" w:rsidP="00B21E06">
            <w:pPr>
              <w:spacing w:line="360" w:lineRule="auto"/>
              <w:jc w:val="center"/>
              <w:rPr>
                <w:rFonts w:ascii="Book Antiqua" w:hAnsi="Book Antiqua"/>
                <w:b/>
              </w:rPr>
            </w:pPr>
            <w:r w:rsidRPr="00C77471">
              <w:rPr>
                <w:rFonts w:ascii="Book Antiqua" w:hAnsi="Book Antiqua"/>
                <w:b/>
              </w:rPr>
              <w:t xml:space="preserve">Patients, </w:t>
            </w:r>
            <w:r w:rsidRPr="00C77471">
              <w:rPr>
                <w:rFonts w:ascii="Book Antiqua" w:hAnsi="Book Antiqua"/>
                <w:b/>
                <w:i/>
              </w:rPr>
              <w:t>n</w:t>
            </w:r>
          </w:p>
        </w:tc>
        <w:tc>
          <w:tcPr>
            <w:tcW w:w="1564" w:type="dxa"/>
            <w:tcBorders>
              <w:top w:val="single" w:sz="4" w:space="0" w:color="auto"/>
              <w:bottom w:val="single" w:sz="4" w:space="0" w:color="auto"/>
            </w:tcBorders>
            <w:hideMark/>
          </w:tcPr>
          <w:p w14:paraId="034B7FC7" w14:textId="77777777" w:rsidR="007D27B3" w:rsidRPr="00C77471" w:rsidRDefault="007D27B3" w:rsidP="00B21E06">
            <w:pPr>
              <w:spacing w:line="360" w:lineRule="auto"/>
              <w:jc w:val="center"/>
              <w:rPr>
                <w:rFonts w:ascii="Book Antiqua" w:hAnsi="Book Antiqua"/>
                <w:b/>
              </w:rPr>
            </w:pPr>
            <w:r w:rsidRPr="00C77471">
              <w:rPr>
                <w:rFonts w:ascii="Book Antiqua" w:hAnsi="Book Antiqua"/>
                <w:b/>
              </w:rPr>
              <w:t>Median follow-up period</w:t>
            </w:r>
          </w:p>
        </w:tc>
        <w:tc>
          <w:tcPr>
            <w:tcW w:w="2995" w:type="dxa"/>
            <w:gridSpan w:val="2"/>
            <w:tcBorders>
              <w:top w:val="single" w:sz="4" w:space="0" w:color="auto"/>
              <w:bottom w:val="single" w:sz="4" w:space="0" w:color="auto"/>
            </w:tcBorders>
            <w:hideMark/>
          </w:tcPr>
          <w:p w14:paraId="0271A241" w14:textId="77777777" w:rsidR="007D27B3" w:rsidRPr="00C77471" w:rsidRDefault="00B21E06" w:rsidP="00B21E06">
            <w:pPr>
              <w:spacing w:line="360" w:lineRule="auto"/>
              <w:jc w:val="center"/>
              <w:rPr>
                <w:rFonts w:ascii="Book Antiqua" w:hAnsi="Book Antiqua"/>
                <w:b/>
              </w:rPr>
            </w:pPr>
            <w:r w:rsidRPr="00C77471">
              <w:rPr>
                <w:rFonts w:ascii="Book Antiqua" w:hAnsi="Book Antiqua"/>
                <w:b/>
              </w:rPr>
              <w:t xml:space="preserve">Cumulative incidence </w:t>
            </w:r>
            <w:r w:rsidR="007D27B3" w:rsidRPr="00C77471">
              <w:rPr>
                <w:rFonts w:ascii="Book Antiqua" w:hAnsi="Book Antiqua"/>
                <w:b/>
              </w:rPr>
              <w:t xml:space="preserve">of biliary complications, </w:t>
            </w:r>
            <w:r w:rsidR="007D27B3" w:rsidRPr="00C77471">
              <w:rPr>
                <w:rFonts w:ascii="Book Antiqua" w:hAnsi="Book Antiqua"/>
                <w:b/>
                <w:i/>
              </w:rPr>
              <w:t>n</w:t>
            </w:r>
            <w:r w:rsidR="007D27B3" w:rsidRPr="00C77471">
              <w:rPr>
                <w:rFonts w:ascii="Book Antiqua" w:hAnsi="Book Antiqua"/>
                <w:b/>
              </w:rPr>
              <w:t xml:space="preserve"> (%)</w:t>
            </w:r>
          </w:p>
        </w:tc>
      </w:tr>
      <w:tr w:rsidR="00C77471" w:rsidRPr="00C77471" w14:paraId="00FA5C61" w14:textId="77777777" w:rsidTr="007D27B3">
        <w:trPr>
          <w:trHeight w:val="375"/>
        </w:trPr>
        <w:tc>
          <w:tcPr>
            <w:tcW w:w="2694" w:type="dxa"/>
            <w:tcBorders>
              <w:top w:val="single" w:sz="4" w:space="0" w:color="auto"/>
            </w:tcBorders>
            <w:noWrap/>
            <w:hideMark/>
          </w:tcPr>
          <w:p w14:paraId="74B89B0F" w14:textId="77777777" w:rsidR="007D27B3" w:rsidRPr="00C77471" w:rsidRDefault="007D27B3" w:rsidP="00431B59">
            <w:pPr>
              <w:spacing w:line="360" w:lineRule="auto"/>
              <w:jc w:val="both"/>
              <w:rPr>
                <w:rFonts w:ascii="Book Antiqua" w:hAnsi="Book Antiqua"/>
              </w:rPr>
            </w:pPr>
            <w:proofErr w:type="spellStart"/>
            <w:r w:rsidRPr="00C77471">
              <w:rPr>
                <w:rFonts w:ascii="Book Antiqua" w:hAnsi="Book Antiqua"/>
              </w:rPr>
              <w:t>Ammori</w:t>
            </w:r>
            <w:proofErr w:type="spellEnd"/>
            <w:r w:rsidRPr="00C77471">
              <w:rPr>
                <w:rFonts w:ascii="Book Antiqua" w:hAnsi="Book Antiqua"/>
              </w:rPr>
              <w:t xml:space="preserve"> </w:t>
            </w:r>
            <w:r w:rsidRPr="00C77471">
              <w:rPr>
                <w:rFonts w:ascii="Book Antiqua" w:hAnsi="Book Antiqua"/>
                <w:i/>
              </w:rPr>
              <w:t>et al</w:t>
            </w:r>
            <w:r w:rsidR="00431B59" w:rsidRPr="00C77471">
              <w:rPr>
                <w:rFonts w:ascii="Book Antiqua" w:hAnsi="Book Antiqua"/>
                <w:vertAlign w:val="superscript"/>
              </w:rPr>
              <w:t>[14]</w:t>
            </w:r>
            <w:r w:rsidR="00431B59" w:rsidRPr="00C77471">
              <w:rPr>
                <w:rFonts w:ascii="Book Antiqua" w:hAnsi="Book Antiqua"/>
              </w:rPr>
              <w:t xml:space="preserve">, </w:t>
            </w:r>
            <w:r w:rsidRPr="00C77471">
              <w:rPr>
                <w:rFonts w:ascii="Book Antiqua" w:hAnsi="Book Antiqua"/>
              </w:rPr>
              <w:t>2000</w:t>
            </w:r>
          </w:p>
        </w:tc>
        <w:tc>
          <w:tcPr>
            <w:tcW w:w="1662" w:type="dxa"/>
            <w:tcBorders>
              <w:top w:val="single" w:sz="4" w:space="0" w:color="auto"/>
            </w:tcBorders>
            <w:noWrap/>
            <w:hideMark/>
          </w:tcPr>
          <w:p w14:paraId="69217819" w14:textId="77777777" w:rsidR="007D27B3" w:rsidRPr="00C77471" w:rsidRDefault="007D27B3" w:rsidP="00B21E06">
            <w:pPr>
              <w:spacing w:line="360" w:lineRule="auto"/>
              <w:jc w:val="center"/>
              <w:rPr>
                <w:rFonts w:ascii="Book Antiqua" w:hAnsi="Book Antiqua"/>
              </w:rPr>
            </w:pPr>
            <w:r w:rsidRPr="00C77471">
              <w:rPr>
                <w:rFonts w:ascii="Book Antiqua" w:hAnsi="Book Antiqua"/>
              </w:rPr>
              <w:t>Prospective</w:t>
            </w:r>
          </w:p>
        </w:tc>
        <w:tc>
          <w:tcPr>
            <w:tcW w:w="1276" w:type="dxa"/>
            <w:tcBorders>
              <w:top w:val="single" w:sz="4" w:space="0" w:color="auto"/>
            </w:tcBorders>
            <w:noWrap/>
            <w:hideMark/>
          </w:tcPr>
          <w:p w14:paraId="4409356B" w14:textId="77777777" w:rsidR="007D27B3" w:rsidRPr="00C77471" w:rsidRDefault="007D27B3" w:rsidP="00B21E06">
            <w:pPr>
              <w:spacing w:line="360" w:lineRule="auto"/>
              <w:jc w:val="center"/>
              <w:rPr>
                <w:rFonts w:ascii="Book Antiqua" w:hAnsi="Book Antiqua"/>
              </w:rPr>
            </w:pPr>
            <w:r w:rsidRPr="00C77471">
              <w:rPr>
                <w:rFonts w:ascii="Book Antiqua" w:hAnsi="Book Antiqua"/>
              </w:rPr>
              <w:t>14</w:t>
            </w:r>
          </w:p>
        </w:tc>
        <w:tc>
          <w:tcPr>
            <w:tcW w:w="1984" w:type="dxa"/>
            <w:gridSpan w:val="2"/>
            <w:tcBorders>
              <w:top w:val="single" w:sz="4" w:space="0" w:color="auto"/>
            </w:tcBorders>
            <w:noWrap/>
            <w:hideMark/>
          </w:tcPr>
          <w:p w14:paraId="305317A6" w14:textId="77777777" w:rsidR="007D27B3" w:rsidRPr="00C77471" w:rsidRDefault="00172491" w:rsidP="00B21E06">
            <w:pPr>
              <w:spacing w:line="360" w:lineRule="auto"/>
              <w:jc w:val="center"/>
              <w:rPr>
                <w:rFonts w:ascii="Book Antiqua" w:hAnsi="Book Antiqua"/>
              </w:rPr>
            </w:pPr>
            <w:r w:rsidRPr="00C77471">
              <w:rPr>
                <w:rFonts w:ascii="Book Antiqua" w:hAnsi="Book Antiqua"/>
              </w:rPr>
              <w:t xml:space="preserve">1.4 </w:t>
            </w:r>
            <w:proofErr w:type="spellStart"/>
            <w:r w:rsidRPr="00C77471">
              <w:rPr>
                <w:rFonts w:ascii="Book Antiqua" w:hAnsi="Book Antiqua"/>
              </w:rPr>
              <w:t>y</w:t>
            </w:r>
            <w:r w:rsidR="007D27B3" w:rsidRPr="00C77471">
              <w:rPr>
                <w:rFonts w:ascii="Book Antiqua" w:hAnsi="Book Antiqua"/>
              </w:rPr>
              <w:t>r</w:t>
            </w:r>
            <w:proofErr w:type="spellEnd"/>
          </w:p>
        </w:tc>
        <w:tc>
          <w:tcPr>
            <w:tcW w:w="2575" w:type="dxa"/>
            <w:tcBorders>
              <w:top w:val="single" w:sz="4" w:space="0" w:color="auto"/>
            </w:tcBorders>
            <w:noWrap/>
            <w:hideMark/>
          </w:tcPr>
          <w:p w14:paraId="7EBF039B" w14:textId="77777777" w:rsidR="007D27B3" w:rsidRPr="00C77471" w:rsidRDefault="00B21E06" w:rsidP="00B21E06">
            <w:pPr>
              <w:spacing w:line="360" w:lineRule="auto"/>
              <w:jc w:val="center"/>
              <w:rPr>
                <w:rFonts w:ascii="Book Antiqua" w:hAnsi="Book Antiqua"/>
              </w:rPr>
            </w:pPr>
            <w:r w:rsidRPr="00C77471">
              <w:rPr>
                <w:rFonts w:ascii="Book Antiqua" w:hAnsi="Book Antiqua"/>
              </w:rPr>
              <w:t>4 (29</w:t>
            </w:r>
            <w:r w:rsidR="007D27B3" w:rsidRPr="00C77471">
              <w:rPr>
                <w:rFonts w:ascii="Book Antiqua" w:hAnsi="Book Antiqua"/>
              </w:rPr>
              <w:t>)</w:t>
            </w:r>
          </w:p>
        </w:tc>
      </w:tr>
      <w:tr w:rsidR="00C77471" w:rsidRPr="00C77471" w14:paraId="0BB49082" w14:textId="77777777" w:rsidTr="007D27B3">
        <w:trPr>
          <w:trHeight w:val="375"/>
        </w:trPr>
        <w:tc>
          <w:tcPr>
            <w:tcW w:w="2694" w:type="dxa"/>
            <w:noWrap/>
            <w:hideMark/>
          </w:tcPr>
          <w:p w14:paraId="1FB6AD83" w14:textId="77777777" w:rsidR="007D27B3" w:rsidRPr="00C77471" w:rsidRDefault="007D27B3" w:rsidP="00431B59">
            <w:pPr>
              <w:spacing w:line="360" w:lineRule="auto"/>
              <w:jc w:val="both"/>
              <w:rPr>
                <w:rFonts w:ascii="Book Antiqua" w:hAnsi="Book Antiqua"/>
              </w:rPr>
            </w:pPr>
            <w:r w:rsidRPr="00C77471">
              <w:rPr>
                <w:rFonts w:ascii="Book Antiqua" w:hAnsi="Book Antiqua"/>
              </w:rPr>
              <w:t xml:space="preserve">Collins </w:t>
            </w:r>
            <w:r w:rsidR="00431B59" w:rsidRPr="00C77471">
              <w:rPr>
                <w:rFonts w:ascii="Book Antiqua" w:hAnsi="Book Antiqua"/>
                <w:i/>
              </w:rPr>
              <w:t>et al</w:t>
            </w:r>
            <w:r w:rsidR="00431B59" w:rsidRPr="00C77471">
              <w:rPr>
                <w:rFonts w:ascii="Book Antiqua" w:hAnsi="Book Antiqua"/>
                <w:vertAlign w:val="superscript"/>
              </w:rPr>
              <w:t>[15]</w:t>
            </w:r>
            <w:r w:rsidR="00431B59" w:rsidRPr="00C77471">
              <w:rPr>
                <w:rFonts w:ascii="Book Antiqua" w:hAnsi="Book Antiqua"/>
              </w:rPr>
              <w:t xml:space="preserve">, </w:t>
            </w:r>
            <w:r w:rsidRPr="00C77471">
              <w:rPr>
                <w:rFonts w:ascii="Book Antiqua" w:hAnsi="Book Antiqua"/>
              </w:rPr>
              <w:t>2004</w:t>
            </w:r>
            <w:r w:rsidRPr="00C77471">
              <w:rPr>
                <w:rFonts w:ascii="Book Antiqua" w:hAnsi="Book Antiqua"/>
                <w:vertAlign w:val="superscript"/>
              </w:rPr>
              <w:t xml:space="preserve"> </w:t>
            </w:r>
          </w:p>
        </w:tc>
        <w:tc>
          <w:tcPr>
            <w:tcW w:w="1662" w:type="dxa"/>
            <w:noWrap/>
            <w:hideMark/>
          </w:tcPr>
          <w:p w14:paraId="3E2B3DE1" w14:textId="77777777" w:rsidR="007D27B3" w:rsidRPr="00C77471" w:rsidRDefault="007D27B3" w:rsidP="00B21E06">
            <w:pPr>
              <w:spacing w:line="360" w:lineRule="auto"/>
              <w:jc w:val="center"/>
              <w:rPr>
                <w:rFonts w:ascii="Book Antiqua" w:hAnsi="Book Antiqua"/>
              </w:rPr>
            </w:pPr>
            <w:r w:rsidRPr="00C77471">
              <w:rPr>
                <w:rFonts w:ascii="Book Antiqua" w:hAnsi="Book Antiqua"/>
              </w:rPr>
              <w:t>Prospective</w:t>
            </w:r>
          </w:p>
        </w:tc>
        <w:tc>
          <w:tcPr>
            <w:tcW w:w="1276" w:type="dxa"/>
            <w:noWrap/>
            <w:hideMark/>
          </w:tcPr>
          <w:p w14:paraId="1BF1A410" w14:textId="77777777" w:rsidR="007D27B3" w:rsidRPr="00C77471" w:rsidRDefault="007D27B3" w:rsidP="00B21E06">
            <w:pPr>
              <w:spacing w:line="360" w:lineRule="auto"/>
              <w:jc w:val="center"/>
              <w:rPr>
                <w:rFonts w:ascii="Book Antiqua" w:hAnsi="Book Antiqua"/>
              </w:rPr>
            </w:pPr>
            <w:r w:rsidRPr="00C77471">
              <w:rPr>
                <w:rFonts w:ascii="Book Antiqua" w:hAnsi="Book Antiqua"/>
              </w:rPr>
              <w:t>46</w:t>
            </w:r>
          </w:p>
        </w:tc>
        <w:tc>
          <w:tcPr>
            <w:tcW w:w="1984" w:type="dxa"/>
            <w:gridSpan w:val="2"/>
            <w:noWrap/>
            <w:hideMark/>
          </w:tcPr>
          <w:p w14:paraId="202FC857" w14:textId="77777777" w:rsidR="007D27B3" w:rsidRPr="00C77471" w:rsidRDefault="00172491" w:rsidP="00B21E06">
            <w:pPr>
              <w:spacing w:line="360" w:lineRule="auto"/>
              <w:jc w:val="center"/>
              <w:rPr>
                <w:rFonts w:ascii="Book Antiqua" w:hAnsi="Book Antiqua"/>
              </w:rPr>
            </w:pPr>
            <w:r w:rsidRPr="00C77471">
              <w:rPr>
                <w:rFonts w:ascii="Book Antiqua" w:hAnsi="Book Antiqua"/>
              </w:rPr>
              <w:t xml:space="preserve">6 </w:t>
            </w:r>
            <w:proofErr w:type="spellStart"/>
            <w:r w:rsidRPr="00C77471">
              <w:rPr>
                <w:rFonts w:ascii="Book Antiqua" w:hAnsi="Book Antiqua"/>
              </w:rPr>
              <w:t>w</w:t>
            </w:r>
            <w:r w:rsidR="007D27B3" w:rsidRPr="00C77471">
              <w:rPr>
                <w:rFonts w:ascii="Book Antiqua" w:hAnsi="Book Antiqua"/>
              </w:rPr>
              <w:t>k</w:t>
            </w:r>
            <w:proofErr w:type="spellEnd"/>
          </w:p>
        </w:tc>
        <w:tc>
          <w:tcPr>
            <w:tcW w:w="2575" w:type="dxa"/>
            <w:noWrap/>
            <w:hideMark/>
          </w:tcPr>
          <w:p w14:paraId="642572DE" w14:textId="77777777" w:rsidR="007D27B3" w:rsidRPr="00C77471" w:rsidRDefault="007D27B3" w:rsidP="00B21E06">
            <w:pPr>
              <w:spacing w:line="360" w:lineRule="auto"/>
              <w:jc w:val="center"/>
              <w:rPr>
                <w:rFonts w:ascii="Book Antiqua" w:hAnsi="Book Antiqua"/>
              </w:rPr>
            </w:pPr>
            <w:r w:rsidRPr="00C77471">
              <w:rPr>
                <w:rFonts w:ascii="Book Antiqua" w:hAnsi="Book Antiqua"/>
              </w:rPr>
              <w:t>0</w:t>
            </w:r>
          </w:p>
        </w:tc>
      </w:tr>
      <w:tr w:rsidR="00C77471" w:rsidRPr="00C77471" w14:paraId="75F73CFA" w14:textId="77777777" w:rsidTr="007D27B3">
        <w:trPr>
          <w:trHeight w:val="375"/>
        </w:trPr>
        <w:tc>
          <w:tcPr>
            <w:tcW w:w="2694" w:type="dxa"/>
            <w:noWrap/>
            <w:hideMark/>
          </w:tcPr>
          <w:p w14:paraId="2918873F" w14:textId="77777777" w:rsidR="007D27B3" w:rsidRPr="00C77471" w:rsidRDefault="007D27B3" w:rsidP="00431B59">
            <w:pPr>
              <w:spacing w:line="360" w:lineRule="auto"/>
              <w:jc w:val="both"/>
              <w:rPr>
                <w:rFonts w:ascii="Book Antiqua" w:hAnsi="Book Antiqua"/>
              </w:rPr>
            </w:pPr>
            <w:r w:rsidRPr="00C77471">
              <w:rPr>
                <w:rFonts w:ascii="Book Antiqua" w:hAnsi="Book Antiqua"/>
              </w:rPr>
              <w:t xml:space="preserve">Caddy </w:t>
            </w:r>
            <w:r w:rsidR="00431B59" w:rsidRPr="00C77471">
              <w:rPr>
                <w:rFonts w:ascii="Book Antiqua" w:hAnsi="Book Antiqua"/>
                <w:i/>
              </w:rPr>
              <w:t>et al</w:t>
            </w:r>
            <w:r w:rsidR="00431B59" w:rsidRPr="00C77471">
              <w:rPr>
                <w:rFonts w:ascii="Book Antiqua" w:hAnsi="Book Antiqua"/>
                <w:vertAlign w:val="superscript"/>
              </w:rPr>
              <w:t>[16]</w:t>
            </w:r>
            <w:r w:rsidR="00431B59" w:rsidRPr="00C77471">
              <w:rPr>
                <w:rFonts w:ascii="Book Antiqua" w:hAnsi="Book Antiqua"/>
              </w:rPr>
              <w:t xml:space="preserve">, </w:t>
            </w:r>
            <w:r w:rsidRPr="00C77471">
              <w:rPr>
                <w:rFonts w:ascii="Book Antiqua" w:hAnsi="Book Antiqua"/>
              </w:rPr>
              <w:t>2005</w:t>
            </w:r>
          </w:p>
        </w:tc>
        <w:tc>
          <w:tcPr>
            <w:tcW w:w="1662" w:type="dxa"/>
            <w:noWrap/>
            <w:hideMark/>
          </w:tcPr>
          <w:p w14:paraId="2D094252" w14:textId="77777777" w:rsidR="007D27B3" w:rsidRPr="00C77471" w:rsidRDefault="007D27B3" w:rsidP="00B21E06">
            <w:pPr>
              <w:spacing w:line="360" w:lineRule="auto"/>
              <w:jc w:val="center"/>
              <w:rPr>
                <w:rFonts w:ascii="Book Antiqua" w:hAnsi="Book Antiqua"/>
              </w:rPr>
            </w:pPr>
            <w:r w:rsidRPr="00C77471">
              <w:rPr>
                <w:rFonts w:ascii="Book Antiqua" w:hAnsi="Book Antiqua"/>
              </w:rPr>
              <w:t>Retrospective</w:t>
            </w:r>
          </w:p>
        </w:tc>
        <w:tc>
          <w:tcPr>
            <w:tcW w:w="1276" w:type="dxa"/>
            <w:noWrap/>
            <w:hideMark/>
          </w:tcPr>
          <w:p w14:paraId="574213BD" w14:textId="77777777" w:rsidR="007D27B3" w:rsidRPr="00C77471" w:rsidRDefault="007D27B3" w:rsidP="00B21E06">
            <w:pPr>
              <w:spacing w:line="360" w:lineRule="auto"/>
              <w:jc w:val="center"/>
              <w:rPr>
                <w:rFonts w:ascii="Book Antiqua" w:hAnsi="Book Antiqua"/>
              </w:rPr>
            </w:pPr>
            <w:r w:rsidRPr="00C77471">
              <w:rPr>
                <w:rFonts w:ascii="Book Antiqua" w:hAnsi="Book Antiqua"/>
              </w:rPr>
              <w:t>59</w:t>
            </w:r>
          </w:p>
        </w:tc>
        <w:tc>
          <w:tcPr>
            <w:tcW w:w="1984" w:type="dxa"/>
            <w:gridSpan w:val="2"/>
            <w:noWrap/>
            <w:hideMark/>
          </w:tcPr>
          <w:p w14:paraId="1CFC0C3C" w14:textId="77777777" w:rsidR="007D27B3" w:rsidRPr="00C77471" w:rsidRDefault="00172491" w:rsidP="00B21E06">
            <w:pPr>
              <w:spacing w:line="360" w:lineRule="auto"/>
              <w:jc w:val="center"/>
              <w:rPr>
                <w:rFonts w:ascii="Book Antiqua" w:hAnsi="Book Antiqua"/>
              </w:rPr>
            </w:pPr>
            <w:r w:rsidRPr="00C77471">
              <w:rPr>
                <w:rFonts w:ascii="Book Antiqua" w:hAnsi="Book Antiqua"/>
              </w:rPr>
              <w:t xml:space="preserve">4.8 </w:t>
            </w:r>
            <w:proofErr w:type="spellStart"/>
            <w:r w:rsidRPr="00C77471">
              <w:rPr>
                <w:rFonts w:ascii="Book Antiqua" w:hAnsi="Book Antiqua"/>
              </w:rPr>
              <w:t>y</w:t>
            </w:r>
            <w:r w:rsidR="007D27B3" w:rsidRPr="00C77471">
              <w:rPr>
                <w:rFonts w:ascii="Book Antiqua" w:hAnsi="Book Antiqua"/>
              </w:rPr>
              <w:t>r</w:t>
            </w:r>
            <w:proofErr w:type="spellEnd"/>
          </w:p>
        </w:tc>
        <w:tc>
          <w:tcPr>
            <w:tcW w:w="2575" w:type="dxa"/>
            <w:noWrap/>
            <w:hideMark/>
          </w:tcPr>
          <w:p w14:paraId="0C6E13B8" w14:textId="77777777" w:rsidR="007D27B3" w:rsidRPr="00C77471" w:rsidRDefault="007D27B3" w:rsidP="00B21E06">
            <w:pPr>
              <w:spacing w:line="360" w:lineRule="auto"/>
              <w:jc w:val="center"/>
              <w:rPr>
                <w:rFonts w:ascii="Book Antiqua" w:hAnsi="Book Antiqua"/>
              </w:rPr>
            </w:pPr>
            <w:r w:rsidRPr="00C77471">
              <w:rPr>
                <w:rFonts w:ascii="Book Antiqua" w:hAnsi="Book Antiqua"/>
              </w:rPr>
              <w:t>0</w:t>
            </w:r>
          </w:p>
        </w:tc>
      </w:tr>
      <w:tr w:rsidR="00C77471" w:rsidRPr="00C77471" w14:paraId="6BF4CCE7" w14:textId="77777777" w:rsidTr="007D27B3">
        <w:trPr>
          <w:trHeight w:val="375"/>
        </w:trPr>
        <w:tc>
          <w:tcPr>
            <w:tcW w:w="2694" w:type="dxa"/>
            <w:noWrap/>
            <w:hideMark/>
          </w:tcPr>
          <w:p w14:paraId="28EB396F" w14:textId="77777777" w:rsidR="007D27B3" w:rsidRPr="00C77471" w:rsidRDefault="007D27B3" w:rsidP="00431B59">
            <w:pPr>
              <w:spacing w:line="360" w:lineRule="auto"/>
              <w:jc w:val="both"/>
              <w:rPr>
                <w:rFonts w:ascii="Book Antiqua" w:hAnsi="Book Antiqua"/>
              </w:rPr>
            </w:pPr>
            <w:r w:rsidRPr="00C77471">
              <w:rPr>
                <w:rFonts w:ascii="Book Antiqua" w:hAnsi="Book Antiqua"/>
              </w:rPr>
              <w:t xml:space="preserve">Moller </w:t>
            </w:r>
            <w:r w:rsidR="00431B59" w:rsidRPr="00C77471">
              <w:rPr>
                <w:rFonts w:ascii="Book Antiqua" w:hAnsi="Book Antiqua"/>
                <w:i/>
              </w:rPr>
              <w:t>et al</w:t>
            </w:r>
            <w:r w:rsidR="00431B59" w:rsidRPr="00C77471">
              <w:rPr>
                <w:rFonts w:ascii="Book Antiqua" w:hAnsi="Book Antiqua"/>
                <w:vertAlign w:val="superscript"/>
              </w:rPr>
              <w:t>[17]</w:t>
            </w:r>
            <w:r w:rsidR="00431B59" w:rsidRPr="00C77471">
              <w:rPr>
                <w:rFonts w:ascii="Book Antiqua" w:hAnsi="Book Antiqua"/>
              </w:rPr>
              <w:t xml:space="preserve">, </w:t>
            </w:r>
            <w:r w:rsidRPr="00C77471">
              <w:rPr>
                <w:rFonts w:ascii="Book Antiqua" w:hAnsi="Book Antiqua"/>
              </w:rPr>
              <w:t>2014</w:t>
            </w:r>
          </w:p>
        </w:tc>
        <w:tc>
          <w:tcPr>
            <w:tcW w:w="1662" w:type="dxa"/>
            <w:noWrap/>
            <w:hideMark/>
          </w:tcPr>
          <w:p w14:paraId="63071F7A" w14:textId="77777777" w:rsidR="007D27B3" w:rsidRPr="00C77471" w:rsidRDefault="007D27B3" w:rsidP="00B21E06">
            <w:pPr>
              <w:spacing w:line="360" w:lineRule="auto"/>
              <w:jc w:val="center"/>
              <w:rPr>
                <w:rFonts w:ascii="Book Antiqua" w:hAnsi="Book Antiqua"/>
              </w:rPr>
            </w:pPr>
            <w:r w:rsidRPr="00C77471">
              <w:rPr>
                <w:rFonts w:ascii="Book Antiqua" w:hAnsi="Book Antiqua"/>
              </w:rPr>
              <w:t>Retrospective</w:t>
            </w:r>
          </w:p>
        </w:tc>
        <w:tc>
          <w:tcPr>
            <w:tcW w:w="1276" w:type="dxa"/>
            <w:noWrap/>
            <w:hideMark/>
          </w:tcPr>
          <w:p w14:paraId="234F8874" w14:textId="77777777" w:rsidR="007D27B3" w:rsidRPr="00C77471" w:rsidRDefault="007D27B3" w:rsidP="00B21E06">
            <w:pPr>
              <w:spacing w:line="360" w:lineRule="auto"/>
              <w:jc w:val="center"/>
              <w:rPr>
                <w:rFonts w:ascii="Book Antiqua" w:hAnsi="Book Antiqua"/>
              </w:rPr>
            </w:pPr>
            <w:r w:rsidRPr="00C77471">
              <w:rPr>
                <w:rFonts w:ascii="Book Antiqua" w:hAnsi="Book Antiqua"/>
              </w:rPr>
              <w:t>594</w:t>
            </w:r>
          </w:p>
        </w:tc>
        <w:tc>
          <w:tcPr>
            <w:tcW w:w="1984" w:type="dxa"/>
            <w:gridSpan w:val="2"/>
            <w:noWrap/>
            <w:hideMark/>
          </w:tcPr>
          <w:p w14:paraId="3D328AA8" w14:textId="77777777" w:rsidR="007D27B3" w:rsidRPr="00C77471" w:rsidRDefault="007D27B3" w:rsidP="00B21E06">
            <w:pPr>
              <w:spacing w:line="360" w:lineRule="auto"/>
              <w:jc w:val="center"/>
              <w:rPr>
                <w:rFonts w:ascii="Book Antiqua" w:hAnsi="Book Antiqua"/>
              </w:rPr>
            </w:pPr>
            <w:r w:rsidRPr="00C77471">
              <w:rPr>
                <w:rFonts w:ascii="Book Antiqua" w:hAnsi="Book Antiqua"/>
              </w:rPr>
              <w:t>30 d</w:t>
            </w:r>
          </w:p>
        </w:tc>
        <w:tc>
          <w:tcPr>
            <w:tcW w:w="2575" w:type="dxa"/>
            <w:noWrap/>
            <w:hideMark/>
          </w:tcPr>
          <w:p w14:paraId="56FE1191" w14:textId="77777777" w:rsidR="007D27B3" w:rsidRPr="00C77471" w:rsidRDefault="00B21E06" w:rsidP="00B21E06">
            <w:pPr>
              <w:spacing w:line="360" w:lineRule="auto"/>
              <w:jc w:val="center"/>
              <w:rPr>
                <w:rFonts w:ascii="Book Antiqua" w:hAnsi="Book Antiqua"/>
              </w:rPr>
            </w:pPr>
            <w:r w:rsidRPr="00C77471">
              <w:rPr>
                <w:rFonts w:ascii="Book Antiqua" w:hAnsi="Book Antiqua"/>
              </w:rPr>
              <w:t>150 (25</w:t>
            </w:r>
            <w:r w:rsidR="007D27B3" w:rsidRPr="00C77471">
              <w:rPr>
                <w:rFonts w:ascii="Book Antiqua" w:hAnsi="Book Antiqua"/>
              </w:rPr>
              <w:t>)</w:t>
            </w:r>
          </w:p>
        </w:tc>
      </w:tr>
      <w:tr w:rsidR="007D27B3" w:rsidRPr="00C77471" w14:paraId="6F1CF459" w14:textId="77777777" w:rsidTr="007D27B3">
        <w:trPr>
          <w:trHeight w:val="375"/>
        </w:trPr>
        <w:tc>
          <w:tcPr>
            <w:tcW w:w="2694" w:type="dxa"/>
            <w:tcBorders>
              <w:bottom w:val="single" w:sz="4" w:space="0" w:color="auto"/>
            </w:tcBorders>
            <w:noWrap/>
            <w:hideMark/>
          </w:tcPr>
          <w:p w14:paraId="2965A2F8" w14:textId="77777777" w:rsidR="007D27B3" w:rsidRPr="00C77471" w:rsidRDefault="007D27B3" w:rsidP="00431B59">
            <w:pPr>
              <w:spacing w:line="360" w:lineRule="auto"/>
              <w:jc w:val="both"/>
              <w:rPr>
                <w:rFonts w:ascii="Book Antiqua" w:hAnsi="Book Antiqua"/>
              </w:rPr>
            </w:pPr>
            <w:proofErr w:type="spellStart"/>
            <w:r w:rsidRPr="00C77471">
              <w:rPr>
                <w:rFonts w:ascii="Book Antiqua" w:hAnsi="Book Antiqua"/>
              </w:rPr>
              <w:t>Hakuta</w:t>
            </w:r>
            <w:proofErr w:type="spellEnd"/>
            <w:r w:rsidRPr="00C77471">
              <w:rPr>
                <w:rFonts w:ascii="Book Antiqua" w:hAnsi="Book Antiqua"/>
              </w:rPr>
              <w:t xml:space="preserve"> </w:t>
            </w:r>
            <w:r w:rsidR="00431B59" w:rsidRPr="00C77471">
              <w:rPr>
                <w:rFonts w:ascii="Book Antiqua" w:hAnsi="Book Antiqua"/>
                <w:i/>
              </w:rPr>
              <w:t>et al</w:t>
            </w:r>
            <w:r w:rsidR="00431B59" w:rsidRPr="00C77471">
              <w:rPr>
                <w:rFonts w:ascii="Book Antiqua" w:hAnsi="Book Antiqua"/>
                <w:vertAlign w:val="superscript"/>
              </w:rPr>
              <w:t>[18]</w:t>
            </w:r>
            <w:r w:rsidR="00431B59" w:rsidRPr="00C77471">
              <w:rPr>
                <w:rFonts w:ascii="Book Antiqua" w:hAnsi="Book Antiqua"/>
              </w:rPr>
              <w:t xml:space="preserve">, </w:t>
            </w:r>
            <w:r w:rsidRPr="00C77471">
              <w:rPr>
                <w:rFonts w:ascii="Book Antiqua" w:hAnsi="Book Antiqua"/>
              </w:rPr>
              <w:t>2020</w:t>
            </w:r>
          </w:p>
        </w:tc>
        <w:tc>
          <w:tcPr>
            <w:tcW w:w="1662" w:type="dxa"/>
            <w:tcBorders>
              <w:bottom w:val="single" w:sz="4" w:space="0" w:color="auto"/>
            </w:tcBorders>
            <w:noWrap/>
            <w:hideMark/>
          </w:tcPr>
          <w:p w14:paraId="3B29D10C" w14:textId="77777777" w:rsidR="007D27B3" w:rsidRPr="00C77471" w:rsidRDefault="007D27B3" w:rsidP="00B21E06">
            <w:pPr>
              <w:spacing w:line="360" w:lineRule="auto"/>
              <w:jc w:val="center"/>
              <w:rPr>
                <w:rFonts w:ascii="Book Antiqua" w:hAnsi="Book Antiqua"/>
              </w:rPr>
            </w:pPr>
            <w:r w:rsidRPr="00C77471">
              <w:rPr>
                <w:rFonts w:ascii="Book Antiqua" w:hAnsi="Book Antiqua"/>
              </w:rPr>
              <w:t>Retrospective</w:t>
            </w:r>
          </w:p>
        </w:tc>
        <w:tc>
          <w:tcPr>
            <w:tcW w:w="1276" w:type="dxa"/>
            <w:tcBorders>
              <w:bottom w:val="single" w:sz="4" w:space="0" w:color="auto"/>
            </w:tcBorders>
            <w:noWrap/>
            <w:hideMark/>
          </w:tcPr>
          <w:p w14:paraId="4E4581BD" w14:textId="77777777" w:rsidR="007D27B3" w:rsidRPr="00C77471" w:rsidRDefault="007D27B3" w:rsidP="00B21E06">
            <w:pPr>
              <w:spacing w:line="360" w:lineRule="auto"/>
              <w:jc w:val="center"/>
              <w:rPr>
                <w:rFonts w:ascii="Book Antiqua" w:hAnsi="Book Antiqua"/>
              </w:rPr>
            </w:pPr>
            <w:r w:rsidRPr="00C77471">
              <w:rPr>
                <w:rFonts w:ascii="Book Antiqua" w:hAnsi="Book Antiqua"/>
              </w:rPr>
              <w:t>114</w:t>
            </w:r>
          </w:p>
        </w:tc>
        <w:tc>
          <w:tcPr>
            <w:tcW w:w="1984" w:type="dxa"/>
            <w:gridSpan w:val="2"/>
            <w:tcBorders>
              <w:bottom w:val="single" w:sz="4" w:space="0" w:color="auto"/>
            </w:tcBorders>
            <w:noWrap/>
            <w:hideMark/>
          </w:tcPr>
          <w:p w14:paraId="5B8F1B55" w14:textId="77777777" w:rsidR="007D27B3" w:rsidRPr="00C77471" w:rsidRDefault="00172491" w:rsidP="00B21E06">
            <w:pPr>
              <w:spacing w:line="360" w:lineRule="auto"/>
              <w:jc w:val="center"/>
              <w:rPr>
                <w:rFonts w:ascii="Book Antiqua" w:hAnsi="Book Antiqua"/>
              </w:rPr>
            </w:pPr>
            <w:r w:rsidRPr="00C77471">
              <w:rPr>
                <w:rFonts w:ascii="Book Antiqua" w:hAnsi="Book Antiqua"/>
              </w:rPr>
              <w:t xml:space="preserve">3.2 </w:t>
            </w:r>
            <w:proofErr w:type="spellStart"/>
            <w:r w:rsidRPr="00C77471">
              <w:rPr>
                <w:rFonts w:ascii="Book Antiqua" w:hAnsi="Book Antiqua"/>
              </w:rPr>
              <w:t>y</w:t>
            </w:r>
            <w:r w:rsidR="007D27B3" w:rsidRPr="00C77471">
              <w:rPr>
                <w:rFonts w:ascii="Book Antiqua" w:hAnsi="Book Antiqua"/>
              </w:rPr>
              <w:t>r</w:t>
            </w:r>
            <w:proofErr w:type="spellEnd"/>
          </w:p>
        </w:tc>
        <w:tc>
          <w:tcPr>
            <w:tcW w:w="2575" w:type="dxa"/>
            <w:tcBorders>
              <w:bottom w:val="single" w:sz="4" w:space="0" w:color="auto"/>
            </w:tcBorders>
            <w:noWrap/>
            <w:hideMark/>
          </w:tcPr>
          <w:p w14:paraId="1C186665" w14:textId="77777777" w:rsidR="007D27B3" w:rsidRPr="00C77471" w:rsidRDefault="00B21E06" w:rsidP="00B21E06">
            <w:pPr>
              <w:spacing w:line="360" w:lineRule="auto"/>
              <w:jc w:val="center"/>
              <w:rPr>
                <w:rFonts w:ascii="Book Antiqua" w:hAnsi="Book Antiqua"/>
              </w:rPr>
            </w:pPr>
            <w:r w:rsidRPr="00C77471">
              <w:rPr>
                <w:rFonts w:ascii="Book Antiqua" w:hAnsi="Book Antiqua"/>
              </w:rPr>
              <w:t>20 (18</w:t>
            </w:r>
            <w:r w:rsidR="007D27B3" w:rsidRPr="00C77471">
              <w:rPr>
                <w:rFonts w:ascii="Book Antiqua" w:hAnsi="Book Antiqua"/>
              </w:rPr>
              <w:t>)</w:t>
            </w:r>
          </w:p>
        </w:tc>
      </w:tr>
    </w:tbl>
    <w:p w14:paraId="44D6FB5C" w14:textId="77777777" w:rsidR="007D27B3" w:rsidRPr="00C77471" w:rsidRDefault="007D27B3">
      <w:pPr>
        <w:spacing w:line="360" w:lineRule="auto"/>
        <w:jc w:val="both"/>
        <w:rPr>
          <w:rFonts w:ascii="Book Antiqua" w:hAnsi="Book Antiqua"/>
        </w:rPr>
      </w:pPr>
    </w:p>
    <w:sectPr w:rsidR="007D27B3" w:rsidRPr="00C77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A411B" w14:textId="77777777" w:rsidR="00BD4C90" w:rsidRDefault="00BD4C90" w:rsidP="006F0D3C">
      <w:r>
        <w:separator/>
      </w:r>
    </w:p>
  </w:endnote>
  <w:endnote w:type="continuationSeparator" w:id="0">
    <w:p w14:paraId="57CDEAFF" w14:textId="77777777" w:rsidR="00BD4C90" w:rsidRDefault="00BD4C90" w:rsidP="006F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056680"/>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1F0CD94E" w14:textId="77777777" w:rsidR="006F0D3C" w:rsidRDefault="006F0D3C" w:rsidP="006F0D3C">
            <w:pPr>
              <w:pStyle w:val="Footer"/>
              <w:jc w:val="right"/>
            </w:pPr>
            <w:r w:rsidRPr="006F0D3C">
              <w:rPr>
                <w:sz w:val="21"/>
                <w:szCs w:val="21"/>
                <w:lang w:val="zh-CN" w:eastAsia="zh-CN"/>
              </w:rPr>
              <w:t xml:space="preserve"> </w:t>
            </w:r>
            <w:r w:rsidRPr="00635E54">
              <w:rPr>
                <w:rFonts w:ascii="Book Antiqua" w:hAnsi="Book Antiqua"/>
                <w:b/>
                <w:bCs/>
                <w:sz w:val="21"/>
                <w:szCs w:val="21"/>
              </w:rPr>
              <w:fldChar w:fldCharType="begin"/>
            </w:r>
            <w:r w:rsidRPr="00635E54">
              <w:rPr>
                <w:rFonts w:ascii="Book Antiqua" w:hAnsi="Book Antiqua"/>
                <w:b/>
                <w:bCs/>
                <w:sz w:val="21"/>
                <w:szCs w:val="21"/>
              </w:rPr>
              <w:instrText>PAGE</w:instrText>
            </w:r>
            <w:r w:rsidRPr="00635E54">
              <w:rPr>
                <w:rFonts w:ascii="Book Antiqua" w:hAnsi="Book Antiqua"/>
                <w:b/>
                <w:bCs/>
                <w:sz w:val="21"/>
                <w:szCs w:val="21"/>
              </w:rPr>
              <w:fldChar w:fldCharType="separate"/>
            </w:r>
            <w:r w:rsidR="00825702" w:rsidRPr="00635E54">
              <w:rPr>
                <w:rFonts w:ascii="Book Antiqua" w:hAnsi="Book Antiqua"/>
                <w:b/>
                <w:bCs/>
                <w:noProof/>
                <w:sz w:val="21"/>
                <w:szCs w:val="21"/>
              </w:rPr>
              <w:t>25</w:t>
            </w:r>
            <w:r w:rsidRPr="00635E54">
              <w:rPr>
                <w:rFonts w:ascii="Book Antiqua" w:hAnsi="Book Antiqua"/>
                <w:b/>
                <w:bCs/>
                <w:sz w:val="21"/>
                <w:szCs w:val="21"/>
              </w:rPr>
              <w:fldChar w:fldCharType="end"/>
            </w:r>
            <w:r w:rsidRPr="00635E54">
              <w:rPr>
                <w:rFonts w:ascii="Book Antiqua" w:hAnsi="Book Antiqua"/>
                <w:sz w:val="21"/>
                <w:szCs w:val="21"/>
                <w:lang w:val="zh-CN" w:eastAsia="zh-CN"/>
              </w:rPr>
              <w:t xml:space="preserve"> / </w:t>
            </w:r>
            <w:r w:rsidRPr="00635E54">
              <w:rPr>
                <w:rFonts w:ascii="Book Antiqua" w:hAnsi="Book Antiqua"/>
                <w:b/>
                <w:bCs/>
                <w:sz w:val="21"/>
                <w:szCs w:val="21"/>
              </w:rPr>
              <w:fldChar w:fldCharType="begin"/>
            </w:r>
            <w:r w:rsidRPr="00635E54">
              <w:rPr>
                <w:rFonts w:ascii="Book Antiqua" w:hAnsi="Book Antiqua"/>
                <w:b/>
                <w:bCs/>
                <w:sz w:val="21"/>
                <w:szCs w:val="21"/>
              </w:rPr>
              <w:instrText>NUMPAGES</w:instrText>
            </w:r>
            <w:r w:rsidRPr="00635E54">
              <w:rPr>
                <w:rFonts w:ascii="Book Antiqua" w:hAnsi="Book Antiqua"/>
                <w:b/>
                <w:bCs/>
                <w:sz w:val="21"/>
                <w:szCs w:val="21"/>
              </w:rPr>
              <w:fldChar w:fldCharType="separate"/>
            </w:r>
            <w:r w:rsidR="00825702" w:rsidRPr="00635E54">
              <w:rPr>
                <w:rFonts w:ascii="Book Antiqua" w:hAnsi="Book Antiqua"/>
                <w:b/>
                <w:bCs/>
                <w:noProof/>
                <w:sz w:val="21"/>
                <w:szCs w:val="21"/>
              </w:rPr>
              <w:t>25</w:t>
            </w:r>
            <w:r w:rsidRPr="00635E54">
              <w:rPr>
                <w:rFonts w:ascii="Book Antiqua" w:hAnsi="Book Antiqua"/>
                <w:b/>
                <w:bCs/>
                <w:sz w:val="21"/>
                <w:szCs w:val="21"/>
              </w:rPr>
              <w:fldChar w:fldCharType="end"/>
            </w:r>
          </w:p>
        </w:sdtContent>
      </w:sdt>
    </w:sdtContent>
  </w:sdt>
  <w:p w14:paraId="4AF94433" w14:textId="77777777" w:rsidR="006F0D3C" w:rsidRDefault="006F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D27AD" w14:textId="77777777" w:rsidR="00BD4C90" w:rsidRDefault="00BD4C90" w:rsidP="006F0D3C">
      <w:r>
        <w:separator/>
      </w:r>
    </w:p>
  </w:footnote>
  <w:footnote w:type="continuationSeparator" w:id="0">
    <w:p w14:paraId="6797233F" w14:textId="77777777" w:rsidR="00BD4C90" w:rsidRDefault="00BD4C90" w:rsidP="006F0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295"/>
    <w:rsid w:val="0002494B"/>
    <w:rsid w:val="000417DE"/>
    <w:rsid w:val="00046A7A"/>
    <w:rsid w:val="0016608F"/>
    <w:rsid w:val="00170F4E"/>
    <w:rsid w:val="00172491"/>
    <w:rsid w:val="001B66A2"/>
    <w:rsid w:val="00205AA4"/>
    <w:rsid w:val="00252A21"/>
    <w:rsid w:val="002530E8"/>
    <w:rsid w:val="002724DE"/>
    <w:rsid w:val="00277413"/>
    <w:rsid w:val="002F0670"/>
    <w:rsid w:val="002F7E4B"/>
    <w:rsid w:val="00362CA2"/>
    <w:rsid w:val="00391D37"/>
    <w:rsid w:val="003D0A10"/>
    <w:rsid w:val="004042F6"/>
    <w:rsid w:val="004131D3"/>
    <w:rsid w:val="0041431C"/>
    <w:rsid w:val="00431B59"/>
    <w:rsid w:val="00483E4F"/>
    <w:rsid w:val="00496962"/>
    <w:rsid w:val="004C3051"/>
    <w:rsid w:val="005128F4"/>
    <w:rsid w:val="005348D2"/>
    <w:rsid w:val="005415CB"/>
    <w:rsid w:val="00563DC6"/>
    <w:rsid w:val="00576779"/>
    <w:rsid w:val="005A3109"/>
    <w:rsid w:val="005B2F7A"/>
    <w:rsid w:val="005E422A"/>
    <w:rsid w:val="005E4632"/>
    <w:rsid w:val="006101AC"/>
    <w:rsid w:val="00635E54"/>
    <w:rsid w:val="006B328E"/>
    <w:rsid w:val="006E693E"/>
    <w:rsid w:val="006F0D3C"/>
    <w:rsid w:val="007A2202"/>
    <w:rsid w:val="007B2450"/>
    <w:rsid w:val="007D27B3"/>
    <w:rsid w:val="007F6648"/>
    <w:rsid w:val="00825702"/>
    <w:rsid w:val="0082714D"/>
    <w:rsid w:val="00833361"/>
    <w:rsid w:val="00840A93"/>
    <w:rsid w:val="008D5742"/>
    <w:rsid w:val="00911D9D"/>
    <w:rsid w:val="00914ADF"/>
    <w:rsid w:val="0092067F"/>
    <w:rsid w:val="00962CC4"/>
    <w:rsid w:val="0098785A"/>
    <w:rsid w:val="009A6095"/>
    <w:rsid w:val="009C395A"/>
    <w:rsid w:val="009F0B98"/>
    <w:rsid w:val="009F3B02"/>
    <w:rsid w:val="00A15634"/>
    <w:rsid w:val="00A76492"/>
    <w:rsid w:val="00A767AE"/>
    <w:rsid w:val="00A77B3E"/>
    <w:rsid w:val="00AC1F5E"/>
    <w:rsid w:val="00B21E06"/>
    <w:rsid w:val="00B227F0"/>
    <w:rsid w:val="00B51AC0"/>
    <w:rsid w:val="00B56B8E"/>
    <w:rsid w:val="00B72ADC"/>
    <w:rsid w:val="00B943CE"/>
    <w:rsid w:val="00BC4099"/>
    <w:rsid w:val="00BD4C90"/>
    <w:rsid w:val="00BD7957"/>
    <w:rsid w:val="00C165DF"/>
    <w:rsid w:val="00C229D1"/>
    <w:rsid w:val="00C403CD"/>
    <w:rsid w:val="00C6321A"/>
    <w:rsid w:val="00C77471"/>
    <w:rsid w:val="00CA2A55"/>
    <w:rsid w:val="00D03B20"/>
    <w:rsid w:val="00D91511"/>
    <w:rsid w:val="00DB1A79"/>
    <w:rsid w:val="00DB451F"/>
    <w:rsid w:val="00DD4EAD"/>
    <w:rsid w:val="00E04E39"/>
    <w:rsid w:val="00EB3724"/>
    <w:rsid w:val="00EC2326"/>
    <w:rsid w:val="00EE1399"/>
    <w:rsid w:val="00F239AC"/>
    <w:rsid w:val="00F272B0"/>
    <w:rsid w:val="00F56B3A"/>
    <w:rsid w:val="00F65544"/>
    <w:rsid w:val="00F75284"/>
    <w:rsid w:val="00F80418"/>
    <w:rsid w:val="00FE5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27409A"/>
  <w15:docId w15:val="{F5766D1C-322C-4DB9-B97A-EEE267C0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um-authors">
    <w:name w:val="docsum-authors"/>
    <w:basedOn w:val="DefaultParagraphFont"/>
  </w:style>
  <w:style w:type="character" w:styleId="Hyperlink">
    <w:name w:val="Hyperlink"/>
    <w:basedOn w:val="DefaultParagraphFont"/>
    <w:unhideWhenUsed/>
    <w:rsid w:val="000417DE"/>
    <w:rPr>
      <w:color w:val="0000FF" w:themeColor="hyperlink"/>
      <w:u w:val="single"/>
    </w:rPr>
  </w:style>
  <w:style w:type="paragraph" w:styleId="Header">
    <w:name w:val="header"/>
    <w:basedOn w:val="Normal"/>
    <w:link w:val="HeaderChar"/>
    <w:unhideWhenUsed/>
    <w:rsid w:val="006F0D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F0D3C"/>
    <w:rPr>
      <w:sz w:val="18"/>
      <w:szCs w:val="18"/>
    </w:rPr>
  </w:style>
  <w:style w:type="paragraph" w:styleId="Footer">
    <w:name w:val="footer"/>
    <w:basedOn w:val="Normal"/>
    <w:link w:val="FooterChar"/>
    <w:uiPriority w:val="99"/>
    <w:unhideWhenUsed/>
    <w:rsid w:val="006F0D3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0D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551812">
      <w:bodyDiv w:val="1"/>
      <w:marLeft w:val="0"/>
      <w:marRight w:val="0"/>
      <w:marTop w:val="0"/>
      <w:marBottom w:val="0"/>
      <w:divBdr>
        <w:top w:val="none" w:sz="0" w:space="0" w:color="auto"/>
        <w:left w:val="none" w:sz="0" w:space="0" w:color="auto"/>
        <w:bottom w:val="none" w:sz="0" w:space="0" w:color="auto"/>
        <w:right w:val="none" w:sz="0" w:space="0" w:color="auto"/>
      </w:divBdr>
    </w:div>
    <w:div w:id="14365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20176">
          <w:marLeft w:val="0"/>
          <w:marRight w:val="0"/>
          <w:marTop w:val="0"/>
          <w:marBottom w:val="0"/>
          <w:divBdr>
            <w:top w:val="none" w:sz="0" w:space="0" w:color="auto"/>
            <w:left w:val="none" w:sz="0" w:space="0" w:color="auto"/>
            <w:bottom w:val="none" w:sz="0" w:space="0" w:color="auto"/>
            <w:right w:val="none" w:sz="0" w:space="0" w:color="auto"/>
          </w:divBdr>
        </w:div>
        <w:div w:id="11299756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Xiao+L&amp;cauthor_id=33295209"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09E09-9EC0-42C6-A5B3-00DFAC63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6228</Words>
  <Characters>35504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H.Saitou</dc:creator>
  <cp:lastModifiedBy>Li Ma</cp:lastModifiedBy>
  <cp:revision>3</cp:revision>
  <cp:lastPrinted>2021-04-11T23:25:00Z</cp:lastPrinted>
  <dcterms:created xsi:type="dcterms:W3CDTF">2021-04-21T13:55:00Z</dcterms:created>
  <dcterms:modified xsi:type="dcterms:W3CDTF">2021-04-21T13:57:00Z</dcterms:modified>
</cp:coreProperties>
</file>