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90BF" w14:textId="39F5849F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color w:val="000000"/>
        </w:rPr>
        <w:t>Name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of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Journal: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color w:val="000000"/>
        </w:rPr>
        <w:t>World</w:t>
      </w:r>
      <w:r w:rsidR="0010390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color w:val="000000"/>
        </w:rPr>
        <w:t>Journal</w:t>
      </w:r>
      <w:r w:rsidR="0010390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color w:val="000000"/>
        </w:rPr>
        <w:t>of</w:t>
      </w:r>
      <w:r w:rsidR="0010390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color w:val="000000"/>
        </w:rPr>
        <w:t>Hepatology</w:t>
      </w:r>
    </w:p>
    <w:p w14:paraId="5E11ECD1" w14:textId="7463C495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color w:val="000000"/>
        </w:rPr>
        <w:t>Manuscript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NO: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64230</w:t>
      </w:r>
    </w:p>
    <w:p w14:paraId="70B6EA4F" w14:textId="56ABDA86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color w:val="000000"/>
        </w:rPr>
        <w:t>Manuscript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Type: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ORIGINAL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ARTICLE</w:t>
      </w:r>
    </w:p>
    <w:p w14:paraId="3447D77B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224A0C" w14:textId="576E229F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1039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1039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57F8953" w14:textId="6604D725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0349FE">
        <w:rPr>
          <w:rFonts w:ascii="Book Antiqua" w:eastAsia="Book Antiqua" w:hAnsi="Book Antiqua" w:cs="Book Antiqua"/>
          <w:b/>
          <w:color w:val="000000"/>
        </w:rPr>
        <w:t>Mortality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and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health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care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burden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of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Budd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Chiari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616A" w:rsidRPr="000349FE">
        <w:rPr>
          <w:rFonts w:ascii="Book Antiqua" w:eastAsia="Book Antiqua" w:hAnsi="Book Antiqua" w:cs="Book Antiqua"/>
          <w:b/>
          <w:color w:val="000000"/>
        </w:rPr>
        <w:t>syndrome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in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the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United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States: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A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nationwide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analysis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(1998</w:t>
      </w:r>
      <w:r w:rsidR="00C3616A" w:rsidRPr="000349FE">
        <w:rPr>
          <w:rFonts w:ascii="Book Antiqua" w:hAnsi="Book Antiqua" w:cs="Book Antiqua"/>
          <w:b/>
          <w:color w:val="000000"/>
          <w:lang w:eastAsia="zh-CN"/>
        </w:rPr>
        <w:t>-</w:t>
      </w:r>
      <w:r w:rsidRPr="000349FE">
        <w:rPr>
          <w:rFonts w:ascii="Book Antiqua" w:eastAsia="Book Antiqua" w:hAnsi="Book Antiqua" w:cs="Book Antiqua"/>
          <w:b/>
          <w:color w:val="000000"/>
        </w:rPr>
        <w:t>2017)</w:t>
      </w:r>
    </w:p>
    <w:p w14:paraId="58C3FC42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B15846" w14:textId="0B1140B9" w:rsidR="00A77B3E" w:rsidRPr="000349FE" w:rsidRDefault="00C4295D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0349FE">
        <w:rPr>
          <w:rFonts w:ascii="Book Antiqua" w:eastAsia="Book Antiqua" w:hAnsi="Book Antiqua" w:cs="Book Antiqua"/>
          <w:color w:val="000000"/>
        </w:rPr>
        <w:t>Alukal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JJ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349FE">
        <w:rPr>
          <w:rFonts w:ascii="Book Antiqua" w:eastAsia="Book Antiqua" w:hAnsi="Book Antiqua" w:cs="Book Antiqua"/>
          <w:color w:val="000000"/>
        </w:rPr>
        <w:t>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BCS</w:t>
      </w:r>
    </w:p>
    <w:p w14:paraId="3B946FA3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8BA3F2" w14:textId="58E540BC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Joseph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J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Alukal</w:t>
      </w:r>
      <w:proofErr w:type="spellEnd"/>
      <w:r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Talan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Zhang,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Paul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Joseph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Thuluvath</w:t>
      </w:r>
      <w:proofErr w:type="spellEnd"/>
    </w:p>
    <w:p w14:paraId="301D4BB0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ED716E" w14:textId="469470DB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bCs/>
          <w:color w:val="000000"/>
        </w:rPr>
        <w:t>Joseph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J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b/>
          <w:bCs/>
          <w:color w:val="000000"/>
        </w:rPr>
        <w:t>Alukal</w:t>
      </w:r>
      <w:proofErr w:type="spellEnd"/>
      <w:r w:rsidRPr="000349FE">
        <w:rPr>
          <w:rFonts w:ascii="Book Antiqua" w:eastAsia="Book Antiqua" w:hAnsi="Book Antiqua" w:cs="Book Antiqua"/>
          <w:b/>
          <w:bCs/>
          <w:color w:val="000000"/>
        </w:rPr>
        <w:t>,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2CC3" w:rsidRPr="000349FE">
        <w:rPr>
          <w:rFonts w:ascii="Book Antiqua" w:eastAsia="Book Antiqua" w:hAnsi="Book Antiqua" w:cs="Book Antiqua"/>
          <w:b/>
          <w:bCs/>
          <w:color w:val="000000"/>
        </w:rPr>
        <w:t>Talan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2CC3" w:rsidRPr="000349FE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Paul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Joseph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b/>
          <w:bCs/>
          <w:color w:val="000000"/>
        </w:rPr>
        <w:t>Thuluvath</w:t>
      </w:r>
      <w:proofErr w:type="spellEnd"/>
      <w:r w:rsidRPr="000349FE">
        <w:rPr>
          <w:rFonts w:ascii="Book Antiqua" w:eastAsia="Book Antiqua" w:hAnsi="Book Antiqua" w:cs="Book Antiqua"/>
          <w:b/>
          <w:bCs/>
          <w:color w:val="000000"/>
        </w:rPr>
        <w:t>,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3FCF" w:rsidRPr="000349FE">
        <w:rPr>
          <w:rFonts w:ascii="Book Antiqua" w:eastAsia="Book Antiqua" w:hAnsi="Book Antiqua" w:cs="Book Antiqua"/>
          <w:color w:val="000000"/>
        </w:rPr>
        <w:t>Institute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E23FCF"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E23FCF" w:rsidRPr="000349FE">
        <w:rPr>
          <w:rFonts w:ascii="Book Antiqua" w:eastAsia="Book Antiqua" w:hAnsi="Book Antiqua" w:cs="Book Antiqua"/>
          <w:color w:val="000000"/>
        </w:rPr>
        <w:t>Digestive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E23FCF" w:rsidRPr="000349FE">
        <w:rPr>
          <w:rFonts w:ascii="Book Antiqua" w:eastAsia="Book Antiqua" w:hAnsi="Book Antiqua" w:cs="Book Antiqua"/>
          <w:color w:val="000000"/>
        </w:rPr>
        <w:t>Health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E23FCF"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E23FCF" w:rsidRPr="000349FE">
        <w:rPr>
          <w:rFonts w:ascii="Book Antiqua" w:eastAsia="Book Antiqua" w:hAnsi="Book Antiqua" w:cs="Book Antiqua"/>
          <w:color w:val="000000"/>
        </w:rPr>
        <w:t>Liver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E23FCF" w:rsidRPr="000349FE">
        <w:rPr>
          <w:rFonts w:ascii="Book Antiqua" w:eastAsia="Book Antiqua" w:hAnsi="Book Antiqua" w:cs="Book Antiqua"/>
          <w:color w:val="000000"/>
        </w:rPr>
        <w:t>Diseases</w:t>
      </w:r>
      <w:r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Mercy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Medical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Center,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Baltimore,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21202,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States</w:t>
      </w:r>
    </w:p>
    <w:p w14:paraId="23FA5B9E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998800" w14:textId="12EEA5FE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bCs/>
          <w:color w:val="000000"/>
        </w:rPr>
        <w:t>Paul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Joseph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b/>
          <w:bCs/>
          <w:color w:val="000000"/>
        </w:rPr>
        <w:t>Thuluvath</w:t>
      </w:r>
      <w:proofErr w:type="spellEnd"/>
      <w:r w:rsidRPr="000349FE">
        <w:rPr>
          <w:rFonts w:ascii="Book Antiqua" w:eastAsia="Book Antiqua" w:hAnsi="Book Antiqua" w:cs="Book Antiqua"/>
          <w:b/>
          <w:bCs/>
          <w:color w:val="000000"/>
        </w:rPr>
        <w:t>,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6F96" w:rsidRPr="000349FE">
        <w:rPr>
          <w:rFonts w:ascii="Book Antiqua" w:eastAsia="Book Antiqua" w:hAnsi="Book Antiqua" w:cs="Book Antiqua"/>
          <w:color w:val="000000"/>
        </w:rPr>
        <w:t>Department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D26F96"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D26F96" w:rsidRPr="000349FE">
        <w:rPr>
          <w:rFonts w:ascii="Book Antiqua" w:eastAsia="Book Antiqua" w:hAnsi="Book Antiqua" w:cs="Book Antiqua"/>
          <w:color w:val="000000"/>
        </w:rPr>
        <w:t>Medicine</w:t>
      </w:r>
      <w:r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University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Maryland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School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Medicine,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Baltimore,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21202,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States</w:t>
      </w:r>
    </w:p>
    <w:p w14:paraId="5B034C67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96F48B" w14:textId="6688FD49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D471B8" w:rsidRPr="000349FE">
        <w:rPr>
          <w:rFonts w:ascii="Book Antiqua" w:eastAsia="Book Antiqua" w:hAnsi="Book Antiqua" w:cs="Book Antiqua"/>
          <w:color w:val="000000"/>
        </w:rPr>
        <w:t>Alukal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JJ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471B8" w:rsidRPr="000349FE">
        <w:rPr>
          <w:rFonts w:ascii="Book Antiqua" w:eastAsia="Book Antiqua" w:hAnsi="Book Antiqua" w:cs="Book Antiqua"/>
          <w:color w:val="000000"/>
        </w:rPr>
        <w:t>Thuluvath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PJ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conception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design,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acquisition,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analysis,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interpretation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drafting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article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revision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intellectual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content</w:t>
      </w:r>
      <w:r w:rsidR="00D471B8"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471B8"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Zhang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analysis,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version,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agree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accountable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aspects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90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  <w:shd w:val="clear" w:color="auto" w:fill="FFFFFF"/>
        </w:rPr>
        <w:t>work.</w:t>
      </w:r>
    </w:p>
    <w:p w14:paraId="42304C44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EAA963" w14:textId="18FC490A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Paul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Joseph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b/>
          <w:bCs/>
          <w:color w:val="000000"/>
        </w:rPr>
        <w:t>Thuluvath</w:t>
      </w:r>
      <w:proofErr w:type="spellEnd"/>
      <w:r w:rsidRPr="000349FE">
        <w:rPr>
          <w:rFonts w:ascii="Book Antiqua" w:eastAsia="Book Antiqua" w:hAnsi="Book Antiqua" w:cs="Book Antiqua"/>
          <w:b/>
          <w:bCs/>
          <w:color w:val="000000"/>
        </w:rPr>
        <w:t>,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FAASLD,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AGAF,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FACG,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FRCP,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95B0F" w:rsidRPr="000349FE">
        <w:rPr>
          <w:rFonts w:ascii="Book Antiqua" w:eastAsia="Book Antiqua" w:hAnsi="Book Antiqua" w:cs="Book Antiqua"/>
          <w:color w:val="000000"/>
        </w:rPr>
        <w:t>Institute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195B0F"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195B0F" w:rsidRPr="000349FE">
        <w:rPr>
          <w:rFonts w:ascii="Book Antiqua" w:eastAsia="Book Antiqua" w:hAnsi="Book Antiqua" w:cs="Book Antiqua"/>
          <w:color w:val="000000"/>
        </w:rPr>
        <w:t>Digestive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195B0F" w:rsidRPr="000349FE">
        <w:rPr>
          <w:rFonts w:ascii="Book Antiqua" w:eastAsia="Book Antiqua" w:hAnsi="Book Antiqua" w:cs="Book Antiqua"/>
          <w:color w:val="000000"/>
        </w:rPr>
        <w:t>Health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195B0F"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195B0F" w:rsidRPr="000349FE">
        <w:rPr>
          <w:rFonts w:ascii="Book Antiqua" w:eastAsia="Book Antiqua" w:hAnsi="Book Antiqua" w:cs="Book Antiqua"/>
          <w:color w:val="000000"/>
        </w:rPr>
        <w:t>Liver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195B0F" w:rsidRPr="000349FE">
        <w:rPr>
          <w:rFonts w:ascii="Book Antiqua" w:eastAsia="Book Antiqua" w:hAnsi="Book Antiqua" w:cs="Book Antiqua"/>
          <w:color w:val="000000"/>
        </w:rPr>
        <w:t>Diseases,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195B0F" w:rsidRPr="000349FE">
        <w:rPr>
          <w:rFonts w:ascii="Book Antiqua" w:eastAsia="Book Antiqua" w:hAnsi="Book Antiqua" w:cs="Book Antiqua"/>
          <w:color w:val="000000"/>
        </w:rPr>
        <w:t>Mercy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195B0F" w:rsidRPr="000349FE">
        <w:rPr>
          <w:rFonts w:ascii="Book Antiqua" w:eastAsia="Book Antiqua" w:hAnsi="Book Antiqua" w:cs="Book Antiqua"/>
          <w:color w:val="000000"/>
        </w:rPr>
        <w:t>Medical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195B0F" w:rsidRPr="000349FE">
        <w:rPr>
          <w:rFonts w:ascii="Book Antiqua" w:eastAsia="Book Antiqua" w:hAnsi="Book Antiqua" w:cs="Book Antiqua"/>
          <w:color w:val="000000"/>
        </w:rPr>
        <w:t>Center,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301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Saint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Paul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Place,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Baltimore,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21202,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States.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thuluvath@gmail.com</w:t>
      </w:r>
    </w:p>
    <w:p w14:paraId="32712F41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2EA6DB" w14:textId="4C370E2D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February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18,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2021</w:t>
      </w:r>
    </w:p>
    <w:p w14:paraId="07C3FC06" w14:textId="0B144DF0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33178" w:rsidRPr="000349FE">
        <w:rPr>
          <w:rFonts w:ascii="Book Antiqua" w:eastAsia="Book Antiqua" w:hAnsi="Book Antiqua" w:cs="Book Antiqua"/>
          <w:color w:val="000000"/>
        </w:rPr>
        <w:t>March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D33178" w:rsidRPr="000349FE">
        <w:rPr>
          <w:rFonts w:ascii="Book Antiqua" w:eastAsia="Book Antiqua" w:hAnsi="Book Antiqua" w:cs="Book Antiqua"/>
          <w:color w:val="000000"/>
        </w:rPr>
        <w:t>27,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D33178" w:rsidRPr="000349FE">
        <w:rPr>
          <w:rFonts w:ascii="Book Antiqua" w:eastAsia="Book Antiqua" w:hAnsi="Book Antiqua" w:cs="Book Antiqua"/>
          <w:color w:val="000000"/>
        </w:rPr>
        <w:t>2021</w:t>
      </w:r>
    </w:p>
    <w:p w14:paraId="04A82B34" w14:textId="4B75959D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447F" w:rsidRPr="0064447F">
        <w:rPr>
          <w:rFonts w:ascii="Book Antiqua" w:eastAsia="Book Antiqua" w:hAnsi="Book Antiqua" w:cs="Book Antiqua"/>
          <w:color w:val="000000"/>
        </w:rPr>
        <w:t>May 20, 2021</w:t>
      </w:r>
    </w:p>
    <w:p w14:paraId="428E2622" w14:textId="13167391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EFB407A" w14:textId="77777777" w:rsidR="00D33178" w:rsidRPr="000349FE" w:rsidRDefault="00D33178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88091AE" w14:textId="77777777" w:rsidR="00165213" w:rsidRDefault="00165213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165213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6866E3" w14:textId="5EF272AE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83FE629" w14:textId="77777777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BACKGROUND</w:t>
      </w:r>
    </w:p>
    <w:p w14:paraId="566D889D" w14:textId="50EEC231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Budd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Chiari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BF5A0B" w:rsidRPr="000349FE">
        <w:rPr>
          <w:rFonts w:ascii="Book Antiqua" w:eastAsia="Book Antiqua" w:hAnsi="Book Antiqua" w:cs="Book Antiqua"/>
          <w:color w:val="000000"/>
        </w:rPr>
        <w:t>syndrome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(BCS)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potentially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disease,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paucity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in-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well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economic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burden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health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system.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</w:p>
    <w:p w14:paraId="431EC115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DE21880" w14:textId="77777777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AIM</w:t>
      </w:r>
    </w:p>
    <w:p w14:paraId="35D2A01F" w14:textId="32D86588" w:rsidR="00A77B3E" w:rsidRPr="000349FE" w:rsidRDefault="005333D5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evaluate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trends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mortality,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length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stays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resource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utilization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among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inpatients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BCS.</w:t>
      </w:r>
    </w:p>
    <w:p w14:paraId="6C5592E3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F0EF33" w14:textId="77777777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METHODS</w:t>
      </w:r>
    </w:p>
    <w:p w14:paraId="1B153E30" w14:textId="23DCCD09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Data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all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adult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diagnosis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extracted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National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Inpatient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Sample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(NIS)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1998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make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inferences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regarding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national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estimates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number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discharges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across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period,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sample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weights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applied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each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admission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recommendations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NIS.</w:t>
      </w:r>
    </w:p>
    <w:p w14:paraId="18FF75EE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B5BF1AC" w14:textId="77777777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RESULTS</w:t>
      </w:r>
    </w:p>
    <w:p w14:paraId="31530E87" w14:textId="22E729D6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During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period,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3591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(8.73%)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in-patient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deaths.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overall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in-hospital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rates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among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decreased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18%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1998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8%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decreased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4.41%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</w:t>
      </w:r>
      <w:r w:rsidR="00360C6B" w:rsidRPr="000349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&lt;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0.0001)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every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year.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multivariate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analysis,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older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age,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higher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comorbidity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score,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acute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liver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failure,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acute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kidney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injury,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acute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respiratory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failure,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hepatic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encephalopathy,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hepatorenal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syndrome,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360C6B" w:rsidRPr="000349FE">
        <w:rPr>
          <w:rFonts w:ascii="Book Antiqua" w:eastAsia="Book Antiqua" w:hAnsi="Book Antiqua" w:cs="Book Antiqua"/>
          <w:color w:val="000000"/>
        </w:rPr>
        <w:t>inferior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360C6B" w:rsidRPr="000349FE">
        <w:rPr>
          <w:rFonts w:ascii="Book Antiqua" w:eastAsia="Book Antiqua" w:hAnsi="Book Antiqua" w:cs="Book Antiqua"/>
          <w:color w:val="000000"/>
        </w:rPr>
        <w:t>vena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360C6B" w:rsidRPr="000349FE">
        <w:rPr>
          <w:rFonts w:ascii="Book Antiqua" w:eastAsia="Book Antiqua" w:hAnsi="Book Antiqua" w:cs="Book Antiqua"/>
          <w:color w:val="000000"/>
        </w:rPr>
        <w:t>cava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thrombosis,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intestinal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infarct,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sepsis/septic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shock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cancer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associated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increased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risk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average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length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8.8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331D29" w:rsidRPr="000349FE">
        <w:rPr>
          <w:rFonts w:ascii="Book Antiqua" w:eastAsia="Book Antiqua" w:hAnsi="Book Antiqua" w:cs="Book Antiqua"/>
          <w:color w:val="000000"/>
        </w:rPr>
        <w:t>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consistently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decreased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2.04%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360C6B" w:rsidRPr="000349FE">
        <w:rPr>
          <w:rFonts w:ascii="Book Antiqua" w:eastAsia="Book Antiqua" w:hAnsi="Book Antiqua" w:cs="Book Antiqua"/>
          <w:color w:val="000000"/>
        </w:rPr>
        <w:t>(</w:t>
      </w:r>
      <w:r w:rsidRPr="000349FE">
        <w:rPr>
          <w:rFonts w:ascii="Book Antiqua" w:eastAsia="Book Antiqua" w:hAnsi="Book Antiqua" w:cs="Book Antiqua"/>
          <w:color w:val="000000"/>
        </w:rPr>
        <w:t>95%CI: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-2.67%</w:t>
      </w:r>
      <w:r w:rsidR="00360C6B"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-1.41%,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360C6B" w:rsidRPr="000349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&lt;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0.001</w:t>
      </w:r>
      <w:r w:rsidR="00360C6B" w:rsidRPr="000349FE">
        <w:rPr>
          <w:rFonts w:ascii="Book Antiqua" w:eastAsia="Book Antiqua" w:hAnsi="Book Antiqua" w:cs="Book Antiqua"/>
          <w:color w:val="000000"/>
        </w:rPr>
        <w:t>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12.7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41400C" w:rsidRPr="000349FE">
        <w:rPr>
          <w:rFonts w:ascii="Book Antiqua" w:eastAsia="Book Antiqua" w:hAnsi="Book Antiqua" w:cs="Book Antiqua"/>
          <w:color w:val="000000"/>
        </w:rPr>
        <w:t>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1998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7.6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95D5C" w:rsidRPr="000349FE">
        <w:rPr>
          <w:rFonts w:ascii="Book Antiqua" w:eastAsia="Book Antiqua" w:hAnsi="Book Antiqua" w:cs="Book Antiqua"/>
          <w:color w:val="000000"/>
        </w:rPr>
        <w:t>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2017.The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average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after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adjusted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Medical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Consumers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Price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Index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dollars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during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time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period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$94440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annual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percentage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change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increased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1.15%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(95%CI: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0.35%,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1.96%,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=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0.005)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$95515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1998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$103850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</w:t>
      </w:r>
    </w:p>
    <w:p w14:paraId="5A612FFA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7A68FA" w14:textId="77777777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3C1A32E3" w14:textId="3045A9D1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in-hospital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admitted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reduced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between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1998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reflection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better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management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</w:p>
    <w:p w14:paraId="541EEFCD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E2744C" w14:textId="0D5905FB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4A78" w:rsidRPr="000349FE">
        <w:rPr>
          <w:rFonts w:ascii="Book Antiqua" w:eastAsia="Book Antiqua" w:hAnsi="Book Antiqua" w:cs="Book Antiqua"/>
          <w:color w:val="000000"/>
        </w:rPr>
        <w:t>National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C04A78" w:rsidRPr="000349FE">
        <w:rPr>
          <w:rFonts w:ascii="Book Antiqua" w:eastAsia="Book Antiqua" w:hAnsi="Book Antiqua" w:cs="Book Antiqua"/>
          <w:color w:val="000000"/>
        </w:rPr>
        <w:t>Inpatient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C04A78" w:rsidRPr="000349FE">
        <w:rPr>
          <w:rFonts w:ascii="Book Antiqua" w:eastAsia="Book Antiqua" w:hAnsi="Book Antiqua" w:cs="Book Antiqua"/>
          <w:color w:val="000000"/>
        </w:rPr>
        <w:t>Sample</w:t>
      </w:r>
      <w:r w:rsidRPr="000349FE">
        <w:rPr>
          <w:rFonts w:ascii="Book Antiqua" w:eastAsia="Book Antiqua" w:hAnsi="Book Antiqua" w:cs="Book Antiqua"/>
          <w:color w:val="000000"/>
        </w:rPr>
        <w:t>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Budd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Chiari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C04A78" w:rsidRPr="000349FE">
        <w:rPr>
          <w:rFonts w:ascii="Book Antiqua" w:eastAsia="Book Antiqua" w:hAnsi="Book Antiqua" w:cs="Book Antiqua"/>
          <w:color w:val="000000"/>
        </w:rPr>
        <w:t>syndrome</w:t>
      </w:r>
      <w:r w:rsidRPr="000349FE">
        <w:rPr>
          <w:rFonts w:ascii="Book Antiqua" w:eastAsia="Book Antiqua" w:hAnsi="Book Antiqua" w:cs="Book Antiqua"/>
          <w:color w:val="000000"/>
        </w:rPr>
        <w:t>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C04A78" w:rsidRPr="000349FE">
        <w:rPr>
          <w:rFonts w:ascii="Book Antiqua" w:eastAsia="Book Antiqua" w:hAnsi="Book Antiqua" w:cs="Book Antiqua"/>
          <w:color w:val="000000"/>
        </w:rPr>
        <w:t>Mortality</w:t>
      </w:r>
      <w:r w:rsidRPr="000349FE">
        <w:rPr>
          <w:rFonts w:ascii="Book Antiqua" w:eastAsia="Book Antiqua" w:hAnsi="Book Antiqua" w:cs="Book Antiqua"/>
          <w:color w:val="000000"/>
        </w:rPr>
        <w:t>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C04A78" w:rsidRPr="000349FE">
        <w:rPr>
          <w:rFonts w:ascii="Book Antiqua" w:eastAsia="Book Antiqua" w:hAnsi="Book Antiqua" w:cs="Book Antiqua"/>
          <w:color w:val="000000"/>
        </w:rPr>
        <w:t>Length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stay;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C04A78" w:rsidRPr="000349FE">
        <w:rPr>
          <w:rFonts w:ascii="Book Antiqua" w:eastAsia="Book Antiqua" w:hAnsi="Book Antiqua" w:cs="Book Antiqua"/>
          <w:color w:val="000000"/>
        </w:rPr>
        <w:t>Total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charges</w:t>
      </w:r>
    </w:p>
    <w:p w14:paraId="279465DF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14E2D3" w14:textId="0ADFD013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0349FE">
        <w:rPr>
          <w:rFonts w:ascii="Book Antiqua" w:eastAsia="Book Antiqua" w:hAnsi="Book Antiqua" w:cs="Book Antiqua"/>
          <w:color w:val="000000"/>
        </w:rPr>
        <w:t>Alukal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JJ,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Zhang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Thuluvath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PJ.</w:t>
      </w:r>
      <w:r w:rsidR="0010390C">
        <w:rPr>
          <w:rFonts w:ascii="Book Antiqua" w:hAnsi="Book Antiqua"/>
        </w:rPr>
        <w:t xml:space="preserve"> </w:t>
      </w:r>
      <w:r w:rsidR="00242109"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0349FE">
        <w:rPr>
          <w:rFonts w:ascii="Book Antiqua" w:eastAsia="Book Antiqua" w:hAnsi="Book Antiqua" w:cs="Book Antiqua"/>
          <w:color w:val="000000"/>
        </w:rPr>
        <w:t>health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0349FE">
        <w:rPr>
          <w:rFonts w:ascii="Book Antiqua" w:eastAsia="Book Antiqua" w:hAnsi="Book Antiqua" w:cs="Book Antiqua"/>
          <w:color w:val="000000"/>
        </w:rPr>
        <w:t>care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0349FE">
        <w:rPr>
          <w:rFonts w:ascii="Book Antiqua" w:eastAsia="Book Antiqua" w:hAnsi="Book Antiqua" w:cs="Book Antiqua"/>
          <w:color w:val="000000"/>
        </w:rPr>
        <w:t>burden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0349FE">
        <w:rPr>
          <w:rFonts w:ascii="Book Antiqua" w:eastAsia="Book Antiqua" w:hAnsi="Book Antiqua" w:cs="Book Antiqua"/>
          <w:color w:val="000000"/>
        </w:rPr>
        <w:t>Budd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0349FE">
        <w:rPr>
          <w:rFonts w:ascii="Book Antiqua" w:eastAsia="Book Antiqua" w:hAnsi="Book Antiqua" w:cs="Book Antiqua"/>
          <w:color w:val="000000"/>
        </w:rPr>
        <w:t>Chiari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0349FE">
        <w:rPr>
          <w:rFonts w:ascii="Book Antiqua" w:eastAsia="Book Antiqua" w:hAnsi="Book Antiqua" w:cs="Book Antiqua"/>
          <w:color w:val="000000"/>
        </w:rPr>
        <w:t>syndrome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0349FE">
        <w:rPr>
          <w:rFonts w:ascii="Book Antiqua" w:eastAsia="Book Antiqua" w:hAnsi="Book Antiqua" w:cs="Book Antiqua"/>
          <w:color w:val="000000"/>
        </w:rPr>
        <w:t>United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0349FE">
        <w:rPr>
          <w:rFonts w:ascii="Book Antiqua" w:eastAsia="Book Antiqua" w:hAnsi="Book Antiqua" w:cs="Book Antiqua"/>
          <w:color w:val="000000"/>
        </w:rPr>
        <w:t>States: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0349FE">
        <w:rPr>
          <w:rFonts w:ascii="Book Antiqua" w:eastAsia="Book Antiqua" w:hAnsi="Book Antiqua" w:cs="Book Antiqua"/>
          <w:color w:val="000000"/>
        </w:rPr>
        <w:t>nationwide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0349FE">
        <w:rPr>
          <w:rFonts w:ascii="Book Antiqua" w:eastAsia="Book Antiqua" w:hAnsi="Book Antiqua" w:cs="Book Antiqua"/>
          <w:color w:val="000000"/>
        </w:rPr>
        <w:t>analysis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242109" w:rsidRPr="000349FE">
        <w:rPr>
          <w:rFonts w:ascii="Book Antiqua" w:eastAsia="Book Antiqua" w:hAnsi="Book Antiqua" w:cs="Book Antiqua"/>
          <w:color w:val="000000"/>
        </w:rPr>
        <w:t>(1998-2017)</w:t>
      </w:r>
      <w:r w:rsidRPr="000349FE">
        <w:rPr>
          <w:rFonts w:ascii="Book Antiqua" w:eastAsia="Book Antiqua" w:hAnsi="Book Antiqua" w:cs="Book Antiqua"/>
          <w:color w:val="000000"/>
        </w:rPr>
        <w:t>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2021;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press</w:t>
      </w:r>
    </w:p>
    <w:p w14:paraId="534E5EB7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9476D1" w14:textId="5867CA04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large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administrative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database,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analyze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socioeconomic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impact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E10F1F" w:rsidRPr="000349FE">
        <w:rPr>
          <w:rFonts w:ascii="Book Antiqua" w:eastAsia="Book Antiqua" w:hAnsi="Book Antiqua" w:cs="Book Antiqua"/>
          <w:color w:val="000000"/>
        </w:rPr>
        <w:t>Budd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E10F1F" w:rsidRPr="000349FE">
        <w:rPr>
          <w:rFonts w:ascii="Book Antiqua" w:eastAsia="Book Antiqua" w:hAnsi="Book Antiqua" w:cs="Book Antiqua"/>
          <w:color w:val="000000"/>
        </w:rPr>
        <w:t>Chiari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E10F1F" w:rsidRPr="000349FE">
        <w:rPr>
          <w:rFonts w:ascii="Book Antiqua" w:eastAsia="Book Antiqua" w:hAnsi="Book Antiqua" w:cs="Book Antiqua"/>
          <w:color w:val="000000"/>
        </w:rPr>
        <w:t>syndrome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hospitalizations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over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19-year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period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high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degree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granularity.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show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while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length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declined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significantly,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continue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show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upward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trend.</w:t>
      </w:r>
    </w:p>
    <w:p w14:paraId="5A9EDC5B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B788440" w14:textId="3FD4B27B" w:rsidR="00A77B3E" w:rsidRPr="000349FE" w:rsidRDefault="00E10F1F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6E3B4C" w:rsidRPr="000349F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9F67C9F" w14:textId="48993D9D" w:rsidR="004C0DE3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Budd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Chiari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B37806" w:rsidRPr="000349FE">
        <w:rPr>
          <w:rFonts w:ascii="Book Antiqua" w:eastAsia="Book Antiqua" w:hAnsi="Book Antiqua" w:cs="Book Antiqua"/>
          <w:color w:val="000000"/>
        </w:rPr>
        <w:t>syndrome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B37806" w:rsidRPr="000349FE">
        <w:rPr>
          <w:rFonts w:ascii="Book Antiqua" w:eastAsia="Book Antiqua" w:hAnsi="Book Antiqua" w:cs="Book Antiqua"/>
          <w:color w:val="000000"/>
        </w:rPr>
        <w:t>(BCS)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potentially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disorder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results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partial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complete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obstruction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hepatic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venous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outflow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absence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right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heart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failure.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Unlike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Asian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countries,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incidence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prevalence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Western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countries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thought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lower,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large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epidemiological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49FE">
        <w:rPr>
          <w:rFonts w:ascii="Book Antiqua" w:eastAsia="Book Antiqua" w:hAnsi="Book Antiqua" w:cs="Book Antiqua"/>
          <w:color w:val="000000"/>
        </w:rPr>
        <w:t>studies</w:t>
      </w:r>
      <w:r w:rsidR="005B52EE" w:rsidRPr="000349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B52EE" w:rsidRPr="000349FE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0349FE">
        <w:rPr>
          <w:rFonts w:ascii="Book Antiqua" w:eastAsia="Book Antiqua" w:hAnsi="Book Antiqua" w:cs="Book Antiqua"/>
          <w:color w:val="000000"/>
        </w:rPr>
        <w:t>.</w:t>
      </w:r>
      <w:r w:rsidR="0010390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heterogeneous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disease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protean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clinical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presentation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ranging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asymptomatic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chronic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forms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fulminant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liver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49FE">
        <w:rPr>
          <w:rFonts w:ascii="Book Antiqua" w:eastAsia="Book Antiqua" w:hAnsi="Book Antiqua" w:cs="Book Antiqua"/>
          <w:color w:val="000000"/>
        </w:rPr>
        <w:t>failure</w:t>
      </w:r>
      <w:r w:rsidR="005B52EE" w:rsidRPr="000349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B52EE" w:rsidRPr="000349FE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0349FE">
        <w:rPr>
          <w:rFonts w:ascii="Book Antiqua" w:eastAsia="Book Antiqua" w:hAnsi="Book Antiqua" w:cs="Book Antiqua"/>
          <w:color w:val="000000"/>
        </w:rPr>
        <w:t>.</w:t>
      </w:r>
      <w:r w:rsidR="0010390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Prognosis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highly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variable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studies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large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academic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centers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have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reported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rates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ranging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anywhere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between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13</w:t>
      </w:r>
      <w:r w:rsidR="00456BBF" w:rsidRPr="000349FE">
        <w:rPr>
          <w:rFonts w:ascii="Book Antiqua" w:eastAsia="Book Antiqua" w:hAnsi="Book Antiqua" w:cs="Book Antiqua"/>
          <w:color w:val="000000"/>
        </w:rPr>
        <w:t>%</w:t>
      </w:r>
      <w:r w:rsidRPr="000349FE">
        <w:rPr>
          <w:rFonts w:ascii="Book Antiqua" w:eastAsia="Book Antiqua" w:hAnsi="Book Antiqua" w:cs="Book Antiqua"/>
          <w:color w:val="000000"/>
        </w:rPr>
        <w:t>-36</w:t>
      </w:r>
      <w:proofErr w:type="gramStart"/>
      <w:r w:rsidRPr="000349FE">
        <w:rPr>
          <w:rFonts w:ascii="Book Antiqua" w:eastAsia="Book Antiqua" w:hAnsi="Book Antiqua" w:cs="Book Antiqua"/>
          <w:color w:val="000000"/>
        </w:rPr>
        <w:t>%</w:t>
      </w:r>
      <w:r w:rsidR="00456BBF" w:rsidRPr="000349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56BBF" w:rsidRPr="000349FE">
        <w:rPr>
          <w:rFonts w:ascii="Book Antiqua" w:eastAsia="Book Antiqua" w:hAnsi="Book Antiqua" w:cs="Book Antiqua"/>
          <w:color w:val="000000"/>
          <w:vertAlign w:val="superscript"/>
        </w:rPr>
        <w:t>4-</w:t>
      </w:r>
      <w:r w:rsidR="001007F3" w:rsidRPr="000349FE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456BBF" w:rsidRPr="000349F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349FE">
        <w:rPr>
          <w:rFonts w:ascii="Book Antiqua" w:eastAsia="Book Antiqua" w:hAnsi="Book Antiqua" w:cs="Book Antiqua"/>
          <w:color w:val="000000"/>
        </w:rPr>
        <w:t>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wide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ranges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likely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related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small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sample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size,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variability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follow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period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publication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selection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bias.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Risk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factors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such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ascites,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hepatic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encephalopathy,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coagulopathy,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elevated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creatinine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bilirubin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considered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independent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risk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factors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4C0DE3" w:rsidRPr="000349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C0DE3" w:rsidRPr="000349FE">
        <w:rPr>
          <w:rFonts w:ascii="Book Antiqua" w:eastAsia="Book Antiqua" w:hAnsi="Book Antiqua" w:cs="Book Antiqua"/>
          <w:color w:val="000000"/>
          <w:vertAlign w:val="superscript"/>
        </w:rPr>
        <w:t>4-8]</w:t>
      </w:r>
      <w:r w:rsidRPr="000349FE">
        <w:rPr>
          <w:rFonts w:ascii="Book Antiqua" w:eastAsia="Book Antiqua" w:hAnsi="Book Antiqua" w:cs="Book Antiqua"/>
          <w:color w:val="000000"/>
        </w:rPr>
        <w:t>.</w:t>
      </w:r>
      <w:r w:rsidR="0010390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stepwise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management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approach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consisting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anticoagulation,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endovascular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venoplasty</w:t>
      </w:r>
      <w:proofErr w:type="spellEnd"/>
      <w:r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intrahepatic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portosytemic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shunts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(TIPS)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liver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transplantation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(LT)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proposed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management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49FE">
        <w:rPr>
          <w:rFonts w:ascii="Book Antiqua" w:eastAsia="Book Antiqua" w:hAnsi="Book Antiqua" w:cs="Book Antiqua"/>
          <w:color w:val="000000"/>
        </w:rPr>
        <w:t>BCS</w:t>
      </w:r>
      <w:r w:rsidR="004C0DE3" w:rsidRPr="000349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C0DE3" w:rsidRPr="000349FE">
        <w:rPr>
          <w:rFonts w:ascii="Book Antiqua" w:eastAsia="Book Antiqua" w:hAnsi="Book Antiqua" w:cs="Book Antiqua"/>
          <w:color w:val="000000"/>
          <w:vertAlign w:val="superscript"/>
        </w:rPr>
        <w:t>3,</w:t>
      </w:r>
      <w:r w:rsidR="001C3463" w:rsidRPr="000349FE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A50F53" w:rsidRPr="000349F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0B3ECD" w:rsidRPr="000349FE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4C0DE3" w:rsidRPr="000349F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349FE">
        <w:rPr>
          <w:rFonts w:ascii="Book Antiqua" w:eastAsia="Book Antiqua" w:hAnsi="Book Antiqua" w:cs="Book Antiqua"/>
          <w:color w:val="000000"/>
        </w:rPr>
        <w:t>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However,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approach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applicable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all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because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varying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severity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presentation,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extent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venous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occlusion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other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serious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comorbidities.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</w:p>
    <w:p w14:paraId="4A877DC4" w14:textId="206466F8" w:rsidR="00A77B3E" w:rsidRPr="000349FE" w:rsidRDefault="006E3B4C" w:rsidP="000349F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There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multiple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studies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investigated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economic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burden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decompensated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liver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cirrhosis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BA4732" w:rsidRPr="000349FE">
        <w:rPr>
          <w:rFonts w:ascii="Book Antiqua" w:eastAsia="Book Antiqua" w:hAnsi="Book Antiqua" w:cs="Book Antiqua"/>
          <w:color w:val="000000"/>
        </w:rPr>
        <w:t>United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BA4732" w:rsidRPr="000349FE">
        <w:rPr>
          <w:rFonts w:ascii="Book Antiqua" w:eastAsia="Book Antiqua" w:hAnsi="Book Antiqua" w:cs="Book Antiqua"/>
          <w:color w:val="000000"/>
        </w:rPr>
        <w:t>States</w:t>
      </w:r>
      <w:r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paucity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regarding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burden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health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utilization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primary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objective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assess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trends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in-hospital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length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(LOS)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resource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utilization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among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National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Inpatient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Sample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(NIS)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database.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</w:p>
    <w:p w14:paraId="0B885D0D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668023" w14:textId="463EBA98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10390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349F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0390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349FE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15977D1" w14:textId="21D357EC" w:rsidR="004C0DE3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0349FE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1039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1039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1039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1039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C0DE3" w:rsidRPr="000349FE">
        <w:rPr>
          <w:rFonts w:ascii="Book Antiqua" w:eastAsia="Book Antiqua" w:hAnsi="Book Antiqua" w:cs="Book Antiqua"/>
          <w:b/>
          <w:bCs/>
          <w:i/>
          <w:iCs/>
          <w:color w:val="000000"/>
        </w:rPr>
        <w:t>source</w:t>
      </w:r>
    </w:p>
    <w:p w14:paraId="3C4E6BF9" w14:textId="278BAE55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This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retrospective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extracted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1998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largest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publicly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available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all-payer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inpatient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administrative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database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developed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Agency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Healthcare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Research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Quality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(AHRQ)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lastRenderedPageBreak/>
        <w:t>Health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cost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Utilization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Project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(HCUP).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represents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approximately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stratified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sample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discharges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community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excludes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9C1" w:rsidRPr="000349FE">
        <w:rPr>
          <w:rFonts w:ascii="Book Antiqua" w:eastAsia="Book Antiqua" w:hAnsi="Book Antiqua" w:cs="Book Antiqua"/>
          <w:color w:val="000000"/>
        </w:rPr>
        <w:t>long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9C1" w:rsidRPr="000349FE">
        <w:rPr>
          <w:rFonts w:ascii="Book Antiqua" w:eastAsia="Book Antiqua" w:hAnsi="Book Antiqua" w:cs="Book Antiqua"/>
          <w:color w:val="000000"/>
        </w:rPr>
        <w:t>term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9C1" w:rsidRPr="000349FE">
        <w:rPr>
          <w:rFonts w:ascii="Book Antiqua" w:eastAsia="Book Antiqua" w:hAnsi="Book Antiqua" w:cs="Book Antiqua"/>
          <w:color w:val="000000"/>
        </w:rPr>
        <w:t>acute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9C1" w:rsidRPr="000349FE">
        <w:rPr>
          <w:rFonts w:ascii="Book Antiqua" w:eastAsia="Book Antiqua" w:hAnsi="Book Antiqua" w:cs="Book Antiqua"/>
          <w:color w:val="000000"/>
        </w:rPr>
        <w:t>care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9C1" w:rsidRPr="000349FE">
        <w:rPr>
          <w:rFonts w:ascii="Book Antiqua" w:eastAsia="Book Antiqua" w:hAnsi="Book Antiqua" w:cs="Book Antiqua"/>
          <w:color w:val="000000"/>
        </w:rPr>
        <w:t>hospitals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rehabilitation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facilities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contains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information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million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discharges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annually.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number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participating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grew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1988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48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database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captures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information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about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primary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secondary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diagnoses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during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each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well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information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about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procedures.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also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contains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other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valuable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information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such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severity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comorbidity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measures,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characteristics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(size,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region,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size,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teaching/non-teaching),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payment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source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(Medicare/Medicaid/private),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length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stay.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2012,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revised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sample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design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represent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sample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discharges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rather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sample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new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strategy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expected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make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estimates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precise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reducing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sampling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error.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Starting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October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2015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all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adopted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International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Classification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Diseases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(ICD)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codes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disease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classification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well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procedures.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calendar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year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2016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which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included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ICD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CM/PCS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codes.</w:t>
      </w:r>
    </w:p>
    <w:p w14:paraId="14F4D7F1" w14:textId="77777777" w:rsidR="006A0470" w:rsidRPr="000349FE" w:rsidRDefault="006A0470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ADE2B57" w14:textId="0D01B120" w:rsidR="006A0470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0349FE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2790FE35" w14:textId="3638F1CF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349FE">
        <w:rPr>
          <w:rFonts w:ascii="Book Antiqua" w:eastAsia="Book Antiqua" w:hAnsi="Book Antiqua" w:cs="Book Antiqua"/>
          <w:color w:val="000000"/>
        </w:rPr>
        <w:t>Data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extracted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identify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A0470" w:rsidRPr="000349FE">
        <w:rPr>
          <w:rFonts w:ascii="Book Antiqua" w:hAnsi="Book Antiqua" w:cs="Book Antiqua"/>
          <w:color w:val="000000"/>
          <w:lang w:eastAsia="zh-CN"/>
        </w:rPr>
        <w:t>≥</w:t>
      </w:r>
      <w:r w:rsidR="0010390C">
        <w:rPr>
          <w:rFonts w:ascii="Book Antiqua" w:hAnsi="Book Antiqua" w:cs="Book Antiqua"/>
          <w:color w:val="000000"/>
          <w:lang w:eastAsia="zh-CN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years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all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listed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diagnosis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(primary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secondary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diagnosis)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1998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diagnosis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captured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codes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453.0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(ICD-9)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I82.0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(ICD-10).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</w:p>
    <w:p w14:paraId="6F75166F" w14:textId="77777777" w:rsidR="00E10529" w:rsidRPr="000349FE" w:rsidRDefault="00E10529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A73135" w14:textId="77777777" w:rsidR="00E10529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0349FE">
        <w:rPr>
          <w:rFonts w:ascii="Book Antiqua" w:eastAsia="Book Antiqua" w:hAnsi="Book Antiqua" w:cs="Book Antiqua"/>
          <w:b/>
          <w:bCs/>
          <w:i/>
          <w:iCs/>
          <w:color w:val="000000"/>
        </w:rPr>
        <w:t>Variables</w:t>
      </w:r>
    </w:p>
    <w:p w14:paraId="00750D6D" w14:textId="735464B1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We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obtained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information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demographics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(age,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sex,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race)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characteristics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(region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country,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bed-size,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teaching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status),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disposition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insurance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(Medicare,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Medicaid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private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insurance).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outcome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included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changes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inpatient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time.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investigated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important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complications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such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acute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liver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failure,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acute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kidney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injury,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cirrhosis,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ascites,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hepatic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encephalopathy,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esophageal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varices,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portal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vein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thrombosis,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inferior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vena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cava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(IVC)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thrombosis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spontaneous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bacterial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peritonitis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impact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lastRenderedPageBreak/>
        <w:t>outcome.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also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analyzed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inpatient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procedures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such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liver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biopsy,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upper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gastrointestinal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endoscopy,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paracentesis,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TIPS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appropriate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ICD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codes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</w:t>
      </w:r>
      <w:r w:rsidR="00D066E3" w:rsidRPr="000349FE">
        <w:rPr>
          <w:rFonts w:ascii="Book Antiqua" w:eastAsia="Book Antiqua" w:hAnsi="Book Antiqua" w:cs="Book Antiqua"/>
          <w:color w:val="000000"/>
        </w:rPr>
        <w:t>Supplementary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D3E27" w:rsidRPr="000349FE">
        <w:rPr>
          <w:rFonts w:ascii="Book Antiqua" w:eastAsia="Book Antiqua" w:hAnsi="Book Antiqua" w:cs="Book Antiqua"/>
          <w:color w:val="000000"/>
        </w:rPr>
        <w:t>Table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shows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list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ICD-9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ICD-10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codes).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Severity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illness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measured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Elixhauser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comorbidity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index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after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excluding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liver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diseases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included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29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major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Elixhauser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comorbidity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49FE">
        <w:rPr>
          <w:rFonts w:ascii="Book Antiqua" w:eastAsia="Book Antiqua" w:hAnsi="Book Antiqua" w:cs="Book Antiqua"/>
          <w:color w:val="000000"/>
        </w:rPr>
        <w:t>conditions</w:t>
      </w:r>
      <w:r w:rsidR="0085017D" w:rsidRPr="000349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C242C" w:rsidRPr="000349FE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85017D" w:rsidRPr="000349F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5017D" w:rsidRPr="000349FE">
        <w:rPr>
          <w:rFonts w:ascii="Book Antiqua" w:eastAsia="Book Antiqua" w:hAnsi="Book Antiqua" w:cs="Book Antiqua"/>
          <w:color w:val="000000"/>
        </w:rPr>
        <w:t>.</w:t>
      </w:r>
    </w:p>
    <w:p w14:paraId="2590BDBB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CB6C14" w14:textId="52FA6BB8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0349FE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1039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</w:p>
    <w:p w14:paraId="53AD7D0B" w14:textId="4F0314FE" w:rsidR="007A0FCD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Descriptive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statistics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summarize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patients’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characteristics,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characteristics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utilization,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comorbidities,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complications,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procedures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outcome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weighted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survey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methods.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presented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mean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standard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error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continuous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variables,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percentage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standard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error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categorical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variables.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Standard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BF32E0" w:rsidRPr="000349FE">
        <w:rPr>
          <w:rFonts w:ascii="Book Antiqua" w:eastAsia="Book Antiqua" w:hAnsi="Book Antiqua" w:cs="Book Antiqua"/>
          <w:color w:val="000000"/>
        </w:rPr>
        <w:t>errors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percentage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mean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estimated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Taylor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series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linearization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method.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make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inferences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regarding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national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estimates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number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discharges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across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period,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sample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weights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applied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each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admission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recommendations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NIS.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years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1993-2011,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AHRQ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developed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discharge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trend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weights,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specifically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Trend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Weight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Files.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Therefore,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trend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analyses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spanning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2012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earlier,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trend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weights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make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estimates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comparable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new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2012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design.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trend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weight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place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original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discharge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weights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create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national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estimates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trend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analysis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make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7A0FCD" w:rsidRPr="000349FE">
        <w:rPr>
          <w:rFonts w:ascii="Book Antiqua" w:eastAsia="Book Antiqua" w:hAnsi="Book Antiqua" w:cs="Book Antiqua"/>
          <w:color w:val="000000"/>
        </w:rPr>
        <w:t>similar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entire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period.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2012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later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trend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weights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necessary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discharge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weight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supplied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files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49FE">
        <w:rPr>
          <w:rFonts w:ascii="Book Antiqua" w:eastAsia="Book Antiqua" w:hAnsi="Book Antiqua" w:cs="Book Antiqua"/>
          <w:color w:val="000000"/>
        </w:rPr>
        <w:t>directly</w:t>
      </w:r>
      <w:r w:rsidR="007A0FCD" w:rsidRPr="000349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E4574" w:rsidRPr="000349FE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7A0FCD" w:rsidRPr="000349F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349FE">
        <w:rPr>
          <w:rFonts w:ascii="Book Antiqua" w:eastAsia="Book Antiqua" w:hAnsi="Book Antiqua" w:cs="Book Antiqua"/>
          <w:color w:val="000000"/>
        </w:rPr>
        <w:t>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calculated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discharges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1000000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populations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dividing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estimated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discharges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projected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population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Census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Bureau.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</w:p>
    <w:p w14:paraId="3B685E0D" w14:textId="1CBF6CBA" w:rsidR="001D3753" w:rsidRPr="000349FE" w:rsidRDefault="006E3B4C" w:rsidP="000349F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annual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percentage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change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(APC)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derived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compare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patients’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characteristics,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hospitals’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characteristics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outcomes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over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time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Poisson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regression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categorical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variables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linear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regression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natural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logarithm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transformation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continuous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variables.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value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APC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determine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lastRenderedPageBreak/>
        <w:t>trends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annual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percentage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change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significantly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different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zero,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change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considered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statistically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significant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1D3753" w:rsidRPr="000349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value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0.05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less.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</w:p>
    <w:p w14:paraId="3C4187F6" w14:textId="4651F9F2" w:rsidR="00A77B3E" w:rsidRPr="000349FE" w:rsidRDefault="006E3B4C" w:rsidP="000349F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hierarchical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generalized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linear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mixed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model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random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effects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performed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evaluate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effects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potential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associations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between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outcomes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(mortality,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length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charges)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patients’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demographics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(age,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gender,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race),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patient-level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hospitalization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variables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(primary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payer,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disposition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patient),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hospital-level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variables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region,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size,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location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teaching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status),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comorbidities,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complications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procedures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separately.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Since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available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some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states,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dummy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variable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created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missing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models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prevent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observation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dropped.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binomial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distribution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logit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link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used.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length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negative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binomial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distribution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links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used.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analyzing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charges,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final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adjusted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dollars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based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medical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Consumer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Price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Index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average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provided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Bureau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Labor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Statistics.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specified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models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gamma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distributions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links.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variable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A2E32" w:rsidRPr="000349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value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0.05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less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retained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model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considered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statistically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significantly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associated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outcomes.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All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analyses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performed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version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9.4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(SAS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Institute,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Cary,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NC,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165213" w:rsidRPr="000349FE">
        <w:rPr>
          <w:rFonts w:ascii="Book Antiqua" w:eastAsia="Book Antiqua" w:hAnsi="Book Antiqua" w:cs="Book Antiqua"/>
          <w:color w:val="000000"/>
        </w:rPr>
        <w:t>United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165213" w:rsidRPr="000349FE">
        <w:rPr>
          <w:rFonts w:ascii="Book Antiqua" w:eastAsia="Book Antiqua" w:hAnsi="Book Antiqua" w:cs="Book Antiqua"/>
          <w:color w:val="000000"/>
        </w:rPr>
        <w:t>States</w:t>
      </w:r>
      <w:r w:rsidRPr="000349FE">
        <w:rPr>
          <w:rFonts w:ascii="Book Antiqua" w:eastAsia="Book Antiqua" w:hAnsi="Book Antiqua" w:cs="Book Antiqua"/>
          <w:color w:val="000000"/>
        </w:rPr>
        <w:t>)</w:t>
      </w:r>
    </w:p>
    <w:p w14:paraId="3909B817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E82E62" w14:textId="77777777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3A337F7" w14:textId="6FCF9ABF" w:rsidR="00DF7868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Between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1998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identified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8435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hospitalizations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related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mean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cohort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50.5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years,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55%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women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56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white.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Nearly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half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(52%)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covered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government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funded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health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insurance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(Medicare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Medicaid)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(Table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1).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majority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(59%)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discharged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home,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additional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13.5%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discharged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health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services.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While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number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routine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discharges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remained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same,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3.31%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increase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utilization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health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services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</w:t>
      </w:r>
      <w:r w:rsidR="00DF7868" w:rsidRPr="000349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&lt;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0.0001)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(Table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2).</w:t>
      </w:r>
    </w:p>
    <w:p w14:paraId="3A500270" w14:textId="77777777" w:rsidR="00DF7868" w:rsidRPr="000349FE" w:rsidRDefault="00DF7868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5C0E5A" w14:textId="172FF1FD" w:rsidR="00DF7868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0349FE">
        <w:rPr>
          <w:rFonts w:ascii="Book Antiqua" w:eastAsia="Book Antiqua" w:hAnsi="Book Antiqua" w:cs="Book Antiqua"/>
          <w:b/>
          <w:bCs/>
          <w:i/>
          <w:iCs/>
          <w:color w:val="000000"/>
        </w:rPr>
        <w:t>Hospital</w:t>
      </w:r>
      <w:r w:rsidR="001039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F7868" w:rsidRPr="000349FE">
        <w:rPr>
          <w:rFonts w:ascii="Book Antiqua" w:eastAsia="Book Antiqua" w:hAnsi="Book Antiqua" w:cs="Book Antiqua"/>
          <w:b/>
          <w:bCs/>
          <w:i/>
          <w:iCs/>
          <w:color w:val="000000"/>
        </w:rPr>
        <w:t>mortality</w:t>
      </w:r>
    </w:p>
    <w:p w14:paraId="63882343" w14:textId="2371BCEC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349FE">
        <w:rPr>
          <w:rFonts w:ascii="Book Antiqua" w:eastAsia="Book Antiqua" w:hAnsi="Book Antiqua" w:cs="Book Antiqua"/>
          <w:color w:val="000000"/>
        </w:rPr>
        <w:lastRenderedPageBreak/>
        <w:t>Between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1998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in-hospital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8.74%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=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737).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sample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weights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provided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HCUP,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corresponded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3591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deaths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(Table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2).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Despite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significant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increase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comorbidity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score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during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time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period,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overall,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in-hospital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among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decreased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significantly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4.41%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year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</w:t>
      </w:r>
      <w:r w:rsidR="00DF7868" w:rsidRPr="000349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&lt;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0.0001)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18%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1998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8%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lowest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2015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(5%)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(Figure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1A).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gender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differences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those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older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those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discharged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(mean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58.7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years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49.7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years,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DF7868" w:rsidRPr="000349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&lt;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0.001).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died,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53%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Caucasians,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13%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African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Americans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Hispanics.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Most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deaths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occurred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large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(73%)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urban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teaching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(71%)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(Supplementary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4D3E27" w:rsidRPr="000349FE">
        <w:rPr>
          <w:rFonts w:ascii="Book Antiqua" w:eastAsia="Book Antiqua" w:hAnsi="Book Antiqua" w:cs="Book Antiqua"/>
          <w:color w:val="000000"/>
        </w:rPr>
        <w:t>Table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2).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multivariate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analysis,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older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age,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higher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comorbidity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score,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acute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liver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failure,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acute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kidney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injury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(AKI),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acute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respiratory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failure,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hepatic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encephalopathy,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hepatorenal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syndrome,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intestinal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infarct,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IVC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thrombosis,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sepsis/septic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shock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cancer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associated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increased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risk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(Table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3)</w:t>
      </w:r>
      <w:r w:rsidR="00632BD5" w:rsidRPr="000349FE">
        <w:rPr>
          <w:rFonts w:ascii="Book Antiqua" w:eastAsia="宋体" w:hAnsi="Book Antiqua" w:cs="宋体"/>
          <w:color w:val="000000"/>
          <w:lang w:eastAsia="zh-CN"/>
        </w:rPr>
        <w:t>.</w:t>
      </w:r>
    </w:p>
    <w:p w14:paraId="6278FDA6" w14:textId="77777777" w:rsidR="00632BD5" w:rsidRPr="000349FE" w:rsidRDefault="00632BD5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CAB62A" w14:textId="2557FA6E" w:rsidR="00632BD5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0349FE">
        <w:rPr>
          <w:rFonts w:ascii="Book Antiqua" w:eastAsia="Book Antiqua" w:hAnsi="Book Antiqua" w:cs="Book Antiqua"/>
          <w:b/>
          <w:bCs/>
          <w:i/>
          <w:iCs/>
          <w:color w:val="000000"/>
        </w:rPr>
        <w:t>Length</w:t>
      </w:r>
      <w:r w:rsidR="001039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1039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i/>
          <w:iCs/>
          <w:color w:val="000000"/>
        </w:rPr>
        <w:t>stay</w:t>
      </w:r>
    </w:p>
    <w:p w14:paraId="78BD9C26" w14:textId="4FD67B70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average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8.8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days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consistently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decreased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(95%CI: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-2.67%,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-1.41%,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52C7E" w:rsidRPr="000349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&lt;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0.001)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year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12.7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52C7E" w:rsidRPr="000349FE">
        <w:rPr>
          <w:rFonts w:ascii="Book Antiqua" w:eastAsia="Book Antiqua" w:hAnsi="Book Antiqua" w:cs="Book Antiqua"/>
          <w:color w:val="000000"/>
        </w:rPr>
        <w:t>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1998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7.6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52C7E" w:rsidRPr="000349FE">
        <w:rPr>
          <w:rFonts w:ascii="Book Antiqua" w:eastAsia="Book Antiqua" w:hAnsi="Book Antiqua" w:cs="Book Antiqua"/>
          <w:color w:val="000000"/>
        </w:rPr>
        <w:t>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(Figure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1B).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longer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compared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those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survived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(13.54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4D3E27" w:rsidRPr="000349FE">
        <w:rPr>
          <w:rFonts w:ascii="Book Antiqua" w:eastAsia="Book Antiqua" w:hAnsi="Book Antiqua" w:cs="Book Antiqua"/>
          <w:color w:val="000000"/>
        </w:rPr>
        <w:t>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8.38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4D3E27" w:rsidRPr="000349FE">
        <w:rPr>
          <w:rFonts w:ascii="Book Antiqua" w:eastAsia="Book Antiqua" w:hAnsi="Book Antiqua" w:cs="Book Antiqua"/>
          <w:color w:val="000000"/>
        </w:rPr>
        <w:t>d</w:t>
      </w:r>
      <w:r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52C7E" w:rsidRPr="000349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&lt;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0.0001).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multivariate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analysis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primary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payer,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characteristics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impact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Important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complications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impact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included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AKI,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acute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liver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failure,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acute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respiratory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failure,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ascites,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spontaneous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bacterial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peritonitis,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IVC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thrombosis,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comorbidity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score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cancer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(Table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4).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Compared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West,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North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East,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Midwest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South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longer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inpatient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stays.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urban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teaching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significantly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higher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urban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non-teaching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</w:t>
      </w:r>
      <w:r w:rsidR="004D3E27" w:rsidRPr="000349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&lt;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0.0001)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</w:t>
      </w:r>
      <w:r w:rsidR="004D3E27" w:rsidRPr="000349FE">
        <w:rPr>
          <w:rFonts w:ascii="Book Antiqua" w:eastAsia="Book Antiqua" w:hAnsi="Book Antiqua" w:cs="Book Antiqua"/>
          <w:color w:val="000000"/>
        </w:rPr>
        <w:t>Supplementary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4D3E27" w:rsidRPr="000349FE">
        <w:rPr>
          <w:rFonts w:ascii="Book Antiqua" w:eastAsia="Book Antiqua" w:hAnsi="Book Antiqua" w:cs="Book Antiqua"/>
          <w:color w:val="000000"/>
        </w:rPr>
        <w:t>Table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3).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</w:p>
    <w:p w14:paraId="3AA4D3FF" w14:textId="77777777" w:rsidR="004D3E27" w:rsidRPr="000349FE" w:rsidRDefault="004D3E27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7D74BC" w14:textId="3BA96E44" w:rsidR="004D3E27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0349FE">
        <w:rPr>
          <w:rFonts w:ascii="Book Antiqua" w:eastAsia="Book Antiqua" w:hAnsi="Book Antiqua" w:cs="Book Antiqua"/>
          <w:b/>
          <w:bCs/>
          <w:i/>
          <w:iCs/>
          <w:color w:val="000000"/>
        </w:rPr>
        <w:t>Hospital</w:t>
      </w:r>
      <w:r w:rsidR="001039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i/>
          <w:iCs/>
          <w:color w:val="000000"/>
        </w:rPr>
        <w:t>costs</w:t>
      </w:r>
    </w:p>
    <w:p w14:paraId="1D1C63B4" w14:textId="724A51D3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349FE">
        <w:rPr>
          <w:rFonts w:ascii="Book Antiqua" w:eastAsia="Book Antiqua" w:hAnsi="Book Antiqua" w:cs="Book Antiqua"/>
          <w:color w:val="000000"/>
        </w:rPr>
        <w:lastRenderedPageBreak/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average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after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adjusted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Medical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Consumers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Price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Index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dollars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during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time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period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$94440,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APC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increased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1.15%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(95%CI: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0.35%,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1.96%,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=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0.005)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year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$95515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1998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$103850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(Figure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1C).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higher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compared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those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survived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($190724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$85071,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237101" w:rsidRPr="000349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&lt;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0.0001).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also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higher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urban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teaching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urban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non-teaching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</w:t>
      </w:r>
      <w:r w:rsidR="004F7C27" w:rsidRPr="000349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&lt;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0.0001).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stratified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different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regions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country,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higher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West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compared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every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other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region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country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</w:t>
      </w:r>
      <w:r w:rsidR="004F7C27" w:rsidRPr="000349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&lt;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0.001,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4F7C27" w:rsidRPr="000349FE">
        <w:rPr>
          <w:rFonts w:ascii="Book Antiqua" w:eastAsia="Book Antiqua" w:hAnsi="Book Antiqua" w:cs="Book Antiqua"/>
          <w:color w:val="000000"/>
        </w:rPr>
        <w:t>Supplementary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4F7C27" w:rsidRPr="000349FE">
        <w:rPr>
          <w:rFonts w:ascii="Book Antiqua" w:eastAsia="Book Antiqua" w:hAnsi="Book Antiqua" w:cs="Book Antiqua"/>
          <w:color w:val="000000"/>
        </w:rPr>
        <w:t>Table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4).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multivariate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analysis,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race,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characteristics,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number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procedures,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length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comorbidity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score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associated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charges.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Important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complications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effect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included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AKI,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acute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respiratory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failure,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HRS,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IVC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thrombosis,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cancer,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anemia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due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acute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blood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loss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(Table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5).</w:t>
      </w:r>
    </w:p>
    <w:p w14:paraId="081EFD82" w14:textId="77777777" w:rsidR="00055C70" w:rsidRPr="000349FE" w:rsidRDefault="00055C70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7DE24D" w14:textId="1C7BA894" w:rsidR="00055C70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0349FE">
        <w:rPr>
          <w:rFonts w:ascii="Book Antiqua" w:eastAsia="Book Antiqua" w:hAnsi="Book Antiqua" w:cs="Book Antiqua"/>
          <w:b/>
          <w:bCs/>
          <w:i/>
          <w:iCs/>
          <w:color w:val="000000"/>
        </w:rPr>
        <w:t>Utilization</w:t>
      </w:r>
      <w:r w:rsidR="001039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10390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procedures</w:t>
      </w:r>
    </w:p>
    <w:p w14:paraId="15F215D8" w14:textId="321ADFFA" w:rsidR="00B8072B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During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their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in-patient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underwent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average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2.64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procedures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hospitalization.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Paracentesis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most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frequent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procedure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(18.4%)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followed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upper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gastrointestinal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endoscopy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(10.9%),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liver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biopsy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(6.2%),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TIPS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(3.6%)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(1.9%)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(Table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2).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Subgroup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analysis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showed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307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underwent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TIPS,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145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(47%)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LT.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</w:p>
    <w:p w14:paraId="0CEA2602" w14:textId="2831F933" w:rsidR="00A77B3E" w:rsidRPr="000349FE" w:rsidRDefault="006E3B4C" w:rsidP="000349F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While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number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procedures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performed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remained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during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period,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significant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notable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reduction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number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liver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biopsies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(APC</w:t>
      </w:r>
      <w:r w:rsidR="00B8072B" w:rsidRPr="000349FE">
        <w:rPr>
          <w:rFonts w:ascii="Book Antiqua" w:eastAsia="Book Antiqua" w:hAnsi="Book Antiqua" w:cs="Book Antiqua"/>
          <w:color w:val="000000"/>
        </w:rPr>
        <w:t>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-4.01%,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95%CI: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-5.42%,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-2.58%,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B8072B" w:rsidRPr="000349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&lt;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0.0001),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TIPS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(APC: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-4.95%,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95%CI: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-6.78%,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-3.09%,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B8072B" w:rsidRPr="000349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&lt;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0.0001)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(APC</w:t>
      </w:r>
      <w:r w:rsidR="00B8072B" w:rsidRPr="000349FE">
        <w:rPr>
          <w:rFonts w:ascii="Book Antiqua" w:eastAsia="Book Antiqua" w:hAnsi="Book Antiqua" w:cs="Book Antiqua"/>
          <w:color w:val="000000"/>
        </w:rPr>
        <w:t>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-2.68%,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95%CI: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-5.26%,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-0.02%,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=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0.05).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Hispanics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underwent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procedures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Caucasians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&lt;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0.001)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Blacks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</w:t>
      </w:r>
      <w:r w:rsidR="00B8072B" w:rsidRPr="000349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&lt;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0.001).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admitted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urban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teaching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underwent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procedures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urban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non-teaching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</w:t>
      </w:r>
      <w:r w:rsidR="00B8072B" w:rsidRPr="000349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&lt;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0.0001)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rural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</w:t>
      </w:r>
      <w:r w:rsidR="00B8072B" w:rsidRPr="000349FE">
        <w:rPr>
          <w:rFonts w:ascii="Book Antiqua" w:eastAsia="Book Antiqua" w:hAnsi="Book Antiqua" w:cs="Book Antiqua"/>
          <w:i/>
          <w:iCs/>
          <w:color w:val="000000"/>
        </w:rPr>
        <w:t>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&lt;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0.0001)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</w:t>
      </w:r>
      <w:r w:rsidR="00B8072B" w:rsidRPr="000349FE">
        <w:rPr>
          <w:rFonts w:ascii="Book Antiqua" w:eastAsia="Book Antiqua" w:hAnsi="Book Antiqua" w:cs="Book Antiqua"/>
          <w:color w:val="000000"/>
        </w:rPr>
        <w:t>Supplementary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B8072B" w:rsidRPr="000349FE">
        <w:rPr>
          <w:rFonts w:ascii="Book Antiqua" w:eastAsia="Book Antiqua" w:hAnsi="Book Antiqua" w:cs="Book Antiqua"/>
          <w:color w:val="000000"/>
        </w:rPr>
        <w:t>Table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5).</w:t>
      </w:r>
    </w:p>
    <w:p w14:paraId="0DC0DAF2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9C1C94" w14:textId="77777777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0BEC2E5" w14:textId="28D275C6" w:rsidR="005862A6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lastRenderedPageBreak/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large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population-based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165213" w:rsidRPr="000349FE">
        <w:rPr>
          <w:rFonts w:ascii="Book Antiqua" w:eastAsia="Book Antiqua" w:hAnsi="Book Antiqua" w:cs="Book Antiqua"/>
          <w:color w:val="000000"/>
        </w:rPr>
        <w:t>United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165213" w:rsidRPr="000349FE">
        <w:rPr>
          <w:rFonts w:ascii="Book Antiqua" w:eastAsia="Book Antiqua" w:hAnsi="Book Antiqua" w:cs="Book Antiqua"/>
          <w:color w:val="000000"/>
        </w:rPr>
        <w:t>States</w:t>
      </w:r>
      <w:r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found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overall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in-patient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unselected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group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8%.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rates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reduced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significantly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1998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charges,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however,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increased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during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period.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survived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hospitalization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younger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those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(49.7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years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58.6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years),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race,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teaching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region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impact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survival.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reduction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multifactorial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possibly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could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related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earlier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detection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advances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therapeutic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options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better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overall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inpatient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care.</w:t>
      </w:r>
    </w:p>
    <w:p w14:paraId="1E9218F4" w14:textId="58C878CF" w:rsidR="00416DB2" w:rsidRPr="000349FE" w:rsidRDefault="006E3B4C" w:rsidP="000349F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knowledge,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prior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studies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have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exclusively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analyzed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inpatient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secondary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multicenter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studies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recent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era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investigated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prognosis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have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reported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improvement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survival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rates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49FE">
        <w:rPr>
          <w:rFonts w:ascii="Book Antiqua" w:eastAsia="Book Antiqua" w:hAnsi="Book Antiqua" w:cs="Book Antiqua"/>
          <w:color w:val="000000"/>
        </w:rPr>
        <w:t>time</w:t>
      </w:r>
      <w:r w:rsidR="005862A6" w:rsidRPr="000349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4ECF" w:rsidRPr="000349FE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5862A6" w:rsidRPr="000349FE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24ECF" w:rsidRPr="000349FE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5862A6" w:rsidRPr="000349F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349FE">
        <w:rPr>
          <w:rFonts w:ascii="Book Antiqua" w:eastAsia="Book Antiqua" w:hAnsi="Book Antiqua" w:cs="Book Antiqua"/>
          <w:color w:val="000000"/>
        </w:rPr>
        <w:t>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European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consisted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157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managed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stepwise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treatment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algorithm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over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median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duration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50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reported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23</w:t>
      </w:r>
      <w:proofErr w:type="gramStart"/>
      <w:r w:rsidRPr="000349FE">
        <w:rPr>
          <w:rFonts w:ascii="Book Antiqua" w:eastAsia="Book Antiqua" w:hAnsi="Book Antiqua" w:cs="Book Antiqua"/>
          <w:color w:val="000000"/>
        </w:rPr>
        <w:t>%</w:t>
      </w:r>
      <w:r w:rsidR="005862A6" w:rsidRPr="000349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43C62" w:rsidRPr="000349FE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5862A6" w:rsidRPr="000349F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349FE">
        <w:rPr>
          <w:rFonts w:ascii="Book Antiqua" w:eastAsia="Book Antiqua" w:hAnsi="Book Antiqua" w:cs="Book Antiqua"/>
          <w:color w:val="000000"/>
        </w:rPr>
        <w:t>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majority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succumbed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liver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failure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(33%)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median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time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death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cohort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found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age,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bilirubin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creatinine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independent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risk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factors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survival.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Most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(88.5%)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their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913FEE"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term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anticoagulation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those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respond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medical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management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treated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percutaneous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angioplasty/thrombolysis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=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22),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TIPS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=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62)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=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step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manner.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Due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inherent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limitations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49FE">
        <w:rPr>
          <w:rFonts w:ascii="Book Antiqua" w:eastAsia="Book Antiqua" w:hAnsi="Book Antiqua" w:cs="Book Antiqua"/>
          <w:color w:val="000000"/>
        </w:rPr>
        <w:t>dataset</w:t>
      </w:r>
      <w:proofErr w:type="gram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determine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how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many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anticoagulation.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</w:p>
    <w:p w14:paraId="00225357" w14:textId="44F6C482" w:rsidR="004C7E83" w:rsidRPr="000349FE" w:rsidRDefault="006E3B4C" w:rsidP="000349F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Overall,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less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5%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underwent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invasive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procedures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such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TIPS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LT.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significant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differences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between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underwent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procedures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those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not.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However,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89%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underwent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TIPS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92%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during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their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inpatient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survived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hospitalization.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also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noticed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downward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trend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number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TIPS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hospitalized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perhaps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because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procedures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done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after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discharged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hence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captured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database.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Nearly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half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(47%)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TIPS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lastRenderedPageBreak/>
        <w:t>underwent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LT,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possible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TIPS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done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bridge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LT,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perhaps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complications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such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variceal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bleeding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refractory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ascites.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</w:p>
    <w:p w14:paraId="6B4ACD7E" w14:textId="20588B0D" w:rsidR="008723E0" w:rsidRPr="000349FE" w:rsidRDefault="006E3B4C" w:rsidP="000349F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management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strategy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consists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stepwise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invasive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treatment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algorithm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guided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response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prior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treatment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have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resulted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better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short-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long-term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outcome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4C7E83" w:rsidRPr="000349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C7E83" w:rsidRPr="000349FE">
        <w:rPr>
          <w:rFonts w:ascii="Book Antiqua" w:eastAsia="Book Antiqua" w:hAnsi="Book Antiqua" w:cs="Book Antiqua"/>
          <w:color w:val="000000"/>
          <w:vertAlign w:val="superscript"/>
        </w:rPr>
        <w:t>3,</w:t>
      </w:r>
      <w:r w:rsidR="007B18CE" w:rsidRPr="000349FE">
        <w:rPr>
          <w:rFonts w:ascii="Book Antiqua" w:eastAsia="Book Antiqua" w:hAnsi="Book Antiqua" w:cs="Book Antiqua"/>
          <w:color w:val="000000"/>
          <w:vertAlign w:val="superscript"/>
        </w:rPr>
        <w:t>9-12,</w:t>
      </w:r>
      <w:r w:rsidR="004C7E83" w:rsidRPr="000349FE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0349FE">
        <w:rPr>
          <w:rFonts w:ascii="Book Antiqua" w:eastAsia="Book Antiqua" w:hAnsi="Book Antiqua" w:cs="Book Antiqua"/>
          <w:color w:val="000000"/>
        </w:rPr>
        <w:t>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consists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early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prompt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initiation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anticoagulation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low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molecular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weight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heparin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prevent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extension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thrombosis,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referral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hematologist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treatment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specific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underlying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clotting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disorders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treatment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portal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hypertension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related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complications.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deteriorate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despite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optimal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medical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management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considered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percutaneous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transhepatic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angioplasty,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TIPS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and/or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LT.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include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venoplasty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stenting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perhaps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because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many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procedures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done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outpatient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setting.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Several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studies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have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reported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excellent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outcome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following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previous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Network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Organ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Sharing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(UNOS)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datasets,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reported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85%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3-year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survival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underwent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165213" w:rsidRPr="000349FE">
        <w:rPr>
          <w:rFonts w:ascii="Book Antiqua" w:eastAsia="Book Antiqua" w:hAnsi="Book Antiqua" w:cs="Book Antiqua"/>
          <w:color w:val="000000"/>
        </w:rPr>
        <w:t>United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65213" w:rsidRPr="000349FE">
        <w:rPr>
          <w:rFonts w:ascii="Book Antiqua" w:eastAsia="Book Antiqua" w:hAnsi="Book Antiqua" w:cs="Book Antiqua"/>
          <w:color w:val="000000"/>
        </w:rPr>
        <w:t>States</w:t>
      </w:r>
      <w:r w:rsidR="008723E0" w:rsidRPr="000349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23E0" w:rsidRPr="000349FE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0349FE">
        <w:rPr>
          <w:rFonts w:ascii="Book Antiqua" w:eastAsia="Book Antiqua" w:hAnsi="Book Antiqua" w:cs="Book Antiqua"/>
          <w:color w:val="000000"/>
        </w:rPr>
        <w:t>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group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recently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analyzed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outcome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55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presented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fulminant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hepatic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failure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UNOS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database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found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expeditious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subset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associated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excellent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long-term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graft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survival.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also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found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despite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presence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3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organ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failures,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associated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good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outcome.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also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achieved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excellent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post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functional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determined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Karnofsky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performance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49FE">
        <w:rPr>
          <w:rFonts w:ascii="Book Antiqua" w:eastAsia="Book Antiqua" w:hAnsi="Book Antiqua" w:cs="Book Antiqua"/>
          <w:color w:val="000000"/>
        </w:rPr>
        <w:t>scores</w:t>
      </w:r>
      <w:r w:rsidR="008723E0" w:rsidRPr="000349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23E0" w:rsidRPr="000349FE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0349FE">
        <w:rPr>
          <w:rFonts w:ascii="Book Antiqua" w:eastAsia="Book Antiqua" w:hAnsi="Book Antiqua" w:cs="Book Antiqua"/>
          <w:color w:val="000000"/>
        </w:rPr>
        <w:t>.</w:t>
      </w:r>
      <w:r w:rsidR="0010390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European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series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investigated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outcome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248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report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actuarial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survival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76%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year,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71%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5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years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68%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years,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majority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deaths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occurring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first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3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0349F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8723E0" w:rsidRPr="000349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23E0" w:rsidRPr="000349FE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0349FE">
        <w:rPr>
          <w:rFonts w:ascii="Book Antiqua" w:eastAsia="Book Antiqua" w:hAnsi="Book Antiqua" w:cs="Book Antiqua"/>
          <w:color w:val="000000"/>
        </w:rPr>
        <w:t>.</w:t>
      </w:r>
    </w:p>
    <w:p w14:paraId="79266FB0" w14:textId="05A98867" w:rsidR="006046F6" w:rsidRPr="000349FE" w:rsidRDefault="006E3B4C" w:rsidP="000349F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found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average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9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046F6" w:rsidRPr="000349FE">
        <w:rPr>
          <w:rFonts w:ascii="Book Antiqua" w:eastAsia="Book Antiqua" w:hAnsi="Book Antiqua" w:cs="Book Antiqua"/>
          <w:color w:val="000000"/>
        </w:rPr>
        <w:t>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reduced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consistently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APC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during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19-year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period.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reduction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consistent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nationwide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efforts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reduce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hospitalized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Multivariate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analysis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showed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significant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association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between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complications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such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AKI,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acute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liver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failure,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acute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respiratory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failure,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SBP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IVC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thrombosis.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longer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medium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large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sized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compared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smaller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probably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because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tertiary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centers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admitted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those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perhaps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sicker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requiring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prolonged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inpatient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stay.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would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also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explain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urban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longer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compared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rural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areas.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Longer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such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associated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higher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expected.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also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noticed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geographical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variation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North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East,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Midwest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South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longer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inpatient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stays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compared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West.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Although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difficult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explain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particular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finding,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similar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observation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made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HCUP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report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variation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region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2016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could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related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physician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practice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patterns,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access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health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services,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treatment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preferences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cost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living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varies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geographic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location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diverse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country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like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165213" w:rsidRPr="000349FE">
        <w:rPr>
          <w:rFonts w:ascii="Book Antiqua" w:eastAsia="Book Antiqua" w:hAnsi="Book Antiqua" w:cs="Book Antiqua"/>
          <w:color w:val="000000"/>
        </w:rPr>
        <w:t>United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65213" w:rsidRPr="000349FE">
        <w:rPr>
          <w:rFonts w:ascii="Book Antiqua" w:eastAsia="Book Antiqua" w:hAnsi="Book Antiqua" w:cs="Book Antiqua"/>
          <w:color w:val="000000"/>
        </w:rPr>
        <w:t>States</w:t>
      </w:r>
      <w:r w:rsidR="006046F6" w:rsidRPr="000349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46F6" w:rsidRPr="000349FE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0349FE">
        <w:rPr>
          <w:rFonts w:ascii="Book Antiqua" w:eastAsia="Book Antiqua" w:hAnsi="Book Antiqua" w:cs="Book Antiqua"/>
          <w:color w:val="000000"/>
        </w:rPr>
        <w:t>.</w:t>
      </w:r>
    </w:p>
    <w:p w14:paraId="08A74930" w14:textId="4ACDE13A" w:rsidR="000E7D6C" w:rsidRPr="000349FE" w:rsidRDefault="006E3B4C" w:rsidP="000349F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average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costs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hospitalizations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between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1998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$94440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continued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show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significant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upward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trend.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found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compared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West,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Northeast,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Midwest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South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165213" w:rsidRPr="000349FE">
        <w:rPr>
          <w:rFonts w:ascii="Book Antiqua" w:eastAsia="Book Antiqua" w:hAnsi="Book Antiqua" w:cs="Book Antiqua"/>
          <w:color w:val="000000"/>
        </w:rPr>
        <w:t>United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165213" w:rsidRPr="000349FE">
        <w:rPr>
          <w:rFonts w:ascii="Book Antiqua" w:eastAsia="Book Antiqua" w:hAnsi="Book Antiqua" w:cs="Book Antiqua"/>
          <w:color w:val="000000"/>
        </w:rPr>
        <w:t>States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lower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charges.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have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good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explanation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finding.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increasing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financial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burden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hospitalizations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health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system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despite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reduction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average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consistent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other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studies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have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analyzed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economic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impact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hospitalizations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related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decompensated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cirrhosis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attributed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increasing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hospitalization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well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increasing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severity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disease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burden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indicated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comorbidity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49FE">
        <w:rPr>
          <w:rFonts w:ascii="Book Antiqua" w:eastAsia="Book Antiqua" w:hAnsi="Book Antiqua" w:cs="Book Antiqua"/>
          <w:color w:val="000000"/>
        </w:rPr>
        <w:t>score</w:t>
      </w:r>
      <w:r w:rsidR="000E7D6C" w:rsidRPr="000349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E7D6C" w:rsidRPr="000349FE">
        <w:rPr>
          <w:rFonts w:ascii="Book Antiqua" w:eastAsia="Book Antiqua" w:hAnsi="Book Antiqua" w:cs="Book Antiqua"/>
          <w:color w:val="000000"/>
          <w:vertAlign w:val="superscript"/>
        </w:rPr>
        <w:t>20,21]</w:t>
      </w:r>
      <w:r w:rsidRPr="000349FE">
        <w:rPr>
          <w:rFonts w:ascii="Book Antiqua" w:eastAsia="Book Antiqua" w:hAnsi="Book Antiqua" w:cs="Book Antiqua"/>
          <w:color w:val="000000"/>
        </w:rPr>
        <w:t>.</w:t>
      </w:r>
    </w:p>
    <w:p w14:paraId="6C0CECE8" w14:textId="1E6FD23C" w:rsidR="00A77B3E" w:rsidRPr="000349FE" w:rsidRDefault="006E3B4C" w:rsidP="000349F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Our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few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limitations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most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which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inherent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large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administrative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database.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ICD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codes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capture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diagnosis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could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result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coding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errors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potentially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resulting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misclassification.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could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perform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sensitivity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analysis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because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absence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identifiers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datasets.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Another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major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shortcoming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reports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every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hospitalization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separate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encounter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unique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possible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many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readmitted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counted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once.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also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obtain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information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regarding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therapeutic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respect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anticoagulation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specific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pharmacological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agents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treat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underlying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thrombophilia.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Nonetheless,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database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lastRenderedPageBreak/>
        <w:t>considered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powerful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research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tool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providing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robust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clinical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about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world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scenarios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reliability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extensively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49FE">
        <w:rPr>
          <w:rFonts w:ascii="Book Antiqua" w:eastAsia="Book Antiqua" w:hAnsi="Book Antiqua" w:cs="Book Antiqua"/>
          <w:color w:val="000000"/>
        </w:rPr>
        <w:t>validated</w:t>
      </w:r>
      <w:r w:rsidR="000E7D6C" w:rsidRPr="000349F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E7D6C" w:rsidRPr="000349FE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0349FE">
        <w:rPr>
          <w:rFonts w:ascii="Book Antiqua" w:eastAsia="Book Antiqua" w:hAnsi="Book Antiqua" w:cs="Book Antiqua"/>
          <w:color w:val="000000"/>
        </w:rPr>
        <w:t>.</w:t>
      </w:r>
    </w:p>
    <w:p w14:paraId="46E96CA1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F92925" w14:textId="77777777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8AC1CF4" w14:textId="334963DF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conclusion,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first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165213" w:rsidRPr="000349FE">
        <w:rPr>
          <w:rFonts w:ascii="Book Antiqua" w:eastAsia="Book Antiqua" w:hAnsi="Book Antiqua" w:cs="Book Antiqua"/>
          <w:color w:val="000000"/>
        </w:rPr>
        <w:t>United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165213" w:rsidRPr="000349FE">
        <w:rPr>
          <w:rFonts w:ascii="Book Antiqua" w:eastAsia="Book Antiqua" w:hAnsi="Book Antiqua" w:cs="Book Antiqua"/>
          <w:color w:val="000000"/>
        </w:rPr>
        <w:t>States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illustrate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reducing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related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hospitalizations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well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reduction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average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While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findings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reassuring,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continues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have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significant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economic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impact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indicated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rising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healthcare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costs.</w:t>
      </w:r>
    </w:p>
    <w:p w14:paraId="4DDF6C12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41C78F" w14:textId="274B9D12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10390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349FE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9916455" w14:textId="0AA60BE5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039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9C2F13E" w14:textId="63A43663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Budd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Chiari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syndrome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(BCS)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disorder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results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partial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complete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obstruction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hepatic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venous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outflow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absence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right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heart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failure.</w:t>
      </w:r>
    </w:p>
    <w:p w14:paraId="16AD7B44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5EABD5" w14:textId="5795493B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039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2F2D2D7" w14:textId="0F5BC48E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There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paucity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in-hospital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C3463D"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well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economic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impact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health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system.</w:t>
      </w:r>
    </w:p>
    <w:p w14:paraId="388F2805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FF1E36" w14:textId="0A9E5F2E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039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436D8A7" w14:textId="1E79FD54" w:rsidR="00A77B3E" w:rsidRPr="000349FE" w:rsidRDefault="00470BDD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This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aimed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</w:t>
      </w:r>
      <w:r w:rsidR="006E3B4C" w:rsidRPr="000349FE">
        <w:rPr>
          <w:rFonts w:ascii="Book Antiqua" w:eastAsia="Book Antiqua" w:hAnsi="Book Antiqua" w:cs="Book Antiqua"/>
          <w:color w:val="000000"/>
        </w:rPr>
        <w:t>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evaluate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trends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mortality,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length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stays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resource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utilization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among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inpatients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BCS.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</w:p>
    <w:p w14:paraId="2722731C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A6B6FC" w14:textId="75AF0199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039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9C6DC21" w14:textId="15E0C640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Retrospective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extracted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National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Inpatient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Sample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(NIS)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1998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make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inferences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regarding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national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estimates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number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discharges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across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period,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sample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weights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applied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each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admission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recommendations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NIS.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</w:p>
    <w:p w14:paraId="0CF7BE20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74586D4" w14:textId="1E2E637B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039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1522524" w14:textId="4E90C2CE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lastRenderedPageBreak/>
        <w:t>During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period,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3591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(8.73%)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in-patient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deaths.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overall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in-hospital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among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decreased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18%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1998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8%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decreased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4.41%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every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year.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average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length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8.8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7A4DFD" w:rsidRPr="000349FE">
        <w:rPr>
          <w:rFonts w:ascii="Book Antiqua" w:eastAsia="Book Antiqua" w:hAnsi="Book Antiqua" w:cs="Book Antiqua"/>
          <w:color w:val="000000"/>
        </w:rPr>
        <w:t>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consistently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decreased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2.04%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12.7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7A4DFD" w:rsidRPr="000349FE">
        <w:rPr>
          <w:rFonts w:ascii="Book Antiqua" w:eastAsia="Book Antiqua" w:hAnsi="Book Antiqua" w:cs="Book Antiqua"/>
          <w:color w:val="000000"/>
        </w:rPr>
        <w:t>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1998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7.6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7A4DFD" w:rsidRPr="000349FE">
        <w:rPr>
          <w:rFonts w:ascii="Book Antiqua" w:eastAsia="Book Antiqua" w:hAnsi="Book Antiqua" w:cs="Book Antiqua"/>
          <w:color w:val="000000"/>
        </w:rPr>
        <w:t>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2017.The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average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during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time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period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$94440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annual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percentage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change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increased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1.15%</w:t>
      </w:r>
    </w:p>
    <w:p w14:paraId="2767C3C6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CE59C5" w14:textId="45715A8D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039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156C869" w14:textId="03BCDB45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in-hospital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admitted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reduced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between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1998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while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charges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continued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increase.</w:t>
      </w:r>
    </w:p>
    <w:p w14:paraId="095348ED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216B56" w14:textId="1D80975D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039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C1FA7C6" w14:textId="533C6670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Using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large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national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database,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analyzed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socioeconomic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impact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hospitalizations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high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degree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granularity.</w:t>
      </w:r>
    </w:p>
    <w:p w14:paraId="55740F20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75214E" w14:textId="77777777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color w:val="000000"/>
        </w:rPr>
        <w:t>REFERENCES</w:t>
      </w:r>
    </w:p>
    <w:p w14:paraId="088B8FA5" w14:textId="788E00A5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18"/>
      <w:r w:rsidRPr="000349FE">
        <w:rPr>
          <w:rFonts w:ascii="Book Antiqua" w:eastAsia="Book Antiqua" w:hAnsi="Book Antiqua" w:cs="Book Antiqua"/>
          <w:color w:val="000000"/>
        </w:rPr>
        <w:t>1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Valla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DC</w:t>
      </w:r>
      <w:r w:rsidRPr="000349FE">
        <w:rPr>
          <w:rFonts w:ascii="Book Antiqua" w:eastAsia="Book Antiqua" w:hAnsi="Book Antiqua" w:cs="Book Antiqua"/>
          <w:color w:val="000000"/>
        </w:rPr>
        <w:t>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Hepatic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venous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outflow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tract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obstruction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etiopathogenesis: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Asia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West.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2004;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0349FE">
        <w:rPr>
          <w:rFonts w:ascii="Book Antiqua" w:eastAsia="Book Antiqua" w:hAnsi="Book Antiqua" w:cs="Book Antiqua"/>
          <w:color w:val="000000"/>
        </w:rPr>
        <w:t>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S204-</w:t>
      </w:r>
      <w:r w:rsidR="00A84967">
        <w:rPr>
          <w:rFonts w:ascii="Book Antiqua" w:eastAsia="Book Antiqua" w:hAnsi="Book Antiqua" w:cs="Book Antiqua"/>
          <w:color w:val="000000"/>
        </w:rPr>
        <w:t>S2</w:t>
      </w:r>
      <w:r w:rsidRPr="000349FE">
        <w:rPr>
          <w:rFonts w:ascii="Book Antiqua" w:eastAsia="Book Antiqua" w:hAnsi="Book Antiqua" w:cs="Book Antiqua"/>
          <w:color w:val="000000"/>
        </w:rPr>
        <w:t>11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[DOI:10.1111/j.1440-1746.</w:t>
      </w:r>
      <w:proofErr w:type="gramStart"/>
      <w:r w:rsidRPr="000349FE">
        <w:rPr>
          <w:rFonts w:ascii="Book Antiqua" w:eastAsia="Book Antiqua" w:hAnsi="Book Antiqua" w:cs="Book Antiqua"/>
          <w:color w:val="000000"/>
        </w:rPr>
        <w:t>2004.03642.x</w:t>
      </w:r>
      <w:proofErr w:type="gramEnd"/>
      <w:r w:rsidRPr="000349FE">
        <w:rPr>
          <w:rFonts w:ascii="Book Antiqua" w:eastAsia="Book Antiqua" w:hAnsi="Book Antiqua" w:cs="Book Antiqua"/>
          <w:color w:val="000000"/>
        </w:rPr>
        <w:t>]</w:t>
      </w:r>
    </w:p>
    <w:p w14:paraId="6D126C67" w14:textId="0A479DA2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2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Menon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KV</w:t>
      </w:r>
      <w:r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Shah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Kamath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Budd-Chiari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syndrome.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N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2004;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350</w:t>
      </w:r>
      <w:r w:rsidRPr="000349FE">
        <w:rPr>
          <w:rFonts w:ascii="Book Antiqua" w:eastAsia="Book Antiqua" w:hAnsi="Book Antiqua" w:cs="Book Antiqua"/>
          <w:color w:val="000000"/>
        </w:rPr>
        <w:t>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578-585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[PMID: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14762185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10.1056/NEJMra020282]</w:t>
      </w:r>
    </w:p>
    <w:p w14:paraId="76D5A5D9" w14:textId="7E61B4F3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3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Valla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DC</w:t>
      </w:r>
      <w:r w:rsidRPr="000349FE">
        <w:rPr>
          <w:rFonts w:ascii="Book Antiqua" w:eastAsia="Book Antiqua" w:hAnsi="Book Antiqua" w:cs="Book Antiqua"/>
          <w:color w:val="000000"/>
        </w:rPr>
        <w:t>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Primary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Budd-Chiari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syndrome.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2009;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0349FE">
        <w:rPr>
          <w:rFonts w:ascii="Book Antiqua" w:eastAsia="Book Antiqua" w:hAnsi="Book Antiqua" w:cs="Book Antiqua"/>
          <w:color w:val="000000"/>
        </w:rPr>
        <w:t>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195-203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[PMID: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19012988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10.1016/j.jhep.2008.10.007]</w:t>
      </w:r>
    </w:p>
    <w:p w14:paraId="7D486E8A" w14:textId="1CE34375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4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Zeitoun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Escolano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Hadengue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Azar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Younsi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Mallet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Boudet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MJ,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JM,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Erlinger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Benhamou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JP,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Belghiti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J,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Valla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Outcome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Budd-Chiari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syndrome: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multivariate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analysis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factors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related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survival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including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surgical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portosystemic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shunting.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1999;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0349FE">
        <w:rPr>
          <w:rFonts w:ascii="Book Antiqua" w:eastAsia="Book Antiqua" w:hAnsi="Book Antiqua" w:cs="Book Antiqua"/>
          <w:color w:val="000000"/>
        </w:rPr>
        <w:t>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84-89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[PMID: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10385643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10.1002/hep.510300125]</w:t>
      </w:r>
    </w:p>
    <w:p w14:paraId="5EC595F3" w14:textId="626890C3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5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Darwish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Murad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Valla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DC,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Groen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PC,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Zeitoun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Hopmans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JA,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Haagsma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EB,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Hoek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Hansen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Rosendaal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Janssen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HL.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Determinants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survival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effect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portosystemic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shunting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Budd-Chiari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syndrome.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2004;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0349FE">
        <w:rPr>
          <w:rFonts w:ascii="Book Antiqua" w:eastAsia="Book Antiqua" w:hAnsi="Book Antiqua" w:cs="Book Antiqua"/>
          <w:color w:val="000000"/>
        </w:rPr>
        <w:t>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500-508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[PMID: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14768004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10.1002/hep.20064]</w:t>
      </w:r>
    </w:p>
    <w:p w14:paraId="5D1661D1" w14:textId="1E8C3575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6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b/>
          <w:bCs/>
          <w:color w:val="000000"/>
        </w:rPr>
        <w:t>Langlet</w:t>
      </w:r>
      <w:proofErr w:type="spellEnd"/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Escolano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Valla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Coste</w:t>
      </w:r>
      <w:proofErr w:type="spellEnd"/>
      <w:r w:rsidRPr="000349FE">
        <w:rPr>
          <w:rFonts w:ascii="Book Antiqua" w:eastAsia="Book Antiqua" w:hAnsi="Book Antiqua" w:cs="Book Antiqua"/>
          <w:color w:val="000000"/>
        </w:rPr>
        <w:t>-Zeitoun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Denie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Mallet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Levy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VG,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Franco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Vinel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JP,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Belghiti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J,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Lebrec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Hay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JM,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Zeitoun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Clinicopathological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forms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prognostic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index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Budd-Chiari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syndrome.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2003;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0349FE">
        <w:rPr>
          <w:rFonts w:ascii="Book Antiqua" w:eastAsia="Book Antiqua" w:hAnsi="Book Antiqua" w:cs="Book Antiqua"/>
          <w:color w:val="000000"/>
        </w:rPr>
        <w:t>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496-501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[PMID: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12971957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10.1016/s0168-8278(03)00323-4]</w:t>
      </w:r>
    </w:p>
    <w:p w14:paraId="3EB38743" w14:textId="67FE7321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Tang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Batts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KP,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Groen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PC,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Hoek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Haagsma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EB,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Hop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WC,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Janssen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HL.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prognostic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value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histology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assessment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Budd-Chiari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syndrome.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2001;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0349FE">
        <w:rPr>
          <w:rFonts w:ascii="Book Antiqua" w:eastAsia="Book Antiqua" w:hAnsi="Book Antiqua" w:cs="Book Antiqua"/>
          <w:color w:val="000000"/>
        </w:rPr>
        <w:t>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338-343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[PMID: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11592594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10.1016/s0168-8278(01)00131-3]</w:t>
      </w:r>
    </w:p>
    <w:p w14:paraId="0858E43E" w14:textId="5C8B5FE9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b/>
          <w:bCs/>
          <w:color w:val="000000"/>
        </w:rPr>
        <w:t>Pavri</w:t>
      </w:r>
      <w:proofErr w:type="spellEnd"/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TM</w:t>
      </w:r>
      <w:r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Herbst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Reddy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Forde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KA.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Budd-Chiari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syndrome: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single-center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experience.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2014;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0349FE">
        <w:rPr>
          <w:rFonts w:ascii="Book Antiqua" w:eastAsia="Book Antiqua" w:hAnsi="Book Antiqua" w:cs="Book Antiqua"/>
          <w:color w:val="000000"/>
        </w:rPr>
        <w:t>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16236-16244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[PMID: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25473178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0349FE">
        <w:rPr>
          <w:rFonts w:ascii="Book Antiqua" w:eastAsia="Book Antiqua" w:hAnsi="Book Antiqua" w:cs="Book Antiqua"/>
          <w:color w:val="000000"/>
        </w:rPr>
        <w:t>wjg.v20.i</w:t>
      </w:r>
      <w:proofErr w:type="gramEnd"/>
      <w:r w:rsidRPr="000349FE">
        <w:rPr>
          <w:rFonts w:ascii="Book Antiqua" w:eastAsia="Book Antiqua" w:hAnsi="Book Antiqua" w:cs="Book Antiqua"/>
          <w:color w:val="000000"/>
        </w:rPr>
        <w:t>43.16236]</w:t>
      </w:r>
    </w:p>
    <w:p w14:paraId="2A56DF93" w14:textId="44EA1A9C" w:rsidR="00A02D6E" w:rsidRPr="000349FE" w:rsidRDefault="00A02D6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9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Garcia-</w:t>
      </w:r>
      <w:proofErr w:type="spellStart"/>
      <w:r w:rsidRPr="000349FE">
        <w:rPr>
          <w:rFonts w:ascii="Book Antiqua" w:eastAsia="Book Antiqua" w:hAnsi="Book Antiqua" w:cs="Book Antiqua"/>
          <w:b/>
          <w:bCs/>
          <w:color w:val="000000"/>
        </w:rPr>
        <w:t>Pagán</w:t>
      </w:r>
      <w:proofErr w:type="spellEnd"/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Heydtmann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Raffa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Plessier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Murad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Fabris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Vizzini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Gonzales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Abraldes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J,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Olliff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Nicolini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Luca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Primignani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Janssen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HL,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Valla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Elias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Bosch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J;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Budd-Chiari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Syndrome-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Intrahepatic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Portosystemic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Shunt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Group.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TIPS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Budd-Chiari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syndrome: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long-term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results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prognostics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factors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124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2008;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135</w:t>
      </w:r>
      <w:r w:rsidRPr="000349FE">
        <w:rPr>
          <w:rFonts w:ascii="Book Antiqua" w:eastAsia="Book Antiqua" w:hAnsi="Book Antiqua" w:cs="Book Antiqua"/>
          <w:color w:val="000000"/>
        </w:rPr>
        <w:t>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808-815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[PMID: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18621047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10.1053/j.gastro.2008.05.051]</w:t>
      </w:r>
    </w:p>
    <w:p w14:paraId="61CBDFF8" w14:textId="488B45B2" w:rsidR="00A02D6E" w:rsidRPr="000349FE" w:rsidRDefault="00A02D6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10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Liver</w:t>
      </w:r>
      <w:r w:rsidRPr="000349FE">
        <w:rPr>
          <w:rFonts w:ascii="Book Antiqua" w:eastAsia="Book Antiqua" w:hAnsi="Book Antiqua" w:cs="Book Antiqua"/>
          <w:color w:val="000000"/>
        </w:rPr>
        <w:t>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EASL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Clinical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Practice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Guidelines: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Vascular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diseases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liver.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2016;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0349FE">
        <w:rPr>
          <w:rFonts w:ascii="Book Antiqua" w:eastAsia="Book Antiqua" w:hAnsi="Book Antiqua" w:cs="Book Antiqua"/>
          <w:color w:val="000000"/>
        </w:rPr>
        <w:t>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179-202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[PMID: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26516032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10.1016/j.jhep.2015.07.040]</w:t>
      </w:r>
    </w:p>
    <w:p w14:paraId="655C1791" w14:textId="277805EA" w:rsidR="00A02D6E" w:rsidRPr="000349FE" w:rsidRDefault="00A02D6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11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b/>
          <w:bCs/>
          <w:color w:val="000000"/>
        </w:rPr>
        <w:t>Simonetto</w:t>
      </w:r>
      <w:proofErr w:type="spellEnd"/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Singal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AK,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Garcia-Tsao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Caldwell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SH,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J,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Kamath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ACG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Clinical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Guideline: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Disorders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Hepatic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Mesenteric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Circulation.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2020;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0349FE">
        <w:rPr>
          <w:rFonts w:ascii="Book Antiqua" w:eastAsia="Book Antiqua" w:hAnsi="Book Antiqua" w:cs="Book Antiqua"/>
          <w:color w:val="000000"/>
        </w:rPr>
        <w:t>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18-40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[PMID: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31895720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10.14309/ajg.0000000000000486]</w:t>
      </w:r>
    </w:p>
    <w:p w14:paraId="1900F3CA" w14:textId="6CD578AD" w:rsidR="00A02D6E" w:rsidRPr="000349FE" w:rsidRDefault="00A02D6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12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Tripathi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Sunderraj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Vemala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Mehrzad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Zia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Z,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Mangat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K,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West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Elias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Olliff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SP.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Long-term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outcomes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following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percutaneous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hepatic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vein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recanalization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Budd-Chiari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syndrome.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2017;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0349FE">
        <w:rPr>
          <w:rFonts w:ascii="Book Antiqua" w:eastAsia="Book Antiqua" w:hAnsi="Book Antiqua" w:cs="Book Antiqua"/>
          <w:color w:val="000000"/>
        </w:rPr>
        <w:t>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111-120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[PMID: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27254473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10.1111/liv.13180]</w:t>
      </w:r>
    </w:p>
    <w:p w14:paraId="5538DC43" w14:textId="0C153628" w:rsidR="00A77B3E" w:rsidRPr="000349FE" w:rsidRDefault="00DC242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13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b/>
          <w:bCs/>
          <w:color w:val="000000"/>
        </w:rPr>
        <w:t>Quan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b/>
          <w:bCs/>
          <w:color w:val="000000"/>
        </w:rPr>
        <w:t>H</w:t>
      </w:r>
      <w:r w:rsidR="006E3B4C"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Sundararajan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V,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0349FE">
        <w:rPr>
          <w:rFonts w:ascii="Book Antiqua" w:eastAsia="Book Antiqua" w:hAnsi="Book Antiqua" w:cs="Book Antiqua"/>
          <w:color w:val="000000"/>
        </w:rPr>
        <w:t>Halfon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P,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Fong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A,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0349FE">
        <w:rPr>
          <w:rFonts w:ascii="Book Antiqua" w:eastAsia="Book Antiqua" w:hAnsi="Book Antiqua" w:cs="Book Antiqua"/>
          <w:color w:val="000000"/>
        </w:rPr>
        <w:t>Burnand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B,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0349FE">
        <w:rPr>
          <w:rFonts w:ascii="Book Antiqua" w:eastAsia="Book Antiqua" w:hAnsi="Book Antiqua" w:cs="Book Antiqua"/>
          <w:color w:val="000000"/>
        </w:rPr>
        <w:t>Luthi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JC,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Saunders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LD,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Beck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CA,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0349FE">
        <w:rPr>
          <w:rFonts w:ascii="Book Antiqua" w:eastAsia="Book Antiqua" w:hAnsi="Book Antiqua" w:cs="Book Antiqua"/>
          <w:color w:val="000000"/>
        </w:rPr>
        <w:t>Feasby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TE,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0349FE">
        <w:rPr>
          <w:rFonts w:ascii="Book Antiqua" w:eastAsia="Book Antiqua" w:hAnsi="Book Antiqua" w:cs="Book Antiqua"/>
          <w:color w:val="000000"/>
        </w:rPr>
        <w:t>Ghali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WA.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Coding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algorithms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defining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comorbidities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ICD-9-CM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ICD-10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administrative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data.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2005;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b/>
          <w:bCs/>
          <w:color w:val="000000"/>
        </w:rPr>
        <w:t>43</w:t>
      </w:r>
      <w:r w:rsidR="006E3B4C" w:rsidRPr="000349FE">
        <w:rPr>
          <w:rFonts w:ascii="Book Antiqua" w:eastAsia="Book Antiqua" w:hAnsi="Book Antiqua" w:cs="Book Antiqua"/>
          <w:color w:val="000000"/>
        </w:rPr>
        <w:t>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1130-1139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[PMID: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16224307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DOI: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10.1097/01.mlr.0000182534.19832.83]</w:t>
      </w:r>
    </w:p>
    <w:p w14:paraId="0166E9F5" w14:textId="2D446E35" w:rsidR="00A77B3E" w:rsidRPr="000349FE" w:rsidRDefault="005A4D9D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14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0349FE">
        <w:rPr>
          <w:rFonts w:ascii="Book Antiqua" w:eastAsia="Book Antiqua" w:hAnsi="Book Antiqua" w:cs="Book Antiqua"/>
          <w:b/>
          <w:bCs/>
          <w:color w:val="000000"/>
        </w:rPr>
        <w:t>Seijo</w:t>
      </w:r>
      <w:proofErr w:type="spellEnd"/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b/>
          <w:bCs/>
          <w:color w:val="000000"/>
        </w:rPr>
        <w:t>S</w:t>
      </w:r>
      <w:r w:rsidR="006E3B4C"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0349FE">
        <w:rPr>
          <w:rFonts w:ascii="Book Antiqua" w:eastAsia="Book Antiqua" w:hAnsi="Book Antiqua" w:cs="Book Antiqua"/>
          <w:color w:val="000000"/>
        </w:rPr>
        <w:t>Plessier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A,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Hoekstra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J,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0349FE">
        <w:rPr>
          <w:rFonts w:ascii="Book Antiqua" w:eastAsia="Book Antiqua" w:hAnsi="Book Antiqua" w:cs="Book Antiqua"/>
          <w:color w:val="000000"/>
        </w:rPr>
        <w:t>Dell'era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A,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0349FE">
        <w:rPr>
          <w:rFonts w:ascii="Book Antiqua" w:eastAsia="Book Antiqua" w:hAnsi="Book Antiqua" w:cs="Book Antiqua"/>
          <w:color w:val="000000"/>
        </w:rPr>
        <w:t>Mandair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D,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Rifai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K,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0349FE">
        <w:rPr>
          <w:rFonts w:ascii="Book Antiqua" w:eastAsia="Book Antiqua" w:hAnsi="Book Antiqua" w:cs="Book Antiqua"/>
          <w:color w:val="000000"/>
        </w:rPr>
        <w:t>Trebicka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J,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0349FE">
        <w:rPr>
          <w:rFonts w:ascii="Book Antiqua" w:eastAsia="Book Antiqua" w:hAnsi="Book Antiqua" w:cs="Book Antiqua"/>
          <w:color w:val="000000"/>
        </w:rPr>
        <w:t>Morard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I,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0349FE">
        <w:rPr>
          <w:rFonts w:ascii="Book Antiqua" w:eastAsia="Book Antiqua" w:hAnsi="Book Antiqua" w:cs="Book Antiqua"/>
          <w:color w:val="000000"/>
        </w:rPr>
        <w:t>Lasser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L,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0349FE">
        <w:rPr>
          <w:rFonts w:ascii="Book Antiqua" w:eastAsia="Book Antiqua" w:hAnsi="Book Antiqua" w:cs="Book Antiqua"/>
          <w:color w:val="000000"/>
        </w:rPr>
        <w:t>Abraldes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JG,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Darwish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Murad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Heller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J,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0349FE">
        <w:rPr>
          <w:rFonts w:ascii="Book Antiqua" w:eastAsia="Book Antiqua" w:hAnsi="Book Antiqua" w:cs="Book Antiqua"/>
          <w:color w:val="000000"/>
        </w:rPr>
        <w:t>Hadengue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A,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3B4C" w:rsidRPr="000349FE">
        <w:rPr>
          <w:rFonts w:ascii="Book Antiqua" w:eastAsia="Book Antiqua" w:hAnsi="Book Antiqua" w:cs="Book Antiqua"/>
          <w:color w:val="000000"/>
        </w:rPr>
        <w:t>Primignani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M,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Elias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Janssen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HL,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Valla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DC,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Garcia-Pagan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JC;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European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Network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Vascular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Disorders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Liver.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Good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long-term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outcome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Budd-Chiari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syndrome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step-wise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management.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2013;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b/>
          <w:bCs/>
          <w:color w:val="000000"/>
        </w:rPr>
        <w:t>57</w:t>
      </w:r>
      <w:r w:rsidR="006E3B4C" w:rsidRPr="000349FE">
        <w:rPr>
          <w:rFonts w:ascii="Book Antiqua" w:eastAsia="Book Antiqua" w:hAnsi="Book Antiqua" w:cs="Book Antiqua"/>
          <w:color w:val="000000"/>
        </w:rPr>
        <w:t>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1962-1968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[PMID: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23389867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DOI: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10.1002/hep.26306]</w:t>
      </w:r>
    </w:p>
    <w:p w14:paraId="092FA8AE" w14:textId="207A36F0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15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b/>
          <w:bCs/>
          <w:color w:val="000000"/>
        </w:rPr>
        <w:t>Rosenqvist</w:t>
      </w:r>
      <w:proofErr w:type="spellEnd"/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Sheikhi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Eriksson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LG,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Rajani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Rorsman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Sangfelt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Nyman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Endovascular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treatment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symptomatic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Budd-Chiari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syndrome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-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favour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early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intrahepatic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portosystemic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shunt.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2016;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0349FE">
        <w:rPr>
          <w:rFonts w:ascii="Book Antiqua" w:eastAsia="Book Antiqua" w:hAnsi="Book Antiqua" w:cs="Book Antiqua"/>
          <w:color w:val="000000"/>
        </w:rPr>
        <w:t>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656-660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[PMID: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26958788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10.1097/MEG.0000000000000621]</w:t>
      </w:r>
    </w:p>
    <w:p w14:paraId="0466E0F9" w14:textId="74FADA64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16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b/>
          <w:bCs/>
          <w:color w:val="000000"/>
        </w:rPr>
        <w:t>Segev</w:t>
      </w:r>
      <w:proofErr w:type="spellEnd"/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Nguyen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GC,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Locke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JE,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Simpkins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Montgomery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RA,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Maley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WR,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Thuluvath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PJ.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Twenty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years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liver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transplantation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Budd-Chiari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syndrome: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national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registry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analysis.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2007;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349FE">
        <w:rPr>
          <w:rFonts w:ascii="Book Antiqua" w:eastAsia="Book Antiqua" w:hAnsi="Book Antiqua" w:cs="Book Antiqua"/>
          <w:color w:val="000000"/>
        </w:rPr>
        <w:t>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1285-1294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[PMID: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17763380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10.1002/Lt.21220]</w:t>
      </w:r>
    </w:p>
    <w:p w14:paraId="79D1680D" w14:textId="3261E6F8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17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b/>
          <w:bCs/>
          <w:color w:val="000000"/>
        </w:rPr>
        <w:t>Alukal</w:t>
      </w:r>
      <w:proofErr w:type="spellEnd"/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Zhang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Thuluvath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PJ.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Outcomes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7A4DFD" w:rsidRPr="000349FE">
        <w:rPr>
          <w:rFonts w:ascii="Book Antiqua" w:eastAsia="Book Antiqua" w:hAnsi="Book Antiqua" w:cs="Book Antiqua"/>
          <w:color w:val="000000"/>
        </w:rPr>
        <w:t>liver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transplantation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Budd-Chiari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Syndrome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fulminant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hepatic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failure.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2020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[PMID: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33236517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10.1111/ajt.16410]</w:t>
      </w:r>
    </w:p>
    <w:p w14:paraId="7191B261" w14:textId="3A855F10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18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Mentha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Giostra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Majno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Bechstein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WO,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Neuhaus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O'Grady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J,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Praseedom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RK,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Burroughs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AK,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Treut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YP,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Kirkegaard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Rogiers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X,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Ericzon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BG,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Hockerstedt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K,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Adam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Klempnauer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J.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Liver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transplantation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Budd-Chiari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syndrome: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European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248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51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Pr="000349FE">
        <w:rPr>
          <w:rFonts w:ascii="Book Antiqua" w:eastAsia="Book Antiqua" w:hAnsi="Book Antiqua" w:cs="Book Antiqua"/>
          <w:color w:val="000000"/>
        </w:rPr>
        <w:t>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2006;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0349FE">
        <w:rPr>
          <w:rFonts w:ascii="Book Antiqua" w:eastAsia="Book Antiqua" w:hAnsi="Book Antiqua" w:cs="Book Antiqua"/>
          <w:color w:val="000000"/>
        </w:rPr>
        <w:t>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520-528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[PMID: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16427719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10.1016/j.jhep.2005.12.002]</w:t>
      </w:r>
    </w:p>
    <w:p w14:paraId="7D753696" w14:textId="6F4D8D65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19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Freeman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Weiss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AJ,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Heslin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KC.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Overview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U.S.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Stays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2016: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Variation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Geographic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Region: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Statistical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Brief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#246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2006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[PMID: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30720972]</w:t>
      </w:r>
    </w:p>
    <w:p w14:paraId="14BC025E" w14:textId="53D279B8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20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Stepanova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Mishra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Venkatesan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Younossi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ZM.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In-hospital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economic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burden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associated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hepatic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encephalopathy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2005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2009.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2012;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0349FE">
        <w:rPr>
          <w:rFonts w:ascii="Book Antiqua" w:eastAsia="Book Antiqua" w:hAnsi="Book Antiqua" w:cs="Book Antiqua"/>
          <w:color w:val="000000"/>
        </w:rPr>
        <w:t>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1034-</w:t>
      </w:r>
      <w:proofErr w:type="gramStart"/>
      <w:r w:rsidRPr="000349FE">
        <w:rPr>
          <w:rFonts w:ascii="Book Antiqua" w:eastAsia="Book Antiqua" w:hAnsi="Book Antiqua" w:cs="Book Antiqua"/>
          <w:color w:val="000000"/>
        </w:rPr>
        <w:t>41.e</w:t>
      </w:r>
      <w:proofErr w:type="gramEnd"/>
      <w:r w:rsidRPr="000349FE">
        <w:rPr>
          <w:rFonts w:ascii="Book Antiqua" w:eastAsia="Book Antiqua" w:hAnsi="Book Antiqua" w:cs="Book Antiqua"/>
          <w:color w:val="000000"/>
        </w:rPr>
        <w:t>1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[PMID: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22642955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10.1016/j.cgh.2012.05.016]</w:t>
      </w:r>
    </w:p>
    <w:p w14:paraId="0BB39CF4" w14:textId="51EEFB26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21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b/>
          <w:bCs/>
          <w:color w:val="000000"/>
        </w:rPr>
        <w:t>Niu</w:t>
      </w:r>
      <w:proofErr w:type="spellEnd"/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0349FE">
        <w:rPr>
          <w:rFonts w:ascii="Book Antiqua" w:eastAsia="Book Antiqua" w:hAnsi="Book Antiqua" w:cs="Book Antiqua"/>
          <w:color w:val="000000"/>
        </w:rPr>
        <w:t>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Kim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Limketkai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BN,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Sun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J,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Z,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Woreta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Chen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PH.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Spontaneous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Bacterial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Peritonitis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Among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Hospitalized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USA.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1039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2018;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0349FE">
        <w:rPr>
          <w:rFonts w:ascii="Book Antiqua" w:eastAsia="Book Antiqua" w:hAnsi="Book Antiqua" w:cs="Book Antiqua"/>
          <w:color w:val="000000"/>
        </w:rPr>
        <w:t>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1327-1333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[PMID: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29480417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DOI: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10.1007/s10620-018-4990-y]</w:t>
      </w:r>
    </w:p>
    <w:p w14:paraId="7B4BD48A" w14:textId="0E6DA6F2" w:rsidR="00053180" w:rsidRPr="00053180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053180" w:rsidRPr="000531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53180">
        <w:rPr>
          <w:rFonts w:ascii="Book Antiqua" w:eastAsia="Book Antiqua" w:hAnsi="Book Antiqua" w:cs="Book Antiqua"/>
          <w:color w:val="000000"/>
          <w:highlight w:val="yellow"/>
        </w:rPr>
        <w:t>22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53180">
        <w:rPr>
          <w:rFonts w:ascii="Book Antiqua" w:eastAsia="Book Antiqua" w:hAnsi="Book Antiqua" w:cs="Book Antiqua"/>
          <w:b/>
          <w:bCs/>
          <w:color w:val="000000"/>
          <w:highlight w:val="yellow"/>
        </w:rPr>
        <w:t>Whalen</w:t>
      </w:r>
      <w:r w:rsidR="0010390C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053180">
        <w:rPr>
          <w:rFonts w:ascii="Book Antiqua" w:eastAsia="Book Antiqua" w:hAnsi="Book Antiqua" w:cs="Book Antiqua"/>
          <w:b/>
          <w:bCs/>
          <w:color w:val="000000"/>
          <w:highlight w:val="yellow"/>
        </w:rPr>
        <w:t>D,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53180">
        <w:rPr>
          <w:rFonts w:ascii="Book Antiqua" w:eastAsia="Book Antiqua" w:hAnsi="Book Antiqua" w:cs="Book Antiqua"/>
          <w:color w:val="000000"/>
          <w:highlight w:val="yellow"/>
        </w:rPr>
        <w:t>Houchens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53180">
        <w:rPr>
          <w:rFonts w:ascii="Book Antiqua" w:eastAsia="Book Antiqua" w:hAnsi="Book Antiqua" w:cs="Book Antiqua"/>
          <w:color w:val="000000"/>
          <w:highlight w:val="yellow"/>
        </w:rPr>
        <w:t>R,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053180">
        <w:rPr>
          <w:rFonts w:ascii="Book Antiqua" w:eastAsia="Book Antiqua" w:hAnsi="Book Antiqua" w:cs="Book Antiqua"/>
          <w:color w:val="000000"/>
          <w:highlight w:val="yellow"/>
        </w:rPr>
        <w:t>Elixhauser</w:t>
      </w:r>
      <w:proofErr w:type="spellEnd"/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53180">
        <w:rPr>
          <w:rFonts w:ascii="Book Antiqua" w:eastAsia="Book Antiqua" w:hAnsi="Book Antiqua" w:cs="Book Antiqua"/>
          <w:color w:val="000000"/>
          <w:highlight w:val="yellow"/>
        </w:rPr>
        <w:t>A.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53180">
        <w:rPr>
          <w:rFonts w:ascii="Book Antiqua" w:eastAsia="Book Antiqua" w:hAnsi="Book Antiqua" w:cs="Book Antiqua"/>
          <w:color w:val="000000"/>
          <w:highlight w:val="yellow"/>
        </w:rPr>
        <w:t>2002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53180">
        <w:rPr>
          <w:rFonts w:ascii="Book Antiqua" w:eastAsia="Book Antiqua" w:hAnsi="Book Antiqua" w:cs="Book Antiqua"/>
          <w:color w:val="000000"/>
          <w:highlight w:val="yellow"/>
        </w:rPr>
        <w:t>HCUP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53180">
        <w:rPr>
          <w:rFonts w:ascii="Book Antiqua" w:eastAsia="Book Antiqua" w:hAnsi="Book Antiqua" w:cs="Book Antiqua"/>
          <w:color w:val="000000"/>
          <w:highlight w:val="yellow"/>
        </w:rPr>
        <w:t>nationwide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53180">
        <w:rPr>
          <w:rFonts w:ascii="Book Antiqua" w:eastAsia="Book Antiqua" w:hAnsi="Book Antiqua" w:cs="Book Antiqua"/>
          <w:color w:val="000000"/>
          <w:highlight w:val="yellow"/>
        </w:rPr>
        <w:t>inpatient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53180">
        <w:rPr>
          <w:rFonts w:ascii="Book Antiqua" w:eastAsia="Book Antiqua" w:hAnsi="Book Antiqua" w:cs="Book Antiqua"/>
          <w:color w:val="000000"/>
          <w:highlight w:val="yellow"/>
        </w:rPr>
        <w:t>sample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53180">
        <w:rPr>
          <w:rFonts w:ascii="Book Antiqua" w:eastAsia="Book Antiqua" w:hAnsi="Book Antiqua" w:cs="Book Antiqua"/>
          <w:color w:val="000000"/>
          <w:highlight w:val="yellow"/>
        </w:rPr>
        <w:t>(NIS)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53180">
        <w:rPr>
          <w:rFonts w:ascii="Book Antiqua" w:eastAsia="Book Antiqua" w:hAnsi="Book Antiqua" w:cs="Book Antiqua"/>
          <w:color w:val="000000"/>
          <w:highlight w:val="yellow"/>
        </w:rPr>
        <w:t>comparison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053180">
        <w:rPr>
          <w:rFonts w:ascii="Book Antiqua" w:eastAsia="Book Antiqua" w:hAnsi="Book Antiqua" w:cs="Book Antiqua"/>
          <w:color w:val="000000"/>
          <w:highlight w:val="yellow"/>
        </w:rPr>
        <w:t>report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C7988">
        <w:rPr>
          <w:rFonts w:ascii="宋体" w:eastAsia="宋体" w:hAnsi="宋体" w:cs="宋体"/>
          <w:color w:val="000000"/>
          <w:highlight w:val="yellow"/>
          <w:lang w:eastAsia="zh-CN"/>
        </w:rPr>
        <w:t>-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053180" w:rsidRPr="00053180">
        <w:rPr>
          <w:rFonts w:ascii="Book Antiqua" w:eastAsia="Book Antiqua" w:hAnsi="Book Antiqua" w:cs="Book Antiqua"/>
          <w:color w:val="000000"/>
          <w:highlight w:val="yellow"/>
        </w:rPr>
        <w:t>HCUP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053180" w:rsidRPr="00053180">
        <w:rPr>
          <w:rFonts w:ascii="Book Antiqua" w:eastAsia="Book Antiqua" w:hAnsi="Book Antiqua" w:cs="Book Antiqua"/>
          <w:color w:val="000000"/>
          <w:highlight w:val="yellow"/>
        </w:rPr>
        <w:t>Method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053180" w:rsidRPr="00053180">
        <w:rPr>
          <w:rFonts w:ascii="Book Antiqua" w:eastAsia="Book Antiqua" w:hAnsi="Book Antiqua" w:cs="Book Antiqua"/>
          <w:color w:val="000000"/>
          <w:highlight w:val="yellow"/>
        </w:rPr>
        <w:t>Series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053180" w:rsidRPr="00053180">
        <w:rPr>
          <w:rFonts w:ascii="Book Antiqua" w:eastAsia="Book Antiqua" w:hAnsi="Book Antiqua" w:cs="Book Antiqua"/>
          <w:color w:val="000000"/>
          <w:highlight w:val="yellow"/>
        </w:rPr>
        <w:t>Report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053180" w:rsidRPr="00053180">
        <w:rPr>
          <w:rFonts w:ascii="Book Antiqua" w:eastAsia="Book Antiqua" w:hAnsi="Book Antiqua" w:cs="Book Antiqua"/>
          <w:color w:val="000000"/>
          <w:highlight w:val="yellow"/>
        </w:rPr>
        <w:t>#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053180" w:rsidRPr="00053180">
        <w:rPr>
          <w:rFonts w:ascii="Book Antiqua" w:eastAsia="Book Antiqua" w:hAnsi="Book Antiqua" w:cs="Book Antiqua"/>
          <w:color w:val="000000"/>
          <w:highlight w:val="yellow"/>
        </w:rPr>
        <w:t>2005-03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B6280D">
        <w:rPr>
          <w:rFonts w:ascii="Book Antiqua" w:eastAsia="Book Antiqua" w:hAnsi="Book Antiqua" w:cs="Book Antiqua"/>
          <w:color w:val="000000"/>
          <w:highlight w:val="yellow"/>
        </w:rPr>
        <w:t>-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053180" w:rsidRPr="00053180">
        <w:rPr>
          <w:rFonts w:ascii="Book Antiqua" w:eastAsia="Book Antiqua" w:hAnsi="Book Antiqua" w:cs="Book Antiqua"/>
          <w:color w:val="000000"/>
          <w:highlight w:val="yellow"/>
        </w:rPr>
        <w:t>ONLINE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053180" w:rsidRPr="00053180">
        <w:rPr>
          <w:rFonts w:ascii="Book Antiqua" w:eastAsia="Book Antiqua" w:hAnsi="Book Antiqua" w:cs="Book Antiqua"/>
          <w:color w:val="000000"/>
          <w:highlight w:val="yellow"/>
        </w:rPr>
        <w:t>June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053180" w:rsidRPr="00053180">
        <w:rPr>
          <w:rFonts w:ascii="Book Antiqua" w:eastAsia="Book Antiqua" w:hAnsi="Book Antiqua" w:cs="Book Antiqua"/>
          <w:color w:val="000000"/>
          <w:highlight w:val="yellow"/>
        </w:rPr>
        <w:t>24,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053180" w:rsidRPr="00053180">
        <w:rPr>
          <w:rFonts w:ascii="Book Antiqua" w:eastAsia="Book Antiqua" w:hAnsi="Book Antiqua" w:cs="Book Antiqua"/>
          <w:color w:val="000000"/>
          <w:highlight w:val="yellow"/>
        </w:rPr>
        <w:t>2005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B6280D">
        <w:rPr>
          <w:rFonts w:ascii="Book Antiqua" w:eastAsia="Book Antiqua" w:hAnsi="Book Antiqua" w:cs="Book Antiqua"/>
          <w:color w:val="000000"/>
          <w:highlight w:val="yellow"/>
        </w:rPr>
        <w:t>-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053180" w:rsidRPr="00053180">
        <w:rPr>
          <w:rFonts w:ascii="Book Antiqua" w:eastAsia="Book Antiqua" w:hAnsi="Book Antiqua" w:cs="Book Antiqua"/>
          <w:color w:val="000000"/>
          <w:highlight w:val="yellow"/>
        </w:rPr>
        <w:t>U.S.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053180" w:rsidRPr="00053180">
        <w:rPr>
          <w:rFonts w:ascii="Book Antiqua" w:eastAsia="Book Antiqua" w:hAnsi="Book Antiqua" w:cs="Book Antiqua"/>
          <w:color w:val="000000"/>
          <w:highlight w:val="yellow"/>
        </w:rPr>
        <w:t>Agency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053180" w:rsidRPr="00053180">
        <w:rPr>
          <w:rFonts w:ascii="Book Antiqua" w:eastAsia="Book Antiqua" w:hAnsi="Book Antiqua" w:cs="Book Antiqua"/>
          <w:color w:val="000000"/>
          <w:highlight w:val="yellow"/>
        </w:rPr>
        <w:t>for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053180" w:rsidRPr="00053180">
        <w:rPr>
          <w:rFonts w:ascii="Book Antiqua" w:eastAsia="Book Antiqua" w:hAnsi="Book Antiqua" w:cs="Book Antiqua"/>
          <w:color w:val="000000"/>
          <w:highlight w:val="yellow"/>
        </w:rPr>
        <w:t>Healthcare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053180" w:rsidRPr="00053180">
        <w:rPr>
          <w:rFonts w:ascii="Book Antiqua" w:eastAsia="Book Antiqua" w:hAnsi="Book Antiqua" w:cs="Book Antiqua"/>
          <w:color w:val="000000"/>
          <w:highlight w:val="yellow"/>
        </w:rPr>
        <w:t>Research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053180" w:rsidRPr="00053180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10390C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053180" w:rsidRPr="00053180">
        <w:rPr>
          <w:rFonts w:ascii="Book Antiqua" w:eastAsia="Book Antiqua" w:hAnsi="Book Antiqua" w:cs="Book Antiqua"/>
          <w:color w:val="000000"/>
          <w:highlight w:val="yellow"/>
        </w:rPr>
        <w:t>Quality.</w:t>
      </w:r>
      <w:r w:rsidR="0010390C">
        <w:rPr>
          <w:rFonts w:ascii="Book Antiqua" w:hAnsi="Book Antiqua" w:cs="Book Antiqua" w:hint="eastAsia"/>
          <w:color w:val="000000"/>
          <w:highlight w:val="yellow"/>
          <w:lang w:eastAsia="zh-CN"/>
        </w:rPr>
        <w:t xml:space="preserve"> </w:t>
      </w:r>
      <w:r w:rsidR="00053180" w:rsidRPr="00053180">
        <w:rPr>
          <w:rFonts w:ascii="Book Antiqua" w:hAnsi="Book Antiqua"/>
          <w:highlight w:val="yellow"/>
        </w:rPr>
        <w:t>Available</w:t>
      </w:r>
      <w:r w:rsidR="0010390C">
        <w:rPr>
          <w:rFonts w:ascii="Book Antiqua" w:hAnsi="Book Antiqua"/>
          <w:highlight w:val="yellow"/>
        </w:rPr>
        <w:t xml:space="preserve"> </w:t>
      </w:r>
      <w:r w:rsidR="00053180" w:rsidRPr="00053180">
        <w:rPr>
          <w:rFonts w:ascii="Book Antiqua" w:hAnsi="Book Antiqua"/>
          <w:highlight w:val="yellow"/>
        </w:rPr>
        <w:t>from:</w:t>
      </w:r>
      <w:r w:rsidR="0010390C">
        <w:rPr>
          <w:rFonts w:ascii="Book Antiqua" w:hAnsi="Book Antiqua"/>
          <w:highlight w:val="yellow"/>
        </w:rPr>
        <w:t xml:space="preserve"> </w:t>
      </w:r>
      <w:r w:rsidR="00053180" w:rsidRPr="00053180">
        <w:rPr>
          <w:rFonts w:ascii="Book Antiqua" w:hAnsi="Book Antiqua"/>
          <w:highlight w:val="yellow"/>
        </w:rPr>
        <w:t>http://www.hcup-us.ahrq.gov</w:t>
      </w:r>
    </w:p>
    <w:bookmarkEnd w:id="0"/>
    <w:p w14:paraId="2725B243" w14:textId="77777777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color w:val="000000"/>
        </w:rPr>
        <w:t>Footnotes</w:t>
      </w:r>
    </w:p>
    <w:p w14:paraId="6C347F31" w14:textId="4E9069CB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Since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study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were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de-identified,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IRB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approval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59017F" w:rsidRPr="000349FE">
        <w:rPr>
          <w:rFonts w:ascii="Book Antiqua" w:eastAsia="Book Antiqua" w:hAnsi="Book Antiqua" w:cs="Book Antiqua"/>
          <w:color w:val="000000"/>
        </w:rPr>
        <w:t>not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BF0C20" w:rsidRPr="000349FE">
        <w:rPr>
          <w:rFonts w:ascii="Book Antiqua" w:eastAsia="Book Antiqua" w:hAnsi="Book Antiqua" w:cs="Book Antiqua"/>
          <w:color w:val="000000"/>
        </w:rPr>
        <w:t>required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local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IRB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requirements.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</w:p>
    <w:p w14:paraId="35006640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AFFE91" w14:textId="3F04B1E3" w:rsidR="00E25C07" w:rsidRPr="000349FE" w:rsidRDefault="00E25C07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  <w:color w:val="000000"/>
        </w:rPr>
      </w:pPr>
      <w:r w:rsidRPr="000349FE">
        <w:rPr>
          <w:rFonts w:ascii="Book Antiqua" w:hAnsi="Book Antiqua"/>
          <w:b/>
        </w:rPr>
        <w:t>Informed</w:t>
      </w:r>
      <w:r w:rsidR="0010390C">
        <w:rPr>
          <w:rFonts w:ascii="Book Antiqua" w:hAnsi="Book Antiqua"/>
          <w:b/>
        </w:rPr>
        <w:t xml:space="preserve"> </w:t>
      </w:r>
      <w:r w:rsidRPr="000349FE">
        <w:rPr>
          <w:rFonts w:ascii="Book Antiqua" w:hAnsi="Book Antiqua"/>
          <w:b/>
        </w:rPr>
        <w:t>consent</w:t>
      </w:r>
      <w:r w:rsidR="0010390C">
        <w:rPr>
          <w:rFonts w:ascii="Book Antiqua" w:hAnsi="Book Antiqua"/>
          <w:b/>
        </w:rPr>
        <w:t xml:space="preserve"> </w:t>
      </w:r>
      <w:r w:rsidRPr="000349FE">
        <w:rPr>
          <w:rFonts w:ascii="Book Antiqua" w:hAnsi="Book Antiqua"/>
          <w:b/>
        </w:rPr>
        <w:t>statement</w:t>
      </w:r>
      <w:r w:rsidRPr="000349FE">
        <w:rPr>
          <w:rFonts w:ascii="Book Antiqua" w:hAnsi="Book Antiqua"/>
          <w:b/>
          <w:iCs/>
          <w:color w:val="000000"/>
        </w:rPr>
        <w:t>:</w:t>
      </w:r>
      <w:r w:rsidR="0010390C">
        <w:rPr>
          <w:rFonts w:ascii="Book Antiqua" w:hAnsi="Book Antiqua"/>
          <w:b/>
          <w:iCs/>
          <w:color w:val="000000"/>
        </w:rPr>
        <w:t xml:space="preserve"> </w:t>
      </w:r>
      <w:r w:rsidR="00BF0C20" w:rsidRPr="000349FE">
        <w:rPr>
          <w:rFonts w:ascii="Book Antiqua" w:hAnsi="Book Antiqua"/>
          <w:bCs/>
          <w:iCs/>
          <w:color w:val="000000"/>
        </w:rPr>
        <w:t>Being</w:t>
      </w:r>
      <w:r w:rsidR="0010390C">
        <w:rPr>
          <w:rFonts w:ascii="Book Antiqua" w:hAnsi="Book Antiqua"/>
          <w:bCs/>
          <w:iCs/>
          <w:color w:val="000000"/>
        </w:rPr>
        <w:t xml:space="preserve"> </w:t>
      </w:r>
      <w:r w:rsidR="00BF0C20" w:rsidRPr="000349FE">
        <w:rPr>
          <w:rFonts w:ascii="Book Antiqua" w:hAnsi="Book Antiqua"/>
          <w:bCs/>
          <w:iCs/>
          <w:color w:val="000000"/>
        </w:rPr>
        <w:t>a</w:t>
      </w:r>
      <w:r w:rsidR="0010390C">
        <w:rPr>
          <w:rFonts w:ascii="Book Antiqua" w:hAnsi="Book Antiqua"/>
          <w:bCs/>
          <w:iCs/>
          <w:color w:val="000000"/>
        </w:rPr>
        <w:t xml:space="preserve"> </w:t>
      </w:r>
      <w:r w:rsidR="00BF0C20" w:rsidRPr="000349FE">
        <w:rPr>
          <w:rFonts w:ascii="Book Antiqua" w:hAnsi="Book Antiqua"/>
          <w:bCs/>
          <w:iCs/>
          <w:color w:val="000000"/>
        </w:rPr>
        <w:t>de-identified</w:t>
      </w:r>
      <w:r w:rsidR="0010390C">
        <w:rPr>
          <w:rFonts w:ascii="Book Antiqua" w:hAnsi="Book Antiqua"/>
          <w:bCs/>
          <w:iCs/>
          <w:color w:val="000000"/>
        </w:rPr>
        <w:t xml:space="preserve"> </w:t>
      </w:r>
      <w:r w:rsidR="00BF0C20" w:rsidRPr="000349FE">
        <w:rPr>
          <w:rFonts w:ascii="Book Antiqua" w:hAnsi="Book Antiqua"/>
          <w:bCs/>
          <w:iCs/>
          <w:color w:val="000000"/>
        </w:rPr>
        <w:t>database</w:t>
      </w:r>
      <w:r w:rsidR="0010390C">
        <w:rPr>
          <w:rFonts w:ascii="Book Antiqua" w:hAnsi="Book Antiqua"/>
          <w:bCs/>
          <w:iCs/>
          <w:color w:val="000000"/>
        </w:rPr>
        <w:t xml:space="preserve"> </w:t>
      </w:r>
      <w:r w:rsidR="00BF0C20" w:rsidRPr="000349FE">
        <w:rPr>
          <w:rFonts w:ascii="Book Antiqua" w:hAnsi="Book Antiqua"/>
          <w:bCs/>
          <w:iCs/>
          <w:color w:val="000000"/>
        </w:rPr>
        <w:t>study,</w:t>
      </w:r>
      <w:r w:rsidR="0010390C">
        <w:rPr>
          <w:rFonts w:ascii="Book Antiqua" w:hAnsi="Book Antiqua"/>
          <w:bCs/>
          <w:iCs/>
          <w:color w:val="000000"/>
        </w:rPr>
        <w:t xml:space="preserve"> </w:t>
      </w:r>
      <w:r w:rsidR="00BF0C20" w:rsidRPr="000349FE">
        <w:rPr>
          <w:rFonts w:ascii="Book Antiqua" w:hAnsi="Book Antiqua"/>
          <w:bCs/>
          <w:iCs/>
          <w:color w:val="000000"/>
        </w:rPr>
        <w:t>consent</w:t>
      </w:r>
      <w:r w:rsidR="0010390C">
        <w:rPr>
          <w:rFonts w:ascii="Book Antiqua" w:hAnsi="Book Antiqua"/>
          <w:bCs/>
          <w:iCs/>
          <w:color w:val="000000"/>
        </w:rPr>
        <w:t xml:space="preserve"> </w:t>
      </w:r>
      <w:r w:rsidR="00BF0C20" w:rsidRPr="000349FE">
        <w:rPr>
          <w:rFonts w:ascii="Book Antiqua" w:hAnsi="Book Antiqua"/>
          <w:bCs/>
          <w:iCs/>
          <w:color w:val="000000"/>
        </w:rPr>
        <w:t>form</w:t>
      </w:r>
      <w:r w:rsidR="0010390C">
        <w:rPr>
          <w:rFonts w:ascii="Book Antiqua" w:hAnsi="Book Antiqua"/>
          <w:bCs/>
          <w:iCs/>
          <w:color w:val="000000"/>
        </w:rPr>
        <w:t xml:space="preserve"> </w:t>
      </w:r>
      <w:r w:rsidR="00BF0C20" w:rsidRPr="000349FE">
        <w:rPr>
          <w:rFonts w:ascii="Book Antiqua" w:hAnsi="Book Antiqua"/>
          <w:bCs/>
          <w:iCs/>
          <w:color w:val="000000"/>
        </w:rPr>
        <w:t>is</w:t>
      </w:r>
      <w:r w:rsidR="0010390C">
        <w:rPr>
          <w:rFonts w:ascii="Book Antiqua" w:hAnsi="Book Antiqua"/>
          <w:bCs/>
          <w:iCs/>
          <w:color w:val="000000"/>
        </w:rPr>
        <w:t xml:space="preserve"> </w:t>
      </w:r>
      <w:r w:rsidR="00BF0C20" w:rsidRPr="000349FE">
        <w:rPr>
          <w:rFonts w:ascii="Book Antiqua" w:hAnsi="Book Antiqua"/>
          <w:bCs/>
          <w:iCs/>
          <w:color w:val="000000"/>
        </w:rPr>
        <w:t>not</w:t>
      </w:r>
      <w:r w:rsidR="0010390C">
        <w:rPr>
          <w:rFonts w:ascii="Book Antiqua" w:hAnsi="Book Antiqua"/>
          <w:bCs/>
          <w:iCs/>
          <w:color w:val="000000"/>
        </w:rPr>
        <w:t xml:space="preserve"> </w:t>
      </w:r>
      <w:r w:rsidR="00BF0C20" w:rsidRPr="000349FE">
        <w:rPr>
          <w:rFonts w:ascii="Book Antiqua" w:hAnsi="Book Antiqua"/>
          <w:bCs/>
          <w:iCs/>
          <w:color w:val="000000"/>
        </w:rPr>
        <w:t>applicable.</w:t>
      </w:r>
    </w:p>
    <w:p w14:paraId="570F8623" w14:textId="77777777" w:rsidR="00E25C07" w:rsidRPr="000349FE" w:rsidRDefault="00E25C07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Cs/>
          <w:color w:val="000000"/>
        </w:rPr>
      </w:pPr>
    </w:p>
    <w:p w14:paraId="6B5F6B02" w14:textId="3E8080D7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conflict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interest</w:t>
      </w:r>
      <w:r w:rsidR="0059017F" w:rsidRPr="000349FE">
        <w:rPr>
          <w:rFonts w:ascii="Book Antiqua" w:eastAsia="Book Antiqua" w:hAnsi="Book Antiqua" w:cs="Book Antiqua"/>
          <w:color w:val="000000"/>
        </w:rPr>
        <w:t>.</w:t>
      </w:r>
    </w:p>
    <w:p w14:paraId="469909B0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157662" w14:textId="135510B7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datasets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are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available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everyone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nominal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fee</w:t>
      </w:r>
      <w:r w:rsidR="0059017F" w:rsidRPr="000349FE">
        <w:rPr>
          <w:rFonts w:ascii="Book Antiqua" w:eastAsia="Book Antiqua" w:hAnsi="Book Antiqua" w:cs="Book Antiqua"/>
          <w:color w:val="000000"/>
        </w:rPr>
        <w:t>.</w:t>
      </w:r>
    </w:p>
    <w:p w14:paraId="6A6B7872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F8AE84" w14:textId="4FFBEEDB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article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open-access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article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that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selected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in-house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editor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fully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peer-reviewed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external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reviewers.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distributed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accordance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Creative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Commons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Attribution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(CC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BY-NC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4.0)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license,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which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permits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others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distribute,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remix,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adapt,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build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upon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work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non-commercially,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license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their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derivative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works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different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terms,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provided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original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work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properly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the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is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non-commercial.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See: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A4BD684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717A9E" w14:textId="37D947B2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color w:val="000000"/>
        </w:rPr>
        <w:t>Manuscript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source: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Unsolicited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59017F" w:rsidRPr="000349FE">
        <w:rPr>
          <w:rFonts w:ascii="Book Antiqua" w:eastAsia="Book Antiqua" w:hAnsi="Book Antiqua" w:cs="Book Antiqua"/>
          <w:color w:val="000000"/>
        </w:rPr>
        <w:t>manuscript</w:t>
      </w:r>
    </w:p>
    <w:p w14:paraId="5E79D21E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7EB71F" w14:textId="6513864F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color w:val="000000"/>
        </w:rPr>
        <w:t>Peer-review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started: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February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18,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2021</w:t>
      </w:r>
    </w:p>
    <w:p w14:paraId="5243DB28" w14:textId="0C372248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color w:val="000000"/>
        </w:rPr>
        <w:t>First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decision: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March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16,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2021</w:t>
      </w:r>
    </w:p>
    <w:p w14:paraId="103B5E89" w14:textId="6F8D3135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color w:val="000000"/>
        </w:rPr>
        <w:t>Article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in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press: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0A65F72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A882AA" w14:textId="0E7973D9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color w:val="000000"/>
        </w:rPr>
        <w:t>Specialty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type: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Gastroenterology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A84967">
        <w:rPr>
          <w:rFonts w:ascii="Book Antiqua" w:eastAsia="Book Antiqua" w:hAnsi="Book Antiqua" w:cs="Book Antiqua"/>
          <w:color w:val="000000"/>
        </w:rPr>
        <w:t>h</w:t>
      </w:r>
      <w:r w:rsidRPr="000349FE">
        <w:rPr>
          <w:rFonts w:ascii="Book Antiqua" w:eastAsia="Book Antiqua" w:hAnsi="Book Antiqua" w:cs="Book Antiqua"/>
          <w:color w:val="000000"/>
        </w:rPr>
        <w:t>epatology</w:t>
      </w:r>
    </w:p>
    <w:p w14:paraId="70A97CF6" w14:textId="479885D7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color w:val="000000"/>
        </w:rPr>
        <w:t>Country/Territory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of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origin: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United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States</w:t>
      </w:r>
    </w:p>
    <w:p w14:paraId="312BD4F7" w14:textId="17000664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color w:val="000000"/>
        </w:rPr>
        <w:t>Peer-review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report’s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scientific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quality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995DB46" w14:textId="2DCB3FD1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Grade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(Excellent):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</w:t>
      </w:r>
    </w:p>
    <w:p w14:paraId="0509FA94" w14:textId="05B26BDD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Grade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(Very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good):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</w:t>
      </w:r>
    </w:p>
    <w:p w14:paraId="6ADEB3D7" w14:textId="2A6A3688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Grade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(Good):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</w:t>
      </w:r>
    </w:p>
    <w:p w14:paraId="7CA62228" w14:textId="27FB9E8D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Grade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(Fair):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</w:t>
      </w:r>
    </w:p>
    <w:p w14:paraId="0C795DD5" w14:textId="1247AE3C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color w:val="000000"/>
        </w:rPr>
        <w:t>Grade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(Poor):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0</w:t>
      </w:r>
    </w:p>
    <w:p w14:paraId="27116D40" w14:textId="77777777" w:rsidR="00A77B3E" w:rsidRPr="000349FE" w:rsidRDefault="00A77B3E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0B7BD0" w14:textId="702D7032" w:rsidR="00EF3CBC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349FE">
        <w:rPr>
          <w:rFonts w:ascii="Book Antiqua" w:eastAsia="Book Antiqua" w:hAnsi="Book Antiqua" w:cs="Book Antiqua"/>
          <w:b/>
          <w:color w:val="000000"/>
        </w:rPr>
        <w:t>P-Reviewer: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Alvarez-</w:t>
      </w:r>
      <w:proofErr w:type="spellStart"/>
      <w:r w:rsidRPr="000349FE">
        <w:rPr>
          <w:rFonts w:ascii="Book Antiqua" w:eastAsia="Book Antiqua" w:hAnsi="Book Antiqua" w:cs="Book Antiqua"/>
          <w:color w:val="000000"/>
        </w:rPr>
        <w:t>Bañuelos</w:t>
      </w:r>
      <w:proofErr w:type="spellEnd"/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MT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S-Editor: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Wang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JL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L-Editor: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P-Editor:</w:t>
      </w:r>
    </w:p>
    <w:p w14:paraId="0551C8CA" w14:textId="77777777" w:rsidR="00A84967" w:rsidRDefault="00A84967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A849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5E8EF4" w14:textId="28FFDC1B" w:rsidR="00A77B3E" w:rsidRPr="000349FE" w:rsidRDefault="006E3B4C" w:rsidP="000349F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49FE">
        <w:rPr>
          <w:rFonts w:ascii="Book Antiqua" w:eastAsia="Book Antiqua" w:hAnsi="Book Antiqua" w:cs="Book Antiqua"/>
          <w:b/>
          <w:color w:val="000000"/>
        </w:rPr>
        <w:t>Figure</w:t>
      </w:r>
      <w:r w:rsidR="001039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color w:val="000000"/>
        </w:rPr>
        <w:t>Legends</w:t>
      </w:r>
    </w:p>
    <w:p w14:paraId="249950C5" w14:textId="290767F9" w:rsidR="00924499" w:rsidRPr="000349FE" w:rsidRDefault="00E22158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0349FE">
        <w:rPr>
          <w:rFonts w:ascii="Book Antiqua" w:hAnsi="Book Antiqua"/>
          <w:noProof/>
        </w:rPr>
        <w:drawing>
          <wp:inline distT="0" distB="0" distL="0" distR="0" wp14:anchorId="19E7D1EE" wp14:editId="77CF8872">
            <wp:extent cx="5943600" cy="47161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89953B9" w14:textId="5B4C011D" w:rsidR="00A77B3E" w:rsidRPr="000349FE" w:rsidRDefault="00847094" w:rsidP="000349F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349F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1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Annual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percentage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b/>
          <w:bCs/>
          <w:color w:val="000000"/>
        </w:rPr>
        <w:t>changes.</w:t>
      </w:r>
      <w:r w:rsidR="001039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49FE">
        <w:rPr>
          <w:rFonts w:ascii="Book Antiqua" w:hAnsi="Book Antiqua" w:cs="Book Antiqua"/>
          <w:color w:val="000000"/>
          <w:lang w:eastAsia="zh-CN"/>
        </w:rPr>
        <w:t>A:</w:t>
      </w:r>
      <w:r w:rsidR="0010390C">
        <w:rPr>
          <w:rFonts w:ascii="Book Antiqua" w:hAnsi="Book Antiqua" w:cs="Book Antiqua"/>
          <w:color w:val="000000"/>
          <w:lang w:eastAsia="zh-CN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Annual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percentage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change</w:t>
      </w:r>
      <w:r w:rsidR="004B576B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mortality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30641D" w:rsidRPr="000349FE">
        <w:rPr>
          <w:rFonts w:ascii="Book Antiqua" w:eastAsia="Book Antiqua" w:hAnsi="Book Antiqua" w:cs="Book Antiqua"/>
          <w:color w:val="000000"/>
        </w:rPr>
        <w:t>Budd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30641D" w:rsidRPr="000349FE">
        <w:rPr>
          <w:rFonts w:ascii="Book Antiqua" w:eastAsia="Book Antiqua" w:hAnsi="Book Antiqua" w:cs="Book Antiqua"/>
          <w:color w:val="000000"/>
        </w:rPr>
        <w:t>Chiari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30641D" w:rsidRPr="000349FE">
        <w:rPr>
          <w:rFonts w:ascii="Book Antiqua" w:eastAsia="Book Antiqua" w:hAnsi="Book Antiqua" w:cs="Book Antiqua"/>
          <w:color w:val="000000"/>
        </w:rPr>
        <w:t>syndrome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30641D" w:rsidRPr="000349FE">
        <w:rPr>
          <w:rFonts w:ascii="Book Antiqua" w:eastAsia="Book Antiqua" w:hAnsi="Book Antiqua" w:cs="Book Antiqua"/>
          <w:color w:val="000000"/>
        </w:rPr>
        <w:t>(</w:t>
      </w:r>
      <w:r w:rsidR="006E3B4C" w:rsidRPr="000349FE">
        <w:rPr>
          <w:rFonts w:ascii="Book Antiqua" w:eastAsia="Book Antiqua" w:hAnsi="Book Antiqua" w:cs="Book Antiqua"/>
          <w:color w:val="000000"/>
        </w:rPr>
        <w:t>BCS</w:t>
      </w:r>
      <w:r w:rsidR="0030641D" w:rsidRPr="000349FE">
        <w:rPr>
          <w:rFonts w:ascii="Book Antiqua" w:eastAsia="Book Antiqua" w:hAnsi="Book Antiqua" w:cs="Book Antiqua"/>
          <w:color w:val="000000"/>
        </w:rPr>
        <w:t>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(per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1000000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0E82" w:rsidRPr="000349FE">
        <w:rPr>
          <w:rFonts w:ascii="Book Antiqua" w:eastAsia="Book Antiqua" w:hAnsi="Book Antiqua" w:cs="Book Antiqua"/>
          <w:color w:val="000000"/>
        </w:rPr>
        <w:t>United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0E82" w:rsidRPr="000349FE">
        <w:rPr>
          <w:rFonts w:ascii="Book Antiqua" w:eastAsia="Book Antiqua" w:hAnsi="Book Antiqua" w:cs="Book Antiqua"/>
          <w:color w:val="000000"/>
        </w:rPr>
        <w:t>States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population,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per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100000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all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cause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hospitalizations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and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related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hospitalizations</w:t>
      </w:r>
      <w:r w:rsidRPr="000349FE">
        <w:rPr>
          <w:rFonts w:ascii="Book Antiqua" w:eastAsia="Book Antiqua" w:hAnsi="Book Antiqua" w:cs="Book Antiqua"/>
          <w:color w:val="000000"/>
        </w:rPr>
        <w:t>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B:</w:t>
      </w:r>
      <w:r w:rsidR="0010390C">
        <w:rPr>
          <w:rFonts w:ascii="Book Antiqua" w:hAnsi="Book Antiqua" w:cs="Book Antiqua"/>
          <w:color w:val="000000"/>
          <w:lang w:eastAsia="zh-CN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Length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of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stay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for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BCS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1998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2017</w:t>
      </w:r>
      <w:r w:rsidRPr="000349FE">
        <w:rPr>
          <w:rFonts w:ascii="Book Antiqua" w:eastAsia="Book Antiqua" w:hAnsi="Book Antiqua" w:cs="Book Antiqua"/>
          <w:color w:val="000000"/>
        </w:rPr>
        <w:t>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Pr="000349FE">
        <w:rPr>
          <w:rFonts w:ascii="Book Antiqua" w:eastAsia="Book Antiqua" w:hAnsi="Book Antiqua" w:cs="Book Antiqua"/>
          <w:color w:val="000000"/>
        </w:rPr>
        <w:t>C</w:t>
      </w:r>
      <w:r w:rsidRPr="000349FE">
        <w:rPr>
          <w:rFonts w:ascii="Book Antiqua" w:hAnsi="Book Antiqua" w:cs="Book Antiqua"/>
          <w:color w:val="000000"/>
          <w:lang w:eastAsia="zh-CN"/>
        </w:rPr>
        <w:t>:</w:t>
      </w:r>
      <w:r w:rsidR="0010390C">
        <w:rPr>
          <w:rFonts w:ascii="Book Antiqua" w:hAnsi="Book Antiqua" w:cs="Book Antiqua"/>
          <w:color w:val="000000"/>
          <w:lang w:eastAsia="zh-CN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Adjusted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(charges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adjusted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2017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dollars)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hospital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charges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from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1998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to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2017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in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patients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with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6E3B4C" w:rsidRPr="000349FE">
        <w:rPr>
          <w:rFonts w:ascii="Book Antiqua" w:eastAsia="Book Antiqua" w:hAnsi="Book Antiqua" w:cs="Book Antiqua"/>
          <w:color w:val="000000"/>
        </w:rPr>
        <w:t>BCS</w:t>
      </w:r>
      <w:r w:rsidRPr="000349FE">
        <w:rPr>
          <w:rFonts w:ascii="Book Antiqua" w:eastAsia="Book Antiqua" w:hAnsi="Book Antiqua" w:cs="Book Antiqua"/>
          <w:color w:val="000000"/>
        </w:rPr>
        <w:t>.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CD02AE" w:rsidRPr="000349FE">
        <w:rPr>
          <w:rFonts w:ascii="Book Antiqua" w:eastAsia="Book Antiqua" w:hAnsi="Book Antiqua" w:cs="Book Antiqua"/>
          <w:color w:val="000000"/>
        </w:rPr>
        <w:t>APC: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CD02AE" w:rsidRPr="000349FE">
        <w:rPr>
          <w:rFonts w:ascii="Book Antiqua" w:eastAsia="Book Antiqua" w:hAnsi="Book Antiqua" w:cs="Book Antiqua"/>
          <w:color w:val="000000"/>
        </w:rPr>
        <w:t>Annual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CD02AE" w:rsidRPr="000349FE">
        <w:rPr>
          <w:rFonts w:ascii="Book Antiqua" w:eastAsia="Book Antiqua" w:hAnsi="Book Antiqua" w:cs="Book Antiqua"/>
          <w:color w:val="000000"/>
        </w:rPr>
        <w:t>percentage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CD02AE" w:rsidRPr="000349FE">
        <w:rPr>
          <w:rFonts w:ascii="Book Antiqua" w:eastAsia="Book Antiqua" w:hAnsi="Book Antiqua" w:cs="Book Antiqua"/>
          <w:color w:val="000000"/>
        </w:rPr>
        <w:t>change;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CD02AE" w:rsidRPr="000349FE">
        <w:rPr>
          <w:rFonts w:ascii="Book Antiqua" w:eastAsia="Book Antiqua" w:hAnsi="Book Antiqua" w:cs="Book Antiqua"/>
          <w:color w:val="000000"/>
        </w:rPr>
        <w:t>BCS: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CD02AE" w:rsidRPr="000349FE">
        <w:rPr>
          <w:rFonts w:ascii="Book Antiqua" w:eastAsia="Book Antiqua" w:hAnsi="Book Antiqua" w:cs="Book Antiqua"/>
          <w:color w:val="000000"/>
        </w:rPr>
        <w:t>Budd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CD02AE" w:rsidRPr="000349FE">
        <w:rPr>
          <w:rFonts w:ascii="Book Antiqua" w:eastAsia="Book Antiqua" w:hAnsi="Book Antiqua" w:cs="Book Antiqua"/>
          <w:color w:val="000000"/>
        </w:rPr>
        <w:t>Chiari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CD02AE" w:rsidRPr="000349FE">
        <w:rPr>
          <w:rFonts w:ascii="Book Antiqua" w:eastAsia="Book Antiqua" w:hAnsi="Book Antiqua" w:cs="Book Antiqua"/>
          <w:color w:val="000000"/>
        </w:rPr>
        <w:t>syndrome;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CD02AE" w:rsidRPr="000349FE">
        <w:rPr>
          <w:rFonts w:ascii="Book Antiqua" w:eastAsia="Book Antiqua" w:hAnsi="Book Antiqua" w:cs="Book Antiqua"/>
          <w:color w:val="000000"/>
        </w:rPr>
        <w:t>US: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CD02AE" w:rsidRPr="000349FE">
        <w:rPr>
          <w:rFonts w:ascii="Book Antiqua" w:eastAsia="Book Antiqua" w:hAnsi="Book Antiqua" w:cs="Book Antiqua"/>
          <w:color w:val="000000"/>
        </w:rPr>
        <w:t>United</w:t>
      </w:r>
      <w:r w:rsidR="0010390C">
        <w:rPr>
          <w:rFonts w:ascii="Book Antiqua" w:eastAsia="Book Antiqua" w:hAnsi="Book Antiqua" w:cs="Book Antiqua"/>
          <w:color w:val="000000"/>
        </w:rPr>
        <w:t xml:space="preserve"> </w:t>
      </w:r>
      <w:r w:rsidR="00CD02AE" w:rsidRPr="000349FE">
        <w:rPr>
          <w:rFonts w:ascii="Book Antiqua" w:eastAsia="Book Antiqua" w:hAnsi="Book Antiqua" w:cs="Book Antiqua"/>
          <w:color w:val="000000"/>
        </w:rPr>
        <w:t>States.</w:t>
      </w:r>
    </w:p>
    <w:p w14:paraId="6A340663" w14:textId="1F8C3433" w:rsidR="000349FE" w:rsidRPr="00A84967" w:rsidRDefault="00A84967" w:rsidP="00A8496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="000349FE" w:rsidRPr="000349FE">
        <w:rPr>
          <w:rFonts w:ascii="Book Antiqua" w:hAnsi="Book Antiqua"/>
          <w:b/>
          <w:bCs/>
        </w:rPr>
        <w:t>Table</w:t>
      </w:r>
      <w:r w:rsidR="0010390C">
        <w:rPr>
          <w:rFonts w:ascii="Book Antiqua" w:hAnsi="Book Antiqua"/>
          <w:b/>
          <w:bCs/>
        </w:rPr>
        <w:t xml:space="preserve"> </w:t>
      </w:r>
      <w:r w:rsidR="000349FE" w:rsidRPr="000349FE">
        <w:rPr>
          <w:rFonts w:ascii="Book Antiqua" w:hAnsi="Book Antiqua"/>
          <w:b/>
          <w:bCs/>
        </w:rPr>
        <w:t>1</w:t>
      </w:r>
      <w:r w:rsidR="0010390C">
        <w:rPr>
          <w:rFonts w:ascii="Book Antiqua" w:hAnsi="Book Antiqua"/>
          <w:b/>
          <w:bCs/>
        </w:rPr>
        <w:t xml:space="preserve"> </w:t>
      </w:r>
      <w:r w:rsidR="000349FE" w:rsidRPr="000349FE">
        <w:rPr>
          <w:rFonts w:ascii="Book Antiqua" w:hAnsi="Book Antiqua"/>
          <w:b/>
          <w:bCs/>
        </w:rPr>
        <w:t>Characteristics</w:t>
      </w:r>
      <w:r w:rsidR="0010390C">
        <w:rPr>
          <w:rFonts w:ascii="Book Antiqua" w:hAnsi="Book Antiqua"/>
          <w:b/>
          <w:bCs/>
        </w:rPr>
        <w:t xml:space="preserve"> </w:t>
      </w:r>
      <w:r w:rsidR="000349FE" w:rsidRPr="000349FE">
        <w:rPr>
          <w:rFonts w:ascii="Book Antiqua" w:hAnsi="Book Antiqua"/>
          <w:b/>
          <w:bCs/>
        </w:rPr>
        <w:t>of</w:t>
      </w:r>
      <w:r w:rsidR="0010390C">
        <w:rPr>
          <w:rFonts w:ascii="Book Antiqua" w:hAnsi="Book Antiqua"/>
          <w:b/>
          <w:bCs/>
        </w:rPr>
        <w:t xml:space="preserve"> </w:t>
      </w:r>
      <w:r w:rsidR="000349FE" w:rsidRPr="000349FE">
        <w:rPr>
          <w:rFonts w:ascii="Book Antiqua" w:hAnsi="Book Antiqua"/>
          <w:b/>
          <w:bCs/>
        </w:rPr>
        <w:t>patients</w:t>
      </w:r>
      <w:r w:rsidR="0010390C">
        <w:rPr>
          <w:rFonts w:ascii="Book Antiqua" w:hAnsi="Book Antiqua"/>
          <w:b/>
          <w:bCs/>
        </w:rPr>
        <w:t xml:space="preserve"> </w:t>
      </w:r>
      <w:r w:rsidR="000349FE" w:rsidRPr="000349FE">
        <w:rPr>
          <w:rFonts w:ascii="Book Antiqua" w:hAnsi="Book Antiqua"/>
          <w:b/>
          <w:bCs/>
        </w:rPr>
        <w:t>and</w:t>
      </w:r>
      <w:r w:rsidR="0010390C">
        <w:rPr>
          <w:rFonts w:ascii="Book Antiqua" w:hAnsi="Book Antiqua"/>
          <w:b/>
          <w:bCs/>
        </w:rPr>
        <w:t xml:space="preserve"> </w:t>
      </w:r>
      <w:r w:rsidR="000349FE" w:rsidRPr="000349FE">
        <w:rPr>
          <w:rFonts w:ascii="Book Antiqua" w:hAnsi="Book Antiqua"/>
          <w:b/>
          <w:bCs/>
        </w:rPr>
        <w:t>hospitals</w:t>
      </w:r>
      <w:r w:rsidR="0010390C">
        <w:rPr>
          <w:rFonts w:ascii="Book Antiqua" w:hAnsi="Book Antiqua"/>
          <w:b/>
          <w:bCs/>
        </w:rPr>
        <w:t xml:space="preserve"> </w:t>
      </w:r>
      <w:r w:rsidR="000349FE" w:rsidRPr="000349FE">
        <w:rPr>
          <w:rFonts w:ascii="Book Antiqua" w:hAnsi="Book Antiqua"/>
          <w:b/>
          <w:bCs/>
        </w:rPr>
        <w:t>and</w:t>
      </w:r>
      <w:r w:rsidR="0010390C">
        <w:rPr>
          <w:rFonts w:ascii="Book Antiqua" w:hAnsi="Book Antiqua"/>
          <w:b/>
          <w:bCs/>
        </w:rPr>
        <w:t xml:space="preserve"> </w:t>
      </w:r>
      <w:r w:rsidR="000349FE" w:rsidRPr="000349FE">
        <w:rPr>
          <w:rFonts w:ascii="Book Antiqua" w:hAnsi="Book Antiqua"/>
          <w:b/>
          <w:bCs/>
        </w:rPr>
        <w:t>individual</w:t>
      </w:r>
      <w:r w:rsidR="0010390C">
        <w:rPr>
          <w:rFonts w:ascii="Book Antiqua" w:hAnsi="Book Antiqua"/>
          <w:b/>
          <w:bCs/>
        </w:rPr>
        <w:t xml:space="preserve"> </w:t>
      </w:r>
      <w:r w:rsidR="000349FE" w:rsidRPr="000349FE">
        <w:rPr>
          <w:rFonts w:ascii="Book Antiqua" w:hAnsi="Book Antiqua"/>
          <w:b/>
          <w:bCs/>
        </w:rPr>
        <w:t>effects</w:t>
      </w:r>
      <w:r w:rsidR="0010390C">
        <w:rPr>
          <w:rFonts w:ascii="Book Antiqua" w:hAnsi="Book Antiqua"/>
          <w:b/>
          <w:bCs/>
        </w:rPr>
        <w:t xml:space="preserve"> </w:t>
      </w:r>
      <w:r w:rsidR="000349FE" w:rsidRPr="000349FE">
        <w:rPr>
          <w:rFonts w:ascii="Book Antiqua" w:hAnsi="Book Antiqua"/>
          <w:b/>
          <w:bCs/>
        </w:rPr>
        <w:t>on</w:t>
      </w:r>
      <w:r w:rsidR="0010390C">
        <w:rPr>
          <w:rFonts w:ascii="Book Antiqua" w:hAnsi="Book Antiqua"/>
          <w:b/>
          <w:bCs/>
        </w:rPr>
        <w:t xml:space="preserve"> </w:t>
      </w:r>
      <w:r w:rsidR="000349FE" w:rsidRPr="000349FE">
        <w:rPr>
          <w:rFonts w:ascii="Book Antiqua" w:hAnsi="Book Antiqua"/>
          <w:b/>
          <w:bCs/>
        </w:rPr>
        <w:t>mortality,</w:t>
      </w:r>
      <w:r w:rsidR="0010390C">
        <w:rPr>
          <w:rFonts w:ascii="Book Antiqua" w:hAnsi="Book Antiqua"/>
          <w:b/>
          <w:bCs/>
        </w:rPr>
        <w:t xml:space="preserve"> </w:t>
      </w:r>
      <w:r w:rsidR="000349FE" w:rsidRPr="000349FE">
        <w:rPr>
          <w:rFonts w:ascii="Book Antiqua" w:hAnsi="Book Antiqua"/>
          <w:b/>
          <w:bCs/>
        </w:rPr>
        <w:t>length</w:t>
      </w:r>
      <w:r w:rsidR="0010390C">
        <w:rPr>
          <w:rFonts w:ascii="Book Antiqua" w:hAnsi="Book Antiqua"/>
          <w:b/>
          <w:bCs/>
        </w:rPr>
        <w:t xml:space="preserve"> </w:t>
      </w:r>
      <w:r w:rsidR="000349FE" w:rsidRPr="000349FE">
        <w:rPr>
          <w:rFonts w:ascii="Book Antiqua" w:hAnsi="Book Antiqua"/>
          <w:b/>
          <w:bCs/>
        </w:rPr>
        <w:t>of</w:t>
      </w:r>
      <w:r w:rsidR="0010390C">
        <w:rPr>
          <w:rFonts w:ascii="Book Antiqua" w:hAnsi="Book Antiqua"/>
          <w:b/>
          <w:bCs/>
        </w:rPr>
        <w:t xml:space="preserve"> </w:t>
      </w:r>
      <w:r w:rsidR="000349FE" w:rsidRPr="000349FE">
        <w:rPr>
          <w:rFonts w:ascii="Book Antiqua" w:hAnsi="Book Antiqua"/>
          <w:b/>
          <w:bCs/>
        </w:rPr>
        <w:t>stay</w:t>
      </w:r>
      <w:r w:rsidR="0010390C">
        <w:rPr>
          <w:rFonts w:ascii="Book Antiqua" w:hAnsi="Book Antiqua"/>
          <w:b/>
          <w:bCs/>
        </w:rPr>
        <w:t xml:space="preserve"> </w:t>
      </w:r>
      <w:r w:rsidR="000349FE" w:rsidRPr="000349FE">
        <w:rPr>
          <w:rFonts w:ascii="Book Antiqua" w:hAnsi="Book Antiqua"/>
          <w:b/>
          <w:bCs/>
        </w:rPr>
        <w:t>and</w:t>
      </w:r>
      <w:r w:rsidR="0010390C">
        <w:rPr>
          <w:rFonts w:ascii="Book Antiqua" w:hAnsi="Book Antiqua"/>
          <w:b/>
          <w:bCs/>
        </w:rPr>
        <w:t xml:space="preserve"> </w:t>
      </w:r>
      <w:r w:rsidR="000349FE" w:rsidRPr="000349FE">
        <w:rPr>
          <w:rFonts w:ascii="Book Antiqua" w:hAnsi="Book Antiqua"/>
          <w:b/>
          <w:bCs/>
        </w:rPr>
        <w:t>total</w:t>
      </w:r>
      <w:r w:rsidR="0010390C">
        <w:rPr>
          <w:rFonts w:ascii="Book Antiqua" w:hAnsi="Book Antiqua"/>
          <w:b/>
          <w:bCs/>
        </w:rPr>
        <w:t xml:space="preserve"> </w:t>
      </w:r>
      <w:r w:rsidR="000349FE" w:rsidRPr="000349FE">
        <w:rPr>
          <w:rFonts w:ascii="Book Antiqua" w:hAnsi="Book Antiqua"/>
          <w:b/>
          <w:bCs/>
        </w:rPr>
        <w:t>charges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shd w:val="clear" w:color="auto" w:fill="CED7E7"/>
        <w:tblLook w:val="04A0" w:firstRow="1" w:lastRow="0" w:firstColumn="1" w:lastColumn="0" w:noHBand="0" w:noVBand="1"/>
      </w:tblPr>
      <w:tblGrid>
        <w:gridCol w:w="3323"/>
        <w:gridCol w:w="1658"/>
        <w:gridCol w:w="1226"/>
        <w:gridCol w:w="1658"/>
        <w:gridCol w:w="1655"/>
      </w:tblGrid>
      <w:tr w:rsidR="004C4513" w:rsidRPr="000349FE" w14:paraId="3F8E942A" w14:textId="77777777" w:rsidTr="004C4513">
        <w:trPr>
          <w:trHeight w:val="493"/>
        </w:trPr>
        <w:tc>
          <w:tcPr>
            <w:tcW w:w="1745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5FCAC" w14:textId="455F68D2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Study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time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87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B4439" w14:textId="7C974A80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1998-2017</w:t>
            </w:r>
          </w:p>
        </w:tc>
        <w:tc>
          <w:tcPr>
            <w:tcW w:w="2384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153491" w14:textId="4D1BEEA6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Individual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effect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(Type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III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test,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F5590C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value)</w:t>
            </w:r>
          </w:p>
        </w:tc>
      </w:tr>
      <w:tr w:rsidR="00B92EBD" w:rsidRPr="000349FE" w14:paraId="58250621" w14:textId="77777777" w:rsidTr="004C4513">
        <w:trPr>
          <w:trHeight w:val="481"/>
        </w:trPr>
        <w:tc>
          <w:tcPr>
            <w:tcW w:w="1745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BD6E1E7" w14:textId="77777777" w:rsidR="000349FE" w:rsidRPr="000349FE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1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DA5422B" w14:textId="77777777" w:rsidR="000349FE" w:rsidRPr="000349FE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4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85100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Mortality</w:t>
            </w:r>
          </w:p>
        </w:tc>
        <w:tc>
          <w:tcPr>
            <w:tcW w:w="87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83DA0" w14:textId="22F2FE85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Length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of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stay</w:t>
            </w:r>
          </w:p>
        </w:tc>
        <w:tc>
          <w:tcPr>
            <w:tcW w:w="86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E7B0" w14:textId="27E1B569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Total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charges</w:t>
            </w:r>
          </w:p>
        </w:tc>
      </w:tr>
      <w:tr w:rsidR="00F5590C" w:rsidRPr="000349FE" w14:paraId="00971040" w14:textId="77777777" w:rsidTr="004C4513">
        <w:trPr>
          <w:trHeight w:val="481"/>
        </w:trPr>
        <w:tc>
          <w:tcPr>
            <w:tcW w:w="5000" w:type="pct"/>
            <w:gridSpan w:val="5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240A7" w14:textId="55300B2F" w:rsidR="00F5590C" w:rsidRPr="008E09C4" w:rsidRDefault="00F55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BCS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patients'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characteristics</w:t>
            </w:r>
          </w:p>
        </w:tc>
      </w:tr>
      <w:tr w:rsidR="00B92EBD" w:rsidRPr="000349FE" w14:paraId="248DF974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5728F6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Age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B4AAC" w14:textId="772D21C0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50.50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(0.19)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FC7D9B" w14:textId="301174D5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94177A" w:rsidRPr="008E09C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B63F9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0.052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E717F0" w14:textId="4C02FA1C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94177A" w:rsidRPr="008E09C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</w:tr>
      <w:tr w:rsidR="00B92EBD" w:rsidRPr="000349FE" w14:paraId="33FFFD14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A79182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Female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6152C" w14:textId="604ABB1D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55.19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(0.54)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E71706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0.003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AF315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FC456B" w14:textId="4973D231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94177A" w:rsidRPr="008E09C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</w:tr>
      <w:tr w:rsidR="004541EA" w:rsidRPr="000349FE" w14:paraId="7B1E28BA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9CAE9F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Race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E3F91B" w14:textId="4FC05176" w:rsidR="000349FE" w:rsidRPr="008E09C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857A6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0.138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A76927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0.013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9BB96" w14:textId="06C5EC39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94177A" w:rsidRPr="008E09C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</w:tr>
      <w:tr w:rsidR="00177807" w:rsidRPr="000349FE" w14:paraId="58800C15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0D7376" w14:textId="1CAA79DF" w:rsidR="000349FE" w:rsidRPr="008E09C4" w:rsidRDefault="000349FE" w:rsidP="006D6F1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White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135480" w14:textId="78CFE514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56.03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(0.54)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9D9C26" w14:textId="7F5C9CA2" w:rsidR="000349FE" w:rsidRPr="008E09C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C3BFE" w14:textId="43FA86C4" w:rsidR="000349FE" w:rsidRPr="008E09C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63F1E" w14:textId="0BAA8C1D" w:rsidR="000349FE" w:rsidRPr="008E09C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177807" w:rsidRPr="000349FE" w14:paraId="5E860B77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5C6595" w14:textId="7D5357E1" w:rsidR="000349FE" w:rsidRPr="008E09C4" w:rsidRDefault="000349FE" w:rsidP="006D6F1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Black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B1EACE" w14:textId="424B2A4C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13.26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(0.37)</w:t>
            </w:r>
          </w:p>
        </w:tc>
        <w:tc>
          <w:tcPr>
            <w:tcW w:w="644" w:type="pct"/>
            <w:shd w:val="clear" w:color="auto" w:fill="FFFFFF"/>
          </w:tcPr>
          <w:p w14:paraId="2689CD55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1" w:type="pct"/>
            <w:shd w:val="clear" w:color="auto" w:fill="FFFFFF"/>
          </w:tcPr>
          <w:p w14:paraId="0F971052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9" w:type="pct"/>
            <w:shd w:val="clear" w:color="auto" w:fill="FFFFFF"/>
          </w:tcPr>
          <w:p w14:paraId="3159D67B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7807" w:rsidRPr="000349FE" w14:paraId="332E1587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72CBD1" w14:textId="6B53EF2E" w:rsidR="000349FE" w:rsidRPr="008E09C4" w:rsidRDefault="000349FE" w:rsidP="006D6F1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Hispanic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1E6DE" w14:textId="715F2BFA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9.56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(0.32)</w:t>
            </w:r>
          </w:p>
        </w:tc>
        <w:tc>
          <w:tcPr>
            <w:tcW w:w="644" w:type="pct"/>
            <w:shd w:val="clear" w:color="auto" w:fill="FFFFFF"/>
          </w:tcPr>
          <w:p w14:paraId="6602B999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1" w:type="pct"/>
            <w:shd w:val="clear" w:color="auto" w:fill="FFFFFF"/>
          </w:tcPr>
          <w:p w14:paraId="11971274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9" w:type="pct"/>
            <w:shd w:val="clear" w:color="auto" w:fill="FFFFFF"/>
          </w:tcPr>
          <w:p w14:paraId="6BABA6E2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7807" w:rsidRPr="000349FE" w14:paraId="7B9CCFD0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FCA567" w14:textId="4F04082B" w:rsidR="000349FE" w:rsidRPr="008E09C4" w:rsidRDefault="000349FE" w:rsidP="006D6F1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4: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Asian/Pacific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Islander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620D3A" w14:textId="4B4C3C6B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2.56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(0.17)</w:t>
            </w:r>
          </w:p>
        </w:tc>
        <w:tc>
          <w:tcPr>
            <w:tcW w:w="644" w:type="pct"/>
            <w:shd w:val="clear" w:color="auto" w:fill="FFFFFF"/>
          </w:tcPr>
          <w:p w14:paraId="18A23560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1" w:type="pct"/>
            <w:shd w:val="clear" w:color="auto" w:fill="FFFFFF"/>
          </w:tcPr>
          <w:p w14:paraId="21E66C68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9" w:type="pct"/>
            <w:shd w:val="clear" w:color="auto" w:fill="FFFFFF"/>
          </w:tcPr>
          <w:p w14:paraId="1FD9A507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7807" w:rsidRPr="000349FE" w14:paraId="227EB896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D4956" w14:textId="67E95E57" w:rsidR="000349FE" w:rsidRPr="008E09C4" w:rsidRDefault="000349FE" w:rsidP="006D6F1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6: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Other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533BF0" w14:textId="5216BB33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3.65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(0.2)</w:t>
            </w:r>
          </w:p>
        </w:tc>
        <w:tc>
          <w:tcPr>
            <w:tcW w:w="644" w:type="pct"/>
            <w:shd w:val="clear" w:color="auto" w:fill="FFFFFF"/>
          </w:tcPr>
          <w:p w14:paraId="192F3BE8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1" w:type="pct"/>
            <w:shd w:val="clear" w:color="auto" w:fill="FFFFFF"/>
          </w:tcPr>
          <w:p w14:paraId="441A0554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9" w:type="pct"/>
            <w:shd w:val="clear" w:color="auto" w:fill="FFFFFF"/>
          </w:tcPr>
          <w:p w14:paraId="354B3D62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7807" w:rsidRPr="000349FE" w14:paraId="2BDAE1E5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C201D" w14:textId="3F5BE779" w:rsidR="000349FE" w:rsidRPr="008E09C4" w:rsidRDefault="000349FE" w:rsidP="006D6F1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9: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Unknown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E8FFA2" w14:textId="0000362F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14.93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(0.39)</w:t>
            </w:r>
          </w:p>
        </w:tc>
        <w:tc>
          <w:tcPr>
            <w:tcW w:w="644" w:type="pct"/>
            <w:shd w:val="clear" w:color="auto" w:fill="FFFFFF"/>
          </w:tcPr>
          <w:p w14:paraId="6BA3B082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1" w:type="pct"/>
            <w:shd w:val="clear" w:color="auto" w:fill="FFFFFF"/>
          </w:tcPr>
          <w:p w14:paraId="01B75016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9" w:type="pct"/>
            <w:shd w:val="clear" w:color="auto" w:fill="FFFFFF"/>
          </w:tcPr>
          <w:p w14:paraId="7087FBFC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EBD" w:rsidRPr="000349FE" w14:paraId="64FC596D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18D59A" w14:textId="4F7976B1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Primary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payer</w:t>
            </w:r>
          </w:p>
        </w:tc>
        <w:tc>
          <w:tcPr>
            <w:tcW w:w="8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72C64" w14:textId="6DC2753F" w:rsidR="000349FE" w:rsidRPr="008E09C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FEE20E" w14:textId="4EA7D511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94177A" w:rsidRPr="008E09C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32F1E0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0.002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760074" w14:textId="4E3B115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94177A" w:rsidRPr="008E09C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</w:tr>
      <w:tr w:rsidR="006D6F1D" w:rsidRPr="000349FE" w14:paraId="1972D076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F8B08" w14:textId="0238D62F" w:rsidR="000349FE" w:rsidRPr="008E09C4" w:rsidRDefault="000349FE" w:rsidP="006D6F1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Medicare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582FA" w14:textId="3F7BCF40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33.17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(0.52)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FE9F31" w14:textId="48EECD97" w:rsidR="006D6F1D" w:rsidRPr="008E09C4" w:rsidRDefault="006D6F1D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DE3A2" w14:textId="75AA332F" w:rsidR="000349FE" w:rsidRPr="008E09C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82869C" w14:textId="7FAF9D8A" w:rsidR="000349FE" w:rsidRPr="008E09C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6D6F1D" w:rsidRPr="000349FE" w14:paraId="60003B88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B404C6" w14:textId="017C49FD" w:rsidR="000349FE" w:rsidRPr="008E09C4" w:rsidRDefault="000349FE" w:rsidP="006D6F1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Medicaid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280BD3" w14:textId="65048D9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18.42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(0.42)</w:t>
            </w:r>
          </w:p>
        </w:tc>
        <w:tc>
          <w:tcPr>
            <w:tcW w:w="644" w:type="pct"/>
            <w:shd w:val="clear" w:color="auto" w:fill="FFFFFF"/>
          </w:tcPr>
          <w:p w14:paraId="405A8D12" w14:textId="42A3A5FE" w:rsidR="006D6F1D" w:rsidRPr="008E09C4" w:rsidRDefault="006D6F1D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1" w:type="pct"/>
            <w:shd w:val="clear" w:color="auto" w:fill="FFFFFF"/>
          </w:tcPr>
          <w:p w14:paraId="6CE2C932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9" w:type="pct"/>
            <w:shd w:val="clear" w:color="auto" w:fill="FFFFFF"/>
          </w:tcPr>
          <w:p w14:paraId="534D8550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D6F1D" w:rsidRPr="000349FE" w14:paraId="4F11FA00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8B8B6" w14:textId="3998A314" w:rsidR="000349FE" w:rsidRPr="008E09C4" w:rsidRDefault="000349FE" w:rsidP="006D6F1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Private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insurance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2CB98" w14:textId="4D019278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40.20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(0.54)</w:t>
            </w:r>
          </w:p>
        </w:tc>
        <w:tc>
          <w:tcPr>
            <w:tcW w:w="644" w:type="pct"/>
            <w:shd w:val="clear" w:color="auto" w:fill="FFFFFF"/>
          </w:tcPr>
          <w:p w14:paraId="6CD9903C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1" w:type="pct"/>
            <w:shd w:val="clear" w:color="auto" w:fill="FFFFFF"/>
          </w:tcPr>
          <w:p w14:paraId="717F3E1D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9" w:type="pct"/>
            <w:shd w:val="clear" w:color="auto" w:fill="FFFFFF"/>
          </w:tcPr>
          <w:p w14:paraId="397EC32A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D6F1D" w:rsidRPr="000349FE" w14:paraId="736D4290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0A05F" w14:textId="144B0A24" w:rsidR="000349FE" w:rsidRPr="008E09C4" w:rsidRDefault="000349FE" w:rsidP="006D6F1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6: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Other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055C91" w14:textId="6AEAF2C2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8.21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(0.3)</w:t>
            </w:r>
          </w:p>
        </w:tc>
        <w:tc>
          <w:tcPr>
            <w:tcW w:w="644" w:type="pct"/>
            <w:shd w:val="clear" w:color="auto" w:fill="FFFFFF"/>
          </w:tcPr>
          <w:p w14:paraId="06BCEA7D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1" w:type="pct"/>
            <w:shd w:val="clear" w:color="auto" w:fill="FFFFFF"/>
          </w:tcPr>
          <w:p w14:paraId="187C7FA6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9" w:type="pct"/>
            <w:shd w:val="clear" w:color="auto" w:fill="FFFFFF"/>
          </w:tcPr>
          <w:p w14:paraId="7B39CCA8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541EA" w:rsidRPr="000349FE" w14:paraId="66627E8A" w14:textId="77777777" w:rsidTr="004C4513">
        <w:trPr>
          <w:trHeight w:val="253"/>
        </w:trPr>
        <w:tc>
          <w:tcPr>
            <w:tcW w:w="5000" w:type="pct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198DD1" w14:textId="28BFA4B1" w:rsidR="004541EA" w:rsidRPr="008E09C4" w:rsidRDefault="004541EA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characteristics</w:t>
            </w:r>
          </w:p>
        </w:tc>
      </w:tr>
      <w:tr w:rsidR="00B92EBD" w:rsidRPr="000349FE" w14:paraId="0E50A4BA" w14:textId="77777777" w:rsidTr="004C4513">
        <w:trPr>
          <w:trHeight w:val="241"/>
        </w:trPr>
        <w:tc>
          <w:tcPr>
            <w:tcW w:w="17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D5862" w14:textId="223833C9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size</w:t>
            </w:r>
          </w:p>
        </w:tc>
        <w:tc>
          <w:tcPr>
            <w:tcW w:w="8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54A928" w14:textId="3FB4F6E2" w:rsidR="000349FE" w:rsidRPr="008E09C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EA1941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0.014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D7B586" w14:textId="13B02898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4541EA" w:rsidRPr="008E09C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  <w:tc>
          <w:tcPr>
            <w:tcW w:w="8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802A" w14:textId="19BB6D46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4541EA" w:rsidRPr="008E09C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</w:tr>
      <w:tr w:rsidR="00DE7F7A" w:rsidRPr="000349FE" w14:paraId="626CB6EA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CC2267" w14:textId="4B9CAC99" w:rsidR="000349FE" w:rsidRPr="008E09C4" w:rsidRDefault="000349FE" w:rsidP="00AA2388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Small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0910D" w14:textId="240433A4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9.81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(0.32)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D96C13" w14:textId="70A34366" w:rsidR="000349FE" w:rsidRPr="008E09C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13F244" w14:textId="1A924FE7" w:rsidR="000349FE" w:rsidRPr="008E09C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1DA9D" w14:textId="581753BA" w:rsidR="000349FE" w:rsidRPr="008E09C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DE7F7A" w:rsidRPr="000349FE" w14:paraId="04FF74B7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20ED6" w14:textId="55819BF8" w:rsidR="000349FE" w:rsidRPr="008E09C4" w:rsidRDefault="000349FE" w:rsidP="00AA2388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Medium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F03428" w14:textId="60F0E1A2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18.92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(0.43)</w:t>
            </w:r>
          </w:p>
        </w:tc>
        <w:tc>
          <w:tcPr>
            <w:tcW w:w="644" w:type="pct"/>
            <w:shd w:val="clear" w:color="auto" w:fill="FFFFFF"/>
          </w:tcPr>
          <w:p w14:paraId="560DCBA8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1" w:type="pct"/>
            <w:shd w:val="clear" w:color="auto" w:fill="FFFFFF"/>
          </w:tcPr>
          <w:p w14:paraId="6A4ABFE0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9" w:type="pct"/>
            <w:shd w:val="clear" w:color="auto" w:fill="FFFFFF"/>
          </w:tcPr>
          <w:p w14:paraId="50AFD807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E7F7A" w:rsidRPr="000349FE" w14:paraId="691161A0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D40BC" w14:textId="4C6DE34D" w:rsidR="000349FE" w:rsidRPr="008E09C4" w:rsidRDefault="000349FE" w:rsidP="00AA2388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Large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19453C" w14:textId="11253469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71.27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(0.49)</w:t>
            </w:r>
          </w:p>
        </w:tc>
        <w:tc>
          <w:tcPr>
            <w:tcW w:w="644" w:type="pct"/>
            <w:shd w:val="clear" w:color="auto" w:fill="FFFFFF"/>
          </w:tcPr>
          <w:p w14:paraId="2A81FFF1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1" w:type="pct"/>
            <w:shd w:val="clear" w:color="auto" w:fill="FFFFFF"/>
          </w:tcPr>
          <w:p w14:paraId="58447ED1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9" w:type="pct"/>
            <w:shd w:val="clear" w:color="auto" w:fill="FFFFFF"/>
          </w:tcPr>
          <w:p w14:paraId="56C1EF97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EBD" w:rsidRPr="000349FE" w14:paraId="16ADE7B8" w14:textId="77777777" w:rsidTr="004C4513">
        <w:trPr>
          <w:trHeight w:val="48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B14EF" w14:textId="2F6DB939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location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teaching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status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EFE8D" w14:textId="63552EB8" w:rsidR="000349FE" w:rsidRPr="008E09C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382603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0.195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17232D" w14:textId="3124A6A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DE7F7A" w:rsidRPr="008E09C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  <w:tc>
          <w:tcPr>
            <w:tcW w:w="86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AD1FE9" w14:textId="15714329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DE7F7A" w:rsidRPr="008E09C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</w:tr>
      <w:tr w:rsidR="00B92EBD" w:rsidRPr="000349FE" w14:paraId="4BEE4FAA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9F3636" w14:textId="2F9313BC" w:rsidR="000349FE" w:rsidRPr="008E09C4" w:rsidRDefault="000349FE" w:rsidP="00AA2388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Rural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EF7805" w14:textId="2B4FF58B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6.89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(0.28)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C4D9B" w14:textId="4B50C239" w:rsidR="000349FE" w:rsidRPr="008E09C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99FB76" w14:textId="1FE2A134" w:rsidR="000349FE" w:rsidRPr="008E09C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0DB00" w14:textId="7877EF81" w:rsidR="000349FE" w:rsidRPr="008E09C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B92EBD" w:rsidRPr="000349FE" w14:paraId="0BC0C159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72FD3C" w14:textId="0AAD907B" w:rsidR="000349FE" w:rsidRPr="008E09C4" w:rsidRDefault="000349FE" w:rsidP="00AA2388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Urban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nonteaching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99D6C" w14:textId="0A3AFE1D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24.24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(0.47)</w:t>
            </w:r>
          </w:p>
        </w:tc>
        <w:tc>
          <w:tcPr>
            <w:tcW w:w="644" w:type="pct"/>
            <w:shd w:val="clear" w:color="auto" w:fill="FFFFFF"/>
          </w:tcPr>
          <w:p w14:paraId="3CC8FBAC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1" w:type="pct"/>
            <w:shd w:val="clear" w:color="auto" w:fill="FFFFFF"/>
          </w:tcPr>
          <w:p w14:paraId="056BBB3F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9" w:type="pct"/>
            <w:shd w:val="clear" w:color="auto" w:fill="FFFFFF"/>
          </w:tcPr>
          <w:p w14:paraId="10FB177D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EBD" w:rsidRPr="000349FE" w14:paraId="70ACEE01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C629E0" w14:textId="36ACB82F" w:rsidR="000349FE" w:rsidRPr="008E09C4" w:rsidRDefault="000349FE" w:rsidP="00AA2388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Urban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teaching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17F91" w14:textId="1F5A074F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68.87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(0.51)</w:t>
            </w:r>
          </w:p>
        </w:tc>
        <w:tc>
          <w:tcPr>
            <w:tcW w:w="644" w:type="pct"/>
            <w:shd w:val="clear" w:color="auto" w:fill="FFFFFF"/>
          </w:tcPr>
          <w:p w14:paraId="40C7CDFE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1" w:type="pct"/>
            <w:shd w:val="clear" w:color="auto" w:fill="FFFFFF"/>
          </w:tcPr>
          <w:p w14:paraId="4C366DD4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9" w:type="pct"/>
            <w:shd w:val="clear" w:color="auto" w:fill="FFFFFF"/>
          </w:tcPr>
          <w:p w14:paraId="5F202EB6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EBD" w:rsidRPr="000349FE" w14:paraId="5A79C61F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3A02A" w14:textId="6A4D97BA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region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43238" w14:textId="6F11974D" w:rsidR="000349FE" w:rsidRPr="008E09C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574259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0.533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99060F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0.010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A29FF" w14:textId="7193635D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92EBD" w:rsidRPr="008E09C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</w:tr>
      <w:tr w:rsidR="00B92EBD" w:rsidRPr="000349FE" w14:paraId="7E56BF8A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B26CBB" w14:textId="4E4ADDF6" w:rsidR="000349FE" w:rsidRPr="008E09C4" w:rsidRDefault="000349FE" w:rsidP="00AA2388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Northeast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1F0C4" w14:textId="018EBCC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21.84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(0.45)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7E56D6" w14:textId="28F01074" w:rsidR="000349FE" w:rsidRPr="008E09C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D61C19" w14:textId="4161F7AF" w:rsidR="000349FE" w:rsidRPr="008E09C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0A214" w14:textId="3846C018" w:rsidR="000349FE" w:rsidRPr="008E09C4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B92EBD" w:rsidRPr="000349FE" w14:paraId="544C0F85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F0F03" w14:textId="0A15837D" w:rsidR="000349FE" w:rsidRPr="008E09C4" w:rsidRDefault="000349FE" w:rsidP="00AA2388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Midwest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FC5ED" w14:textId="2C4047D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22.15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(0.46)</w:t>
            </w:r>
          </w:p>
        </w:tc>
        <w:tc>
          <w:tcPr>
            <w:tcW w:w="644" w:type="pct"/>
            <w:shd w:val="clear" w:color="auto" w:fill="FFFFFF"/>
          </w:tcPr>
          <w:p w14:paraId="1088D4CA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1" w:type="pct"/>
            <w:shd w:val="clear" w:color="auto" w:fill="FFFFFF"/>
          </w:tcPr>
          <w:p w14:paraId="6C580BFE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9" w:type="pct"/>
            <w:shd w:val="clear" w:color="auto" w:fill="FFFFFF"/>
          </w:tcPr>
          <w:p w14:paraId="08D0FB79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EBD" w:rsidRPr="000349FE" w14:paraId="1483BDF3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FC54DC" w14:textId="56ED821A" w:rsidR="000349FE" w:rsidRPr="008E09C4" w:rsidRDefault="000349FE" w:rsidP="00AA2388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South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5032D8" w14:textId="06635B85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33.45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(0.52)</w:t>
            </w:r>
          </w:p>
        </w:tc>
        <w:tc>
          <w:tcPr>
            <w:tcW w:w="644" w:type="pct"/>
            <w:shd w:val="clear" w:color="auto" w:fill="FFFFFF"/>
          </w:tcPr>
          <w:p w14:paraId="22BB67C8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1" w:type="pct"/>
            <w:shd w:val="clear" w:color="auto" w:fill="FFFFFF"/>
          </w:tcPr>
          <w:p w14:paraId="0A8918EF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9" w:type="pct"/>
            <w:shd w:val="clear" w:color="auto" w:fill="FFFFFF"/>
          </w:tcPr>
          <w:p w14:paraId="488E41EB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92EBD" w:rsidRPr="000349FE" w14:paraId="2B516BD4" w14:textId="77777777" w:rsidTr="004C4513">
        <w:trPr>
          <w:trHeight w:val="241"/>
        </w:trPr>
        <w:tc>
          <w:tcPr>
            <w:tcW w:w="17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1AC422" w14:textId="111D2D6C" w:rsidR="000349FE" w:rsidRPr="008E09C4" w:rsidRDefault="000349FE" w:rsidP="00AA2388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4: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West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E31050" w14:textId="4B424791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22.57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(0.46)</w:t>
            </w:r>
          </w:p>
        </w:tc>
        <w:tc>
          <w:tcPr>
            <w:tcW w:w="644" w:type="pct"/>
            <w:shd w:val="clear" w:color="auto" w:fill="FFFFFF"/>
          </w:tcPr>
          <w:p w14:paraId="6FF59D3C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1" w:type="pct"/>
            <w:shd w:val="clear" w:color="auto" w:fill="FFFFFF"/>
          </w:tcPr>
          <w:p w14:paraId="3C9DEE46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69" w:type="pct"/>
            <w:shd w:val="clear" w:color="auto" w:fill="FFFFFF"/>
          </w:tcPr>
          <w:p w14:paraId="11CAC76D" w14:textId="77777777" w:rsidR="000349FE" w:rsidRPr="008E09C4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A2388" w:rsidRPr="000349FE" w14:paraId="3C42FF36" w14:textId="77777777" w:rsidTr="004C4513">
        <w:trPr>
          <w:trHeight w:val="253"/>
        </w:trPr>
        <w:tc>
          <w:tcPr>
            <w:tcW w:w="5000" w:type="pct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C6BDE" w14:textId="0A4F5310" w:rsidR="00AA2388" w:rsidRPr="008E09C4" w:rsidRDefault="00AA2388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Clinical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characteristics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B92EBD" w:rsidRPr="000349FE" w14:paraId="59275CBF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45931B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Ascites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296082" w14:textId="42382FCC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29.93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(0.5)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680BB4" w14:textId="75AEC1B0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92EBD" w:rsidRPr="008E09C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95E63D" w14:textId="39053A5E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92EBD" w:rsidRPr="008E09C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AE70B9" w14:textId="581A92D6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92EBD" w:rsidRPr="008E09C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</w:tr>
      <w:tr w:rsidR="00B92EBD" w:rsidRPr="000349FE" w14:paraId="15318924" w14:textId="77777777" w:rsidTr="004C4513">
        <w:trPr>
          <w:trHeight w:val="241"/>
        </w:trPr>
        <w:tc>
          <w:tcPr>
            <w:tcW w:w="17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DE8AC" w14:textId="220B8A39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kidney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injury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73EDCB" w14:textId="50804AC5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18.84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(0.43)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766061" w14:textId="654A60B3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92EBD" w:rsidRPr="008E09C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5C6F10" w14:textId="7169D882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92EBD" w:rsidRPr="008E09C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1D7C2C" w14:textId="20965685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92EBD" w:rsidRPr="008E09C4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.001</w:t>
            </w:r>
          </w:p>
        </w:tc>
      </w:tr>
      <w:tr w:rsidR="00B92EBD" w:rsidRPr="000349FE" w14:paraId="0FC5D8EB" w14:textId="77777777" w:rsidTr="004C4513">
        <w:trPr>
          <w:trHeight w:val="48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6E5CC" w14:textId="1ECB7290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Hepatic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cirrhosis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with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no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mention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alcohol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8A9409" w14:textId="7C4BC156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18.65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(0.43)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5DD756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0.901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AF5AE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0.031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4FDC5E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0.838</w:t>
            </w:r>
          </w:p>
        </w:tc>
      </w:tr>
      <w:tr w:rsidR="00B92EBD" w:rsidRPr="000349FE" w14:paraId="29014D9F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1F6FE3" w14:textId="77777777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Cancer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141A01" w14:textId="4DA7F8C0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17.26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(0.41)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36573A" w14:textId="2891279B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BD351F" w14:textId="77777777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0.002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ABB310" w14:textId="77777777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0.010</w:t>
            </w:r>
          </w:p>
        </w:tc>
      </w:tr>
      <w:tr w:rsidR="00B92EBD" w:rsidRPr="000349FE" w14:paraId="3919E537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0B9A50" w14:textId="6E6FABE8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Portal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hypertension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2BC8D5" w14:textId="4B9DFEE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16.57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(0.41)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437B8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0.029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A6B5B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0.898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566E9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0.000</w:t>
            </w:r>
          </w:p>
        </w:tc>
      </w:tr>
      <w:tr w:rsidR="00B92EBD" w:rsidRPr="000349FE" w14:paraId="5F733FE0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B5077" w14:textId="0ABEC302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Hepatic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encephalopathy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AA4C5" w14:textId="205D8E20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9.59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(0.32)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1FF49B" w14:textId="7767EE6A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7AC62" w14:textId="4B1D7451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D0FC7" w14:textId="6C0A300E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B92EBD" w:rsidRPr="000349FE" w14:paraId="6672B610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65482" w14:textId="424CFA0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Portal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vein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thrombosis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C4DAC9" w14:textId="67A4C0E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7.92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(0.3)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0A4FE1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0.006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A70BB5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0.372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8F599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0.073</w:t>
            </w:r>
          </w:p>
        </w:tc>
      </w:tr>
      <w:tr w:rsidR="00B92EBD" w:rsidRPr="000349FE" w14:paraId="55207506" w14:textId="77777777" w:rsidTr="004C4513">
        <w:trPr>
          <w:trHeight w:val="48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BF6897" w14:textId="15A06C7C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Esophageal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varices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without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bleeding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1C4E76" w14:textId="18E49A18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7.44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(0.29)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AC409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0.002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3F4576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0.324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58C8E9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0.091</w:t>
            </w:r>
          </w:p>
        </w:tc>
      </w:tr>
      <w:tr w:rsidR="00B92EBD" w:rsidRPr="000349FE" w14:paraId="4FCBF1F6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3653F9" w14:textId="64DF92DF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respiratory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Failure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06DC6" w14:textId="0B05C03F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7.03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(0.28)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FF124" w14:textId="64C3F2CC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2AC00" w14:textId="42870F80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DD3F22" w14:textId="58FC566F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B92EBD" w:rsidRPr="000349FE" w14:paraId="49EE2840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0E58E3" w14:textId="77777777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HCC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4D33B" w14:textId="294D293E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6.93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(0.28)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86550" w14:textId="33197758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3709A" w14:textId="037AA5C6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382CF" w14:textId="77777777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0.543</w:t>
            </w:r>
          </w:p>
        </w:tc>
      </w:tr>
      <w:tr w:rsidR="00B92EBD" w:rsidRPr="000349FE" w14:paraId="5A586377" w14:textId="77777777" w:rsidTr="004C4513">
        <w:trPr>
          <w:trHeight w:val="48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8AEC0D" w14:textId="3D15B932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blood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loss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anemia/hemorrhagic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8E8F87" w14:textId="7E2F8501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6.62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(0.27)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521F6" w14:textId="77777777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0.008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948DD8" w14:textId="460AE7A0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126925" w14:textId="55A26AA6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B92EBD" w:rsidRPr="000349FE" w14:paraId="1A411924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ECC0D3" w14:textId="4B07D62D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IVC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thrombosis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AE040B" w14:textId="34F8ABD8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6.39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(0.27)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DDE5F8" w14:textId="72C669B5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CC6257" w14:textId="595F4E35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57833" w14:textId="42EAFEBA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B92EBD" w:rsidRPr="000349FE" w14:paraId="5D76C708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E4109" w14:textId="77777777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Sepsis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C1D0A1" w14:textId="0D319EA8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6.10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(0.26)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DB2F1" w14:textId="7983BAF4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8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842A" w14:textId="432B8E39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B93D71" w14:textId="758B413E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B92EBD" w:rsidRPr="000349FE" w14:paraId="403146B1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BE537A" w14:textId="5AFACC05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Alcoholic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cirrhosis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53EE6" w14:textId="42FBD58B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5.73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(0.25)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9AAD49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0.113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6980B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0.731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3C59F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0.140</w:t>
            </w:r>
          </w:p>
        </w:tc>
      </w:tr>
      <w:tr w:rsidR="00B92EBD" w:rsidRPr="000349FE" w14:paraId="1E4255F8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71DDA7" w14:textId="5471B509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liver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failure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111FB" w14:textId="5649211E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5.60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(0.25)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2B9A82" w14:textId="619E2AB0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D33C47" w14:textId="10021A11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C3B79" w14:textId="3649F7B4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B92EBD" w:rsidRPr="000349FE" w14:paraId="7DD4DB6D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E8C9BB" w14:textId="67B1AF11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Hepatorenal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syndrome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00572" w14:textId="6655F3E5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3.29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(0.2)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2D994A" w14:textId="17E55E07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5E9289" w14:textId="3667CFB6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2865C3" w14:textId="3906DA70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B92EBD" w:rsidRPr="000349FE" w14:paraId="15504C93" w14:textId="77777777" w:rsidTr="004C4513">
        <w:trPr>
          <w:trHeight w:val="24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F2F2E2" w14:textId="53027638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Variceal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bleeding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CC5E8" w14:textId="21DAFF70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3.20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(0.19)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12E26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0.107</w:t>
            </w:r>
          </w:p>
        </w:tc>
        <w:tc>
          <w:tcPr>
            <w:tcW w:w="8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42B9E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0.160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3A0EA2" w14:textId="77777777" w:rsidR="000349FE" w:rsidRPr="008E09C4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B92EBD" w:rsidRPr="000349FE" w14:paraId="0F1E9F8B" w14:textId="77777777" w:rsidTr="004C4513">
        <w:trPr>
          <w:trHeight w:val="48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65049" w14:textId="028361C9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Spontaneous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bacterial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peritonitis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92D2CA" w14:textId="29E3A0BB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2.83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(0.18)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AD7A27" w14:textId="55F69E2D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342427" w14:textId="4EEBC37C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BBAEB" w14:textId="237F6173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B92EBD" w:rsidRPr="000349FE" w14:paraId="4E87D0B1" w14:textId="77777777" w:rsidTr="004C4513">
        <w:trPr>
          <w:trHeight w:val="48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B46A1" w14:textId="53BBAEA5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Intestinal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infarct/acute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vascular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insufficiency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314BA2" w14:textId="29E2616F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2.11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(0.16)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F41B7" w14:textId="38B4901F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90EB5" w14:textId="4A640C42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5E7BC" w14:textId="0DE5F896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  <w:tr w:rsidR="00B92EBD" w:rsidRPr="000349FE" w14:paraId="36626BAD" w14:textId="77777777" w:rsidTr="004C4513">
        <w:trPr>
          <w:trHeight w:val="481"/>
        </w:trPr>
        <w:tc>
          <w:tcPr>
            <w:tcW w:w="174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5DF562" w14:textId="53D5FF49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8E09C4">
              <w:rPr>
                <w:rFonts w:ascii="Book Antiqua" w:hAnsi="Book Antiqua" w:cs="Times New Roman"/>
                <w:sz w:val="24"/>
                <w:szCs w:val="24"/>
              </w:rPr>
              <w:t>Elixhauser</w:t>
            </w:r>
            <w:proofErr w:type="spellEnd"/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8E09C4">
              <w:rPr>
                <w:rFonts w:ascii="Book Antiqua" w:hAnsi="Book Antiqua" w:cs="Times New Roman"/>
                <w:sz w:val="24"/>
                <w:szCs w:val="24"/>
              </w:rPr>
              <w:t>Comoridity</w:t>
            </w:r>
            <w:proofErr w:type="spellEnd"/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Score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excluding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liver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disease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B9DB2" w14:textId="0C597038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9.38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(0.12)</w:t>
            </w:r>
          </w:p>
        </w:tc>
        <w:tc>
          <w:tcPr>
            <w:tcW w:w="64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FDA17C" w14:textId="5BCFA47B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87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8FA93" w14:textId="57979A5E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219BCA" w14:textId="0FE9CDA6" w:rsidR="00B92EBD" w:rsidRPr="008E09C4" w:rsidRDefault="00B92EBD" w:rsidP="00B92EBD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E09C4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E09C4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</w:tr>
    </w:tbl>
    <w:p w14:paraId="10997FCC" w14:textId="7B6A68E6" w:rsidR="000C5FFC" w:rsidRDefault="000349FE" w:rsidP="000349FE">
      <w:pPr>
        <w:pStyle w:val="BodyA"/>
        <w:adjustRightInd w:val="0"/>
        <w:snapToGrid w:val="0"/>
        <w:spacing w:after="0"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0349FE">
        <w:rPr>
          <w:rFonts w:ascii="Book Antiqua" w:hAnsi="Book Antiqua" w:cs="Times New Roman"/>
          <w:sz w:val="24"/>
          <w:szCs w:val="24"/>
        </w:rPr>
        <w:t>All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data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are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presented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as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percentage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(</w:t>
      </w:r>
      <w:r w:rsidR="004B576B">
        <w:rPr>
          <w:rFonts w:ascii="Book Antiqua" w:hAnsi="Book Antiqua" w:cs="Times New Roman"/>
          <w:sz w:val="24"/>
          <w:szCs w:val="24"/>
        </w:rPr>
        <w:t>SE</w:t>
      </w:r>
      <w:r w:rsidRPr="000349FE">
        <w:rPr>
          <w:rFonts w:ascii="Book Antiqua" w:hAnsi="Book Antiqua" w:cs="Times New Roman"/>
          <w:sz w:val="24"/>
          <w:szCs w:val="24"/>
        </w:rPr>
        <w:t>)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for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categorical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variables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and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mean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(</w:t>
      </w:r>
      <w:r w:rsidR="004B576B">
        <w:rPr>
          <w:rFonts w:ascii="Book Antiqua" w:hAnsi="Book Antiqua" w:cs="Times New Roman"/>
          <w:sz w:val="24"/>
          <w:szCs w:val="24"/>
        </w:rPr>
        <w:t>SE</w:t>
      </w:r>
      <w:r w:rsidRPr="000349FE">
        <w:rPr>
          <w:rFonts w:ascii="Book Antiqua" w:hAnsi="Book Antiqua" w:cs="Times New Roman"/>
          <w:sz w:val="24"/>
          <w:szCs w:val="24"/>
        </w:rPr>
        <w:t>)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for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continuous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variables.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="008E09C4" w:rsidRPr="008E09C4">
        <w:rPr>
          <w:rFonts w:ascii="Book Antiqua" w:hAnsi="Book Antiqua" w:cs="Times New Roman"/>
          <w:sz w:val="24"/>
          <w:szCs w:val="24"/>
        </w:rPr>
        <w:t>BCS</w:t>
      </w:r>
      <w:r w:rsidR="008E09C4">
        <w:rPr>
          <w:rFonts w:ascii="Book Antiqua" w:hAnsi="Book Antiqua" w:cs="Times New Roman"/>
          <w:sz w:val="24"/>
          <w:szCs w:val="24"/>
        </w:rPr>
        <w:t>: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="008E09C4" w:rsidRPr="008E09C4">
        <w:rPr>
          <w:rFonts w:ascii="Book Antiqua" w:eastAsia="Book Antiqua" w:hAnsi="Book Antiqua" w:cs="Book Antiqua"/>
          <w:bCs/>
          <w:sz w:val="24"/>
          <w:szCs w:val="24"/>
        </w:rPr>
        <w:t>Budd</w:t>
      </w:r>
      <w:r w:rsidR="0010390C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="008E09C4" w:rsidRPr="008E09C4">
        <w:rPr>
          <w:rFonts w:ascii="Book Antiqua" w:eastAsia="Book Antiqua" w:hAnsi="Book Antiqua" w:cs="Book Antiqua"/>
          <w:bCs/>
          <w:sz w:val="24"/>
          <w:szCs w:val="24"/>
        </w:rPr>
        <w:t>Chiari</w:t>
      </w:r>
      <w:r w:rsidR="0010390C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="008E09C4" w:rsidRPr="008E09C4">
        <w:rPr>
          <w:rFonts w:ascii="Book Antiqua" w:eastAsia="Book Antiqua" w:hAnsi="Book Antiqua" w:cs="Book Antiqua"/>
          <w:bCs/>
          <w:sz w:val="24"/>
          <w:szCs w:val="24"/>
        </w:rPr>
        <w:t>syndrome;</w:t>
      </w:r>
      <w:r w:rsidR="0010390C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="008E09C4" w:rsidRPr="008E09C4">
        <w:rPr>
          <w:rFonts w:ascii="Book Antiqua" w:hAnsi="Book Antiqua" w:cs="Times New Roman"/>
          <w:sz w:val="24"/>
          <w:szCs w:val="24"/>
        </w:rPr>
        <w:t>HCC</w:t>
      </w:r>
      <w:r w:rsidR="008E09C4">
        <w:rPr>
          <w:rFonts w:ascii="Book Antiqua" w:hAnsi="Book Antiqua" w:cs="Times New Roman"/>
          <w:sz w:val="24"/>
          <w:szCs w:val="24"/>
        </w:rPr>
        <w:t>: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="008E09C4" w:rsidRPr="008E09C4">
        <w:rPr>
          <w:rFonts w:ascii="Book Antiqua" w:hAnsi="Book Antiqua" w:cs="Times New Roman"/>
          <w:sz w:val="24"/>
          <w:szCs w:val="24"/>
        </w:rPr>
        <w:t>Hepatocellular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="008E09C4" w:rsidRPr="008E09C4">
        <w:rPr>
          <w:rFonts w:ascii="Book Antiqua" w:hAnsi="Book Antiqua" w:cs="Times New Roman"/>
          <w:sz w:val="24"/>
          <w:szCs w:val="24"/>
        </w:rPr>
        <w:t>carcinoma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="008E09C4" w:rsidRPr="008E09C4">
        <w:rPr>
          <w:rFonts w:ascii="Book Antiqua" w:hAnsi="Book Antiqua" w:cs="Times New Roman"/>
          <w:sz w:val="24"/>
          <w:szCs w:val="24"/>
        </w:rPr>
        <w:t>IVC</w:t>
      </w:r>
      <w:r w:rsidR="008E09C4">
        <w:rPr>
          <w:rFonts w:ascii="Book Antiqua" w:hAnsi="Book Antiqua" w:cs="Times New Roman"/>
          <w:sz w:val="24"/>
          <w:szCs w:val="24"/>
        </w:rPr>
        <w:t>:</w:t>
      </w:r>
      <w:r w:rsidR="0010390C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8E09C4" w:rsidRPr="000349FE">
        <w:rPr>
          <w:rFonts w:ascii="Book Antiqua" w:eastAsia="Book Antiqua" w:hAnsi="Book Antiqua" w:cs="Book Antiqua"/>
          <w:sz w:val="24"/>
          <w:szCs w:val="24"/>
        </w:rPr>
        <w:t>Inferior</w:t>
      </w:r>
      <w:r w:rsidR="0010390C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8E09C4" w:rsidRPr="000349FE">
        <w:rPr>
          <w:rFonts w:ascii="Book Antiqua" w:eastAsia="Book Antiqua" w:hAnsi="Book Antiqua" w:cs="Book Antiqua"/>
          <w:sz w:val="24"/>
          <w:szCs w:val="24"/>
        </w:rPr>
        <w:t>vena</w:t>
      </w:r>
      <w:r w:rsidR="0010390C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8E09C4" w:rsidRPr="000349FE">
        <w:rPr>
          <w:rFonts w:ascii="Book Antiqua" w:eastAsia="Book Antiqua" w:hAnsi="Book Antiqua" w:cs="Book Antiqua"/>
          <w:sz w:val="24"/>
          <w:szCs w:val="24"/>
        </w:rPr>
        <w:t>cava</w:t>
      </w:r>
      <w:r w:rsidR="008E09C4">
        <w:rPr>
          <w:rFonts w:ascii="Book Antiqua" w:eastAsia="Book Antiqua" w:hAnsi="Book Antiqua" w:cs="Book Antiqua"/>
          <w:sz w:val="24"/>
          <w:szCs w:val="24"/>
        </w:rPr>
        <w:t>.</w:t>
      </w:r>
    </w:p>
    <w:p w14:paraId="09441B23" w14:textId="77777777" w:rsidR="004B576B" w:rsidRDefault="004B576B" w:rsidP="000349FE">
      <w:pPr>
        <w:pStyle w:val="BodyA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  <w:sectPr w:rsidR="004B57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0E43E5" w14:textId="034AEEFC" w:rsidR="000349FE" w:rsidRPr="000349FE" w:rsidRDefault="000349FE" w:rsidP="000349FE">
      <w:pPr>
        <w:pStyle w:val="BodyA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0349FE">
        <w:rPr>
          <w:rFonts w:ascii="Book Antiqua" w:hAnsi="Book Antiqua" w:cs="Times New Roman"/>
          <w:b/>
          <w:bCs/>
          <w:sz w:val="24"/>
          <w:szCs w:val="24"/>
        </w:rPr>
        <w:t>Table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b/>
          <w:bCs/>
          <w:sz w:val="24"/>
          <w:szCs w:val="24"/>
        </w:rPr>
        <w:t>2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b/>
          <w:bCs/>
          <w:sz w:val="24"/>
          <w:szCs w:val="24"/>
        </w:rPr>
        <w:t>Trends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b/>
          <w:bCs/>
          <w:sz w:val="24"/>
          <w:szCs w:val="24"/>
        </w:rPr>
        <w:t>in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b/>
          <w:bCs/>
          <w:sz w:val="24"/>
          <w:szCs w:val="24"/>
        </w:rPr>
        <w:t>outcomes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b/>
          <w:bCs/>
          <w:sz w:val="24"/>
          <w:szCs w:val="24"/>
        </w:rPr>
        <w:t>of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b/>
          <w:bCs/>
          <w:sz w:val="24"/>
          <w:szCs w:val="24"/>
        </w:rPr>
        <w:t>interest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shd w:val="clear" w:color="auto" w:fill="CED7E7"/>
        <w:tblLook w:val="04A0" w:firstRow="1" w:lastRow="0" w:firstColumn="1" w:lastColumn="0" w:noHBand="0" w:noVBand="1"/>
      </w:tblPr>
      <w:tblGrid>
        <w:gridCol w:w="1926"/>
        <w:gridCol w:w="1705"/>
        <w:gridCol w:w="1705"/>
        <w:gridCol w:w="1705"/>
        <w:gridCol w:w="1654"/>
        <w:gridCol w:w="825"/>
      </w:tblGrid>
      <w:tr w:rsidR="009D71F2" w:rsidRPr="000349FE" w14:paraId="675C2D2B" w14:textId="77777777" w:rsidTr="005B2892">
        <w:trPr>
          <w:trHeight w:val="1312"/>
        </w:trPr>
        <w:tc>
          <w:tcPr>
            <w:tcW w:w="101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F7F8E" w14:textId="7252FF77" w:rsidR="000349FE" w:rsidRPr="003C58E0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D62D9" w14:textId="103CEF70" w:rsidR="000349FE" w:rsidRPr="003C58E0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3C58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1998</w:t>
            </w:r>
            <w:r w:rsidR="003C58E0" w:rsidRPr="003C58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-</w:t>
            </w:r>
            <w:r w:rsidRPr="003C58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2017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3C58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(unweighted: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3C58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8435</w:t>
            </w:r>
            <w:r w:rsidR="004B576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, </w:t>
            </w:r>
            <w:r w:rsidRPr="003C58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weighted: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3C58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41119)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5E6D6" w14:textId="0CBA58D5" w:rsidR="000349FE" w:rsidRPr="003C58E0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3C58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1998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3C58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(unweighted: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3C58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262</w:t>
            </w:r>
            <w:r w:rsidR="004B576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,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3C58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weighted: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3C58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1367)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58EEF" w14:textId="63EE9F3F" w:rsidR="000349FE" w:rsidRPr="003C58E0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3C58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2017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3C58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(unweighted: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3C58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680</w:t>
            </w:r>
            <w:r w:rsidR="004B576B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,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3C58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weighted: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3C58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3400)</w:t>
            </w:r>
          </w:p>
        </w:tc>
        <w:tc>
          <w:tcPr>
            <w:tcW w:w="86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955F1" w14:textId="1F63E16D" w:rsidR="000349FE" w:rsidRPr="003C58E0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3C58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APC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3C58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(95%CI)</w:t>
            </w:r>
          </w:p>
        </w:tc>
        <w:tc>
          <w:tcPr>
            <w:tcW w:w="43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2E6C8" w14:textId="09FF7D08" w:rsidR="000349FE" w:rsidRPr="003C58E0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3C58E0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3C58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value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3C58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for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3C58E0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APC</w:t>
            </w:r>
          </w:p>
        </w:tc>
      </w:tr>
      <w:tr w:rsidR="003C58E0" w:rsidRPr="000349FE" w14:paraId="58F79142" w14:textId="77777777" w:rsidTr="005B2892">
        <w:trPr>
          <w:trHeight w:val="241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D5324D" w14:textId="1928FFA3" w:rsidR="003C58E0" w:rsidRPr="000349FE" w:rsidRDefault="003C58E0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Procedures</w:t>
            </w:r>
          </w:p>
        </w:tc>
      </w:tr>
      <w:tr w:rsidR="009D71F2" w:rsidRPr="000349FE" w14:paraId="3FD311EE" w14:textId="77777777" w:rsidTr="005B2892">
        <w:trPr>
          <w:trHeight w:val="481"/>
        </w:trPr>
        <w:tc>
          <w:tcPr>
            <w:tcW w:w="10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8C7049" w14:textId="25F601DA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Number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procedures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C7C29" w14:textId="67113243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2.64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(0.03)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3E9FE" w14:textId="44F468E4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3.09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(0.20)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64787C" w14:textId="2301E7FA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2.42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(0.13)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6F0444" w14:textId="3C2F164E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-0.51%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(-1.09%,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0.06%)</w:t>
            </w:r>
          </w:p>
        </w:tc>
        <w:tc>
          <w:tcPr>
            <w:tcW w:w="4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368AB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0.082</w:t>
            </w:r>
          </w:p>
        </w:tc>
      </w:tr>
      <w:tr w:rsidR="009D71F2" w:rsidRPr="000349FE" w14:paraId="366264BF" w14:textId="77777777" w:rsidTr="005B2892">
        <w:trPr>
          <w:trHeight w:val="481"/>
        </w:trPr>
        <w:tc>
          <w:tcPr>
            <w:tcW w:w="10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3BEF0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Paracentesis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A0D11B" w14:textId="075964E2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18.41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(0.42)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82E36E" w14:textId="45212A3B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28.56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(2.82)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5BDF01" w14:textId="42536139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16.47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(1.42)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8726B9" w14:textId="54371ADB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-1.67%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(-2.53%,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-0.81%)</w:t>
            </w:r>
          </w:p>
        </w:tc>
        <w:tc>
          <w:tcPr>
            <w:tcW w:w="4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E53657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0.000</w:t>
            </w:r>
          </w:p>
        </w:tc>
      </w:tr>
      <w:tr w:rsidR="009D71F2" w:rsidRPr="000349FE" w14:paraId="4E51C6BA" w14:textId="77777777" w:rsidTr="005B2892">
        <w:trPr>
          <w:trHeight w:val="481"/>
        </w:trPr>
        <w:tc>
          <w:tcPr>
            <w:tcW w:w="10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FD59D" w14:textId="7573A4C2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Upper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786B1A" w:rsidRPr="000349FE">
              <w:rPr>
                <w:rFonts w:ascii="Book Antiqua" w:hAnsi="Book Antiqua" w:cs="Times New Roman"/>
                <w:sz w:val="24"/>
                <w:szCs w:val="24"/>
              </w:rPr>
              <w:t>endoscopy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72ED43" w14:textId="2B1AFD0C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10.94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(0.34)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04D550" w14:textId="216F46F2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13.08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(2.06)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78642F" w14:textId="659AD0F5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11.91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(1.24)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83E50" w14:textId="42494D4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-0.17%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(-1.31%,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0.97%)</w:t>
            </w:r>
          </w:p>
        </w:tc>
        <w:tc>
          <w:tcPr>
            <w:tcW w:w="4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6B315D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0.766</w:t>
            </w:r>
          </w:p>
        </w:tc>
      </w:tr>
      <w:tr w:rsidR="009D71F2" w:rsidRPr="000349FE" w14:paraId="790E2519" w14:textId="77777777" w:rsidTr="005B2892">
        <w:trPr>
          <w:trHeight w:val="481"/>
        </w:trPr>
        <w:tc>
          <w:tcPr>
            <w:tcW w:w="10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1B6D9" w14:textId="092992FB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Liver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biopsy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105E2D" w14:textId="428D3028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6.24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(0.26)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F9B8CA" w14:textId="09514191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10.35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(1.9)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33126C" w14:textId="623B4B9C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5.15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(0.85)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68895" w14:textId="27A8FCF8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-4.01%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(-5.42%,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-2.58%)</w:t>
            </w:r>
          </w:p>
        </w:tc>
        <w:tc>
          <w:tcPr>
            <w:tcW w:w="4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2A3AE" w14:textId="4E09C93A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3C58E0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9D71F2" w:rsidRPr="000349FE" w14:paraId="43A9E3AB" w14:textId="77777777" w:rsidTr="005B2892">
        <w:trPr>
          <w:trHeight w:val="481"/>
        </w:trPr>
        <w:tc>
          <w:tcPr>
            <w:tcW w:w="10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B21696" w14:textId="1A53722A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Portosystemic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shunt/TIPS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93E8E" w14:textId="19772EB1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3.63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(0.2)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17AB1" w14:textId="1C298BC6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6.12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(1.54)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4CBF7A" w14:textId="41790636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2.94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(0.65)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5A9532" w14:textId="58C92751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-4.95%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(-6.78%,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-3.09%)</w:t>
            </w:r>
          </w:p>
        </w:tc>
        <w:tc>
          <w:tcPr>
            <w:tcW w:w="4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A6BE4" w14:textId="7BD20F15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3C58E0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9D71F2" w:rsidRPr="000349FE" w14:paraId="0CA19F83" w14:textId="77777777" w:rsidTr="005B2892">
        <w:trPr>
          <w:trHeight w:val="481"/>
        </w:trPr>
        <w:tc>
          <w:tcPr>
            <w:tcW w:w="10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8FE8CA" w14:textId="55633FB6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Liver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transplantation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E28D23" w14:textId="40525138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1.9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(0.15)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D45F2" w14:textId="4B79FDC2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1.29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(0.75)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80FA4F" w14:textId="494DE631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2.06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(0.54)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F4E50" w14:textId="3361127C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-2.68%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(-5.26%,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-0.02%)</w:t>
            </w:r>
          </w:p>
        </w:tc>
        <w:tc>
          <w:tcPr>
            <w:tcW w:w="4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3F2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0.048</w:t>
            </w:r>
          </w:p>
        </w:tc>
      </w:tr>
      <w:tr w:rsidR="003C58E0" w:rsidRPr="000349FE" w14:paraId="0840F7B3" w14:textId="77777777" w:rsidTr="005B2892">
        <w:trPr>
          <w:trHeight w:val="241"/>
        </w:trPr>
        <w:tc>
          <w:tcPr>
            <w:tcW w:w="5000" w:type="pct"/>
            <w:gridSpan w:val="6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16447" w14:textId="75ECD3B3" w:rsidR="003C58E0" w:rsidRPr="000349FE" w:rsidRDefault="003C58E0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Disposition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of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patient</w:t>
            </w:r>
          </w:p>
        </w:tc>
      </w:tr>
      <w:tr w:rsidR="009D71F2" w:rsidRPr="000349FE" w14:paraId="392242F0" w14:textId="77777777" w:rsidTr="005B2892">
        <w:trPr>
          <w:trHeight w:val="481"/>
        </w:trPr>
        <w:tc>
          <w:tcPr>
            <w:tcW w:w="10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6B43E7" w14:textId="7C526669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Discharged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to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home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or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selfcare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8BF66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58.8(0.54)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374A8" w14:textId="43B7B28F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50.71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(3.12)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4F519C" w14:textId="26B93C54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55.96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(1.91)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A9BD2" w14:textId="6DE9AD10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-0.28%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(-0.77%,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0.21%)</w:t>
            </w:r>
          </w:p>
        </w:tc>
        <w:tc>
          <w:tcPr>
            <w:tcW w:w="4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38B270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0.262</w:t>
            </w:r>
          </w:p>
        </w:tc>
      </w:tr>
      <w:tr w:rsidR="009D71F2" w:rsidRPr="000349FE" w14:paraId="02604AFC" w14:textId="77777777" w:rsidTr="005B2892">
        <w:trPr>
          <w:trHeight w:val="481"/>
        </w:trPr>
        <w:tc>
          <w:tcPr>
            <w:tcW w:w="10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6EB944" w14:textId="187399FA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6: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Home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health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care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65BDE" w14:textId="1FD29D75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13.49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(0.37)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BF185D" w14:textId="10D9CFFA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12.04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(2.04)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164A8D" w14:textId="6A246A1B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17.23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(1.45)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36E7D9" w14:textId="344AE9C5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3.31%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(2.20%,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4.43%)</w:t>
            </w:r>
          </w:p>
        </w:tc>
        <w:tc>
          <w:tcPr>
            <w:tcW w:w="4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697953" w14:textId="764BA8A4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3C58E0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9D71F2" w:rsidRPr="000349FE" w14:paraId="4408D460" w14:textId="77777777" w:rsidTr="005B2892">
        <w:trPr>
          <w:trHeight w:val="481"/>
        </w:trPr>
        <w:tc>
          <w:tcPr>
            <w:tcW w:w="10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295354" w14:textId="38A0ADD2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5: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Transfer: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other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type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facility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E96AF" w14:textId="3618EF98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11.12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(0.34)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9787E5" w14:textId="726086F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10.21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(1.89)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5519B" w14:textId="7270FBFC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12.08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(1.25)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5872FD" w14:textId="29298D95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1.87%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(0.70%,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3.06%)</w:t>
            </w:r>
          </w:p>
        </w:tc>
        <w:tc>
          <w:tcPr>
            <w:tcW w:w="4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018EB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0.002</w:t>
            </w:r>
          </w:p>
        </w:tc>
      </w:tr>
      <w:tr w:rsidR="009D71F2" w:rsidRPr="000349FE" w14:paraId="15DFFE61" w14:textId="77777777" w:rsidTr="005B2892">
        <w:trPr>
          <w:trHeight w:val="481"/>
        </w:trPr>
        <w:tc>
          <w:tcPr>
            <w:tcW w:w="10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C83B06" w14:textId="32BB91A4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20: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Died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in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8D07FC" w14:textId="00E272D4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8.74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(0.31)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7807DE" w14:textId="00D09BAD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18.17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(2.44)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D2A7C3" w14:textId="7FB3DDE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7.66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(1.02)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AD50E" w14:textId="5E358B9D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-4.31%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(-5.50%,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-3.10%)</w:t>
            </w:r>
          </w:p>
        </w:tc>
        <w:tc>
          <w:tcPr>
            <w:tcW w:w="4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4C6589" w14:textId="12B30186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3C58E0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9D71F2" w:rsidRPr="000349FE" w14:paraId="58CDE0DB" w14:textId="77777777" w:rsidTr="005B2892">
        <w:trPr>
          <w:trHeight w:val="481"/>
        </w:trPr>
        <w:tc>
          <w:tcPr>
            <w:tcW w:w="10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2E9F43" w14:textId="24369F4B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Transfer: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short-term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A0A6E2" w14:textId="6860DC98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6.8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(0.28)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EE1E6" w14:textId="5F9259C0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8.25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(1.71)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D1E6D" w14:textId="2824E0BB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5.6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(0.88)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A52EC4" w14:textId="048101E2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-1.26%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(-2.66%,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0.17%)</w:t>
            </w:r>
          </w:p>
        </w:tc>
        <w:tc>
          <w:tcPr>
            <w:tcW w:w="4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FFCFA7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0.084</w:t>
            </w:r>
          </w:p>
        </w:tc>
      </w:tr>
      <w:tr w:rsidR="009D71F2" w:rsidRPr="000349FE" w14:paraId="1F1BFC5E" w14:textId="77777777" w:rsidTr="005B2892">
        <w:trPr>
          <w:trHeight w:val="481"/>
        </w:trPr>
        <w:tc>
          <w:tcPr>
            <w:tcW w:w="10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380B52" w14:textId="10531629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7: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Against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medical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advice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1739DC" w14:textId="52DC2563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(0.11)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36426" w14:textId="3FFFA049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0.61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(0.43)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5B442" w14:textId="541996E3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1.47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(0.46)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1397E" w14:textId="76A907AF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2.94%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(-1.02%,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7.07%)</w:t>
            </w:r>
          </w:p>
        </w:tc>
        <w:tc>
          <w:tcPr>
            <w:tcW w:w="4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D777CF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0.148</w:t>
            </w:r>
          </w:p>
        </w:tc>
      </w:tr>
      <w:tr w:rsidR="003C58E0" w:rsidRPr="000349FE" w14:paraId="68AA24F4" w14:textId="77777777" w:rsidTr="005B2892">
        <w:trPr>
          <w:trHeight w:val="241"/>
        </w:trPr>
        <w:tc>
          <w:tcPr>
            <w:tcW w:w="5000" w:type="pct"/>
            <w:gridSpan w:val="6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B4BC57" w14:textId="11CBF688" w:rsidR="003C58E0" w:rsidRPr="000349FE" w:rsidRDefault="003C58E0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Outcomes</w:t>
            </w:r>
          </w:p>
        </w:tc>
      </w:tr>
      <w:tr w:rsidR="009D71F2" w:rsidRPr="000349FE" w14:paraId="0F0214FC" w14:textId="77777777" w:rsidTr="005B2892">
        <w:trPr>
          <w:trHeight w:val="1201"/>
        </w:trPr>
        <w:tc>
          <w:tcPr>
            <w:tcW w:w="10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5897B1" w14:textId="080C2450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Number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deaths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C04ACC" w14:textId="0D0677D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737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(Unweighted)</w:t>
            </w:r>
            <w:r w:rsidR="003C58E0">
              <w:rPr>
                <w:rFonts w:ascii="Book Antiqua" w:hAnsi="Book Antiqua" w:cs="Times New Roman"/>
                <w:sz w:val="24"/>
                <w:szCs w:val="24"/>
              </w:rPr>
              <w:t>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3591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(Weighted)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026AB9" w14:textId="28CC0199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46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(Unweighted)</w:t>
            </w:r>
            <w:r w:rsidR="003C58E0">
              <w:rPr>
                <w:rFonts w:ascii="Book Antiqua" w:hAnsi="Book Antiqua" w:cs="Times New Roman"/>
                <w:sz w:val="24"/>
                <w:szCs w:val="24"/>
              </w:rPr>
              <w:t>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249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(Weighted)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C5035D" w14:textId="2BE885E3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52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(Unweighted)</w:t>
            </w:r>
            <w:r w:rsidR="003C58E0">
              <w:rPr>
                <w:rFonts w:ascii="Book Antiqua" w:hAnsi="Book Antiqua" w:cs="Times New Roman"/>
                <w:sz w:val="24"/>
                <w:szCs w:val="24"/>
              </w:rPr>
              <w:t>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260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(Weighted)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EDD8E" w14:textId="49B2F01C" w:rsidR="000349FE" w:rsidRPr="000349FE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6511A" w14:textId="012AEB77" w:rsidR="000349FE" w:rsidRPr="000349FE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9D71F2" w:rsidRPr="000349FE" w14:paraId="663D434F" w14:textId="77777777" w:rsidTr="005B2892">
        <w:trPr>
          <w:trHeight w:val="721"/>
        </w:trPr>
        <w:tc>
          <w:tcPr>
            <w:tcW w:w="10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EBC669" w14:textId="2571AB1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Mortality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rate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per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1000000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4B576B">
              <w:rPr>
                <w:rFonts w:ascii="Book Antiqua" w:hAnsi="Book Antiqua" w:cs="Times New Roman"/>
                <w:sz w:val="24"/>
                <w:szCs w:val="24"/>
              </w:rPr>
              <w:t>United States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populations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79332" w14:textId="5BE42CDB" w:rsidR="000349FE" w:rsidRPr="000349FE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46B1F7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0.9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6318A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0.8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748B0" w14:textId="65181EDC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-0.29%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(-0.86%,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0.27%)</w:t>
            </w:r>
          </w:p>
        </w:tc>
        <w:tc>
          <w:tcPr>
            <w:tcW w:w="4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C3B57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0.309</w:t>
            </w:r>
          </w:p>
        </w:tc>
      </w:tr>
      <w:tr w:rsidR="009D71F2" w:rsidRPr="000349FE" w14:paraId="5851162E" w14:textId="77777777" w:rsidTr="005B2892">
        <w:trPr>
          <w:trHeight w:val="481"/>
        </w:trPr>
        <w:tc>
          <w:tcPr>
            <w:tcW w:w="10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C0B35" w14:textId="06F09D53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Mortality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rate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per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1000000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inpatients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6E478" w14:textId="678976F4" w:rsidR="000349FE" w:rsidRPr="000349FE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879EDE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8.87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E68B3B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8.55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783584" w14:textId="051FBC6C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0.34%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(-0.23%,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0.92%)</w:t>
            </w:r>
          </w:p>
        </w:tc>
        <w:tc>
          <w:tcPr>
            <w:tcW w:w="4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A9F60D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0.243</w:t>
            </w:r>
          </w:p>
        </w:tc>
      </w:tr>
      <w:tr w:rsidR="009D71F2" w:rsidRPr="000349FE" w14:paraId="242B8947" w14:textId="77777777" w:rsidTr="005B2892">
        <w:trPr>
          <w:trHeight w:val="481"/>
        </w:trPr>
        <w:tc>
          <w:tcPr>
            <w:tcW w:w="10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CCB29" w14:textId="5A31BB16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Mortality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rate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among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BCS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inpatients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9AC5AE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0.09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9E5942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0.18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D329E4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0.08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B113B" w14:textId="6B9CDF3E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-4.41%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(-4.95%,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-3.88%)</w:t>
            </w:r>
          </w:p>
        </w:tc>
        <w:tc>
          <w:tcPr>
            <w:tcW w:w="4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D0D295" w14:textId="6E9066F8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2C05A8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9D71F2" w:rsidRPr="000349FE" w14:paraId="073869C6" w14:textId="77777777" w:rsidTr="005B2892">
        <w:trPr>
          <w:trHeight w:val="481"/>
        </w:trPr>
        <w:tc>
          <w:tcPr>
            <w:tcW w:w="10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E38E4" w14:textId="00DBF9E6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Length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stay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2C05A8">
              <w:rPr>
                <w:rFonts w:ascii="Book Antiqua" w:hAnsi="Book Antiqua" w:cs="Times New Roman"/>
                <w:sz w:val="24"/>
                <w:szCs w:val="24"/>
              </w:rPr>
              <w:t>d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196356" w14:textId="558E6B0B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8.84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(0.13)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4B248" w14:textId="40E62DCE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12.73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(1.01)</w:t>
            </w:r>
          </w:p>
        </w:tc>
        <w:tc>
          <w:tcPr>
            <w:tcW w:w="89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85E67" w14:textId="6D483728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7.64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(0.36)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8A8523" w14:textId="4968427A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-2.04%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(-2.67%,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-1.41%)</w:t>
            </w:r>
          </w:p>
        </w:tc>
        <w:tc>
          <w:tcPr>
            <w:tcW w:w="4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262E4" w14:textId="6CDC0FE2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2C05A8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9D71F2" w:rsidRPr="000349FE" w14:paraId="21D112B9" w14:textId="77777777" w:rsidTr="005B2892">
        <w:trPr>
          <w:trHeight w:val="481"/>
        </w:trPr>
        <w:tc>
          <w:tcPr>
            <w:tcW w:w="10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3E731A" w14:textId="57439423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Average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total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charges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in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2017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dollars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25953" w14:textId="78103D4B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94440.04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(1996.06)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B9BDC9" w14:textId="4F95492D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95515.01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(9483.24)</w:t>
            </w:r>
          </w:p>
        </w:tc>
        <w:tc>
          <w:tcPr>
            <w:tcW w:w="895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B2B2CB" w14:textId="077E025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103850.98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(8183.79)</w:t>
            </w:r>
          </w:p>
        </w:tc>
        <w:tc>
          <w:tcPr>
            <w:tcW w:w="86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1E95E" w14:textId="49CDA539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1.15%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(0.35%,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1.96%)</w:t>
            </w:r>
          </w:p>
        </w:tc>
        <w:tc>
          <w:tcPr>
            <w:tcW w:w="43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289E6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0.005</w:t>
            </w:r>
          </w:p>
        </w:tc>
      </w:tr>
    </w:tbl>
    <w:p w14:paraId="27801576" w14:textId="3D0085CD" w:rsidR="000349FE" w:rsidRPr="000349FE" w:rsidRDefault="009D71F2" w:rsidP="009D71F2">
      <w:pPr>
        <w:pStyle w:val="BodyA"/>
        <w:widowControl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0349FE">
        <w:rPr>
          <w:rFonts w:ascii="Book Antiqua" w:hAnsi="Book Antiqua" w:cs="Times New Roman"/>
          <w:sz w:val="24"/>
          <w:szCs w:val="24"/>
        </w:rPr>
        <w:t>All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data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are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presented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as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percentage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(</w:t>
      </w:r>
      <w:r w:rsidR="004B576B">
        <w:rPr>
          <w:rFonts w:ascii="Book Antiqua" w:hAnsi="Book Antiqua" w:cs="Times New Roman"/>
          <w:sz w:val="24"/>
          <w:szCs w:val="24"/>
        </w:rPr>
        <w:t>SE</w:t>
      </w:r>
      <w:r w:rsidRPr="000349FE">
        <w:rPr>
          <w:rFonts w:ascii="Book Antiqua" w:hAnsi="Book Antiqua" w:cs="Times New Roman"/>
          <w:sz w:val="24"/>
          <w:szCs w:val="24"/>
        </w:rPr>
        <w:t>)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for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categorical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variables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and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mean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(</w:t>
      </w:r>
      <w:r w:rsidR="004B576B">
        <w:rPr>
          <w:rFonts w:ascii="Book Antiqua" w:hAnsi="Book Antiqua" w:cs="Times New Roman"/>
          <w:sz w:val="24"/>
          <w:szCs w:val="24"/>
        </w:rPr>
        <w:t>SE</w:t>
      </w:r>
      <w:r w:rsidRPr="000349FE">
        <w:rPr>
          <w:rFonts w:ascii="Book Antiqua" w:hAnsi="Book Antiqua" w:cs="Times New Roman"/>
          <w:sz w:val="24"/>
          <w:szCs w:val="24"/>
        </w:rPr>
        <w:t>)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for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continuous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variables.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="00786B1A" w:rsidRPr="000349FE">
        <w:rPr>
          <w:rFonts w:ascii="Book Antiqua" w:eastAsia="Book Antiqua" w:hAnsi="Book Antiqua" w:cs="Book Antiqua"/>
          <w:sz w:val="24"/>
          <w:szCs w:val="24"/>
        </w:rPr>
        <w:t>Annual</w:t>
      </w:r>
      <w:r w:rsidR="0010390C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786B1A" w:rsidRPr="000349FE">
        <w:rPr>
          <w:rFonts w:ascii="Book Antiqua" w:eastAsia="Book Antiqua" w:hAnsi="Book Antiqua" w:cs="Book Antiqua"/>
          <w:sz w:val="24"/>
          <w:szCs w:val="24"/>
        </w:rPr>
        <w:t>percentage</w:t>
      </w:r>
      <w:r w:rsidR="0010390C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786B1A" w:rsidRPr="000349FE">
        <w:rPr>
          <w:rFonts w:ascii="Book Antiqua" w:eastAsia="Book Antiqua" w:hAnsi="Book Antiqua" w:cs="Book Antiqua"/>
          <w:sz w:val="24"/>
          <w:szCs w:val="24"/>
        </w:rPr>
        <w:t>change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="00786B1A">
        <w:rPr>
          <w:rFonts w:ascii="Book Antiqua" w:hAnsi="Book Antiqua" w:cs="Times New Roman"/>
          <w:sz w:val="24"/>
          <w:szCs w:val="24"/>
        </w:rPr>
        <w:t>(</w:t>
      </w:r>
      <w:r w:rsidRPr="000349FE">
        <w:rPr>
          <w:rFonts w:ascii="Book Antiqua" w:hAnsi="Book Antiqua" w:cs="Times New Roman"/>
          <w:sz w:val="24"/>
          <w:szCs w:val="24"/>
        </w:rPr>
        <w:t>APC</w:t>
      </w:r>
      <w:r w:rsidR="00786B1A">
        <w:rPr>
          <w:rFonts w:ascii="Book Antiqua" w:hAnsi="Book Antiqua" w:cs="Times New Roman"/>
          <w:sz w:val="24"/>
          <w:szCs w:val="24"/>
        </w:rPr>
        <w:t>)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&gt;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0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means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increasing,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&lt;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0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means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decreasing</w:t>
      </w:r>
      <w:r>
        <w:rPr>
          <w:rFonts w:ascii="Book Antiqua" w:hAnsi="Book Antiqua" w:cs="Times New Roman"/>
          <w:sz w:val="24"/>
          <w:szCs w:val="24"/>
        </w:rPr>
        <w:t>.</w:t>
      </w:r>
      <w:r w:rsidR="0010390C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9D71F2">
        <w:rPr>
          <w:rFonts w:ascii="Book Antiqua" w:hAnsi="Book Antiqua" w:cs="Times New Roman"/>
          <w:i/>
          <w:iCs/>
          <w:sz w:val="24"/>
          <w:szCs w:val="24"/>
        </w:rPr>
        <w:t>P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value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for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APC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measures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if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APC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is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significantly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different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from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zero.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514F5E">
        <w:rPr>
          <w:rFonts w:ascii="Book Antiqua" w:hAnsi="Book Antiqua" w:cs="Times New Roman"/>
          <w:i/>
          <w:iCs/>
          <w:sz w:val="24"/>
          <w:szCs w:val="24"/>
        </w:rPr>
        <w:t>P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514F5E">
        <w:rPr>
          <w:rFonts w:ascii="Book Antiqua" w:hAnsi="Book Antiqua" w:cs="Times New Roman"/>
          <w:sz w:val="24"/>
          <w:szCs w:val="24"/>
        </w:rPr>
        <w:t>value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="00514F5E" w:rsidRPr="00514F5E">
        <w:rPr>
          <w:rFonts w:ascii="Book Antiqua" w:eastAsiaTheme="minorEastAsia" w:hAnsi="Book Antiqua" w:cs="Times New Roman"/>
          <w:sz w:val="24"/>
          <w:szCs w:val="24"/>
          <w:lang w:eastAsia="zh-CN"/>
        </w:rPr>
        <w:t>≤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514F5E">
        <w:rPr>
          <w:rFonts w:ascii="Book Antiqua" w:hAnsi="Book Antiqua" w:cs="Times New Roman"/>
          <w:sz w:val="24"/>
          <w:szCs w:val="24"/>
        </w:rPr>
        <w:t>0.05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means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the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change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is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sz w:val="24"/>
          <w:szCs w:val="24"/>
        </w:rPr>
        <w:t>significant.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="00786B1A" w:rsidRPr="008E09C4">
        <w:rPr>
          <w:rFonts w:ascii="Book Antiqua" w:hAnsi="Book Antiqua" w:cs="Times New Roman"/>
          <w:sz w:val="24"/>
          <w:szCs w:val="24"/>
        </w:rPr>
        <w:t>BCS</w:t>
      </w:r>
      <w:r w:rsidR="00786B1A">
        <w:rPr>
          <w:rFonts w:ascii="Book Antiqua" w:hAnsi="Book Antiqua" w:cs="Times New Roman"/>
          <w:sz w:val="24"/>
          <w:szCs w:val="24"/>
        </w:rPr>
        <w:t>: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="00786B1A" w:rsidRPr="008E09C4">
        <w:rPr>
          <w:rFonts w:ascii="Book Antiqua" w:eastAsia="Book Antiqua" w:hAnsi="Book Antiqua" w:cs="Book Antiqua"/>
          <w:bCs/>
          <w:sz w:val="24"/>
          <w:szCs w:val="24"/>
        </w:rPr>
        <w:t>Budd</w:t>
      </w:r>
      <w:r w:rsidR="0010390C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="00786B1A" w:rsidRPr="008E09C4">
        <w:rPr>
          <w:rFonts w:ascii="Book Antiqua" w:eastAsia="Book Antiqua" w:hAnsi="Book Antiqua" w:cs="Book Antiqua"/>
          <w:bCs/>
          <w:sz w:val="24"/>
          <w:szCs w:val="24"/>
        </w:rPr>
        <w:t>Chiari</w:t>
      </w:r>
      <w:r w:rsidR="0010390C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="00786B1A" w:rsidRPr="008E09C4">
        <w:rPr>
          <w:rFonts w:ascii="Book Antiqua" w:eastAsia="Book Antiqua" w:hAnsi="Book Antiqua" w:cs="Book Antiqua"/>
          <w:bCs/>
          <w:sz w:val="24"/>
          <w:szCs w:val="24"/>
        </w:rPr>
        <w:t>syndrome;</w:t>
      </w:r>
      <w:r w:rsidR="0010390C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="00786B1A" w:rsidRPr="000349FE">
        <w:rPr>
          <w:rFonts w:ascii="Book Antiqua" w:hAnsi="Book Antiqua" w:cs="Times New Roman"/>
          <w:sz w:val="24"/>
          <w:szCs w:val="24"/>
        </w:rPr>
        <w:t>APC</w:t>
      </w:r>
      <w:r w:rsidR="00786B1A">
        <w:rPr>
          <w:rFonts w:ascii="Book Antiqua" w:hAnsi="Book Antiqua" w:cs="Times New Roman"/>
          <w:sz w:val="24"/>
          <w:szCs w:val="24"/>
        </w:rPr>
        <w:t>: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="00786B1A" w:rsidRPr="000349FE">
        <w:rPr>
          <w:rFonts w:ascii="Book Antiqua" w:eastAsia="Book Antiqua" w:hAnsi="Book Antiqua" w:cs="Book Antiqua"/>
          <w:sz w:val="24"/>
          <w:szCs w:val="24"/>
        </w:rPr>
        <w:t>Annual</w:t>
      </w:r>
      <w:r w:rsidR="0010390C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786B1A" w:rsidRPr="000349FE">
        <w:rPr>
          <w:rFonts w:ascii="Book Antiqua" w:eastAsia="Book Antiqua" w:hAnsi="Book Antiqua" w:cs="Book Antiqua"/>
          <w:sz w:val="24"/>
          <w:szCs w:val="24"/>
        </w:rPr>
        <w:t>percentage</w:t>
      </w:r>
      <w:r w:rsidR="0010390C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786B1A" w:rsidRPr="000349FE">
        <w:rPr>
          <w:rFonts w:ascii="Book Antiqua" w:eastAsia="Book Antiqua" w:hAnsi="Book Antiqua" w:cs="Book Antiqua"/>
          <w:sz w:val="24"/>
          <w:szCs w:val="24"/>
        </w:rPr>
        <w:t>change</w:t>
      </w:r>
      <w:r w:rsidR="00786B1A">
        <w:rPr>
          <w:rFonts w:ascii="Book Antiqua" w:hAnsi="Book Antiqua" w:cs="Times New Roman"/>
          <w:sz w:val="24"/>
          <w:szCs w:val="24"/>
        </w:rPr>
        <w:t>.</w:t>
      </w:r>
    </w:p>
    <w:p w14:paraId="2A44DDBC" w14:textId="663D10D4" w:rsidR="000349FE" w:rsidRPr="000349FE" w:rsidRDefault="00887AD0" w:rsidP="000349FE">
      <w:pPr>
        <w:pStyle w:val="BodyA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br w:type="page"/>
      </w:r>
      <w:r w:rsidR="000349FE" w:rsidRPr="000349FE">
        <w:rPr>
          <w:rFonts w:ascii="Book Antiqua" w:hAnsi="Book Antiqua" w:cs="Times New Roman"/>
          <w:b/>
          <w:bCs/>
          <w:sz w:val="24"/>
          <w:szCs w:val="24"/>
        </w:rPr>
        <w:t>Table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349FE" w:rsidRPr="000349FE">
        <w:rPr>
          <w:rFonts w:ascii="Book Antiqua" w:hAnsi="Book Antiqua" w:cs="Times New Roman"/>
          <w:b/>
          <w:bCs/>
          <w:sz w:val="24"/>
          <w:szCs w:val="24"/>
        </w:rPr>
        <w:t>3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349FE" w:rsidRPr="000349FE">
        <w:rPr>
          <w:rFonts w:ascii="Book Antiqua" w:hAnsi="Book Antiqua" w:cs="Times New Roman"/>
          <w:b/>
          <w:bCs/>
          <w:sz w:val="24"/>
          <w:szCs w:val="24"/>
        </w:rPr>
        <w:t>Multivariate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349FE" w:rsidRPr="000349FE">
        <w:rPr>
          <w:rFonts w:ascii="Book Antiqua" w:hAnsi="Book Antiqua" w:cs="Times New Roman"/>
          <w:b/>
          <w:bCs/>
          <w:sz w:val="24"/>
          <w:szCs w:val="24"/>
        </w:rPr>
        <w:t>model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349FE" w:rsidRPr="000349FE">
        <w:rPr>
          <w:rFonts w:ascii="Book Antiqua" w:hAnsi="Book Antiqua" w:cs="Times New Roman"/>
          <w:b/>
          <w:bCs/>
          <w:sz w:val="24"/>
          <w:szCs w:val="24"/>
        </w:rPr>
        <w:t>on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349FE" w:rsidRPr="000349FE">
        <w:rPr>
          <w:rFonts w:ascii="Book Antiqua" w:hAnsi="Book Antiqua" w:cs="Times New Roman"/>
          <w:b/>
          <w:bCs/>
          <w:sz w:val="24"/>
          <w:szCs w:val="24"/>
        </w:rPr>
        <w:t>mortality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shd w:val="clear" w:color="auto" w:fill="CED7E7"/>
        <w:tblLook w:val="04A0" w:firstRow="1" w:lastRow="0" w:firstColumn="1" w:lastColumn="0" w:noHBand="0" w:noVBand="1"/>
      </w:tblPr>
      <w:tblGrid>
        <w:gridCol w:w="2429"/>
        <w:gridCol w:w="1772"/>
        <w:gridCol w:w="1080"/>
        <w:gridCol w:w="1160"/>
        <w:gridCol w:w="855"/>
        <w:gridCol w:w="2224"/>
      </w:tblGrid>
      <w:tr w:rsidR="00627020" w:rsidRPr="000349FE" w14:paraId="51336BB6" w14:textId="77777777" w:rsidTr="00111E43">
        <w:trPr>
          <w:trHeight w:val="721"/>
        </w:trPr>
        <w:tc>
          <w:tcPr>
            <w:tcW w:w="127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B4BC4" w14:textId="6A63D67F" w:rsidR="000349FE" w:rsidRPr="007D44A5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66934" w14:textId="77777777" w:rsidR="000349FE" w:rsidRPr="007D44A5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D44A5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Response</w:t>
            </w:r>
          </w:p>
        </w:tc>
        <w:tc>
          <w:tcPr>
            <w:tcW w:w="56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EE947" w14:textId="1BC42682" w:rsidR="000349FE" w:rsidRPr="007D44A5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D44A5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Beta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627020" w:rsidRPr="007D44A5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60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80628" w14:textId="3543457A" w:rsidR="000349FE" w:rsidRPr="007D44A5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D44A5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Standard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627020" w:rsidRPr="007D44A5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error</w:t>
            </w:r>
          </w:p>
        </w:tc>
        <w:tc>
          <w:tcPr>
            <w:tcW w:w="44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123AB" w14:textId="3CBD51B7" w:rsidR="000349FE" w:rsidRPr="007D44A5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D44A5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7D44A5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value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7D44A5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for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E37758" w:rsidRPr="007D44A5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beta</w:t>
            </w:r>
          </w:p>
        </w:tc>
        <w:tc>
          <w:tcPr>
            <w:tcW w:w="116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2299E" w14:textId="402BA884" w:rsidR="000349FE" w:rsidRPr="007D44A5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D44A5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Odds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627020" w:rsidRPr="007D44A5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ratio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7D44A5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(95%CI)</w:t>
            </w:r>
          </w:p>
        </w:tc>
      </w:tr>
      <w:tr w:rsidR="00627020" w:rsidRPr="000349FE" w14:paraId="3AED7727" w14:textId="77777777" w:rsidTr="00111E43">
        <w:trPr>
          <w:trHeight w:val="241"/>
        </w:trPr>
        <w:tc>
          <w:tcPr>
            <w:tcW w:w="1276" w:type="pct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812BD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Age</w:t>
            </w:r>
          </w:p>
        </w:tc>
        <w:tc>
          <w:tcPr>
            <w:tcW w:w="931" w:type="pct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3AC88" w14:textId="42043063" w:rsidR="000349FE" w:rsidRPr="000349FE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ECF60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0.024</w:t>
            </w:r>
          </w:p>
        </w:tc>
        <w:tc>
          <w:tcPr>
            <w:tcW w:w="609" w:type="pct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653FD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0.003</w:t>
            </w:r>
          </w:p>
        </w:tc>
        <w:tc>
          <w:tcPr>
            <w:tcW w:w="449" w:type="pct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10100" w14:textId="4A924EAA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2B3B41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1168" w:type="pct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05303" w14:textId="7CA2CC6F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1.024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(1.019,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1.029)</w:t>
            </w:r>
          </w:p>
        </w:tc>
      </w:tr>
      <w:tr w:rsidR="002B3B41" w:rsidRPr="000349FE" w14:paraId="26D32DA0" w14:textId="77777777" w:rsidTr="00111E43">
        <w:trPr>
          <w:trHeight w:val="721"/>
        </w:trPr>
        <w:tc>
          <w:tcPr>
            <w:tcW w:w="127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0DD92" w14:textId="3C8D01E3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respiratory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Failure</w:t>
            </w:r>
          </w:p>
        </w:tc>
        <w:tc>
          <w:tcPr>
            <w:tcW w:w="93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1120B" w14:textId="72B6BDF6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DE7F8" w14:textId="77777777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1.652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8E2DF" w14:textId="77777777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0.109</w:t>
            </w:r>
          </w:p>
        </w:tc>
        <w:tc>
          <w:tcPr>
            <w:tcW w:w="4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44D52" w14:textId="61E61737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116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70121" w14:textId="2711F0C4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5.219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(4.211,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6.468)</w:t>
            </w:r>
          </w:p>
        </w:tc>
      </w:tr>
      <w:tr w:rsidR="002B3B41" w:rsidRPr="000349FE" w14:paraId="430D97C4" w14:textId="77777777" w:rsidTr="00111E43">
        <w:trPr>
          <w:trHeight w:val="721"/>
        </w:trPr>
        <w:tc>
          <w:tcPr>
            <w:tcW w:w="127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A166A" w14:textId="17C52774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Intestinal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infarct/acute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vascular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insufficiency</w:t>
            </w:r>
          </w:p>
        </w:tc>
        <w:tc>
          <w:tcPr>
            <w:tcW w:w="93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A9854" w14:textId="4B39E6CE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2B4B7" w14:textId="77777777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1.422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BC764" w14:textId="77777777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0.201</w:t>
            </w:r>
          </w:p>
        </w:tc>
        <w:tc>
          <w:tcPr>
            <w:tcW w:w="4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2B5C" w14:textId="63C3E82D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116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52EB4" w14:textId="6CD4BFD1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4.143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(2.795,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6.142)</w:t>
            </w:r>
          </w:p>
        </w:tc>
      </w:tr>
      <w:tr w:rsidR="002B3B41" w:rsidRPr="000349FE" w14:paraId="74DB6F7B" w14:textId="77777777" w:rsidTr="00111E43">
        <w:trPr>
          <w:trHeight w:val="721"/>
        </w:trPr>
        <w:tc>
          <w:tcPr>
            <w:tcW w:w="127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41516" w14:textId="69A91B03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liver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failure</w:t>
            </w:r>
          </w:p>
        </w:tc>
        <w:tc>
          <w:tcPr>
            <w:tcW w:w="93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9F9DC" w14:textId="2ECE9490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332FC" w14:textId="77777777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1.286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79AA8" w14:textId="77777777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0.119</w:t>
            </w:r>
          </w:p>
        </w:tc>
        <w:tc>
          <w:tcPr>
            <w:tcW w:w="4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4DFD9" w14:textId="3E0C25A1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116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C3FE2" w14:textId="774747FF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3.617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(2.864,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4.567)</w:t>
            </w:r>
          </w:p>
        </w:tc>
      </w:tr>
      <w:tr w:rsidR="002B3B41" w:rsidRPr="000349FE" w14:paraId="478D0097" w14:textId="77777777" w:rsidTr="00111E43">
        <w:trPr>
          <w:trHeight w:val="721"/>
        </w:trPr>
        <w:tc>
          <w:tcPr>
            <w:tcW w:w="127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0AC3C" w14:textId="57C5947D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Hepatorenal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syndrome</w:t>
            </w:r>
          </w:p>
        </w:tc>
        <w:tc>
          <w:tcPr>
            <w:tcW w:w="93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C38AA" w14:textId="32125847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69472" w14:textId="77777777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1.123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9A638" w14:textId="77777777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0.147</w:t>
            </w:r>
          </w:p>
        </w:tc>
        <w:tc>
          <w:tcPr>
            <w:tcW w:w="4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A6CC9" w14:textId="731633F6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116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C4EEF" w14:textId="64F210F5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3.072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(2.302,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4.101)</w:t>
            </w:r>
          </w:p>
        </w:tc>
      </w:tr>
      <w:tr w:rsidR="002B3B41" w:rsidRPr="000349FE" w14:paraId="02F254B6" w14:textId="77777777" w:rsidTr="00111E43">
        <w:trPr>
          <w:trHeight w:val="721"/>
        </w:trPr>
        <w:tc>
          <w:tcPr>
            <w:tcW w:w="127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C6B90" w14:textId="77777777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Cancer</w:t>
            </w:r>
          </w:p>
        </w:tc>
        <w:tc>
          <w:tcPr>
            <w:tcW w:w="93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72A75" w14:textId="15FD2269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4BEB7" w14:textId="77777777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0.882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56832" w14:textId="77777777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0.098</w:t>
            </w:r>
          </w:p>
        </w:tc>
        <w:tc>
          <w:tcPr>
            <w:tcW w:w="4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B0759" w14:textId="3250B8FA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116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5E294" w14:textId="3EFFA993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2.415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(1.993,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2.927)</w:t>
            </w:r>
          </w:p>
        </w:tc>
      </w:tr>
      <w:tr w:rsidR="002B3B41" w:rsidRPr="000349FE" w14:paraId="5665781D" w14:textId="77777777" w:rsidTr="00111E43">
        <w:trPr>
          <w:trHeight w:val="721"/>
        </w:trPr>
        <w:tc>
          <w:tcPr>
            <w:tcW w:w="127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870DB" w14:textId="1C60E371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kidney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injury</w:t>
            </w:r>
          </w:p>
        </w:tc>
        <w:tc>
          <w:tcPr>
            <w:tcW w:w="93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E57E1" w14:textId="14BC035C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E26CF" w14:textId="77777777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0.803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3A566" w14:textId="77777777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0.092</w:t>
            </w:r>
          </w:p>
        </w:tc>
        <w:tc>
          <w:tcPr>
            <w:tcW w:w="4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CF77F" w14:textId="33C11F1A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116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F9AE1" w14:textId="04CABAB3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2.232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(1.862,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2.675)</w:t>
            </w:r>
          </w:p>
        </w:tc>
      </w:tr>
      <w:tr w:rsidR="002B3B41" w:rsidRPr="000349FE" w14:paraId="65804B4F" w14:textId="77777777" w:rsidTr="00111E43">
        <w:trPr>
          <w:trHeight w:val="721"/>
        </w:trPr>
        <w:tc>
          <w:tcPr>
            <w:tcW w:w="127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DCA3A" w14:textId="08D4212F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Sepsis/severe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sepsis/septic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shock</w:t>
            </w:r>
          </w:p>
        </w:tc>
        <w:tc>
          <w:tcPr>
            <w:tcW w:w="93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3D6CE" w14:textId="75970B85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47E78" w14:textId="77777777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0.635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48F12" w14:textId="77777777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0.122</w:t>
            </w:r>
          </w:p>
        </w:tc>
        <w:tc>
          <w:tcPr>
            <w:tcW w:w="4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17856" w14:textId="623C3A6D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116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24A11" w14:textId="08A9EEA5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1.886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(1.484,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2.398)</w:t>
            </w:r>
          </w:p>
        </w:tc>
      </w:tr>
      <w:tr w:rsidR="00627020" w:rsidRPr="000349FE" w14:paraId="50610A6D" w14:textId="77777777" w:rsidTr="00111E43">
        <w:trPr>
          <w:trHeight w:val="726"/>
        </w:trPr>
        <w:tc>
          <w:tcPr>
            <w:tcW w:w="127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60D70" w14:textId="5A4D2E4F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Hepatic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encephalopathy</w:t>
            </w:r>
          </w:p>
        </w:tc>
        <w:tc>
          <w:tcPr>
            <w:tcW w:w="93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E3F33" w14:textId="27E3002B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B8C9A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0.280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DBA34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0.117</w:t>
            </w:r>
          </w:p>
        </w:tc>
        <w:tc>
          <w:tcPr>
            <w:tcW w:w="4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D1097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0.020</w:t>
            </w:r>
          </w:p>
        </w:tc>
        <w:tc>
          <w:tcPr>
            <w:tcW w:w="116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2576F" w14:textId="3FAEF039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1.323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(1.052,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1.662)</w:t>
            </w:r>
          </w:p>
        </w:tc>
      </w:tr>
      <w:tr w:rsidR="002B3B41" w:rsidRPr="000349FE" w14:paraId="653CD554" w14:textId="77777777" w:rsidTr="00111E43">
        <w:trPr>
          <w:trHeight w:val="731"/>
        </w:trPr>
        <w:tc>
          <w:tcPr>
            <w:tcW w:w="127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9CDEA" w14:textId="5A02AA5D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0349FE">
              <w:rPr>
                <w:rFonts w:ascii="Book Antiqua" w:hAnsi="Book Antiqua" w:cs="Times New Roman"/>
                <w:sz w:val="24"/>
                <w:szCs w:val="24"/>
              </w:rPr>
              <w:t>Elixhauser</w:t>
            </w:r>
            <w:proofErr w:type="spellEnd"/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Comorbidity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Score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excluding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liver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disease</w:t>
            </w:r>
          </w:p>
        </w:tc>
        <w:tc>
          <w:tcPr>
            <w:tcW w:w="93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D6D6F" w14:textId="6B5A1C3D" w:rsidR="002B3B41" w:rsidRPr="000349FE" w:rsidRDefault="0010390C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C3CF4" w14:textId="77777777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0.026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B1968" w14:textId="77777777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0.004</w:t>
            </w:r>
          </w:p>
        </w:tc>
        <w:tc>
          <w:tcPr>
            <w:tcW w:w="4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A9088" w14:textId="6BFBBECB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1168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7A4E0" w14:textId="42B6BF50" w:rsidR="002B3B41" w:rsidRPr="000349FE" w:rsidRDefault="002B3B41" w:rsidP="002B3B41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1.027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(1.019,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1.034)</w:t>
            </w:r>
          </w:p>
        </w:tc>
      </w:tr>
    </w:tbl>
    <w:p w14:paraId="72243D66" w14:textId="77777777" w:rsidR="004B576B" w:rsidRDefault="004B576B" w:rsidP="000349FE">
      <w:pPr>
        <w:pStyle w:val="BodyA"/>
        <w:widowControl w:val="0"/>
        <w:adjustRightInd w:val="0"/>
        <w:snapToGrid w:val="0"/>
        <w:spacing w:after="0" w:line="360" w:lineRule="auto"/>
        <w:ind w:left="201" w:hanging="201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  <w:sectPr w:rsidR="004B57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755D53" w14:textId="52646DE0" w:rsidR="000349FE" w:rsidRPr="000349FE" w:rsidRDefault="000349FE" w:rsidP="000349FE">
      <w:pPr>
        <w:pStyle w:val="BodyA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0349FE">
        <w:rPr>
          <w:rFonts w:ascii="Book Antiqua" w:hAnsi="Book Antiqua" w:cs="Times New Roman"/>
          <w:b/>
          <w:bCs/>
          <w:sz w:val="24"/>
          <w:szCs w:val="24"/>
        </w:rPr>
        <w:t>Table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b/>
          <w:bCs/>
          <w:sz w:val="24"/>
          <w:szCs w:val="24"/>
        </w:rPr>
        <w:t>4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b/>
          <w:bCs/>
          <w:sz w:val="24"/>
          <w:szCs w:val="24"/>
        </w:rPr>
        <w:t>Multivariate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b/>
          <w:bCs/>
          <w:sz w:val="24"/>
          <w:szCs w:val="24"/>
        </w:rPr>
        <w:t>model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b/>
          <w:bCs/>
          <w:sz w:val="24"/>
          <w:szCs w:val="24"/>
        </w:rPr>
        <w:t>on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b/>
          <w:bCs/>
          <w:sz w:val="24"/>
          <w:szCs w:val="24"/>
        </w:rPr>
        <w:t>length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b/>
          <w:bCs/>
          <w:sz w:val="24"/>
          <w:szCs w:val="24"/>
        </w:rPr>
        <w:t>of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0349FE">
        <w:rPr>
          <w:rFonts w:ascii="Book Antiqua" w:hAnsi="Book Antiqua" w:cs="Times New Roman"/>
          <w:b/>
          <w:bCs/>
          <w:sz w:val="24"/>
          <w:szCs w:val="24"/>
        </w:rPr>
        <w:t>stay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shd w:val="clear" w:color="auto" w:fill="CED7E7"/>
        <w:tblLook w:val="04A0" w:firstRow="1" w:lastRow="0" w:firstColumn="1" w:lastColumn="0" w:noHBand="0" w:noVBand="1"/>
      </w:tblPr>
      <w:tblGrid>
        <w:gridCol w:w="2330"/>
        <w:gridCol w:w="2517"/>
        <w:gridCol w:w="1080"/>
        <w:gridCol w:w="1160"/>
        <w:gridCol w:w="1007"/>
        <w:gridCol w:w="1426"/>
      </w:tblGrid>
      <w:tr w:rsidR="00871F5F" w:rsidRPr="000349FE" w14:paraId="71CEA04D" w14:textId="77777777" w:rsidTr="004E278B">
        <w:trPr>
          <w:trHeight w:val="481"/>
        </w:trPr>
        <w:tc>
          <w:tcPr>
            <w:tcW w:w="12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A1949" w14:textId="0AAD1B0C" w:rsidR="000349FE" w:rsidRPr="00871F5F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E114" w14:textId="77777777" w:rsidR="000349FE" w:rsidRPr="00871F5F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871F5F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Response</w:t>
            </w:r>
          </w:p>
        </w:tc>
        <w:tc>
          <w:tcPr>
            <w:tcW w:w="56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FBB1E" w14:textId="6B9FA857" w:rsidR="000349FE" w:rsidRPr="00871F5F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871F5F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Beta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871F5F" w:rsidRPr="00871F5F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60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A5BAB" w14:textId="074050A0" w:rsidR="000349FE" w:rsidRPr="00871F5F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871F5F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Standard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871F5F" w:rsidRPr="00871F5F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error</w:t>
            </w:r>
          </w:p>
        </w:tc>
        <w:tc>
          <w:tcPr>
            <w:tcW w:w="52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B8CEE" w14:textId="36D71214" w:rsidR="000349FE" w:rsidRPr="00871F5F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871F5F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871F5F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value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871F5F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for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871F5F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Beta</w:t>
            </w:r>
          </w:p>
        </w:tc>
        <w:tc>
          <w:tcPr>
            <w:tcW w:w="74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A702F" w14:textId="0704EB80" w:rsidR="000349FE" w:rsidRPr="00871F5F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871F5F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871F5F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value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871F5F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for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871F5F" w:rsidRPr="00871F5F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type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871F5F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3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871F5F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test</w:t>
            </w:r>
          </w:p>
        </w:tc>
      </w:tr>
      <w:tr w:rsidR="00871F5F" w:rsidRPr="000349FE" w14:paraId="00F1CCBB" w14:textId="77777777" w:rsidTr="004E278B">
        <w:trPr>
          <w:trHeight w:val="241"/>
        </w:trPr>
        <w:tc>
          <w:tcPr>
            <w:tcW w:w="1224" w:type="pct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89306" w14:textId="2B926C88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Primary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payer</w:t>
            </w:r>
          </w:p>
        </w:tc>
        <w:tc>
          <w:tcPr>
            <w:tcW w:w="1322" w:type="pct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D1A21" w14:textId="25C40966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Medicare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(reference)</w:t>
            </w:r>
          </w:p>
        </w:tc>
        <w:tc>
          <w:tcPr>
            <w:tcW w:w="567" w:type="pct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052BC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0.000</w:t>
            </w:r>
          </w:p>
        </w:tc>
        <w:tc>
          <w:tcPr>
            <w:tcW w:w="609" w:type="pct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2BB9A" w14:textId="53995CF1" w:rsidR="000349FE" w:rsidRPr="000349FE" w:rsidRDefault="00871F5F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403D3" w14:textId="4115A2CD" w:rsidR="000349FE" w:rsidRPr="000349FE" w:rsidRDefault="00871F5F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749" w:type="pct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37951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0.022</w:t>
            </w:r>
          </w:p>
        </w:tc>
      </w:tr>
      <w:tr w:rsidR="00871F5F" w:rsidRPr="000349FE" w14:paraId="2DFF55F8" w14:textId="77777777" w:rsidTr="004E278B">
        <w:trPr>
          <w:trHeight w:val="246"/>
        </w:trPr>
        <w:tc>
          <w:tcPr>
            <w:tcW w:w="1224" w:type="pct"/>
            <w:vMerge/>
            <w:shd w:val="clear" w:color="auto" w:fill="FFFFFF"/>
          </w:tcPr>
          <w:p w14:paraId="5747CD2B" w14:textId="77777777" w:rsidR="000349FE" w:rsidRPr="000349FE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2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6BD0A" w14:textId="3806C4C1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Medicaid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F2CCE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0.053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6C490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0.037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F871B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0.144</w:t>
            </w:r>
          </w:p>
        </w:tc>
        <w:tc>
          <w:tcPr>
            <w:tcW w:w="7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ED286" w14:textId="64A5970D" w:rsidR="000349FE" w:rsidRPr="000349FE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871F5F" w:rsidRPr="000349FE" w14:paraId="33A01A99" w14:textId="77777777" w:rsidTr="004E278B">
        <w:trPr>
          <w:trHeight w:val="246"/>
        </w:trPr>
        <w:tc>
          <w:tcPr>
            <w:tcW w:w="1224" w:type="pct"/>
            <w:vMerge/>
            <w:shd w:val="clear" w:color="auto" w:fill="FFFFFF"/>
          </w:tcPr>
          <w:p w14:paraId="3791C52A" w14:textId="77777777" w:rsidR="000349FE" w:rsidRPr="000349FE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2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5AD54" w14:textId="0CF511B6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Private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insurance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75DE4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0.084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9965E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0.030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A8A3D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0.005</w:t>
            </w:r>
          </w:p>
        </w:tc>
        <w:tc>
          <w:tcPr>
            <w:tcW w:w="7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61AD4" w14:textId="32345445" w:rsidR="000349FE" w:rsidRPr="000349FE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871F5F" w:rsidRPr="000349FE" w14:paraId="19BAF460" w14:textId="77777777" w:rsidTr="004E278B">
        <w:trPr>
          <w:trHeight w:val="241"/>
        </w:trPr>
        <w:tc>
          <w:tcPr>
            <w:tcW w:w="1224" w:type="pct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9226C" w14:textId="0A3DF241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bed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size</w:t>
            </w:r>
          </w:p>
        </w:tc>
        <w:tc>
          <w:tcPr>
            <w:tcW w:w="132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A3D9B" w14:textId="23A7715B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Small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(reference)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A623D" w14:textId="77777777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0.000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78C76" w14:textId="6F91D645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45D97" w14:textId="570F146B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731B7" w14:textId="4B74ACBF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871F5F" w:rsidRPr="000349FE" w14:paraId="4084CB8B" w14:textId="77777777" w:rsidTr="004E278B">
        <w:trPr>
          <w:trHeight w:val="246"/>
        </w:trPr>
        <w:tc>
          <w:tcPr>
            <w:tcW w:w="1224" w:type="pct"/>
            <w:vMerge/>
            <w:shd w:val="clear" w:color="auto" w:fill="FFFFFF"/>
          </w:tcPr>
          <w:p w14:paraId="343DD7E0" w14:textId="77777777" w:rsidR="000349FE" w:rsidRPr="000349FE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2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F6D6A" w14:textId="58A7AD3D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Medium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54875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0.113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99F3F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0.049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F1FB6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0.021</w:t>
            </w:r>
          </w:p>
        </w:tc>
        <w:tc>
          <w:tcPr>
            <w:tcW w:w="7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04B46" w14:textId="30D2D904" w:rsidR="000349FE" w:rsidRPr="000349FE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871F5F" w:rsidRPr="000349FE" w14:paraId="2D657093" w14:textId="77777777" w:rsidTr="004E278B">
        <w:trPr>
          <w:trHeight w:val="246"/>
        </w:trPr>
        <w:tc>
          <w:tcPr>
            <w:tcW w:w="1224" w:type="pct"/>
            <w:vMerge/>
            <w:shd w:val="clear" w:color="auto" w:fill="FFFFFF"/>
          </w:tcPr>
          <w:p w14:paraId="41816AF0" w14:textId="77777777" w:rsidR="000349FE" w:rsidRPr="000349FE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2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0520E" w14:textId="52DA0D6B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Large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8A6E5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0.293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787CA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0.042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1401A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&lt;.0001</w:t>
            </w:r>
          </w:p>
        </w:tc>
        <w:tc>
          <w:tcPr>
            <w:tcW w:w="7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4F8B1" w14:textId="7DE7B9C8" w:rsidR="000349FE" w:rsidRPr="000349FE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871F5F" w:rsidRPr="000349FE" w14:paraId="1C26EB21" w14:textId="77777777" w:rsidTr="004E278B">
        <w:trPr>
          <w:trHeight w:val="241"/>
        </w:trPr>
        <w:tc>
          <w:tcPr>
            <w:tcW w:w="1224" w:type="pct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C7BD0" w14:textId="45CC2224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location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teaching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status</w:t>
            </w:r>
          </w:p>
        </w:tc>
        <w:tc>
          <w:tcPr>
            <w:tcW w:w="132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6AE2F" w14:textId="474CB711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Rural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(reference)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50FD2" w14:textId="77777777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0.000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CE7D2" w14:textId="06EBE3BC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638C9" w14:textId="7A5A5916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D342A" w14:textId="5EC457C6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871F5F" w:rsidRPr="000349FE" w14:paraId="79FA31F4" w14:textId="77777777" w:rsidTr="004E278B">
        <w:trPr>
          <w:trHeight w:val="246"/>
        </w:trPr>
        <w:tc>
          <w:tcPr>
            <w:tcW w:w="1224" w:type="pct"/>
            <w:vMerge/>
            <w:shd w:val="clear" w:color="auto" w:fill="FFFFFF"/>
          </w:tcPr>
          <w:p w14:paraId="1C17097D" w14:textId="77777777" w:rsidR="000349FE" w:rsidRPr="000349FE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2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3B23D" w14:textId="3A18960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Urban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nonteaching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99FFB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0.206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B4782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0.054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33294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&lt;.0001</w:t>
            </w:r>
          </w:p>
        </w:tc>
        <w:tc>
          <w:tcPr>
            <w:tcW w:w="7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7FE0D" w14:textId="2EED230A" w:rsidR="000349FE" w:rsidRPr="000349FE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871F5F" w:rsidRPr="000349FE" w14:paraId="51CC8A8F" w14:textId="77777777" w:rsidTr="004E278B">
        <w:trPr>
          <w:trHeight w:val="246"/>
        </w:trPr>
        <w:tc>
          <w:tcPr>
            <w:tcW w:w="1224" w:type="pct"/>
            <w:vMerge/>
            <w:shd w:val="clear" w:color="auto" w:fill="FFFFFF"/>
          </w:tcPr>
          <w:p w14:paraId="0E5B6830" w14:textId="77777777" w:rsidR="000349FE" w:rsidRPr="000349FE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2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8A75E" w14:textId="0B9FB58B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Urban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teaching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9A840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0.433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876B1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0.050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E3D2B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&lt;.0001</w:t>
            </w:r>
          </w:p>
        </w:tc>
        <w:tc>
          <w:tcPr>
            <w:tcW w:w="7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D5E6E" w14:textId="04D7C57A" w:rsidR="000349FE" w:rsidRPr="000349FE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871F5F" w:rsidRPr="000349FE" w14:paraId="287AAA13" w14:textId="77777777" w:rsidTr="004E278B">
        <w:trPr>
          <w:trHeight w:val="241"/>
        </w:trPr>
        <w:tc>
          <w:tcPr>
            <w:tcW w:w="1224" w:type="pct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C7FAB" w14:textId="243B77C4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region</w:t>
            </w:r>
          </w:p>
        </w:tc>
        <w:tc>
          <w:tcPr>
            <w:tcW w:w="132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A964B" w14:textId="55835210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Northeast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4868C" w14:textId="77777777" w:rsidR="00871F5F" w:rsidRPr="000349FE" w:rsidRDefault="00871F5F" w:rsidP="00871F5F">
            <w:pPr>
              <w:pStyle w:val="Body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349FE">
              <w:rPr>
                <w:rFonts w:ascii="Book Antiqua" w:hAnsi="Book Antiqua" w:cs="Times New Roman"/>
              </w:rPr>
              <w:t>0.171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A97C0" w14:textId="77777777" w:rsidR="00871F5F" w:rsidRPr="000349FE" w:rsidRDefault="00871F5F" w:rsidP="00871F5F">
            <w:pPr>
              <w:pStyle w:val="Body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349FE">
              <w:rPr>
                <w:rFonts w:ascii="Book Antiqua" w:hAnsi="Book Antiqua" w:cs="Times New Roman"/>
              </w:rPr>
              <w:t>0.038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C9A5C" w14:textId="77777777" w:rsidR="00871F5F" w:rsidRPr="000349FE" w:rsidRDefault="00871F5F" w:rsidP="00871F5F">
            <w:pPr>
              <w:pStyle w:val="Body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349FE">
              <w:rPr>
                <w:rFonts w:ascii="Book Antiqua" w:hAnsi="Book Antiqua" w:cs="Times New Roman"/>
              </w:rPr>
              <w:t>&lt;.0001</w:t>
            </w:r>
          </w:p>
        </w:tc>
        <w:tc>
          <w:tcPr>
            <w:tcW w:w="7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A8DB2" w14:textId="79E58F5F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871F5F" w:rsidRPr="000349FE" w14:paraId="21B5E221" w14:textId="77777777" w:rsidTr="004E278B">
        <w:trPr>
          <w:trHeight w:val="246"/>
        </w:trPr>
        <w:tc>
          <w:tcPr>
            <w:tcW w:w="1224" w:type="pct"/>
            <w:vMerge/>
            <w:shd w:val="clear" w:color="auto" w:fill="FFFFFF"/>
          </w:tcPr>
          <w:p w14:paraId="04DB6E87" w14:textId="77777777" w:rsidR="000349FE" w:rsidRPr="000349FE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2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BD96D" w14:textId="5C3EB9D6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Midwest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12721" w14:textId="77777777" w:rsidR="000349FE" w:rsidRPr="000349FE" w:rsidRDefault="000349FE" w:rsidP="000349FE">
            <w:pPr>
              <w:pStyle w:val="Body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349FE">
              <w:rPr>
                <w:rFonts w:ascii="Book Antiqua" w:hAnsi="Book Antiqua" w:cs="Times New Roman"/>
              </w:rPr>
              <w:t>0.017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6F2A1" w14:textId="77777777" w:rsidR="000349FE" w:rsidRPr="000349FE" w:rsidRDefault="000349FE" w:rsidP="000349FE">
            <w:pPr>
              <w:pStyle w:val="Body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349FE">
              <w:rPr>
                <w:rFonts w:ascii="Book Antiqua" w:hAnsi="Book Antiqua" w:cs="Times New Roman"/>
              </w:rPr>
              <w:t>0.038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6FBEF" w14:textId="77777777" w:rsidR="000349FE" w:rsidRPr="000349FE" w:rsidRDefault="000349FE" w:rsidP="000349FE">
            <w:pPr>
              <w:pStyle w:val="Body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349FE">
              <w:rPr>
                <w:rFonts w:ascii="Book Antiqua" w:hAnsi="Book Antiqua" w:cs="Times New Roman"/>
              </w:rPr>
              <w:t>&lt;.0001</w:t>
            </w:r>
          </w:p>
        </w:tc>
        <w:tc>
          <w:tcPr>
            <w:tcW w:w="7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BB39B" w14:textId="77777777" w:rsidR="000349FE" w:rsidRPr="000349FE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1F5F" w:rsidRPr="000349FE" w14:paraId="444169E7" w14:textId="77777777" w:rsidTr="004E278B">
        <w:trPr>
          <w:trHeight w:val="251"/>
        </w:trPr>
        <w:tc>
          <w:tcPr>
            <w:tcW w:w="1224" w:type="pct"/>
            <w:vMerge/>
            <w:shd w:val="clear" w:color="auto" w:fill="FFFFFF"/>
          </w:tcPr>
          <w:p w14:paraId="59B0D4E5" w14:textId="77777777" w:rsidR="000349FE" w:rsidRPr="000349FE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2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4306A" w14:textId="679B0C44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South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24526" w14:textId="77777777" w:rsidR="000349FE" w:rsidRPr="000349FE" w:rsidRDefault="000349FE" w:rsidP="000349FE">
            <w:pPr>
              <w:pStyle w:val="Body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349FE">
              <w:rPr>
                <w:rFonts w:ascii="Book Antiqua" w:hAnsi="Book Antiqua" w:cs="Times New Roman"/>
              </w:rPr>
              <w:t>0.055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39958" w14:textId="77777777" w:rsidR="000349FE" w:rsidRPr="000349FE" w:rsidRDefault="000349FE" w:rsidP="000349FE">
            <w:pPr>
              <w:pStyle w:val="Body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349FE">
              <w:rPr>
                <w:rFonts w:ascii="Book Antiqua" w:hAnsi="Book Antiqua" w:cs="Times New Roman"/>
              </w:rPr>
              <w:t>0.034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EBD4E" w14:textId="77777777" w:rsidR="000349FE" w:rsidRPr="000349FE" w:rsidRDefault="000349FE" w:rsidP="000349FE">
            <w:pPr>
              <w:pStyle w:val="Body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349FE">
              <w:rPr>
                <w:rFonts w:ascii="Book Antiqua" w:hAnsi="Book Antiqua" w:cs="Times New Roman"/>
              </w:rPr>
              <w:t>&lt;.0001</w:t>
            </w:r>
          </w:p>
        </w:tc>
        <w:tc>
          <w:tcPr>
            <w:tcW w:w="7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1283D" w14:textId="77777777" w:rsidR="000349FE" w:rsidRPr="000349FE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1F5F" w:rsidRPr="000349FE" w14:paraId="789F6347" w14:textId="77777777" w:rsidTr="004E278B">
        <w:trPr>
          <w:trHeight w:val="246"/>
        </w:trPr>
        <w:tc>
          <w:tcPr>
            <w:tcW w:w="1224" w:type="pct"/>
            <w:vMerge/>
            <w:shd w:val="clear" w:color="auto" w:fill="FFFFFF"/>
          </w:tcPr>
          <w:p w14:paraId="1C88902D" w14:textId="77777777" w:rsidR="000349FE" w:rsidRPr="000349FE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2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FBCE1" w14:textId="68B0799F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4: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West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(reference)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DD5DB" w14:textId="77777777" w:rsidR="000349FE" w:rsidRPr="000349FE" w:rsidRDefault="000349FE" w:rsidP="000349FE">
            <w:pPr>
              <w:pStyle w:val="Body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0349FE">
              <w:rPr>
                <w:rFonts w:ascii="Book Antiqua" w:hAnsi="Book Antiqua" w:cs="Times New Roman"/>
              </w:rPr>
              <w:t>0.000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235C1" w14:textId="77777777" w:rsidR="000349FE" w:rsidRPr="000349FE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52F6A" w14:textId="77777777" w:rsidR="000349FE" w:rsidRPr="000349FE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8CA8D" w14:textId="77777777" w:rsidR="000349FE" w:rsidRPr="000349FE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71F5F" w:rsidRPr="000349FE" w14:paraId="233BD2FC" w14:textId="77777777" w:rsidTr="004E278B">
        <w:trPr>
          <w:trHeight w:val="241"/>
        </w:trPr>
        <w:tc>
          <w:tcPr>
            <w:tcW w:w="5000" w:type="pct"/>
            <w:gridSpan w:val="6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B4325" w14:textId="12DBA5BA" w:rsidR="00871F5F" w:rsidRPr="00B22CBC" w:rsidRDefault="00871F5F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B22CBC">
              <w:rPr>
                <w:rFonts w:ascii="Book Antiqua" w:hAnsi="Book Antiqua"/>
              </w:rPr>
              <w:t>Complications</w:t>
            </w:r>
          </w:p>
        </w:tc>
      </w:tr>
      <w:tr w:rsidR="00871F5F" w:rsidRPr="000349FE" w14:paraId="3EFD00E1" w14:textId="77777777" w:rsidTr="004E278B">
        <w:trPr>
          <w:trHeight w:val="241"/>
        </w:trPr>
        <w:tc>
          <w:tcPr>
            <w:tcW w:w="122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9E0CB" w14:textId="39910EEE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liver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failure</w:t>
            </w:r>
          </w:p>
        </w:tc>
        <w:tc>
          <w:tcPr>
            <w:tcW w:w="132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19E06" w14:textId="1ACAD961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7EA3B" w14:textId="77777777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0.223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186B1" w14:textId="77777777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0.057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90E8C" w14:textId="3331B6D9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7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FEE13" w14:textId="66B39BE1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871F5F" w:rsidRPr="000349FE" w14:paraId="62FA35CA" w14:textId="77777777" w:rsidTr="004E278B">
        <w:trPr>
          <w:trHeight w:val="481"/>
        </w:trPr>
        <w:tc>
          <w:tcPr>
            <w:tcW w:w="122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79780" w14:textId="68166A40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respiratory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Failure</w:t>
            </w:r>
          </w:p>
        </w:tc>
        <w:tc>
          <w:tcPr>
            <w:tcW w:w="132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BC239" w14:textId="4244F055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CB70" w14:textId="77777777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0.380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77382" w14:textId="77777777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0.052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72AC1" w14:textId="3C41FB71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7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FF080" w14:textId="285B3F34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871F5F" w:rsidRPr="000349FE" w14:paraId="5244AE28" w14:textId="77777777" w:rsidTr="004E278B">
        <w:trPr>
          <w:trHeight w:val="241"/>
        </w:trPr>
        <w:tc>
          <w:tcPr>
            <w:tcW w:w="122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E77AD" w14:textId="592DA6CE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kidney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injury</w:t>
            </w:r>
          </w:p>
        </w:tc>
        <w:tc>
          <w:tcPr>
            <w:tcW w:w="132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1F3E6" w14:textId="1CEEEEC7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6A668" w14:textId="77777777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0.255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AB42F" w14:textId="77777777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0.035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F1EBC" w14:textId="78254C2F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7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AB37D" w14:textId="7CFEA531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871F5F" w:rsidRPr="000349FE" w14:paraId="396B2F47" w14:textId="77777777" w:rsidTr="004E278B">
        <w:trPr>
          <w:trHeight w:val="241"/>
        </w:trPr>
        <w:tc>
          <w:tcPr>
            <w:tcW w:w="122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A1604" w14:textId="77777777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Ascites</w:t>
            </w:r>
          </w:p>
        </w:tc>
        <w:tc>
          <w:tcPr>
            <w:tcW w:w="132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B56FE" w14:textId="3246ECE4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5294F" w14:textId="77777777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0.118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EB023" w14:textId="77777777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0.028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812E4" w14:textId="5FF4CF56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7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9AF6A" w14:textId="4A338ACB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871F5F" w:rsidRPr="000349FE" w14:paraId="1C850B9F" w14:textId="77777777" w:rsidTr="004E278B">
        <w:trPr>
          <w:trHeight w:val="481"/>
        </w:trPr>
        <w:tc>
          <w:tcPr>
            <w:tcW w:w="122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1925B" w14:textId="63A095F8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Spontaneous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bacterial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peritonitis</w:t>
            </w:r>
          </w:p>
        </w:tc>
        <w:tc>
          <w:tcPr>
            <w:tcW w:w="132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8858D" w14:textId="06B371D3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8398E" w14:textId="77777777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0.480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4D36E" w14:textId="77777777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0.076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FEA71" w14:textId="199732F3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7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1D5D4" w14:textId="4D0C1BFB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871F5F" w:rsidRPr="000349FE" w14:paraId="44EDAC2B" w14:textId="77777777" w:rsidTr="004E278B">
        <w:trPr>
          <w:trHeight w:val="241"/>
        </w:trPr>
        <w:tc>
          <w:tcPr>
            <w:tcW w:w="122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B91ED" w14:textId="0F856E72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IVC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thrombosis</w:t>
            </w:r>
          </w:p>
        </w:tc>
        <w:tc>
          <w:tcPr>
            <w:tcW w:w="132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A0FA8" w14:textId="414908FB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782B5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0.138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E626C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0.052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2AF10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0.008</w:t>
            </w:r>
          </w:p>
        </w:tc>
        <w:tc>
          <w:tcPr>
            <w:tcW w:w="7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2CCF4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0.008</w:t>
            </w:r>
          </w:p>
        </w:tc>
      </w:tr>
      <w:tr w:rsidR="00871F5F" w:rsidRPr="000349FE" w14:paraId="3DA41DDD" w14:textId="77777777" w:rsidTr="004E278B">
        <w:trPr>
          <w:trHeight w:val="721"/>
        </w:trPr>
        <w:tc>
          <w:tcPr>
            <w:tcW w:w="122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2CD74" w14:textId="65A675D2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Intestinal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infarct/acute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vascular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insufficiency</w:t>
            </w:r>
          </w:p>
        </w:tc>
        <w:tc>
          <w:tcPr>
            <w:tcW w:w="132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0C132" w14:textId="59F46ECF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05DED" w14:textId="77777777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0.383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020DF" w14:textId="77777777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0.088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9C155" w14:textId="24C8975A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7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ACE2B" w14:textId="79B5FCE2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871F5F" w:rsidRPr="000349FE" w14:paraId="519954C8" w14:textId="77777777" w:rsidTr="004E278B">
        <w:trPr>
          <w:trHeight w:val="241"/>
        </w:trPr>
        <w:tc>
          <w:tcPr>
            <w:tcW w:w="122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83BF" w14:textId="77777777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cancer</w:t>
            </w:r>
          </w:p>
        </w:tc>
        <w:tc>
          <w:tcPr>
            <w:tcW w:w="132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D15C6" w14:textId="59152404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9092C" w14:textId="77777777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-0.278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1B853" w14:textId="77777777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0.036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91A20" w14:textId="5A22986C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7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C0C86" w14:textId="7C479C94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871F5F" w:rsidRPr="000349FE" w14:paraId="08EA250A" w14:textId="77777777" w:rsidTr="004E278B">
        <w:trPr>
          <w:trHeight w:val="966"/>
        </w:trPr>
        <w:tc>
          <w:tcPr>
            <w:tcW w:w="122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67046" w14:textId="123D6657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0349FE">
              <w:rPr>
                <w:rFonts w:ascii="Book Antiqua" w:hAnsi="Book Antiqua" w:cs="Times New Roman"/>
                <w:sz w:val="24"/>
                <w:szCs w:val="24"/>
              </w:rPr>
              <w:t>Elixhauser</w:t>
            </w:r>
            <w:proofErr w:type="spellEnd"/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Comorbidity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Score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excluding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liver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disease</w:t>
            </w:r>
          </w:p>
        </w:tc>
        <w:tc>
          <w:tcPr>
            <w:tcW w:w="132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EB52" w14:textId="08C0B65C" w:rsidR="00871F5F" w:rsidRPr="000349FE" w:rsidRDefault="0010390C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983FB" w14:textId="77777777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0.019</w:t>
            </w:r>
          </w:p>
        </w:tc>
        <w:tc>
          <w:tcPr>
            <w:tcW w:w="60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900D7" w14:textId="77777777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52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1E49D" w14:textId="5480FD18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749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C30D4" w14:textId="37DAF156" w:rsidR="00871F5F" w:rsidRPr="000349FE" w:rsidRDefault="00871F5F" w:rsidP="00871F5F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</w:tbl>
    <w:p w14:paraId="199B9307" w14:textId="63D7E4A8" w:rsidR="000349FE" w:rsidRPr="000349FE" w:rsidRDefault="00871F5F" w:rsidP="000349FE">
      <w:pPr>
        <w:pStyle w:val="BodyA"/>
        <w:widowControl w:val="0"/>
        <w:adjustRightInd w:val="0"/>
        <w:snapToGrid w:val="0"/>
        <w:spacing w:after="0" w:line="360" w:lineRule="auto"/>
        <w:ind w:left="201" w:hanging="201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0349FE">
        <w:rPr>
          <w:rFonts w:ascii="Book Antiqua" w:hAnsi="Book Antiqua" w:cs="Times New Roman"/>
          <w:sz w:val="24"/>
          <w:szCs w:val="24"/>
        </w:rPr>
        <w:t>IVC</w:t>
      </w:r>
      <w:r>
        <w:rPr>
          <w:rFonts w:ascii="Book Antiqua" w:hAnsi="Book Antiqua" w:cs="Times New Roman"/>
          <w:sz w:val="24"/>
          <w:szCs w:val="24"/>
        </w:rPr>
        <w:t>: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eastAsia="Book Antiqua" w:hAnsi="Book Antiqua" w:cs="Book Antiqua"/>
          <w:sz w:val="24"/>
          <w:szCs w:val="24"/>
        </w:rPr>
        <w:t>Inferior</w:t>
      </w:r>
      <w:r w:rsidR="0010390C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0349FE">
        <w:rPr>
          <w:rFonts w:ascii="Book Antiqua" w:eastAsia="Book Antiqua" w:hAnsi="Book Antiqua" w:cs="Book Antiqua"/>
          <w:sz w:val="24"/>
          <w:szCs w:val="24"/>
        </w:rPr>
        <w:t>vena</w:t>
      </w:r>
      <w:r w:rsidR="0010390C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0349FE">
        <w:rPr>
          <w:rFonts w:ascii="Book Antiqua" w:eastAsia="Book Antiqua" w:hAnsi="Book Antiqua" w:cs="Book Antiqua"/>
          <w:sz w:val="24"/>
          <w:szCs w:val="24"/>
        </w:rPr>
        <w:t>cava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14:paraId="1F5EC3CA" w14:textId="1C9B9B7D" w:rsidR="000349FE" w:rsidRPr="000349FE" w:rsidRDefault="00B22CBC" w:rsidP="000349FE">
      <w:pPr>
        <w:pStyle w:val="BodyA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br w:type="page"/>
      </w:r>
      <w:r w:rsidR="000349FE" w:rsidRPr="000349FE">
        <w:rPr>
          <w:rFonts w:ascii="Book Antiqua" w:hAnsi="Book Antiqua" w:cs="Times New Roman"/>
          <w:b/>
          <w:bCs/>
          <w:sz w:val="24"/>
          <w:szCs w:val="24"/>
        </w:rPr>
        <w:t>Table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349FE" w:rsidRPr="000349FE">
        <w:rPr>
          <w:rFonts w:ascii="Book Antiqua" w:hAnsi="Book Antiqua" w:cs="Times New Roman"/>
          <w:b/>
          <w:bCs/>
          <w:sz w:val="24"/>
          <w:szCs w:val="24"/>
        </w:rPr>
        <w:t>5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349FE" w:rsidRPr="000349FE">
        <w:rPr>
          <w:rFonts w:ascii="Book Antiqua" w:hAnsi="Book Antiqua" w:cs="Times New Roman"/>
          <w:b/>
          <w:bCs/>
          <w:sz w:val="24"/>
          <w:szCs w:val="24"/>
        </w:rPr>
        <w:t>Multivariate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349FE" w:rsidRPr="000349FE">
        <w:rPr>
          <w:rFonts w:ascii="Book Antiqua" w:hAnsi="Book Antiqua" w:cs="Times New Roman"/>
          <w:b/>
          <w:bCs/>
          <w:sz w:val="24"/>
          <w:szCs w:val="24"/>
        </w:rPr>
        <w:t>model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349FE" w:rsidRPr="000349FE">
        <w:rPr>
          <w:rFonts w:ascii="Book Antiqua" w:hAnsi="Book Antiqua" w:cs="Times New Roman"/>
          <w:b/>
          <w:bCs/>
          <w:sz w:val="24"/>
          <w:szCs w:val="24"/>
        </w:rPr>
        <w:t>on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349FE" w:rsidRPr="000349FE">
        <w:rPr>
          <w:rFonts w:ascii="Book Antiqua" w:hAnsi="Book Antiqua" w:cs="Times New Roman"/>
          <w:b/>
          <w:bCs/>
          <w:sz w:val="24"/>
          <w:szCs w:val="24"/>
        </w:rPr>
        <w:t>total</w:t>
      </w:r>
      <w:r w:rsidR="0010390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0349FE" w:rsidRPr="000349FE">
        <w:rPr>
          <w:rFonts w:ascii="Book Antiqua" w:hAnsi="Book Antiqua" w:cs="Times New Roman"/>
          <w:b/>
          <w:bCs/>
          <w:sz w:val="24"/>
          <w:szCs w:val="24"/>
        </w:rPr>
        <w:t>charges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shd w:val="clear" w:color="auto" w:fill="CED7E7"/>
        <w:tblLook w:val="04A0" w:firstRow="1" w:lastRow="0" w:firstColumn="1" w:lastColumn="0" w:noHBand="0" w:noVBand="1"/>
      </w:tblPr>
      <w:tblGrid>
        <w:gridCol w:w="3069"/>
        <w:gridCol w:w="2007"/>
        <w:gridCol w:w="1107"/>
        <w:gridCol w:w="1264"/>
        <w:gridCol w:w="925"/>
        <w:gridCol w:w="1148"/>
      </w:tblGrid>
      <w:tr w:rsidR="00E502A9" w:rsidRPr="000349FE" w14:paraId="5A4AC865" w14:textId="77777777" w:rsidTr="00C61B73">
        <w:trPr>
          <w:trHeight w:val="481"/>
        </w:trPr>
        <w:tc>
          <w:tcPr>
            <w:tcW w:w="161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E1EC" w14:textId="1E32EC00" w:rsidR="000349FE" w:rsidRPr="00E502A9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CCBCF" w14:textId="77777777" w:rsidR="000349FE" w:rsidRPr="00E502A9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E502A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Response</w:t>
            </w:r>
          </w:p>
        </w:tc>
        <w:tc>
          <w:tcPr>
            <w:tcW w:w="58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3C36E" w14:textId="77777777" w:rsidR="000349FE" w:rsidRPr="00E502A9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E502A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66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16EC" w14:textId="3409A70B" w:rsidR="000349FE" w:rsidRPr="00E502A9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E502A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Standard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E502A9" w:rsidRPr="00E502A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error</w:t>
            </w:r>
          </w:p>
        </w:tc>
        <w:tc>
          <w:tcPr>
            <w:tcW w:w="48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2BE9" w14:textId="48EDAB48" w:rsidR="000349FE" w:rsidRPr="00E502A9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E502A9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E502A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value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E502A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for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E502A9" w:rsidRPr="00E502A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beta</w:t>
            </w:r>
          </w:p>
        </w:tc>
        <w:tc>
          <w:tcPr>
            <w:tcW w:w="60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4AC1" w14:textId="10DEA6EB" w:rsidR="000349FE" w:rsidRPr="00E502A9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E502A9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E502A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value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E502A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for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E502A9" w:rsidRPr="00E502A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type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E502A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3</w:t>
            </w:r>
            <w:r w:rsidR="0010390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E502A9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test</w:t>
            </w:r>
          </w:p>
        </w:tc>
      </w:tr>
      <w:tr w:rsidR="00E502A9" w:rsidRPr="000349FE" w14:paraId="43F1AA1E" w14:textId="77777777" w:rsidTr="00C61B73">
        <w:trPr>
          <w:trHeight w:val="241"/>
        </w:trPr>
        <w:tc>
          <w:tcPr>
            <w:tcW w:w="1612" w:type="pct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B552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Race</w:t>
            </w:r>
          </w:p>
        </w:tc>
        <w:tc>
          <w:tcPr>
            <w:tcW w:w="1054" w:type="pct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6AA1B" w14:textId="2A78844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White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(reference)</w:t>
            </w:r>
          </w:p>
        </w:tc>
        <w:tc>
          <w:tcPr>
            <w:tcW w:w="581" w:type="pct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8CB2A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0.000</w:t>
            </w:r>
          </w:p>
        </w:tc>
        <w:tc>
          <w:tcPr>
            <w:tcW w:w="664" w:type="pct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F6AD" w14:textId="6BBAC7BF" w:rsidR="000349FE" w:rsidRPr="000349FE" w:rsidRDefault="00E502A9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486" w:type="pct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244AE" w14:textId="12E7196F" w:rsidR="000349FE" w:rsidRPr="000349FE" w:rsidRDefault="00E502A9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1AE8A" w14:textId="3BC8371D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E502A9"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E502A9" w:rsidRPr="000349FE" w14:paraId="30AA9936" w14:textId="77777777" w:rsidTr="00C61B73">
        <w:trPr>
          <w:trHeight w:val="246"/>
        </w:trPr>
        <w:tc>
          <w:tcPr>
            <w:tcW w:w="1612" w:type="pct"/>
            <w:vMerge/>
            <w:shd w:val="clear" w:color="auto" w:fill="FFFFFF"/>
          </w:tcPr>
          <w:p w14:paraId="29180D67" w14:textId="77777777" w:rsidR="000349FE" w:rsidRPr="000349FE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6ED5B" w14:textId="454A27EE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Black</w:t>
            </w:r>
          </w:p>
        </w:tc>
        <w:tc>
          <w:tcPr>
            <w:tcW w:w="58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C73BB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-0.037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A534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0.026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E6E52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0.162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FCA1" w14:textId="6DC4351C" w:rsidR="000349FE" w:rsidRPr="000349FE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E502A9" w:rsidRPr="000349FE" w14:paraId="73E41712" w14:textId="77777777" w:rsidTr="00C61B73">
        <w:trPr>
          <w:trHeight w:val="251"/>
        </w:trPr>
        <w:tc>
          <w:tcPr>
            <w:tcW w:w="1612" w:type="pct"/>
            <w:vMerge/>
            <w:shd w:val="clear" w:color="auto" w:fill="FFFFFF"/>
          </w:tcPr>
          <w:p w14:paraId="1BC475AD" w14:textId="77777777" w:rsidR="000349FE" w:rsidRPr="000349FE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32525" w14:textId="0F46260B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Hispanic</w:t>
            </w:r>
          </w:p>
        </w:tc>
        <w:tc>
          <w:tcPr>
            <w:tcW w:w="58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4D83A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0.015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81677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0.031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2B491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0.613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5D048" w14:textId="350023DC" w:rsidR="000349FE" w:rsidRPr="000349FE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E502A9" w:rsidRPr="000349FE" w14:paraId="70916601" w14:textId="77777777" w:rsidTr="00C61B73">
        <w:trPr>
          <w:trHeight w:val="491"/>
        </w:trPr>
        <w:tc>
          <w:tcPr>
            <w:tcW w:w="1612" w:type="pct"/>
            <w:vMerge/>
            <w:shd w:val="clear" w:color="auto" w:fill="FFFFFF"/>
          </w:tcPr>
          <w:p w14:paraId="1056013B" w14:textId="77777777" w:rsidR="000349FE" w:rsidRPr="000349FE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9F94B" w14:textId="420175A8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4: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Asian/Pacific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Islander</w:t>
            </w:r>
          </w:p>
        </w:tc>
        <w:tc>
          <w:tcPr>
            <w:tcW w:w="58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D8950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0.136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99E72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0.058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07A32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0.019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C9088" w14:textId="5014946A" w:rsidR="000349FE" w:rsidRPr="000349FE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E502A9" w:rsidRPr="000349FE" w14:paraId="455096B3" w14:textId="77777777" w:rsidTr="00C61B73">
        <w:trPr>
          <w:trHeight w:val="251"/>
        </w:trPr>
        <w:tc>
          <w:tcPr>
            <w:tcW w:w="1612" w:type="pct"/>
            <w:vMerge/>
            <w:shd w:val="clear" w:color="auto" w:fill="FFFFFF"/>
          </w:tcPr>
          <w:p w14:paraId="150321D6" w14:textId="77777777" w:rsidR="000349FE" w:rsidRPr="000349FE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D0C1" w14:textId="35C4C92B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6: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Other</w:t>
            </w:r>
          </w:p>
        </w:tc>
        <w:tc>
          <w:tcPr>
            <w:tcW w:w="58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56EE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0.082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1A1A2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0.046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28E09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0.077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F9C01" w14:textId="44E77383" w:rsidR="000349FE" w:rsidRPr="000349FE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570570" w:rsidRPr="000349FE" w14:paraId="361F7CBE" w14:textId="77777777" w:rsidTr="00C61B73">
        <w:trPr>
          <w:trHeight w:val="246"/>
        </w:trPr>
        <w:tc>
          <w:tcPr>
            <w:tcW w:w="1612" w:type="pct"/>
            <w:vMerge/>
            <w:shd w:val="clear" w:color="auto" w:fill="FFFFFF"/>
          </w:tcPr>
          <w:p w14:paraId="3FB21DAE" w14:textId="77777777" w:rsidR="00570570" w:rsidRPr="000349FE" w:rsidRDefault="00570570" w:rsidP="0057057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96F15" w14:textId="116FC93F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9: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Unknown</w:t>
            </w:r>
          </w:p>
        </w:tc>
        <w:tc>
          <w:tcPr>
            <w:tcW w:w="58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74E6C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-0.185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85E40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0.025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48EFF" w14:textId="6931F744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ACFE" w14:textId="280CF80F" w:rsidR="00570570" w:rsidRPr="000349FE" w:rsidRDefault="0010390C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570570" w:rsidRPr="000349FE" w14:paraId="41A556EE" w14:textId="77777777" w:rsidTr="00C61B73">
        <w:trPr>
          <w:trHeight w:val="241"/>
        </w:trPr>
        <w:tc>
          <w:tcPr>
            <w:tcW w:w="1612" w:type="pct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15126" w14:textId="07697509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8627B6" w:rsidRPr="000349FE">
              <w:rPr>
                <w:rFonts w:ascii="Book Antiqua" w:hAnsi="Book Antiqua" w:cs="Times New Roman"/>
                <w:sz w:val="24"/>
                <w:szCs w:val="24"/>
              </w:rPr>
              <w:t>bed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size</w:t>
            </w: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30D9F" w14:textId="7BCB199E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Small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(reference)</w:t>
            </w:r>
          </w:p>
        </w:tc>
        <w:tc>
          <w:tcPr>
            <w:tcW w:w="58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7F7A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0.000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D48AE" w14:textId="27D35AAD" w:rsidR="00570570" w:rsidRPr="00570570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</w:pPr>
            <w:r>
              <w:rPr>
                <w:rFonts w:ascii="Book Antiqua" w:eastAsiaTheme="minorEastAsia" w:hAnsi="Book Antiqua" w:cs="Times New Roman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217D" w14:textId="2B52E8A6" w:rsidR="00570570" w:rsidRPr="00570570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</w:pPr>
            <w:r>
              <w:rPr>
                <w:rFonts w:ascii="Book Antiqua" w:eastAsiaTheme="minorEastAsia" w:hAnsi="Book Antiqua" w:cs="Times New Roman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38FED" w14:textId="35946E4F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E502A9" w:rsidRPr="000349FE" w14:paraId="274D1284" w14:textId="77777777" w:rsidTr="00C61B73">
        <w:trPr>
          <w:trHeight w:val="246"/>
        </w:trPr>
        <w:tc>
          <w:tcPr>
            <w:tcW w:w="1612" w:type="pct"/>
            <w:vMerge/>
            <w:shd w:val="clear" w:color="auto" w:fill="FFFFFF"/>
          </w:tcPr>
          <w:p w14:paraId="7F04CE82" w14:textId="77777777" w:rsidR="000349FE" w:rsidRPr="000349FE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36090" w14:textId="551C77C3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Medium</w:t>
            </w:r>
          </w:p>
        </w:tc>
        <w:tc>
          <w:tcPr>
            <w:tcW w:w="58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C6096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0.080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2019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0.034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65579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0.018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9B623" w14:textId="59CE2CAE" w:rsidR="000349FE" w:rsidRPr="000349FE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570570" w:rsidRPr="000349FE" w14:paraId="66F3E13E" w14:textId="77777777" w:rsidTr="00C61B73">
        <w:trPr>
          <w:trHeight w:val="246"/>
        </w:trPr>
        <w:tc>
          <w:tcPr>
            <w:tcW w:w="1612" w:type="pct"/>
            <w:vMerge/>
            <w:shd w:val="clear" w:color="auto" w:fill="FFFFFF"/>
          </w:tcPr>
          <w:p w14:paraId="52CC1576" w14:textId="77777777" w:rsidR="00570570" w:rsidRPr="000349FE" w:rsidRDefault="00570570" w:rsidP="0057057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042F4" w14:textId="50C55AF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Large</w:t>
            </w:r>
          </w:p>
        </w:tc>
        <w:tc>
          <w:tcPr>
            <w:tcW w:w="58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58AD7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0.169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C5237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0.029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AE857" w14:textId="29E369A6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01BB5" w14:textId="2E9B1574" w:rsidR="00570570" w:rsidRPr="000349FE" w:rsidRDefault="0010390C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570570" w:rsidRPr="000349FE" w14:paraId="44A041D5" w14:textId="77777777" w:rsidTr="00C61B73">
        <w:trPr>
          <w:trHeight w:val="241"/>
        </w:trPr>
        <w:tc>
          <w:tcPr>
            <w:tcW w:w="1612" w:type="pct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4F658" w14:textId="74B0572B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location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teaching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status</w:t>
            </w: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5A40" w14:textId="5F43EFC9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Rural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(reference)</w:t>
            </w:r>
          </w:p>
        </w:tc>
        <w:tc>
          <w:tcPr>
            <w:tcW w:w="58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F949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0.000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0331" w14:textId="678D2A59" w:rsidR="00570570" w:rsidRPr="00570570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</w:pPr>
            <w:r>
              <w:rPr>
                <w:rFonts w:ascii="Book Antiqua" w:eastAsiaTheme="minorEastAsia" w:hAnsi="Book Antiqua" w:cs="Times New Roman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85451" w14:textId="32F36F22" w:rsidR="00570570" w:rsidRPr="00570570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</w:pPr>
            <w:r>
              <w:rPr>
                <w:rFonts w:ascii="Book Antiqua" w:eastAsiaTheme="minorEastAsia" w:hAnsi="Book Antiqua" w:cs="Times New Roman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77FD7" w14:textId="219F8EDC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570570" w:rsidRPr="000349FE" w14:paraId="14F36209" w14:textId="77777777" w:rsidTr="00C61B73">
        <w:trPr>
          <w:trHeight w:val="486"/>
        </w:trPr>
        <w:tc>
          <w:tcPr>
            <w:tcW w:w="1612" w:type="pct"/>
            <w:vMerge/>
            <w:shd w:val="clear" w:color="auto" w:fill="FFFFFF"/>
          </w:tcPr>
          <w:p w14:paraId="530A6357" w14:textId="77777777" w:rsidR="00570570" w:rsidRPr="000349FE" w:rsidRDefault="00570570" w:rsidP="0057057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1EE13" w14:textId="06BE4D8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Urban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nonteaching</w:t>
            </w:r>
          </w:p>
        </w:tc>
        <w:tc>
          <w:tcPr>
            <w:tcW w:w="58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3735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0.428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99BC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0.037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A4F4" w14:textId="14EE3F2B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EE73" w14:textId="1B9FC992" w:rsidR="00570570" w:rsidRPr="000349FE" w:rsidRDefault="0010390C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570570" w:rsidRPr="000349FE" w14:paraId="1C075EEB" w14:textId="77777777" w:rsidTr="00C61B73">
        <w:trPr>
          <w:trHeight w:val="246"/>
        </w:trPr>
        <w:tc>
          <w:tcPr>
            <w:tcW w:w="1612" w:type="pct"/>
            <w:vMerge/>
            <w:shd w:val="clear" w:color="auto" w:fill="FFFFFF"/>
          </w:tcPr>
          <w:p w14:paraId="5804A5D8" w14:textId="77777777" w:rsidR="00570570" w:rsidRPr="000349FE" w:rsidRDefault="00570570" w:rsidP="0057057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B409C" w14:textId="22D7D650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Urban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teaching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A8526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0.552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2F2E5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0.034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D3134" w14:textId="007CBE75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7507" w14:textId="2E384B15" w:rsidR="00570570" w:rsidRPr="000349FE" w:rsidRDefault="0010390C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570570" w:rsidRPr="000349FE" w14:paraId="30879223" w14:textId="77777777" w:rsidTr="00C61B73">
        <w:trPr>
          <w:trHeight w:val="241"/>
        </w:trPr>
        <w:tc>
          <w:tcPr>
            <w:tcW w:w="1612" w:type="pct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11AE3" w14:textId="1C4C4AEF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Hospital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region</w:t>
            </w: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552D" w14:textId="738FDED6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1: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Northeast</w:t>
            </w:r>
          </w:p>
        </w:tc>
        <w:tc>
          <w:tcPr>
            <w:tcW w:w="58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699B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-0.195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91302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0.027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1A4D" w14:textId="3CAD1638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CEF5C" w14:textId="71939831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570570" w:rsidRPr="000349FE" w14:paraId="11D2D54D" w14:textId="77777777" w:rsidTr="00C61B73">
        <w:trPr>
          <w:trHeight w:val="246"/>
        </w:trPr>
        <w:tc>
          <w:tcPr>
            <w:tcW w:w="1612" w:type="pct"/>
            <w:vMerge/>
            <w:shd w:val="clear" w:color="auto" w:fill="FFFFFF"/>
          </w:tcPr>
          <w:p w14:paraId="5BFE09E7" w14:textId="77777777" w:rsidR="00570570" w:rsidRPr="000349FE" w:rsidRDefault="00570570" w:rsidP="0057057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EBDCE" w14:textId="7E3A3A8B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2: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Midwest</w:t>
            </w:r>
          </w:p>
        </w:tc>
        <w:tc>
          <w:tcPr>
            <w:tcW w:w="58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46E57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-0.333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9C5AB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0.027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0DE3A" w14:textId="5AD20E6E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A3E40" w14:textId="2740EBCA" w:rsidR="00570570" w:rsidRPr="000349FE" w:rsidRDefault="0010390C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570570" w:rsidRPr="000349FE" w14:paraId="6863C6D7" w14:textId="77777777" w:rsidTr="00C61B73">
        <w:trPr>
          <w:trHeight w:val="251"/>
        </w:trPr>
        <w:tc>
          <w:tcPr>
            <w:tcW w:w="1612" w:type="pct"/>
            <w:vMerge/>
            <w:shd w:val="clear" w:color="auto" w:fill="FFFFFF"/>
          </w:tcPr>
          <w:p w14:paraId="604D995A" w14:textId="77777777" w:rsidR="00570570" w:rsidRPr="000349FE" w:rsidRDefault="00570570" w:rsidP="0057057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0FC3F" w14:textId="72899CA1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3: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South</w:t>
            </w:r>
          </w:p>
        </w:tc>
        <w:tc>
          <w:tcPr>
            <w:tcW w:w="58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9BB99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-0.330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DE0E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0.024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BA7F" w14:textId="636DAD1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53E8" w14:textId="797F50ED" w:rsidR="00570570" w:rsidRPr="000349FE" w:rsidRDefault="0010390C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E502A9" w:rsidRPr="000349FE" w14:paraId="78DC732D" w14:textId="77777777" w:rsidTr="00C61B73">
        <w:trPr>
          <w:trHeight w:val="246"/>
        </w:trPr>
        <w:tc>
          <w:tcPr>
            <w:tcW w:w="1612" w:type="pct"/>
            <w:vMerge/>
            <w:shd w:val="clear" w:color="auto" w:fill="FFFFFF"/>
          </w:tcPr>
          <w:p w14:paraId="56D024F5" w14:textId="77777777" w:rsidR="000349FE" w:rsidRPr="000349FE" w:rsidRDefault="000349FE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6B8B4" w14:textId="3226F4F3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4: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West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(reference)</w:t>
            </w:r>
          </w:p>
        </w:tc>
        <w:tc>
          <w:tcPr>
            <w:tcW w:w="58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81DF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0.000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B0F7F" w14:textId="4B82DC85" w:rsidR="000349FE" w:rsidRPr="00570570" w:rsidRDefault="00570570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</w:pPr>
            <w:r>
              <w:rPr>
                <w:rFonts w:ascii="Book Antiqua" w:eastAsiaTheme="minorEastAsia" w:hAnsi="Book Antiqua" w:cs="Times New Roman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E398E" w14:textId="5E8B4C0E" w:rsidR="000349FE" w:rsidRPr="00570570" w:rsidRDefault="00570570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</w:pPr>
            <w:r>
              <w:rPr>
                <w:rFonts w:ascii="Book Antiqua" w:eastAsiaTheme="minorEastAsia" w:hAnsi="Book Antiqua" w:cs="Times New Roman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2BBD4" w14:textId="79082CBE" w:rsidR="000349FE" w:rsidRPr="000349FE" w:rsidRDefault="0010390C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313D57" w:rsidRPr="000349FE" w14:paraId="034E7290" w14:textId="77777777" w:rsidTr="00C61B73">
        <w:trPr>
          <w:trHeight w:val="241"/>
        </w:trPr>
        <w:tc>
          <w:tcPr>
            <w:tcW w:w="5000" w:type="pct"/>
            <w:gridSpan w:val="6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C4A62" w14:textId="1F01724A" w:rsidR="00313D57" w:rsidRPr="00313D57" w:rsidRDefault="00313D57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13D57">
              <w:rPr>
                <w:rFonts w:ascii="Book Antiqua" w:hAnsi="Book Antiqua"/>
              </w:rPr>
              <w:t>Complications</w:t>
            </w:r>
          </w:p>
        </w:tc>
      </w:tr>
      <w:tr w:rsidR="00E502A9" w:rsidRPr="000349FE" w14:paraId="785B2605" w14:textId="77777777" w:rsidTr="00C61B73">
        <w:trPr>
          <w:trHeight w:val="241"/>
        </w:trPr>
        <w:tc>
          <w:tcPr>
            <w:tcW w:w="16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DB36F" w14:textId="42658544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liver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failure</w:t>
            </w: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A137" w14:textId="0536F1F1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58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A7726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0.078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C12D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0.039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A30E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0.044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2368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0.044</w:t>
            </w:r>
          </w:p>
        </w:tc>
      </w:tr>
      <w:tr w:rsidR="00570570" w:rsidRPr="000349FE" w14:paraId="592487E0" w14:textId="77777777" w:rsidTr="00C61B73">
        <w:trPr>
          <w:trHeight w:val="241"/>
        </w:trPr>
        <w:tc>
          <w:tcPr>
            <w:tcW w:w="16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E7478" w14:textId="63BFA6DC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respiratory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Failure</w:t>
            </w: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F3BE" w14:textId="79826E36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58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72D4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0.204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EE856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0.036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035C" w14:textId="565FB44F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AB46" w14:textId="65EDB983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570570" w:rsidRPr="000349FE" w14:paraId="777A694D" w14:textId="77777777" w:rsidTr="00C61B73">
        <w:trPr>
          <w:trHeight w:val="241"/>
        </w:trPr>
        <w:tc>
          <w:tcPr>
            <w:tcW w:w="16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D887F" w14:textId="4CE3A70A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kidney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injury</w:t>
            </w: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4E1A" w14:textId="652EFB3F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58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2E661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0.146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CF427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0.025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38A3" w14:textId="29892E0F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8F17" w14:textId="62628226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E502A9" w:rsidRPr="000349FE" w14:paraId="075C6C5B" w14:textId="77777777" w:rsidTr="00C61B73">
        <w:trPr>
          <w:trHeight w:val="241"/>
        </w:trPr>
        <w:tc>
          <w:tcPr>
            <w:tcW w:w="16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AA3B" w14:textId="2B851DB5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Hepatorenal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syndrome</w:t>
            </w: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6BA2" w14:textId="05006C5D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58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6E34B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-0.132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A8BFE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0.050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3749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0.008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C535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0.009</w:t>
            </w:r>
          </w:p>
        </w:tc>
      </w:tr>
      <w:tr w:rsidR="00E502A9" w:rsidRPr="000349FE" w14:paraId="780D20AB" w14:textId="77777777" w:rsidTr="00C61B73">
        <w:trPr>
          <w:trHeight w:val="241"/>
        </w:trPr>
        <w:tc>
          <w:tcPr>
            <w:tcW w:w="16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59A53" w14:textId="399F3828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IVC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thrombosis</w:t>
            </w: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55FD" w14:textId="070A3AD0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58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5C437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0.075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752E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0.035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D41A5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0.035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5246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0.035</w:t>
            </w:r>
          </w:p>
        </w:tc>
      </w:tr>
      <w:tr w:rsidR="00570570" w:rsidRPr="000349FE" w14:paraId="66884DED" w14:textId="77777777" w:rsidTr="00C61B73">
        <w:trPr>
          <w:trHeight w:val="481"/>
        </w:trPr>
        <w:tc>
          <w:tcPr>
            <w:tcW w:w="16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B26C6" w14:textId="0012487C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blood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loss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anemia/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hemorrhagic</w:t>
            </w: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4E14" w14:textId="1B88B18B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58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F0810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0.155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553DC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0.035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F0E0B" w14:textId="09671AC0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A7DC9" w14:textId="0A557E4F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E502A9" w:rsidRPr="000349FE" w14:paraId="734FD4CC" w14:textId="77777777" w:rsidTr="00C61B73">
        <w:trPr>
          <w:trHeight w:val="241"/>
        </w:trPr>
        <w:tc>
          <w:tcPr>
            <w:tcW w:w="16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68FF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Cancer</w:t>
            </w: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C7B1" w14:textId="104E7419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Yes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(reference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No)</w:t>
            </w:r>
          </w:p>
        </w:tc>
        <w:tc>
          <w:tcPr>
            <w:tcW w:w="58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AEF5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-0.052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BEF28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0.025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298A4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0.037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8D84" w14:textId="77777777" w:rsidR="000349FE" w:rsidRPr="000349FE" w:rsidRDefault="000349FE" w:rsidP="000349FE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0.037</w:t>
            </w:r>
          </w:p>
        </w:tc>
      </w:tr>
      <w:tr w:rsidR="00570570" w:rsidRPr="000349FE" w14:paraId="78684105" w14:textId="77777777" w:rsidTr="00C61B73">
        <w:trPr>
          <w:trHeight w:val="486"/>
        </w:trPr>
        <w:tc>
          <w:tcPr>
            <w:tcW w:w="16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379C3" w14:textId="042C84DD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0349FE">
              <w:rPr>
                <w:rFonts w:ascii="Book Antiqua" w:hAnsi="Book Antiqua" w:cs="Times New Roman"/>
                <w:sz w:val="24"/>
                <w:szCs w:val="24"/>
              </w:rPr>
              <w:t>Elixhauser</w:t>
            </w:r>
            <w:proofErr w:type="spellEnd"/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0349FE">
              <w:rPr>
                <w:rFonts w:ascii="Book Antiqua" w:hAnsi="Book Antiqua" w:cs="Times New Roman"/>
                <w:sz w:val="24"/>
                <w:szCs w:val="24"/>
              </w:rPr>
              <w:t>Comoridity</w:t>
            </w:r>
            <w:proofErr w:type="spellEnd"/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Score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excluding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liver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disease</w:t>
            </w: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31E29" w14:textId="6A2B0544" w:rsidR="00570570" w:rsidRPr="000349FE" w:rsidRDefault="0010390C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8C916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0.005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721B0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44ED4" w14:textId="3A655349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0F873" w14:textId="0EAA3271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C1631D" w:rsidRPr="000349FE" w14:paraId="25184D40" w14:textId="77777777" w:rsidTr="00C61B73">
        <w:trPr>
          <w:trHeight w:val="246"/>
        </w:trPr>
        <w:tc>
          <w:tcPr>
            <w:tcW w:w="5000" w:type="pct"/>
            <w:gridSpan w:val="6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FBEC" w14:textId="56D4C22D" w:rsidR="00C1631D" w:rsidRPr="00C1631D" w:rsidRDefault="00C1631D" w:rsidP="000349F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C1631D">
              <w:rPr>
                <w:rFonts w:ascii="Book Antiqua" w:hAnsi="Book Antiqua"/>
              </w:rPr>
              <w:t>Other</w:t>
            </w:r>
            <w:r w:rsidR="0010390C">
              <w:rPr>
                <w:rFonts w:ascii="Book Antiqua" w:hAnsi="Book Antiqua"/>
              </w:rPr>
              <w:t xml:space="preserve"> </w:t>
            </w:r>
            <w:r w:rsidRPr="00C1631D">
              <w:rPr>
                <w:rFonts w:ascii="Book Antiqua" w:hAnsi="Book Antiqua"/>
              </w:rPr>
              <w:t>variables</w:t>
            </w:r>
          </w:p>
        </w:tc>
      </w:tr>
      <w:tr w:rsidR="00570570" w:rsidRPr="000349FE" w14:paraId="2665A475" w14:textId="77777777" w:rsidTr="00C61B73">
        <w:trPr>
          <w:trHeight w:val="241"/>
        </w:trPr>
        <w:tc>
          <w:tcPr>
            <w:tcW w:w="16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52CA" w14:textId="7231541A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Number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procedures</w:t>
            </w: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CE3F" w14:textId="307EE8A4" w:rsidR="00570570" w:rsidRPr="000349FE" w:rsidRDefault="0010390C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12FF0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0.118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8D6FD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0.004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88B8" w14:textId="618ACA28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C866" w14:textId="00D8F7C8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  <w:tr w:rsidR="00570570" w:rsidRPr="000349FE" w14:paraId="755B8AAB" w14:textId="77777777" w:rsidTr="00C61B73">
        <w:trPr>
          <w:trHeight w:val="241"/>
        </w:trPr>
        <w:tc>
          <w:tcPr>
            <w:tcW w:w="161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E736" w14:textId="14A3FC10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Length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stay</w:t>
            </w:r>
          </w:p>
        </w:tc>
        <w:tc>
          <w:tcPr>
            <w:tcW w:w="105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CB9C5" w14:textId="76DA7C44" w:rsidR="00570570" w:rsidRPr="000349FE" w:rsidRDefault="0010390C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620D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0.054</w:t>
            </w:r>
          </w:p>
        </w:tc>
        <w:tc>
          <w:tcPr>
            <w:tcW w:w="664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1825C" w14:textId="77777777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0.001</w:t>
            </w:r>
          </w:p>
        </w:tc>
        <w:tc>
          <w:tcPr>
            <w:tcW w:w="486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EF8C" w14:textId="083D91BD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  <w:tc>
          <w:tcPr>
            <w:tcW w:w="603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C8588" w14:textId="29278F93" w:rsidR="00570570" w:rsidRPr="000349FE" w:rsidRDefault="00570570" w:rsidP="00570570">
            <w:pPr>
              <w:pStyle w:val="BodyA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349FE">
              <w:rPr>
                <w:rFonts w:ascii="Book Antiqua" w:hAnsi="Book Antiqua" w:cs="Times New Roman"/>
                <w:sz w:val="24"/>
                <w:szCs w:val="24"/>
              </w:rPr>
              <w:t>&lt;</w:t>
            </w:r>
            <w:r w:rsidR="0010390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0</w:t>
            </w:r>
            <w:r w:rsidRPr="000349FE">
              <w:rPr>
                <w:rFonts w:ascii="Book Antiqua" w:hAnsi="Book Antiqua" w:cs="Times New Roman"/>
                <w:sz w:val="24"/>
                <w:szCs w:val="24"/>
              </w:rPr>
              <w:t>.0001</w:t>
            </w:r>
          </w:p>
        </w:tc>
      </w:tr>
    </w:tbl>
    <w:p w14:paraId="01065168" w14:textId="229BABF0" w:rsidR="0087480D" w:rsidRPr="00E502A9" w:rsidRDefault="00E502A9" w:rsidP="00E502A9">
      <w:pPr>
        <w:pStyle w:val="BodyA"/>
        <w:widowControl w:val="0"/>
        <w:adjustRightInd w:val="0"/>
        <w:snapToGrid w:val="0"/>
        <w:spacing w:after="0" w:line="360" w:lineRule="auto"/>
        <w:ind w:left="201" w:hanging="201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0349FE">
        <w:rPr>
          <w:rFonts w:ascii="Book Antiqua" w:hAnsi="Book Antiqua" w:cs="Times New Roman"/>
          <w:sz w:val="24"/>
          <w:szCs w:val="24"/>
        </w:rPr>
        <w:t>IVC</w:t>
      </w:r>
      <w:r>
        <w:rPr>
          <w:rFonts w:ascii="Book Antiqua" w:hAnsi="Book Antiqua" w:cs="Times New Roman"/>
          <w:sz w:val="24"/>
          <w:szCs w:val="24"/>
        </w:rPr>
        <w:t>:</w:t>
      </w:r>
      <w:r w:rsidR="0010390C">
        <w:rPr>
          <w:rFonts w:ascii="Book Antiqua" w:hAnsi="Book Antiqua" w:cs="Times New Roman"/>
          <w:sz w:val="24"/>
          <w:szCs w:val="24"/>
        </w:rPr>
        <w:t xml:space="preserve"> </w:t>
      </w:r>
      <w:r w:rsidRPr="000349FE">
        <w:rPr>
          <w:rFonts w:ascii="Book Antiqua" w:eastAsia="Book Antiqua" w:hAnsi="Book Antiqua" w:cs="Book Antiqua"/>
          <w:sz w:val="24"/>
          <w:szCs w:val="24"/>
        </w:rPr>
        <w:t>Inferior</w:t>
      </w:r>
      <w:r w:rsidR="0010390C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0349FE">
        <w:rPr>
          <w:rFonts w:ascii="Book Antiqua" w:eastAsia="Book Antiqua" w:hAnsi="Book Antiqua" w:cs="Book Antiqua"/>
          <w:sz w:val="24"/>
          <w:szCs w:val="24"/>
        </w:rPr>
        <w:t>vena</w:t>
      </w:r>
      <w:r w:rsidR="0010390C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0349FE">
        <w:rPr>
          <w:rFonts w:ascii="Book Antiqua" w:eastAsia="Book Antiqua" w:hAnsi="Book Antiqua" w:cs="Book Antiqua"/>
          <w:sz w:val="24"/>
          <w:szCs w:val="24"/>
        </w:rPr>
        <w:t>cava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sectPr w:rsidR="0087480D" w:rsidRPr="00E50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66E7" w14:textId="77777777" w:rsidR="003D3AD9" w:rsidRDefault="003D3AD9" w:rsidP="00D33178">
      <w:r>
        <w:separator/>
      </w:r>
    </w:p>
  </w:endnote>
  <w:endnote w:type="continuationSeparator" w:id="0">
    <w:p w14:paraId="71E50BD6" w14:textId="77777777" w:rsidR="003D3AD9" w:rsidRDefault="003D3AD9" w:rsidP="00D3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153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227B77" w14:textId="3D418803" w:rsidR="00D33178" w:rsidRDefault="00D33178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357EEC" w14:textId="77777777" w:rsidR="00D33178" w:rsidRDefault="00D33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DB88" w14:textId="77777777" w:rsidR="003D3AD9" w:rsidRDefault="003D3AD9" w:rsidP="00D33178">
      <w:r>
        <w:separator/>
      </w:r>
    </w:p>
  </w:footnote>
  <w:footnote w:type="continuationSeparator" w:id="0">
    <w:p w14:paraId="2E32FBB1" w14:textId="77777777" w:rsidR="003D3AD9" w:rsidRDefault="003D3AD9" w:rsidP="00D33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349FE"/>
    <w:rsid w:val="00053180"/>
    <w:rsid w:val="00055C70"/>
    <w:rsid w:val="000B3ECD"/>
    <w:rsid w:val="000C5FFC"/>
    <w:rsid w:val="000E4574"/>
    <w:rsid w:val="000E7D6C"/>
    <w:rsid w:val="001007F3"/>
    <w:rsid w:val="0010390C"/>
    <w:rsid w:val="00111E43"/>
    <w:rsid w:val="00152012"/>
    <w:rsid w:val="00165213"/>
    <w:rsid w:val="00177807"/>
    <w:rsid w:val="001914A3"/>
    <w:rsid w:val="00195B0F"/>
    <w:rsid w:val="001B0B75"/>
    <w:rsid w:val="001C3463"/>
    <w:rsid w:val="001D3753"/>
    <w:rsid w:val="002052BB"/>
    <w:rsid w:val="00213271"/>
    <w:rsid w:val="00237101"/>
    <w:rsid w:val="00242109"/>
    <w:rsid w:val="002B3B41"/>
    <w:rsid w:val="002C05A8"/>
    <w:rsid w:val="002C2BDB"/>
    <w:rsid w:val="002F4D02"/>
    <w:rsid w:val="0030641D"/>
    <w:rsid w:val="00313D57"/>
    <w:rsid w:val="00331D29"/>
    <w:rsid w:val="00360C6B"/>
    <w:rsid w:val="003B7A23"/>
    <w:rsid w:val="003C58E0"/>
    <w:rsid w:val="003C7910"/>
    <w:rsid w:val="003D3AD9"/>
    <w:rsid w:val="00402447"/>
    <w:rsid w:val="0041400C"/>
    <w:rsid w:val="00416DB2"/>
    <w:rsid w:val="004541EA"/>
    <w:rsid w:val="00456BBF"/>
    <w:rsid w:val="00470BDD"/>
    <w:rsid w:val="004B576B"/>
    <w:rsid w:val="004C0DE3"/>
    <w:rsid w:val="004C4513"/>
    <w:rsid w:val="004C7988"/>
    <w:rsid w:val="004C7E83"/>
    <w:rsid w:val="004D3E27"/>
    <w:rsid w:val="004E278B"/>
    <w:rsid w:val="004F7C27"/>
    <w:rsid w:val="00514F5E"/>
    <w:rsid w:val="005333D5"/>
    <w:rsid w:val="00570570"/>
    <w:rsid w:val="00577BBA"/>
    <w:rsid w:val="005862A6"/>
    <w:rsid w:val="0059017F"/>
    <w:rsid w:val="005A4D9D"/>
    <w:rsid w:val="005B2892"/>
    <w:rsid w:val="005B52EE"/>
    <w:rsid w:val="005C70C5"/>
    <w:rsid w:val="006046F6"/>
    <w:rsid w:val="00627020"/>
    <w:rsid w:val="00632BD5"/>
    <w:rsid w:val="0064447F"/>
    <w:rsid w:val="00652C7E"/>
    <w:rsid w:val="00695D5C"/>
    <w:rsid w:val="006A0470"/>
    <w:rsid w:val="006A2E32"/>
    <w:rsid w:val="006B1540"/>
    <w:rsid w:val="006B22DA"/>
    <w:rsid w:val="006D6F1D"/>
    <w:rsid w:val="006E0E82"/>
    <w:rsid w:val="006E39C1"/>
    <w:rsid w:val="006E3B4C"/>
    <w:rsid w:val="007720A0"/>
    <w:rsid w:val="00786B1A"/>
    <w:rsid w:val="007A0FCD"/>
    <w:rsid w:val="007A4DFD"/>
    <w:rsid w:val="007B18CE"/>
    <w:rsid w:val="007B4EC5"/>
    <w:rsid w:val="007D44A5"/>
    <w:rsid w:val="00847094"/>
    <w:rsid w:val="0085017D"/>
    <w:rsid w:val="008627B6"/>
    <w:rsid w:val="00871F5F"/>
    <w:rsid w:val="008723E0"/>
    <w:rsid w:val="0087480D"/>
    <w:rsid w:val="00887AD0"/>
    <w:rsid w:val="00890B4B"/>
    <w:rsid w:val="008E09C4"/>
    <w:rsid w:val="008E11F3"/>
    <w:rsid w:val="00913FEE"/>
    <w:rsid w:val="00924499"/>
    <w:rsid w:val="0094177A"/>
    <w:rsid w:val="00966738"/>
    <w:rsid w:val="0097489C"/>
    <w:rsid w:val="009D71F2"/>
    <w:rsid w:val="00A02D6E"/>
    <w:rsid w:val="00A43C62"/>
    <w:rsid w:val="00A50F53"/>
    <w:rsid w:val="00A77B3E"/>
    <w:rsid w:val="00A84967"/>
    <w:rsid w:val="00AA2388"/>
    <w:rsid w:val="00AD5321"/>
    <w:rsid w:val="00AE3006"/>
    <w:rsid w:val="00B22CBC"/>
    <w:rsid w:val="00B24ECF"/>
    <w:rsid w:val="00B37806"/>
    <w:rsid w:val="00B6280D"/>
    <w:rsid w:val="00B8072B"/>
    <w:rsid w:val="00B92EBD"/>
    <w:rsid w:val="00BA4732"/>
    <w:rsid w:val="00BF0C20"/>
    <w:rsid w:val="00BF32E0"/>
    <w:rsid w:val="00BF5A0B"/>
    <w:rsid w:val="00C04A78"/>
    <w:rsid w:val="00C1631D"/>
    <w:rsid w:val="00C3463D"/>
    <w:rsid w:val="00C3616A"/>
    <w:rsid w:val="00C4295D"/>
    <w:rsid w:val="00C4442D"/>
    <w:rsid w:val="00C61B73"/>
    <w:rsid w:val="00C6370A"/>
    <w:rsid w:val="00CA2A55"/>
    <w:rsid w:val="00CD02AE"/>
    <w:rsid w:val="00D066E3"/>
    <w:rsid w:val="00D06BE9"/>
    <w:rsid w:val="00D11616"/>
    <w:rsid w:val="00D23003"/>
    <w:rsid w:val="00D26F96"/>
    <w:rsid w:val="00D33178"/>
    <w:rsid w:val="00D471B8"/>
    <w:rsid w:val="00D5176E"/>
    <w:rsid w:val="00DA3F93"/>
    <w:rsid w:val="00DB63B9"/>
    <w:rsid w:val="00DC242C"/>
    <w:rsid w:val="00DE2CC3"/>
    <w:rsid w:val="00DE7F7A"/>
    <w:rsid w:val="00DF3DC8"/>
    <w:rsid w:val="00DF7868"/>
    <w:rsid w:val="00E10529"/>
    <w:rsid w:val="00E10F1F"/>
    <w:rsid w:val="00E22158"/>
    <w:rsid w:val="00E23FCF"/>
    <w:rsid w:val="00E25C07"/>
    <w:rsid w:val="00E37758"/>
    <w:rsid w:val="00E502A9"/>
    <w:rsid w:val="00E57E3D"/>
    <w:rsid w:val="00EA28CB"/>
    <w:rsid w:val="00EF3CBC"/>
    <w:rsid w:val="00F5590C"/>
    <w:rsid w:val="00FC09D7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36C35"/>
  <w15:docId w15:val="{6A3D94D3-9132-4289-94D2-4384ACFA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31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31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3178"/>
    <w:rPr>
      <w:sz w:val="18"/>
      <w:szCs w:val="18"/>
    </w:rPr>
  </w:style>
  <w:style w:type="character" w:styleId="a7">
    <w:name w:val="Hyperlink"/>
    <w:rsid w:val="000349FE"/>
    <w:rPr>
      <w:u w:val="single"/>
    </w:rPr>
  </w:style>
  <w:style w:type="paragraph" w:customStyle="1" w:styleId="HeaderFooter">
    <w:name w:val="Header &amp; Footer"/>
    <w:rsid w:val="000349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0349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">
    <w:name w:val="Body"/>
    <w:rsid w:val="000349FE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15</Pages>
  <Words>6191</Words>
  <Characters>35291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jiaping yan</cp:lastModifiedBy>
  <cp:revision>148</cp:revision>
  <dcterms:created xsi:type="dcterms:W3CDTF">2021-05-18T00:21:00Z</dcterms:created>
  <dcterms:modified xsi:type="dcterms:W3CDTF">2021-05-20T10:52:00Z</dcterms:modified>
</cp:coreProperties>
</file>