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23E2"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Name of Journal: </w:t>
      </w:r>
      <w:r w:rsidRPr="00110998">
        <w:rPr>
          <w:rFonts w:ascii="Book Antiqua" w:eastAsia="Book Antiqua" w:hAnsi="Book Antiqua" w:cs="Book Antiqua"/>
          <w:i/>
          <w:color w:val="000000"/>
        </w:rPr>
        <w:t>World Journal of Stem Cells</w:t>
      </w:r>
    </w:p>
    <w:p w14:paraId="54755A24"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Manuscript NO: </w:t>
      </w:r>
      <w:r w:rsidRPr="00110998">
        <w:rPr>
          <w:rFonts w:ascii="Book Antiqua" w:eastAsia="Book Antiqua" w:hAnsi="Book Antiqua" w:cs="Book Antiqua"/>
          <w:color w:val="000000"/>
        </w:rPr>
        <w:t>64262</w:t>
      </w:r>
    </w:p>
    <w:p w14:paraId="35100B1B"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Manuscript Type: </w:t>
      </w:r>
      <w:r w:rsidRPr="00110998">
        <w:rPr>
          <w:rFonts w:ascii="Book Antiqua" w:eastAsia="Book Antiqua" w:hAnsi="Book Antiqua" w:cs="Book Antiqua"/>
          <w:color w:val="000000"/>
        </w:rPr>
        <w:t>REVIEW</w:t>
      </w:r>
    </w:p>
    <w:p w14:paraId="4386DBE2" w14:textId="77777777" w:rsidR="008E7812" w:rsidRPr="00110998" w:rsidRDefault="008E7812" w:rsidP="00304F53">
      <w:pPr>
        <w:snapToGrid w:val="0"/>
        <w:spacing w:line="360" w:lineRule="auto"/>
        <w:jc w:val="both"/>
      </w:pPr>
    </w:p>
    <w:p w14:paraId="27AE351C"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Immunotherapy in the treatment of lymphoma</w:t>
      </w:r>
    </w:p>
    <w:p w14:paraId="61383C00" w14:textId="77777777" w:rsidR="008E7812" w:rsidRPr="00110998" w:rsidRDefault="008E7812" w:rsidP="00304F53">
      <w:pPr>
        <w:snapToGrid w:val="0"/>
        <w:spacing w:line="360" w:lineRule="auto"/>
        <w:jc w:val="both"/>
      </w:pPr>
    </w:p>
    <w:p w14:paraId="4562BB1E" w14:textId="77777777" w:rsidR="008E7812" w:rsidRPr="00110998" w:rsidRDefault="008E2E22" w:rsidP="00304F53">
      <w:pPr>
        <w:snapToGrid w:val="0"/>
        <w:spacing w:line="360" w:lineRule="auto"/>
        <w:jc w:val="both"/>
      </w:pPr>
      <w:r w:rsidRPr="00110998">
        <w:rPr>
          <w:rFonts w:ascii="Book Antiqua" w:eastAsia="Book Antiqua" w:hAnsi="Book Antiqua" w:cs="Book Antiqua"/>
          <w:color w:val="000000"/>
        </w:rPr>
        <w:t>Popovic</w:t>
      </w:r>
      <w:r w:rsidRPr="00110998">
        <w:rPr>
          <w:rFonts w:ascii="Book Antiqua" w:eastAsia="SimSun" w:hAnsi="Book Antiqua" w:cs="Book Antiqua"/>
          <w:color w:val="000000"/>
          <w:lang w:eastAsia="zh-CN"/>
        </w:rPr>
        <w:t xml:space="preserve"> LS </w:t>
      </w:r>
      <w:r w:rsidRPr="00110998">
        <w:rPr>
          <w:rFonts w:ascii="Book Antiqua" w:eastAsia="SimSun" w:hAnsi="Book Antiqua" w:cs="Book Antiqua"/>
          <w:i/>
          <w:iCs/>
          <w:color w:val="000000"/>
          <w:lang w:eastAsia="zh-CN"/>
        </w:rPr>
        <w:t>et al</w:t>
      </w:r>
      <w:r w:rsidRPr="00110998">
        <w:rPr>
          <w:rFonts w:ascii="Book Antiqua" w:eastAsia="SimSun" w:hAnsi="Book Antiqua" w:cs="Book Antiqua"/>
          <w:color w:val="000000"/>
          <w:lang w:eastAsia="zh-CN"/>
        </w:rPr>
        <w:t xml:space="preserve">. </w:t>
      </w:r>
      <w:r w:rsidRPr="00110998">
        <w:rPr>
          <w:rFonts w:ascii="Book Antiqua" w:eastAsia="Book Antiqua" w:hAnsi="Book Antiqua" w:cs="Book Antiqua"/>
          <w:color w:val="000000"/>
        </w:rPr>
        <w:t>Immunotherapy in lymphoma</w:t>
      </w:r>
    </w:p>
    <w:p w14:paraId="77B1560C" w14:textId="77777777" w:rsidR="008E7812" w:rsidRPr="00110998" w:rsidRDefault="008E7812" w:rsidP="00304F53">
      <w:pPr>
        <w:snapToGrid w:val="0"/>
        <w:spacing w:line="360" w:lineRule="auto"/>
        <w:jc w:val="both"/>
      </w:pPr>
    </w:p>
    <w:p w14:paraId="693EF6A1" w14:textId="77777777" w:rsidR="008E7812" w:rsidRPr="00110998" w:rsidRDefault="008E2E22" w:rsidP="00304F53">
      <w:pPr>
        <w:snapToGrid w:val="0"/>
        <w:spacing w:line="360" w:lineRule="auto"/>
        <w:jc w:val="both"/>
      </w:pPr>
      <w:r w:rsidRPr="00110998">
        <w:rPr>
          <w:rFonts w:ascii="Book Antiqua" w:eastAsia="Book Antiqua" w:hAnsi="Book Antiqua" w:cs="Book Antiqua"/>
          <w:color w:val="000000"/>
        </w:rPr>
        <w:t>Lazar S Popovic, Gorana Matovina-Brko, Maja Popovic, Milica Popovic, Ana Cvetanovic, Ivan Nikolic, Biljana Kukic, Dragana Petrovic</w:t>
      </w:r>
    </w:p>
    <w:p w14:paraId="2F886A76" w14:textId="77777777" w:rsidR="008E7812" w:rsidRPr="00110998" w:rsidRDefault="008E7812" w:rsidP="00304F53">
      <w:pPr>
        <w:snapToGrid w:val="0"/>
        <w:spacing w:line="360" w:lineRule="auto"/>
        <w:jc w:val="both"/>
      </w:pPr>
    </w:p>
    <w:p w14:paraId="1F6900E5"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Lazar S Popovic, Maja Popovic, Ivan Nikolic, Biljana Kukic, </w:t>
      </w:r>
      <w:r w:rsidRPr="00110998">
        <w:rPr>
          <w:rFonts w:ascii="Book Antiqua" w:eastAsia="Book Antiqua" w:hAnsi="Book Antiqua" w:cs="Book Antiqua"/>
          <w:color w:val="000000"/>
        </w:rPr>
        <w:t>Department for Medical Oncology, Oncology Institute of Vojvodina, University of Novi Sad, Novi Sad 21000, Serbia</w:t>
      </w:r>
    </w:p>
    <w:p w14:paraId="1A54045F" w14:textId="77777777" w:rsidR="008E7812" w:rsidRPr="00110998" w:rsidRDefault="008E7812" w:rsidP="00304F53">
      <w:pPr>
        <w:snapToGrid w:val="0"/>
        <w:spacing w:line="360" w:lineRule="auto"/>
        <w:jc w:val="both"/>
      </w:pPr>
    </w:p>
    <w:p w14:paraId="24386650"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Gorana Matovina-Brko, Dragana Petrovic, </w:t>
      </w:r>
      <w:r w:rsidRPr="00110998">
        <w:rPr>
          <w:rFonts w:ascii="Book Antiqua" w:eastAsia="Book Antiqua" w:hAnsi="Book Antiqua" w:cs="Book Antiqua"/>
          <w:color w:val="000000"/>
        </w:rPr>
        <w:t>Department for Medical Oncology, Oncology Institute of Vojvodina, Novi Sad 21000, Serbia</w:t>
      </w:r>
    </w:p>
    <w:p w14:paraId="22B9CE93" w14:textId="77777777" w:rsidR="008E7812" w:rsidRPr="00110998" w:rsidRDefault="008E7812" w:rsidP="00304F53">
      <w:pPr>
        <w:snapToGrid w:val="0"/>
        <w:spacing w:line="360" w:lineRule="auto"/>
        <w:jc w:val="both"/>
      </w:pPr>
    </w:p>
    <w:p w14:paraId="4D36AA21"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Milica Popovic, </w:t>
      </w:r>
      <w:r w:rsidRPr="00110998">
        <w:rPr>
          <w:rFonts w:ascii="Book Antiqua" w:eastAsia="Book Antiqua" w:hAnsi="Book Antiqua" w:cs="Book Antiqua"/>
          <w:color w:val="000000"/>
        </w:rPr>
        <w:t>Department for Nephrology and Clinical Immunology, Clinical Center of Vojvodina, University of Novi Sad, Novi Sad 21000, Serbia</w:t>
      </w:r>
    </w:p>
    <w:p w14:paraId="45298DD4" w14:textId="77777777" w:rsidR="008E7812" w:rsidRPr="00110998" w:rsidRDefault="008E7812" w:rsidP="00304F53">
      <w:pPr>
        <w:snapToGrid w:val="0"/>
        <w:spacing w:line="360" w:lineRule="auto"/>
        <w:jc w:val="both"/>
      </w:pPr>
    </w:p>
    <w:p w14:paraId="6632CFAF" w14:textId="19E1F109"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Ana Cvetanovic, </w:t>
      </w:r>
      <w:r w:rsidRPr="00110998">
        <w:rPr>
          <w:rFonts w:ascii="Book Antiqua" w:eastAsia="Book Antiqua" w:hAnsi="Book Antiqua" w:cs="Book Antiqua"/>
          <w:color w:val="000000"/>
        </w:rPr>
        <w:t>Department for Medical Oncology, Clinical Center of Nis, U</w:t>
      </w:r>
      <w:r w:rsidR="00110998">
        <w:rPr>
          <w:rFonts w:ascii="Book Antiqua" w:eastAsia="Book Antiqua" w:hAnsi="Book Antiqua" w:cs="Book Antiqua"/>
          <w:color w:val="000000"/>
        </w:rPr>
        <w:t>n</w:t>
      </w:r>
      <w:r w:rsidRPr="00110998">
        <w:rPr>
          <w:rFonts w:ascii="Book Antiqua" w:eastAsia="Book Antiqua" w:hAnsi="Book Antiqua" w:cs="Book Antiqua"/>
          <w:color w:val="000000"/>
        </w:rPr>
        <w:t>iversity of Nis, Nis 18000, Serbia</w:t>
      </w:r>
    </w:p>
    <w:p w14:paraId="46566C54" w14:textId="77777777" w:rsidR="008E7812" w:rsidRPr="00110998" w:rsidRDefault="008E7812">
      <w:pPr>
        <w:snapToGrid w:val="0"/>
        <w:spacing w:line="360" w:lineRule="auto"/>
        <w:jc w:val="both"/>
      </w:pPr>
    </w:p>
    <w:p w14:paraId="7C86A0BD" w14:textId="775BCF2A" w:rsidR="008E7812" w:rsidRPr="00110998" w:rsidRDefault="008E2E22">
      <w:pPr>
        <w:snapToGrid w:val="0"/>
        <w:spacing w:line="360" w:lineRule="auto"/>
        <w:jc w:val="both"/>
      </w:pPr>
      <w:r w:rsidRPr="00110998">
        <w:rPr>
          <w:rFonts w:ascii="Book Antiqua" w:eastAsia="Book Antiqua" w:hAnsi="Book Antiqua" w:cs="Book Antiqua"/>
          <w:b/>
          <w:bCs/>
          <w:color w:val="000000"/>
          <w:szCs w:val="22"/>
        </w:rPr>
        <w:t xml:space="preserve">Author contributions: </w:t>
      </w:r>
      <w:r w:rsidR="002A3988"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L</w:t>
      </w:r>
      <w:r w:rsidR="002A3988"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w:t>
      </w:r>
      <w:r w:rsidR="002A3988" w:rsidRPr="00110998">
        <w:rPr>
          <w:rFonts w:ascii="Book Antiqua" w:eastAsia="Book Antiqua" w:hAnsi="Book Antiqua" w:cs="Book Antiqua"/>
          <w:color w:val="000000"/>
        </w:rPr>
        <w:t xml:space="preserve">Matovina-Brko </w:t>
      </w:r>
      <w:r w:rsidRPr="00110998">
        <w:rPr>
          <w:rFonts w:ascii="Book Antiqua" w:eastAsia="Book Antiqua" w:hAnsi="Book Antiqua" w:cs="Book Antiqua"/>
          <w:color w:val="000000"/>
        </w:rPr>
        <w:t>G</w:t>
      </w:r>
      <w:r w:rsidR="002A39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and </w:t>
      </w:r>
      <w:r w:rsidR="002A3988"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M</w:t>
      </w:r>
      <w:r w:rsidR="002144BD" w:rsidRPr="00110998">
        <w:rPr>
          <w:rFonts w:ascii="Book Antiqua" w:eastAsia="Book Antiqua" w:hAnsi="Book Antiqua" w:cs="Book Antiqua"/>
          <w:color w:val="000000"/>
        </w:rPr>
        <w:t>a</w:t>
      </w:r>
      <w:r w:rsidR="002A39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performed the literature research</w:t>
      </w:r>
      <w:r w:rsidR="00420EC8" w:rsidRPr="00110998">
        <w:rPr>
          <w:rFonts w:ascii="Book Antiqua" w:eastAsia="Book Antiqua" w:hAnsi="Book Antiqua" w:cs="Book Antiqua"/>
          <w:color w:val="000000"/>
        </w:rPr>
        <w:t xml:space="preserve"> and wrote the manuscript</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Popovic LS, Matovina-Brko G and Popovic M</w:t>
      </w:r>
      <w:r w:rsidR="002144BD"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M</w:t>
      </w:r>
      <w:r w:rsidR="002144BD" w:rsidRPr="00110998">
        <w:rPr>
          <w:rFonts w:ascii="Book Antiqua" w:eastAsia="Book Antiqua" w:hAnsi="Book Antiqua" w:cs="Book Antiqua"/>
          <w:color w:val="000000"/>
        </w:rPr>
        <w:t>i</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Cvetanovic A</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 xml:space="preserve">Nikolic </w:t>
      </w:r>
      <w:r w:rsidRPr="00110998">
        <w:rPr>
          <w:rFonts w:ascii="Book Antiqua" w:eastAsia="Book Antiqua" w:hAnsi="Book Antiqua" w:cs="Book Antiqua"/>
          <w:color w:val="000000"/>
        </w:rPr>
        <w:t xml:space="preserve">I, </w:t>
      </w:r>
      <w:r w:rsidR="006E64EA" w:rsidRPr="00110998">
        <w:rPr>
          <w:rFonts w:ascii="Book Antiqua" w:eastAsia="Book Antiqua" w:hAnsi="Book Antiqua" w:cs="Book Antiqua"/>
          <w:color w:val="000000"/>
        </w:rPr>
        <w:t xml:space="preserve">Kukic </w:t>
      </w:r>
      <w:r w:rsidRPr="00110998">
        <w:rPr>
          <w:rFonts w:ascii="Book Antiqua" w:eastAsia="Book Antiqua" w:hAnsi="Book Antiqua" w:cs="Book Antiqua"/>
          <w:color w:val="000000"/>
        </w:rPr>
        <w:t xml:space="preserve">B, </w:t>
      </w:r>
      <w:r w:rsidR="006E64EA" w:rsidRPr="00110998">
        <w:rPr>
          <w:rFonts w:ascii="Book Antiqua" w:eastAsia="Book Antiqua" w:hAnsi="Book Antiqua" w:cs="Book Antiqua"/>
          <w:color w:val="000000"/>
        </w:rPr>
        <w:t xml:space="preserve">and Petrovic </w:t>
      </w:r>
      <w:r w:rsidRPr="00110998">
        <w:rPr>
          <w:rFonts w:ascii="Book Antiqua" w:eastAsia="Book Antiqua" w:hAnsi="Book Antiqua" w:cs="Book Antiqua"/>
          <w:color w:val="000000"/>
        </w:rPr>
        <w:t>D</w:t>
      </w:r>
      <w:r w:rsidR="006E64E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analyzed the </w:t>
      </w:r>
      <w:r w:rsidR="00110998" w:rsidRPr="00110998">
        <w:rPr>
          <w:rFonts w:ascii="Book Antiqua" w:eastAsia="Book Antiqua" w:hAnsi="Book Antiqua" w:cs="Book Antiqua"/>
          <w:color w:val="000000"/>
        </w:rPr>
        <w:t>collected</w:t>
      </w:r>
      <w:r w:rsidRPr="00110998">
        <w:rPr>
          <w:rFonts w:ascii="Book Antiqua" w:eastAsia="Book Antiqua" w:hAnsi="Book Antiqua" w:cs="Book Antiqua"/>
          <w:color w:val="000000"/>
        </w:rPr>
        <w:t xml:space="preserve"> data; all authors have read and approve</w:t>
      </w:r>
      <w:r w:rsidR="00CC3D3D" w:rsidRPr="00110998">
        <w:rPr>
          <w:rFonts w:ascii="Book Antiqua" w:eastAsia="Book Antiqua" w:hAnsi="Book Antiqua" w:cs="Book Antiqua"/>
          <w:color w:val="000000"/>
        </w:rPr>
        <w:t>d</w:t>
      </w:r>
      <w:r w:rsidRPr="00110998">
        <w:rPr>
          <w:rFonts w:ascii="Book Antiqua" w:eastAsia="Book Antiqua" w:hAnsi="Book Antiqua" w:cs="Book Antiqua"/>
          <w:color w:val="000000"/>
        </w:rPr>
        <w:t xml:space="preserve"> the final manuscript.</w:t>
      </w:r>
    </w:p>
    <w:p w14:paraId="53D164C6" w14:textId="77777777" w:rsidR="008E7812" w:rsidRPr="00110998" w:rsidRDefault="008E7812">
      <w:pPr>
        <w:snapToGrid w:val="0"/>
        <w:spacing w:line="360" w:lineRule="auto"/>
        <w:jc w:val="both"/>
      </w:pPr>
    </w:p>
    <w:p w14:paraId="2313F259" w14:textId="77777777" w:rsidR="008E7812" w:rsidRPr="00110998" w:rsidRDefault="008E7812">
      <w:pPr>
        <w:snapToGrid w:val="0"/>
        <w:spacing w:line="360" w:lineRule="auto"/>
        <w:jc w:val="both"/>
      </w:pPr>
    </w:p>
    <w:p w14:paraId="4F4501D2" w14:textId="670450FD" w:rsidR="008E7812" w:rsidRPr="00110998" w:rsidRDefault="008E2E22">
      <w:pPr>
        <w:snapToGrid w:val="0"/>
        <w:spacing w:line="360" w:lineRule="auto"/>
        <w:jc w:val="both"/>
      </w:pPr>
      <w:r w:rsidRPr="00110998">
        <w:rPr>
          <w:rFonts w:ascii="Book Antiqua" w:eastAsia="Book Antiqua" w:hAnsi="Book Antiqua" w:cs="Book Antiqua"/>
          <w:b/>
          <w:bCs/>
          <w:color w:val="000000"/>
        </w:rPr>
        <w:lastRenderedPageBreak/>
        <w:t xml:space="preserve">Corresponding author: Lazar S Popovic, MD, PhD, Professor, </w:t>
      </w:r>
      <w:r w:rsidRPr="00110998">
        <w:rPr>
          <w:rFonts w:ascii="Book Antiqua" w:eastAsia="Book Antiqua" w:hAnsi="Book Antiqua" w:cs="Book Antiqua"/>
          <w:color w:val="000000"/>
        </w:rPr>
        <w:t xml:space="preserve">Department for Medical Oncology, Oncology Institute of Vojvodina, University of Novi Sad, </w:t>
      </w:r>
      <w:r w:rsidR="009F465D" w:rsidRPr="00110998">
        <w:rPr>
          <w:rFonts w:ascii="Book Antiqua" w:eastAsia="Book Antiqua" w:hAnsi="Book Antiqua" w:cs="Book Antiqua"/>
          <w:color w:val="000000"/>
        </w:rPr>
        <w:t xml:space="preserve">Put dr Goldmana 4, </w:t>
      </w:r>
      <w:r w:rsidRPr="00110998">
        <w:rPr>
          <w:rFonts w:ascii="Book Antiqua" w:eastAsia="Book Antiqua" w:hAnsi="Book Antiqua" w:cs="Book Antiqua"/>
          <w:color w:val="000000"/>
        </w:rPr>
        <w:t>Novi Sad 21000, Serbia. lazar.popov</w:t>
      </w:r>
      <w:r w:rsidR="00FB07A8" w:rsidRPr="00110998">
        <w:rPr>
          <w:rFonts w:ascii="Book Antiqua" w:eastAsia="Book Antiqua" w:hAnsi="Book Antiqua" w:cs="Book Antiqua"/>
          <w:color w:val="000000"/>
        </w:rPr>
        <w:t>ic@mf.uns.ac.rs</w:t>
      </w:r>
    </w:p>
    <w:p w14:paraId="2563A5B0" w14:textId="77777777" w:rsidR="008E7812" w:rsidRPr="00110998" w:rsidRDefault="008E7812">
      <w:pPr>
        <w:snapToGrid w:val="0"/>
        <w:spacing w:line="360" w:lineRule="auto"/>
        <w:jc w:val="both"/>
      </w:pPr>
    </w:p>
    <w:p w14:paraId="7AD826F4"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Received: </w:t>
      </w:r>
      <w:r w:rsidRPr="00110998">
        <w:rPr>
          <w:rFonts w:ascii="Book Antiqua" w:eastAsia="Book Antiqua" w:hAnsi="Book Antiqua" w:cs="Book Antiqua"/>
          <w:color w:val="000000"/>
        </w:rPr>
        <w:t>February 13, 2021</w:t>
      </w:r>
    </w:p>
    <w:p w14:paraId="515B4C8F"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Revised: </w:t>
      </w:r>
      <w:r w:rsidRPr="00110998">
        <w:rPr>
          <w:rFonts w:ascii="Book Antiqua" w:eastAsia="Book Antiqua" w:hAnsi="Book Antiqua" w:cs="Book Antiqua"/>
          <w:color w:val="000000"/>
        </w:rPr>
        <w:t>March 31, 2021</w:t>
      </w:r>
    </w:p>
    <w:p w14:paraId="3694F5C6" w14:textId="185EBB8D"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Accepted: </w:t>
      </w:r>
      <w:r w:rsidR="00B13901" w:rsidRPr="00110998">
        <w:rPr>
          <w:rFonts w:ascii="Book Antiqua" w:eastAsia="Book Antiqua" w:hAnsi="Book Antiqua" w:cs="Book Antiqua"/>
          <w:color w:val="000000"/>
        </w:rPr>
        <w:t>May 8, 2021</w:t>
      </w:r>
    </w:p>
    <w:p w14:paraId="0BA56F05" w14:textId="18277D7D" w:rsidR="008E7812" w:rsidRPr="00110998" w:rsidRDefault="008E2E22">
      <w:pPr>
        <w:snapToGrid w:val="0"/>
        <w:spacing w:line="360" w:lineRule="auto"/>
        <w:jc w:val="both"/>
      </w:pPr>
      <w:r w:rsidRPr="00110998">
        <w:rPr>
          <w:rFonts w:ascii="Book Antiqua" w:eastAsia="Book Antiqua" w:hAnsi="Book Antiqua" w:cs="Book Antiqua"/>
          <w:b/>
          <w:bCs/>
          <w:color w:val="000000"/>
        </w:rPr>
        <w:t>Published online:</w:t>
      </w:r>
    </w:p>
    <w:p w14:paraId="64A0CE3C" w14:textId="77777777" w:rsidR="008E7812" w:rsidRPr="00110998" w:rsidRDefault="008E7812">
      <w:pPr>
        <w:snapToGrid w:val="0"/>
        <w:spacing w:line="360" w:lineRule="auto"/>
        <w:jc w:val="both"/>
        <w:sectPr w:rsidR="008E7812" w:rsidRPr="00110998" w:rsidSect="002A3988">
          <w:footerReference w:type="default" r:id="rId8"/>
          <w:pgSz w:w="12240" w:h="15840"/>
          <w:pgMar w:top="1554" w:right="1497" w:bottom="1554" w:left="1497" w:header="720" w:footer="720" w:gutter="0"/>
          <w:cols w:space="720"/>
          <w:docGrid w:linePitch="360"/>
        </w:sectPr>
      </w:pPr>
    </w:p>
    <w:p w14:paraId="0814AF37"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lastRenderedPageBreak/>
        <w:t>Abstract</w:t>
      </w:r>
    </w:p>
    <w:p w14:paraId="1C92752C" w14:textId="7679D8A9" w:rsidR="008E7812" w:rsidRPr="00110998" w:rsidRDefault="008E2E22">
      <w:pPr>
        <w:snapToGrid w:val="0"/>
        <w:spacing w:line="360" w:lineRule="auto"/>
        <w:jc w:val="both"/>
      </w:pPr>
      <w:r w:rsidRPr="00110998">
        <w:rPr>
          <w:rFonts w:ascii="Book Antiqua" w:eastAsia="Book Antiqua" w:hAnsi="Book Antiqua" w:cs="Book Antiqua"/>
          <w:color w:val="000000"/>
        </w:rPr>
        <w:t>Relapsed or refractory non-Hodgkin’s lymphomas, especially diffuse large B-cell lymphoma as well as relapsed or refractory Hodgkin lymphomas are hard-to-treat diseases.</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Patients who do not respond to initial therapy or experience relapse are treated with salvage regimens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if eligible for aggressive therapy, treatment is continued with high-dose chemotherapy and autologous stem cell transplantation. Current therapy options can cure substantial number</w:t>
      </w:r>
      <w:r w:rsidR="00B11C95"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of patients, however for some it is still an uncurable disease. Numerous new drugs and cell therapies are being investigated for the treatment of relapsed or refractory lymphomas. Different types of immunotherapy options have shown promising results, and some have already become the standard of care. Here, we review immunotherapy options for the treatment of lymphoma and discuss the results, positions, practical aspects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future directions of different drugs and cellular therapies for the treatment of this disease.</w:t>
      </w:r>
    </w:p>
    <w:p w14:paraId="39A5E88F" w14:textId="77777777" w:rsidR="008E7812" w:rsidRPr="00110998" w:rsidRDefault="008E7812">
      <w:pPr>
        <w:snapToGrid w:val="0"/>
        <w:spacing w:line="360" w:lineRule="auto"/>
        <w:jc w:val="both"/>
      </w:pPr>
    </w:p>
    <w:p w14:paraId="2CD78C0B" w14:textId="06A1B7A5"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Key Words: </w:t>
      </w:r>
      <w:r w:rsidRPr="00110998">
        <w:rPr>
          <w:rFonts w:ascii="Book Antiqua" w:eastAsia="Book Antiqua" w:hAnsi="Book Antiqua" w:cs="Book Antiqua"/>
          <w:color w:val="000000"/>
        </w:rPr>
        <w:t xml:space="preserve">Immunotherapy; Receptors; Chimeric </w:t>
      </w:r>
      <w:r w:rsidR="00156B79"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ntigen; Antibodies; Monoclonal; Immunoconjugates; Hodgkin </w:t>
      </w:r>
      <w:r w:rsidR="00156B79" w:rsidRPr="00110998">
        <w:rPr>
          <w:rFonts w:ascii="Book Antiqua" w:eastAsia="Book Antiqua" w:hAnsi="Book Antiqua" w:cs="Book Antiqua"/>
          <w:color w:val="000000"/>
        </w:rPr>
        <w:t>d</w:t>
      </w:r>
      <w:r w:rsidRPr="00110998">
        <w:rPr>
          <w:rFonts w:ascii="Book Antiqua" w:eastAsia="Book Antiqua" w:hAnsi="Book Antiqua" w:cs="Book Antiqua"/>
          <w:color w:val="000000"/>
        </w:rPr>
        <w:t>isease; Lymphoma; Large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Diffuse</w:t>
      </w:r>
    </w:p>
    <w:p w14:paraId="64245085" w14:textId="77777777" w:rsidR="008E7812" w:rsidRPr="00110998" w:rsidRDefault="008E7812">
      <w:pPr>
        <w:snapToGrid w:val="0"/>
        <w:spacing w:line="360" w:lineRule="auto"/>
        <w:jc w:val="both"/>
      </w:pPr>
    </w:p>
    <w:p w14:paraId="6031E5F1"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 xml:space="preserve">Popovic LS, Matovina-Brko G, Popovic M, Popovic M, Cvetanovic A, Nikolic I, Kukic B, Petrovic D. Immunotherapy in the treatment of lymphoma. </w:t>
      </w:r>
      <w:r w:rsidRPr="00110998">
        <w:rPr>
          <w:rFonts w:ascii="Book Antiqua" w:eastAsia="Book Antiqua" w:hAnsi="Book Antiqua" w:cs="Book Antiqua"/>
          <w:i/>
          <w:iCs/>
          <w:color w:val="000000"/>
        </w:rPr>
        <w:t>World J Stem Cells</w:t>
      </w:r>
      <w:r w:rsidRPr="00110998">
        <w:rPr>
          <w:rFonts w:ascii="Book Antiqua" w:eastAsia="Book Antiqua" w:hAnsi="Book Antiqua" w:cs="Book Antiqua"/>
          <w:color w:val="000000"/>
        </w:rPr>
        <w:t xml:space="preserve"> 2021; In press</w:t>
      </w:r>
    </w:p>
    <w:p w14:paraId="754F3067" w14:textId="77777777" w:rsidR="008E7812" w:rsidRPr="00110998" w:rsidRDefault="008E7812">
      <w:pPr>
        <w:snapToGrid w:val="0"/>
        <w:spacing w:line="360" w:lineRule="auto"/>
        <w:jc w:val="both"/>
      </w:pPr>
    </w:p>
    <w:p w14:paraId="7A00E829" w14:textId="48037B18" w:rsidR="008E7812" w:rsidRPr="00110998" w:rsidRDefault="008E2E22">
      <w:pPr>
        <w:snapToGrid w:val="0"/>
        <w:spacing w:line="360" w:lineRule="auto"/>
        <w:jc w:val="both"/>
      </w:pPr>
      <w:r w:rsidRPr="00110998">
        <w:rPr>
          <w:rFonts w:ascii="Book Antiqua" w:eastAsia="Book Antiqua" w:hAnsi="Book Antiqua" w:cs="Book Antiqua"/>
          <w:b/>
          <w:bCs/>
          <w:color w:val="000000"/>
          <w:szCs w:val="22"/>
        </w:rPr>
        <w:t xml:space="preserve">Core Tip: </w:t>
      </w:r>
      <w:r w:rsidRPr="00110998">
        <w:rPr>
          <w:rFonts w:ascii="Book Antiqua" w:eastAsia="Book Antiqua" w:hAnsi="Book Antiqua" w:cs="Book Antiqua"/>
          <w:color w:val="000000"/>
        </w:rPr>
        <w:t>Relapsed or refractory non-Hodgkin’s lymphomas, especially diffuse large B-cell lymphoma, are hard-to-treat diseases. Many immunotherapeutic options have changed</w:t>
      </w:r>
      <w:r w:rsidR="00B11C9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the course of treatment for different solid tumors. Here, we discuss the results, positions, practical aspects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future directions of different drugs and cellular therapies for the treatment of lymphoma.</w:t>
      </w:r>
    </w:p>
    <w:p w14:paraId="0FD759C5" w14:textId="77777777" w:rsidR="008E7812" w:rsidRPr="00110998" w:rsidRDefault="008E7812">
      <w:pPr>
        <w:snapToGrid w:val="0"/>
        <w:spacing w:line="360" w:lineRule="auto"/>
        <w:jc w:val="both"/>
      </w:pPr>
    </w:p>
    <w:p w14:paraId="6D79EBB2" w14:textId="77777777" w:rsidR="007531C0" w:rsidRPr="00110998" w:rsidRDefault="007531C0" w:rsidP="00025A53">
      <w:pPr>
        <w:jc w:val="both"/>
        <w:rPr>
          <w:rFonts w:ascii="Book Antiqua" w:eastAsia="Book Antiqua" w:hAnsi="Book Antiqua" w:cs="Book Antiqua"/>
          <w:b/>
          <w:caps/>
          <w:color w:val="000000"/>
          <w:u w:val="single"/>
        </w:rPr>
      </w:pPr>
      <w:r w:rsidRPr="00110998">
        <w:rPr>
          <w:rFonts w:ascii="Book Antiqua" w:eastAsia="Book Antiqua" w:hAnsi="Book Antiqua" w:cs="Book Antiqua"/>
          <w:b/>
          <w:caps/>
          <w:color w:val="000000"/>
          <w:u w:val="single"/>
        </w:rPr>
        <w:br w:type="page"/>
      </w:r>
    </w:p>
    <w:p w14:paraId="539B8B32" w14:textId="3156E41D" w:rsidR="008E7812" w:rsidRPr="00110998" w:rsidRDefault="008E2E22" w:rsidP="00304F53">
      <w:pPr>
        <w:snapToGrid w:val="0"/>
        <w:spacing w:line="360" w:lineRule="auto"/>
        <w:jc w:val="both"/>
      </w:pPr>
      <w:r w:rsidRPr="00110998">
        <w:rPr>
          <w:rFonts w:ascii="Book Antiqua" w:eastAsia="Book Antiqua" w:hAnsi="Book Antiqua" w:cs="Book Antiqua"/>
          <w:b/>
          <w:caps/>
          <w:color w:val="000000"/>
          <w:u w:val="single"/>
        </w:rPr>
        <w:lastRenderedPageBreak/>
        <w:t>INTRODUCTION</w:t>
      </w:r>
    </w:p>
    <w:p w14:paraId="1137D296" w14:textId="359459CF" w:rsidR="008E7812" w:rsidRPr="00110998" w:rsidRDefault="008E2E22">
      <w:pPr>
        <w:snapToGrid w:val="0"/>
        <w:spacing w:line="360" w:lineRule="auto"/>
        <w:jc w:val="both"/>
      </w:pPr>
      <w:r w:rsidRPr="00110998">
        <w:rPr>
          <w:rFonts w:ascii="Book Antiqua" w:eastAsia="Book Antiqua" w:hAnsi="Book Antiqua" w:cs="Book Antiqua"/>
          <w:color w:val="000000"/>
        </w:rPr>
        <w:t>Diffuse large B-cell lymphoma (DLBCL) is the most common type of non-Hodgkin's lymphoma and accounts for approximately 30%-58% of cases. The combination of rituximab, cyclophosphamide, doxorubicin, vincristine, and prednisolone (R-CHOP) cures approximately 65% of patients</w:t>
      </w:r>
      <w:r w:rsidRPr="00110998">
        <w:rPr>
          <w:rFonts w:ascii="Book Antiqua" w:eastAsia="Book Antiqua" w:hAnsi="Book Antiqua" w:cs="Book Antiqua"/>
          <w:color w:val="000000"/>
          <w:vertAlign w:val="superscript"/>
        </w:rPr>
        <w:t>[1]</w:t>
      </w:r>
      <w:r w:rsidRPr="00110998">
        <w:rPr>
          <w:rFonts w:ascii="Book Antiqua" w:eastAsia="Book Antiqua" w:hAnsi="Book Antiqua" w:cs="Book Antiqua"/>
          <w:color w:val="000000"/>
        </w:rPr>
        <w:t>. Patients who do not respond to R-CHOP therapy or experience relapse are treated with one of the following salvage protocols: rituximab, cisplatin, cytarabine, and dexamethasone (R-DHAP) or rituximab, ifosfamide, carboplatin, and etoposide (R-ICE). If the patient responds and is eligible for aggressive therapy, treatment is continued with high-dose chemotherapy (HDCT) and autologous stem cell transplantation (ASCT)</w:t>
      </w:r>
      <w:r w:rsidRPr="00110998">
        <w:rPr>
          <w:rFonts w:ascii="Book Antiqua" w:eastAsia="Book Antiqua" w:hAnsi="Book Antiqua" w:cs="Book Antiqua"/>
          <w:color w:val="000000"/>
          <w:vertAlign w:val="superscript"/>
        </w:rPr>
        <w:t>[2,3]</w:t>
      </w:r>
      <w:r w:rsidRPr="00110998">
        <w:rPr>
          <w:rFonts w:ascii="Book Antiqua" w:eastAsia="Book Antiqua" w:hAnsi="Book Antiqua" w:cs="Book Antiqua"/>
          <w:color w:val="000000"/>
        </w:rPr>
        <w:t>. Approximately 20% of patients achieve survival with this procedure. Patients who are not eligible for HDCT usually receive second-line therapy with rituximab, gemcitabine</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oxaliplatin (R-GEMOX) or rituximab and</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bendamustine (R-Benda),</w:t>
      </w:r>
      <w:r w:rsidR="00167A9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a small percentage of these patients survive long-term</w:t>
      </w:r>
      <w:r w:rsidRPr="00110998">
        <w:rPr>
          <w:rFonts w:ascii="Book Antiqua" w:eastAsia="Book Antiqua" w:hAnsi="Book Antiqua" w:cs="Book Antiqua"/>
          <w:color w:val="000000"/>
          <w:vertAlign w:val="superscript"/>
        </w:rPr>
        <w:t>[4,5]</w:t>
      </w:r>
      <w:r w:rsidRPr="00110998">
        <w:rPr>
          <w:rFonts w:ascii="Book Antiqua" w:eastAsia="Book Antiqua" w:hAnsi="Book Antiqua" w:cs="Book Antiqua"/>
          <w:color w:val="000000"/>
        </w:rPr>
        <w:t>. Allogeneic stem cell transplantation (AlloSCT) is usually reserved for patients who have experienced two or more relapses of the disease. Approximately 20%-30% of patients achieve long-term remission but at the cost of high toxicity and treatment-related mortality</w:t>
      </w:r>
      <w:r w:rsidRPr="00110998">
        <w:rPr>
          <w:rFonts w:ascii="Book Antiqua" w:eastAsia="Book Antiqua" w:hAnsi="Book Antiqua" w:cs="Book Antiqua"/>
          <w:color w:val="000000"/>
          <w:vertAlign w:val="superscript"/>
        </w:rPr>
        <w:t>[6]</w:t>
      </w:r>
      <w:r w:rsidRPr="00110998">
        <w:rPr>
          <w:rFonts w:ascii="Book Antiqua" w:eastAsia="Book Antiqua" w:hAnsi="Book Antiqua" w:cs="Book Antiqua"/>
          <w:color w:val="000000"/>
        </w:rPr>
        <w:t>.</w:t>
      </w:r>
    </w:p>
    <w:p w14:paraId="25967AAB" w14:textId="050EF934"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standard chemotherapy regimens doxorubicin, bleomycin, vinblastine and dacarbazine (ABVD) or escalated bleomycin, etoposide, doxorubicin, cyclophosphamide, vincristine, procarbazine, and prednisolone (escBEACOPP)</w:t>
      </w:r>
      <w:r w:rsidR="00B11C9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cure more than 80% of patients with classical Hodgkin’s lymphoma (cHL). Salvage chemotherapy followed by HDCT/ASCT in relapsed or refractory patients can cure another 50%. Brentuximab-vedotin and checkpoint inhibitors have already become the standard of care ahead of allogeneic transplantation in patients with R/R cHL </w:t>
      </w:r>
      <w:r w:rsidR="009A316A"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their high efficacy and significantly lower toxicity than AlloSCT</w:t>
      </w:r>
      <w:r w:rsidRPr="00110998">
        <w:rPr>
          <w:rFonts w:ascii="Book Antiqua" w:eastAsia="Book Antiqua" w:hAnsi="Book Antiqua" w:cs="Book Antiqua"/>
          <w:color w:val="000000"/>
          <w:vertAlign w:val="superscript"/>
        </w:rPr>
        <w:t>[</w:t>
      </w:r>
      <w:r w:rsidR="001E0F5F" w:rsidRPr="00110998">
        <w:rPr>
          <w:rFonts w:ascii="Book Antiqua" w:eastAsia="Book Antiqua" w:hAnsi="Book Antiqua" w:cs="Book Antiqua"/>
          <w:color w:val="000000"/>
          <w:vertAlign w:val="superscript"/>
        </w:rPr>
        <w:t>7</w:t>
      </w:r>
      <w:r w:rsidRPr="00110998">
        <w:rPr>
          <w:rFonts w:ascii="Book Antiqua" w:eastAsia="Book Antiqua" w:hAnsi="Book Antiqua" w:cs="Book Antiqua"/>
          <w:color w:val="000000"/>
          <w:vertAlign w:val="superscript"/>
        </w:rPr>
        <w:t>-12]</w:t>
      </w:r>
      <w:r w:rsidRPr="00110998">
        <w:rPr>
          <w:rFonts w:ascii="Book Antiqua" w:eastAsia="Book Antiqua" w:hAnsi="Book Antiqua" w:cs="Book Antiqua"/>
          <w:color w:val="000000"/>
        </w:rPr>
        <w:t>.</w:t>
      </w:r>
    </w:p>
    <w:p w14:paraId="18ECB21D" w14:textId="2A7B0593"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Numerous new drugs and cell therapies are being investigated for</w:t>
      </w:r>
      <w:r w:rsidR="009A316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treatment of R/R lymphomas. Different types of immunotherapy options have shown promising results, and some have already become the standard of care. Here, we review </w:t>
      </w:r>
      <w:r w:rsidRPr="00110998">
        <w:rPr>
          <w:rFonts w:ascii="Book Antiqua" w:eastAsia="Book Antiqua" w:hAnsi="Book Antiqua" w:cs="Book Antiqua"/>
          <w:color w:val="000000"/>
        </w:rPr>
        <w:lastRenderedPageBreak/>
        <w:t>immunotherapy options for the treatment of lymphoma and the practical aspects of th</w:t>
      </w:r>
      <w:r w:rsidR="009A316A" w:rsidRPr="00110998">
        <w:rPr>
          <w:rFonts w:ascii="Book Antiqua" w:eastAsia="Book Antiqua" w:hAnsi="Book Antiqua" w:cs="Book Antiqua"/>
          <w:color w:val="000000"/>
        </w:rPr>
        <w:t>o</w:t>
      </w:r>
      <w:r w:rsidRPr="00110998">
        <w:rPr>
          <w:rFonts w:ascii="Book Antiqua" w:eastAsia="Book Antiqua" w:hAnsi="Book Antiqua" w:cs="Book Antiqua"/>
          <w:color w:val="000000"/>
        </w:rPr>
        <w:t>se therapies.</w:t>
      </w:r>
    </w:p>
    <w:p w14:paraId="4B79BAA8" w14:textId="77777777" w:rsidR="008E7812" w:rsidRPr="00110998" w:rsidRDefault="008E7812">
      <w:pPr>
        <w:snapToGrid w:val="0"/>
        <w:spacing w:line="360" w:lineRule="auto"/>
        <w:jc w:val="both"/>
      </w:pPr>
    </w:p>
    <w:p w14:paraId="17FA9ABF"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IMMUNE MECHANISMS OF AVOIDING T-CELL RESPONSES IN LYMPHOMA</w:t>
      </w:r>
    </w:p>
    <w:p w14:paraId="040F5174" w14:textId="34D1042E" w:rsidR="008E7812" w:rsidRPr="00110998" w:rsidRDefault="008E2E22">
      <w:pPr>
        <w:snapToGrid w:val="0"/>
        <w:spacing w:line="360" w:lineRule="auto"/>
        <w:jc w:val="both"/>
      </w:pPr>
      <w:r w:rsidRPr="00110998">
        <w:rPr>
          <w:rFonts w:ascii="Book Antiqua" w:eastAsia="Book Antiqua" w:hAnsi="Book Antiqua" w:cs="Book Antiqua"/>
          <w:color w:val="000000"/>
        </w:rPr>
        <w:t xml:space="preserve">The human immune system has two basic tasks. The first is to recognize and neutralize foreign cells, both microorganisms </w:t>
      </w:r>
      <w:r w:rsidR="009A316A" w:rsidRPr="00110998">
        <w:rPr>
          <w:rFonts w:ascii="Book Antiqua" w:eastAsia="Book Antiqua" w:hAnsi="Book Antiqua" w:cs="Book Antiqua"/>
          <w:color w:val="000000"/>
        </w:rPr>
        <w:t xml:space="preserve">such as </w:t>
      </w:r>
      <w:r w:rsidRPr="00110998">
        <w:rPr>
          <w:rFonts w:ascii="Book Antiqua" w:eastAsia="Book Antiqua" w:hAnsi="Book Antiqua" w:cs="Book Antiqua"/>
          <w:color w:val="000000"/>
        </w:rPr>
        <w:t>bacteria</w:t>
      </w:r>
      <w:r w:rsidR="009A316A" w:rsidRPr="00110998">
        <w:rPr>
          <w:rFonts w:ascii="Book Antiqua" w:eastAsia="Book Antiqua" w:hAnsi="Book Antiqua" w:cs="Book Antiqua"/>
          <w:color w:val="000000"/>
        </w:rPr>
        <w:t xml:space="preserve"> and </w:t>
      </w:r>
      <w:r w:rsidRPr="00110998">
        <w:rPr>
          <w:rFonts w:ascii="Book Antiqua" w:eastAsia="Book Antiqua" w:hAnsi="Book Antiqua" w:cs="Book Antiqua"/>
          <w:color w:val="000000"/>
        </w:rPr>
        <w:t>viruses, and malignant cells. The second is to prevent excessive activation against and destruction of the body’s own cells to avoid the development of autoimmune phenomena and diseases</w:t>
      </w:r>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 xml:space="preserve">. </w:t>
      </w:r>
      <w:r w:rsidR="009A316A" w:rsidRPr="00110998">
        <w:rPr>
          <w:rFonts w:ascii="Book Antiqua" w:eastAsia="Book Antiqua" w:hAnsi="Book Antiqua" w:cs="Book Antiqua"/>
          <w:color w:val="000000"/>
        </w:rPr>
        <w:t>C</w:t>
      </w:r>
      <w:r w:rsidRPr="00110998">
        <w:rPr>
          <w:rFonts w:ascii="Book Antiqua" w:eastAsia="Book Antiqua" w:hAnsi="Book Antiqua" w:cs="Book Antiqua"/>
          <w:color w:val="000000"/>
        </w:rPr>
        <w:t>ellular infiltrate</w:t>
      </w:r>
      <w:r w:rsidR="009A316A"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of lymphoma consist of malignant cells and various </w:t>
      </w:r>
      <w:r w:rsidR="009A316A" w:rsidRPr="00110998">
        <w:rPr>
          <w:rFonts w:ascii="Book Antiqua" w:eastAsia="Book Antiqua" w:hAnsi="Book Antiqua" w:cs="Book Antiqua"/>
          <w:color w:val="000000"/>
        </w:rPr>
        <w:t xml:space="preserve">host immune system </w:t>
      </w:r>
      <w:r w:rsidRPr="00110998">
        <w:rPr>
          <w:rFonts w:ascii="Book Antiqua" w:eastAsia="Book Antiqua" w:hAnsi="Book Antiqua" w:cs="Book Antiqua"/>
          <w:color w:val="000000"/>
        </w:rPr>
        <w:t>cells that significantly affect the onset and progression of malignant disease as well as the immune response against lymphoma</w:t>
      </w:r>
      <w:r w:rsidRPr="00110998">
        <w:rPr>
          <w:rFonts w:ascii="Book Antiqua" w:eastAsia="Book Antiqua" w:hAnsi="Book Antiqua" w:cs="Book Antiqua"/>
          <w:color w:val="000000"/>
          <w:vertAlign w:val="superscript"/>
        </w:rPr>
        <w:t>[14,15]</w:t>
      </w:r>
      <w:r w:rsidRPr="00110998">
        <w:rPr>
          <w:rFonts w:ascii="Book Antiqua" w:eastAsia="Book Antiqua" w:hAnsi="Book Antiqua" w:cs="Book Antiqua"/>
          <w:color w:val="000000"/>
        </w:rPr>
        <w:t>. For example, in cHL, only 1% of tumor infiltrates are malignant Reed-Sternberg cells</w:t>
      </w:r>
      <w:r w:rsidRPr="00110998">
        <w:rPr>
          <w:rFonts w:ascii="Book Antiqua" w:eastAsia="Book Antiqua" w:hAnsi="Book Antiqua" w:cs="Book Antiqua"/>
          <w:color w:val="000000"/>
          <w:vertAlign w:val="superscript"/>
        </w:rPr>
        <w:t>[16]</w:t>
      </w:r>
      <w:r w:rsidRPr="00110998">
        <w:rPr>
          <w:rFonts w:ascii="Book Antiqua" w:eastAsia="Book Antiqua" w:hAnsi="Book Antiqua" w:cs="Book Antiqua"/>
          <w:color w:val="000000"/>
        </w:rPr>
        <w:t xml:space="preserve">. The T-cell response is triggered by two consecutive signals. The first signal is T-cell activation </w:t>
      </w:r>
      <w:r w:rsidRPr="00110998">
        <w:rPr>
          <w:rFonts w:ascii="Book Antiqua" w:eastAsia="Book Antiqua" w:hAnsi="Book Antiqua" w:cs="Book Antiqua"/>
          <w:i/>
          <w:iCs/>
          <w:color w:val="000000"/>
        </w:rPr>
        <w:t>via</w:t>
      </w:r>
      <w:r w:rsidRPr="00110998">
        <w:rPr>
          <w:rFonts w:ascii="Book Antiqua" w:eastAsia="Book Antiqua" w:hAnsi="Book Antiqua" w:cs="Book Antiqua"/>
          <w:color w:val="000000"/>
        </w:rPr>
        <w:t xml:space="preserve"> the T-cell receptor (TCR). This process occurs by the TCR binding to lymphoma cells and to the major histocompatibility complex (MHC) receptor,</w:t>
      </w:r>
      <w:r w:rsidR="001D7F36"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which is most commonly expressed on antigen-presenting cells (APCs). Another important signal is the binding of B7-1 and B7-2 receptors to APCs</w:t>
      </w:r>
      <w:r w:rsidR="009F297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the CD28 receptor on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When th</w:t>
      </w:r>
      <w:r w:rsidR="009A316A" w:rsidRPr="00110998">
        <w:rPr>
          <w:rFonts w:ascii="Book Antiqua" w:eastAsia="Book Antiqua" w:hAnsi="Book Antiqua" w:cs="Book Antiqua"/>
          <w:color w:val="000000"/>
        </w:rPr>
        <w:t>o</w:t>
      </w:r>
      <w:r w:rsidRPr="00110998">
        <w:rPr>
          <w:rFonts w:ascii="Book Antiqua" w:eastAsia="Book Antiqua" w:hAnsi="Book Antiqua" w:cs="Book Antiqua"/>
          <w:color w:val="000000"/>
        </w:rPr>
        <w:t>se two steps are accomplished,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are activated, differentiated, and expanded</w:t>
      </w:r>
      <w:r w:rsidRPr="00110998">
        <w:rPr>
          <w:rFonts w:ascii="Book Antiqua" w:eastAsia="Book Antiqua" w:hAnsi="Book Antiqua" w:cs="Book Antiqua"/>
          <w:color w:val="000000"/>
          <w:vertAlign w:val="superscript"/>
        </w:rPr>
        <w:t>[13,17]</w:t>
      </w:r>
      <w:r w:rsidRPr="00110998">
        <w:rPr>
          <w:rFonts w:ascii="Book Antiqua" w:eastAsia="Book Antiqua" w:hAnsi="Book Antiqua" w:cs="Book Antiqua"/>
          <w:color w:val="000000"/>
        </w:rPr>
        <w:t>. However, there are several mechanisms by which lymphoma cells avoid effector T-cell recognition and destruction.</w:t>
      </w:r>
    </w:p>
    <w:p w14:paraId="5AB48E3B" w14:textId="1ADCB1B6"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One way to avoid the response is to lose the expression of MHC class I and II molecules. Loss of class I MHC molecules occurs in approximately 75% of patients with aggressive lymphomas, while loss of class II MHC molecules is noted in approximately 30%</w:t>
      </w:r>
      <w:r w:rsidRPr="00110998">
        <w:rPr>
          <w:rFonts w:ascii="Book Antiqua" w:eastAsia="Book Antiqua" w:hAnsi="Book Antiqua" w:cs="Book Antiqua"/>
          <w:color w:val="000000"/>
          <w:vertAlign w:val="superscript"/>
        </w:rPr>
        <w:t>[18]</w:t>
      </w:r>
      <w:r w:rsidRPr="00110998">
        <w:rPr>
          <w:rFonts w:ascii="Book Antiqua" w:eastAsia="Book Antiqua" w:hAnsi="Book Antiqua" w:cs="Book Antiqua"/>
          <w:color w:val="000000"/>
        </w:rPr>
        <w:t>. Decreased class I MHC expression is associated with</w:t>
      </w:r>
      <w:r w:rsidR="009A316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shorter progression-free survival (PFS) in patients with cHL</w:t>
      </w:r>
      <w:r w:rsidRPr="00110998">
        <w:rPr>
          <w:rFonts w:ascii="Book Antiqua" w:eastAsia="Book Antiqua" w:hAnsi="Book Antiqua" w:cs="Book Antiqua"/>
          <w:color w:val="000000"/>
          <w:vertAlign w:val="superscript"/>
        </w:rPr>
        <w:t>[19]</w:t>
      </w:r>
      <w:r w:rsidRPr="00110998">
        <w:rPr>
          <w:rFonts w:ascii="Book Antiqua" w:eastAsia="Book Antiqua" w:hAnsi="Book Antiqua" w:cs="Book Antiqua"/>
          <w:color w:val="000000"/>
        </w:rPr>
        <w:t>. Additionally, loss of class II MHC expression in immune-privileged sites in primary mediastinal lymphoma (PMLCL) and DLBCL leads to a lower objective response rate (ORR) and lower PFS</w:t>
      </w:r>
      <w:r w:rsidRPr="00110998">
        <w:rPr>
          <w:rFonts w:ascii="Book Antiqua" w:eastAsia="Book Antiqua" w:hAnsi="Book Antiqua" w:cs="Book Antiqua"/>
          <w:color w:val="000000"/>
          <w:vertAlign w:val="superscript"/>
        </w:rPr>
        <w:t>[20,21]</w:t>
      </w:r>
      <w:r w:rsidRPr="00110998">
        <w:rPr>
          <w:rFonts w:ascii="Book Antiqua" w:eastAsia="Book Antiqua" w:hAnsi="Book Antiqua" w:cs="Book Antiqua"/>
          <w:color w:val="000000"/>
        </w:rPr>
        <w:t>.</w:t>
      </w:r>
    </w:p>
    <w:p w14:paraId="5BC14506" w14:textId="4515673F"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lastRenderedPageBreak/>
        <w:t xml:space="preserve">Another barrier to the immune response is the expression of immunosuppressive proteins, which are so-called checkpoints, on </w:t>
      </w:r>
      <w:r w:rsidR="009A316A" w:rsidRPr="00110998">
        <w:rPr>
          <w:rFonts w:ascii="Book Antiqua" w:eastAsia="Book Antiqua" w:hAnsi="Book Antiqua" w:cs="Book Antiqua"/>
          <w:color w:val="000000"/>
        </w:rPr>
        <w:t xml:space="preserve">both </w:t>
      </w:r>
      <w:r w:rsidRPr="00110998">
        <w:rPr>
          <w:rFonts w:ascii="Book Antiqua" w:eastAsia="Book Antiqua" w:hAnsi="Book Antiqua" w:cs="Book Antiqua"/>
          <w:color w:val="000000"/>
        </w:rPr>
        <w:t>tumor cells and other immune cells within the tumor infiltrate. The physiological role of these receptors is to inhibit the autoimmune effects of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The roles of programmed cell death receptor-1 (PD-1) and its ligands programmed cell death ligand 1 and 2 (PD-L1 and PD-L2)</w:t>
      </w:r>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 xml:space="preserve"> have been most extensively studied.</w:t>
      </w:r>
      <w:r w:rsidR="003825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in the lymphoma infiltrate frequently express PD-1. The binding of PD-1 to PD-L1/2 receptors on both tumor cells and other cells of the immune system leads to T-cell exhaustion and apoptosis</w:t>
      </w:r>
      <w:r w:rsidRPr="00110998">
        <w:rPr>
          <w:rFonts w:ascii="Book Antiqua" w:eastAsia="Book Antiqua" w:hAnsi="Book Antiqua" w:cs="Book Antiqua"/>
          <w:color w:val="000000"/>
          <w:vertAlign w:val="superscript"/>
        </w:rPr>
        <w:t>[13,22]</w:t>
      </w:r>
      <w:r w:rsidRPr="00110998">
        <w:rPr>
          <w:rFonts w:ascii="Book Antiqua" w:eastAsia="Book Antiqua" w:hAnsi="Book Antiqua" w:cs="Book Antiqua"/>
          <w:color w:val="000000"/>
        </w:rPr>
        <w:t xml:space="preserve">. In addition to receptors </w:t>
      </w:r>
      <w:r w:rsidR="009A316A" w:rsidRPr="00110998">
        <w:rPr>
          <w:rFonts w:ascii="Book Antiqua" w:eastAsia="Book Antiqua" w:hAnsi="Book Antiqua" w:cs="Book Antiqua"/>
          <w:color w:val="000000"/>
        </w:rPr>
        <w:t xml:space="preserve">of </w:t>
      </w:r>
      <w:r w:rsidRPr="00110998">
        <w:rPr>
          <w:rFonts w:ascii="Book Antiqua" w:eastAsia="Book Antiqua" w:hAnsi="Book Antiqua" w:cs="Book Antiqua"/>
          <w:color w:val="000000"/>
        </w:rPr>
        <w:t xml:space="preserve">the PD-1 family, other less </w:t>
      </w:r>
      <w:r w:rsidR="009A316A" w:rsidRPr="00110998">
        <w:rPr>
          <w:rFonts w:ascii="Book Antiqua" w:eastAsia="Book Antiqua" w:hAnsi="Book Antiqua" w:cs="Book Antiqua"/>
          <w:color w:val="000000"/>
        </w:rPr>
        <w:t xml:space="preserve">investigated </w:t>
      </w:r>
      <w:r w:rsidRPr="00110998">
        <w:rPr>
          <w:rFonts w:ascii="Book Antiqua" w:eastAsia="Book Antiqua" w:hAnsi="Book Antiqua" w:cs="Book Antiqua"/>
          <w:color w:val="000000"/>
        </w:rPr>
        <w:t>checkpoints, such as TIGIT (T</w:t>
      </w:r>
      <w:r w:rsidR="00A75FA0">
        <w:rPr>
          <w:rFonts w:ascii="Book Antiqua" w:eastAsia="Book Antiqua" w:hAnsi="Book Antiqua" w:cs="Book Antiqua"/>
          <w:color w:val="000000"/>
        </w:rPr>
        <w:t>-</w:t>
      </w:r>
      <w:r w:rsidRPr="00110998">
        <w:rPr>
          <w:rFonts w:ascii="Book Antiqua" w:eastAsia="Book Antiqua" w:hAnsi="Book Antiqua" w:cs="Book Antiqua"/>
          <w:color w:val="000000"/>
        </w:rPr>
        <w:t>cell immunoreceptor with Ig and ITIM domains), LAG-3 (lymphocyte-activation gene 3), and TIM-3 (T-cell immunoglobulin-3)</w:t>
      </w:r>
      <w:r w:rsidRPr="00110998">
        <w:rPr>
          <w:rFonts w:ascii="Book Antiqua" w:eastAsia="Book Antiqua" w:hAnsi="Book Antiqua" w:cs="Book Antiqua"/>
          <w:color w:val="000000"/>
          <w:vertAlign w:val="superscript"/>
        </w:rPr>
        <w:t>[23]</w:t>
      </w:r>
      <w:r w:rsidRPr="00110998">
        <w:rPr>
          <w:rFonts w:ascii="Book Antiqua" w:eastAsia="Book Antiqua" w:hAnsi="Book Antiqua" w:cs="Book Antiqua"/>
          <w:color w:val="000000"/>
        </w:rPr>
        <w:t xml:space="preserve">, </w:t>
      </w:r>
      <w:r w:rsidR="009A316A" w:rsidRPr="00110998">
        <w:rPr>
          <w:rFonts w:ascii="Book Antiqua" w:eastAsia="Book Antiqua" w:hAnsi="Book Antiqua" w:cs="Book Antiqua"/>
          <w:color w:val="000000"/>
        </w:rPr>
        <w:t xml:space="preserve">can </w:t>
      </w:r>
      <w:r w:rsidRPr="00110998">
        <w:rPr>
          <w:rFonts w:ascii="Book Antiqua" w:eastAsia="Book Antiqua" w:hAnsi="Book Antiqua" w:cs="Book Antiqua"/>
          <w:color w:val="000000"/>
        </w:rPr>
        <w:t>modify the immune response and increase the complexity of the inhibition signaling network.</w:t>
      </w:r>
    </w:p>
    <w:p w14:paraId="2081DDFC" w14:textId="39F0D64F"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The third way the T-cell response is inhibited in lymphoma is the secretion of inhibitory cytokines by </w:t>
      </w:r>
      <w:r w:rsidR="009A316A" w:rsidRPr="00110998">
        <w:rPr>
          <w:rFonts w:ascii="Book Antiqua" w:eastAsia="Book Antiqua" w:hAnsi="Book Antiqua" w:cs="Book Antiqua"/>
          <w:color w:val="000000"/>
        </w:rPr>
        <w:t xml:space="preserve">both </w:t>
      </w:r>
      <w:r w:rsidRPr="00110998">
        <w:rPr>
          <w:rFonts w:ascii="Book Antiqua" w:eastAsia="Book Antiqua" w:hAnsi="Book Antiqua" w:cs="Book Antiqua"/>
          <w:color w:val="000000"/>
        </w:rPr>
        <w:t>malignant and immune cells</w:t>
      </w:r>
      <w:r w:rsidRPr="00110998">
        <w:rPr>
          <w:rFonts w:ascii="Book Antiqua" w:eastAsia="Book Antiqua" w:hAnsi="Book Antiqua" w:cs="Book Antiqua"/>
          <w:color w:val="000000"/>
          <w:vertAlign w:val="superscript"/>
        </w:rPr>
        <w:t>[24-26]</w:t>
      </w:r>
      <w:r w:rsidRPr="00110998">
        <w:rPr>
          <w:rFonts w:ascii="Book Antiqua" w:eastAsia="Book Antiqua" w:hAnsi="Book Antiqua" w:cs="Book Antiqua"/>
          <w:color w:val="000000"/>
        </w:rPr>
        <w:t>. Interleukin-10 (IL-10) levels are often elevated in patients with lymphoma and can potentially result in the expansion of myeloid-derived</w:t>
      </w:r>
      <w:r w:rsidR="00540CA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suppressive</w:t>
      </w:r>
      <w:r w:rsidR="00540CA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(MDSCs) that negatively affect the immune response</w:t>
      </w:r>
      <w:r w:rsidRPr="00110998">
        <w:rPr>
          <w:rFonts w:ascii="Book Antiqua" w:eastAsia="Book Antiqua" w:hAnsi="Book Antiqua" w:cs="Book Antiqua"/>
          <w:color w:val="000000"/>
          <w:vertAlign w:val="superscript"/>
        </w:rPr>
        <w:t>[24]</w:t>
      </w:r>
      <w:r w:rsidRPr="00110998">
        <w:rPr>
          <w:rFonts w:ascii="Book Antiqua" w:eastAsia="Book Antiqua" w:hAnsi="Book Antiqua" w:cs="Book Antiqua"/>
          <w:color w:val="000000"/>
        </w:rPr>
        <w:t>. IL-12, which initially stimulates the T-cell response but remains present, inhibits the T-cell response and reduces T-cell function</w:t>
      </w:r>
      <w:r w:rsidRPr="00110998">
        <w:rPr>
          <w:rFonts w:ascii="Book Antiqua" w:eastAsia="Book Antiqua" w:hAnsi="Book Antiqua" w:cs="Book Antiqua"/>
          <w:color w:val="000000"/>
          <w:vertAlign w:val="superscript"/>
        </w:rPr>
        <w:t>[25]</w:t>
      </w:r>
      <w:r w:rsidRPr="00110998">
        <w:rPr>
          <w:rFonts w:ascii="Book Antiqua" w:eastAsia="Book Antiqua" w:hAnsi="Book Antiqua" w:cs="Book Antiqua"/>
          <w:color w:val="000000"/>
        </w:rPr>
        <w:t>. Transforming growth factor β (TGFβ) activates a dysfunctional population of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which also depletes the immune response</w:t>
      </w:r>
      <w:r w:rsidRPr="00110998">
        <w:rPr>
          <w:rFonts w:ascii="Book Antiqua" w:eastAsia="Book Antiqua" w:hAnsi="Book Antiqua" w:cs="Book Antiqua"/>
          <w:color w:val="000000"/>
          <w:vertAlign w:val="superscript"/>
        </w:rPr>
        <w:t>[26]</w:t>
      </w:r>
      <w:r w:rsidRPr="00110998">
        <w:rPr>
          <w:rFonts w:ascii="Book Antiqua" w:eastAsia="Book Antiqua" w:hAnsi="Book Antiqua" w:cs="Book Antiqua"/>
          <w:color w:val="000000"/>
        </w:rPr>
        <w:t>.</w:t>
      </w:r>
    </w:p>
    <w:p w14:paraId="312DC81E" w14:textId="1EBB54B9"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Finally, the fourth mode of inhibition, which is closely related to cytokine stimulation and the immune signaling network, is the increased presence of suppressive and regulatory cells in the tumor infiltrate. MDSCs significantly inhibit T-cell proliferation and activation. Thus, the presence of a large number of these cells results in a reduced immune response against malignant cells</w:t>
      </w:r>
      <w:r w:rsidRPr="00110998">
        <w:rPr>
          <w:rFonts w:ascii="Book Antiqua" w:eastAsia="Book Antiqua" w:hAnsi="Book Antiqua" w:cs="Book Antiqua"/>
          <w:color w:val="000000"/>
          <w:vertAlign w:val="superscript"/>
        </w:rPr>
        <w:t>[27]</w:t>
      </w:r>
      <w:r w:rsidRPr="00110998">
        <w:rPr>
          <w:rFonts w:ascii="Book Antiqua" w:eastAsia="Book Antiqua" w:hAnsi="Book Antiqua" w:cs="Book Antiqua"/>
          <w:color w:val="000000"/>
        </w:rPr>
        <w:t>. In addition, macrophages and monocytes often express PD-L1 and PD-L2</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thus suppress the immune response by binding to the PD-1 receptor of T</w:t>
      </w:r>
      <w:r w:rsidR="00A75FA0">
        <w:rPr>
          <w:rFonts w:ascii="Book Antiqua" w:eastAsia="Book Antiqua" w:hAnsi="Book Antiqua" w:cs="Book Antiqua"/>
          <w:color w:val="000000"/>
        </w:rPr>
        <w:t xml:space="preserve"> cells</w:t>
      </w:r>
      <w:r w:rsidRPr="00110998">
        <w:rPr>
          <w:rFonts w:ascii="Book Antiqua" w:eastAsia="Book Antiqua" w:hAnsi="Book Antiqua" w:cs="Book Antiqua"/>
          <w:color w:val="000000"/>
          <w:vertAlign w:val="superscript"/>
        </w:rPr>
        <w:t>[28]</w:t>
      </w:r>
      <w:r w:rsidRPr="00110998">
        <w:rPr>
          <w:rFonts w:ascii="Book Antiqua" w:eastAsia="Book Antiqua" w:hAnsi="Book Antiqua" w:cs="Book Antiqua"/>
          <w:color w:val="000000"/>
        </w:rPr>
        <w:t>. In addition to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Fox3+ and CD25+ regulatory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are often found in the tumor infiltrate. Regulatory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play a role in controlling the immune response and are often </w:t>
      </w:r>
      <w:r w:rsidRPr="00110998">
        <w:rPr>
          <w:rFonts w:ascii="Book Antiqua" w:eastAsia="Book Antiqua" w:hAnsi="Book Antiqua" w:cs="Book Antiqua"/>
          <w:color w:val="000000"/>
        </w:rPr>
        <w:lastRenderedPageBreak/>
        <w:t>responsible for the inadequate or suppressed immune response against malignant cells</w:t>
      </w:r>
      <w:r w:rsidRPr="00110998">
        <w:rPr>
          <w:rFonts w:ascii="Book Antiqua" w:eastAsia="Book Antiqua" w:hAnsi="Book Antiqua" w:cs="Book Antiqua"/>
          <w:color w:val="000000"/>
          <w:vertAlign w:val="superscript"/>
        </w:rPr>
        <w:t>[29]</w:t>
      </w:r>
      <w:r w:rsidRPr="00110998">
        <w:rPr>
          <w:rFonts w:ascii="Book Antiqua" w:eastAsia="Book Antiqua" w:hAnsi="Book Antiqua" w:cs="Book Antiqua"/>
          <w:color w:val="000000"/>
        </w:rPr>
        <w:t xml:space="preserve">. Lymphoma B-cells alone can induce Fox3 expression in CD4+ lymphocytes, </w:t>
      </w:r>
      <w:r w:rsidR="006E5B4C" w:rsidRPr="00110998">
        <w:rPr>
          <w:rFonts w:ascii="Book Antiqua" w:eastAsia="Book Antiqua" w:hAnsi="Book Antiqua" w:cs="Book Antiqua"/>
          <w:color w:val="000000"/>
        </w:rPr>
        <w:t xml:space="preserve">and can </w:t>
      </w:r>
      <w:r w:rsidRPr="00110998">
        <w:rPr>
          <w:rFonts w:ascii="Book Antiqua" w:eastAsia="Book Antiqua" w:hAnsi="Book Antiqua" w:cs="Book Antiqua"/>
          <w:color w:val="000000"/>
        </w:rPr>
        <w:t>thus promote the differentiation of suppressive T-cell clones</w:t>
      </w:r>
      <w:r w:rsidRPr="00110998">
        <w:rPr>
          <w:rFonts w:ascii="Book Antiqua" w:eastAsia="Book Antiqua" w:hAnsi="Book Antiqua" w:cs="Book Antiqua"/>
          <w:color w:val="000000"/>
          <w:vertAlign w:val="superscript"/>
        </w:rPr>
        <w:t>[30]</w:t>
      </w:r>
      <w:r w:rsidRPr="00110998">
        <w:rPr>
          <w:rFonts w:ascii="Book Antiqua" w:eastAsia="Book Antiqua" w:hAnsi="Book Antiqua" w:cs="Book Antiqua"/>
          <w:color w:val="000000"/>
        </w:rPr>
        <w:t>.</w:t>
      </w:r>
    </w:p>
    <w:p w14:paraId="4462E9E2" w14:textId="77777777" w:rsidR="008E7812" w:rsidRPr="00110998" w:rsidRDefault="008E7812">
      <w:pPr>
        <w:snapToGrid w:val="0"/>
        <w:spacing w:line="360" w:lineRule="auto"/>
        <w:jc w:val="both"/>
      </w:pPr>
    </w:p>
    <w:p w14:paraId="21B36BC7"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STRATEGIES FOR OVERCOMING INHIBITION OF THE IMMUNE RESPONSE IN LYMPHOMA</w:t>
      </w:r>
    </w:p>
    <w:p w14:paraId="7B3A819D" w14:textId="05DF4E2A" w:rsidR="008E7812" w:rsidRPr="00110998" w:rsidRDefault="008E2E22">
      <w:pPr>
        <w:snapToGrid w:val="0"/>
        <w:spacing w:line="360" w:lineRule="auto"/>
        <w:jc w:val="both"/>
      </w:pPr>
      <w:r w:rsidRPr="00110998">
        <w:rPr>
          <w:rFonts w:ascii="Book Antiqua" w:eastAsia="Book Antiqua" w:hAnsi="Book Antiqua" w:cs="Book Antiqua"/>
          <w:color w:val="000000"/>
        </w:rPr>
        <w:t>There are several strategies for overcoming the mechanisms of immune response inhibition. The best known and most commonly used method, first</w:t>
      </w:r>
      <w:r w:rsidR="006758D7"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used </w:t>
      </w:r>
      <w:r w:rsidR="006E5B4C" w:rsidRPr="00110998">
        <w:rPr>
          <w:rFonts w:ascii="Book Antiqua" w:eastAsia="Book Antiqua" w:hAnsi="Book Antiqua" w:cs="Book Antiqua"/>
          <w:color w:val="000000"/>
        </w:rPr>
        <w:t>to treat</w:t>
      </w:r>
      <w:r w:rsidRPr="00110998">
        <w:rPr>
          <w:rFonts w:ascii="Book Antiqua" w:eastAsia="Book Antiqua" w:hAnsi="Book Antiqua" w:cs="Book Antiqua"/>
          <w:color w:val="000000"/>
        </w:rPr>
        <w:t xml:space="preserve"> various solid tumors and then in lymphomas, is the inhibition of PD-1 and PD-L1 binding with immune checkpoint inhibitor drugs. Blocking this checkpoint reduces the exhaustion of effector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and restores the ability of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to recognize and exterminate malignant cells</w:t>
      </w:r>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w:t>
      </w:r>
    </w:p>
    <w:p w14:paraId="0E8B5973" w14:textId="2662DFC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Another strategy is the destruction of a malignant clone with an approach that is independent of APC presentation and does not rely on the MHC complex. Chimeric antigen receptor (CAR</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T cells are produced by the </w:t>
      </w:r>
      <w:r w:rsidRPr="00110998">
        <w:rPr>
          <w:rFonts w:ascii="Book Antiqua" w:eastAsia="Book Antiqua" w:hAnsi="Book Antiqua" w:cs="Book Antiqua"/>
          <w:i/>
          <w:iCs/>
          <w:color w:val="000000"/>
        </w:rPr>
        <w:t>in vitro</w:t>
      </w:r>
      <w:r w:rsidRPr="00110998">
        <w:rPr>
          <w:rFonts w:ascii="Book Antiqua" w:eastAsia="Book Antiqua" w:hAnsi="Book Antiqua" w:cs="Book Antiqua"/>
          <w:color w:val="000000"/>
        </w:rPr>
        <w:t xml:space="preserve"> engineering of a patient's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to render them capable of recognizing a specific antigen, such as malignant CD19-positive clones. CAR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act independently of MHC complexes and thus overcome resistance dependent on T-cell signaling pathways</w:t>
      </w:r>
      <w:r w:rsidRPr="00110998">
        <w:rPr>
          <w:rFonts w:ascii="Book Antiqua" w:eastAsia="Book Antiqua" w:hAnsi="Book Antiqua" w:cs="Book Antiqua"/>
          <w:color w:val="000000"/>
          <w:vertAlign w:val="superscript"/>
        </w:rPr>
        <w:t>[31]</w:t>
      </w:r>
      <w:r w:rsidRPr="00110998">
        <w:rPr>
          <w:rFonts w:ascii="Book Antiqua" w:eastAsia="Book Antiqua" w:hAnsi="Book Antiqua" w:cs="Book Antiqua"/>
          <w:color w:val="000000"/>
        </w:rPr>
        <w:t>.</w:t>
      </w:r>
    </w:p>
    <w:p w14:paraId="1D319963" w14:textId="1486E253"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third method is the direct engagement of CD3/CD16 effector immune cells with bispecific antibodies. One end of these antibodies binds to the CD19 receptor on B-lymphoma cells,</w:t>
      </w:r>
      <w:r w:rsidR="0068662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the other end binds to the CD3 receptor on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or the CD16 receptor on natural killer cells, thus causing a direct stimulation of the immune system and destruction of the malignant clone</w:t>
      </w:r>
      <w:r w:rsidRPr="00110998">
        <w:rPr>
          <w:rFonts w:ascii="Book Antiqua" w:eastAsia="Book Antiqua" w:hAnsi="Book Antiqua" w:cs="Book Antiqua"/>
          <w:color w:val="000000"/>
          <w:vertAlign w:val="superscript"/>
        </w:rPr>
        <w:t>[32,33]</w:t>
      </w:r>
      <w:r w:rsidRPr="00110998">
        <w:rPr>
          <w:rFonts w:ascii="Book Antiqua" w:eastAsia="Book Antiqua" w:hAnsi="Book Antiqua" w:cs="Book Antiqua"/>
          <w:color w:val="000000"/>
        </w:rPr>
        <w: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Direct inhibition of MDSCs is being investigated for </w:t>
      </w:r>
      <w:r w:rsidR="006E5B4C" w:rsidRPr="00110998">
        <w:rPr>
          <w:rFonts w:ascii="Book Antiqua" w:eastAsia="Book Antiqua" w:hAnsi="Book Antiqua" w:cs="Book Antiqua"/>
          <w:color w:val="000000"/>
        </w:rPr>
        <w:t xml:space="preserve">the treatment of </w:t>
      </w:r>
      <w:r w:rsidRPr="00110998">
        <w:rPr>
          <w:rFonts w:ascii="Book Antiqua" w:eastAsia="Book Antiqua" w:hAnsi="Book Antiqua" w:cs="Book Antiqua"/>
          <w:color w:val="000000"/>
        </w:rPr>
        <w:t>solid tumors and</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might also be a way to enhance the immune response in lymphomas</w:t>
      </w:r>
      <w:r w:rsidRPr="00110998">
        <w:rPr>
          <w:rFonts w:ascii="Book Antiqua" w:eastAsia="Book Antiqua" w:hAnsi="Book Antiqua" w:cs="Book Antiqua"/>
          <w:color w:val="000000"/>
          <w:vertAlign w:val="superscript"/>
        </w:rPr>
        <w:t>[34]</w:t>
      </w:r>
      <w:r w:rsidRPr="00110998">
        <w:rPr>
          <w:rFonts w:ascii="Book Antiqua" w:eastAsia="Book Antiqua" w:hAnsi="Book Antiqua" w:cs="Book Antiqua"/>
          <w:color w:val="000000"/>
        </w:rPr>
        <w:t>.</w:t>
      </w:r>
    </w:p>
    <w:p w14:paraId="12D6257D" w14:textId="77777777" w:rsidR="008E7812" w:rsidRPr="00110998" w:rsidRDefault="008E7812">
      <w:pPr>
        <w:snapToGrid w:val="0"/>
        <w:spacing w:line="360" w:lineRule="auto"/>
        <w:jc w:val="both"/>
      </w:pPr>
    </w:p>
    <w:p w14:paraId="3C68DA91"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MONOCLONAL ANTIBODIES</w:t>
      </w:r>
    </w:p>
    <w:p w14:paraId="1D95C252" w14:textId="17AEFB78" w:rsidR="008E7812" w:rsidRPr="00110998" w:rsidRDefault="008E2E22">
      <w:pPr>
        <w:snapToGrid w:val="0"/>
        <w:spacing w:line="360" w:lineRule="auto"/>
        <w:jc w:val="both"/>
      </w:pPr>
      <w:r w:rsidRPr="00110998">
        <w:rPr>
          <w:rFonts w:ascii="Book Antiqua" w:eastAsia="Book Antiqua" w:hAnsi="Book Antiqua" w:cs="Book Antiqua"/>
          <w:color w:val="000000"/>
        </w:rPr>
        <w:t>The anti-CD20 antibody rituximab was the first therapeutic antibody approved in oncology in the late 20</w:t>
      </w:r>
      <w:r w:rsidRPr="00110998">
        <w:rPr>
          <w:rFonts w:ascii="Book Antiqua" w:eastAsia="Book Antiqua" w:hAnsi="Book Antiqua" w:cs="Book Antiqua"/>
          <w:color w:val="000000"/>
          <w:vertAlign w:val="superscript"/>
        </w:rPr>
        <w:t>th</w:t>
      </w:r>
      <w:r w:rsidRPr="00110998">
        <w:rPr>
          <w:rFonts w:ascii="Book Antiqua" w:eastAsia="Book Antiqua" w:hAnsi="Book Antiqua" w:cs="Book Antiqua"/>
          <w:color w:val="000000"/>
        </w:rPr>
        <w:t xml:space="preserve"> century. This drug changed the landscape and prognosis of </w:t>
      </w:r>
      <w:r w:rsidRPr="00110998">
        <w:rPr>
          <w:rFonts w:ascii="Book Antiqua" w:eastAsia="Book Antiqua" w:hAnsi="Book Antiqua" w:cs="Book Antiqua"/>
          <w:color w:val="000000"/>
        </w:rPr>
        <w:lastRenderedPageBreak/>
        <w:t>almost all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xml:space="preserve"> lymphoproliferative diseases and became the gold standard of treatment</w:t>
      </w:r>
      <w:r w:rsidRPr="00110998">
        <w:rPr>
          <w:rFonts w:ascii="Book Antiqua" w:eastAsia="Book Antiqua" w:hAnsi="Book Antiqua" w:cs="Book Antiqua"/>
          <w:color w:val="000000"/>
          <w:vertAlign w:val="superscript"/>
        </w:rPr>
        <w:t>[35-38]</w:t>
      </w:r>
      <w:r w:rsidRPr="00110998">
        <w:rPr>
          <w:rFonts w:ascii="Book Antiqua" w:eastAsia="Book Antiqua" w:hAnsi="Book Antiqua" w:cs="Book Antiqua"/>
          <w:color w:val="000000"/>
        </w:rPr>
        <w:t xml:space="preserve">. Attempts to improve the efficacy of CD20 antibodies have been intensively </w:t>
      </w:r>
      <w:r w:rsidR="006E5B4C" w:rsidRPr="00110998">
        <w:rPr>
          <w:rFonts w:ascii="Book Antiqua" w:eastAsia="Book Antiqua" w:hAnsi="Book Antiqua" w:cs="Book Antiqua"/>
          <w:color w:val="000000"/>
        </w:rPr>
        <w:t xml:space="preserve">investigated </w:t>
      </w:r>
      <w:r w:rsidRPr="00110998">
        <w:rPr>
          <w:rFonts w:ascii="Book Antiqua" w:eastAsia="Book Antiqua" w:hAnsi="Book Antiqua" w:cs="Book Antiqua"/>
          <w:color w:val="000000"/>
        </w:rPr>
        <w:t>with two new genetically engineered drugs</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atumumab and obinutuzumab (Table 1). Ofatumumab is a humanized type I monoclonal antibody tested in a variety of B-cell lymphomas but to date has only been approved </w:t>
      </w:r>
      <w:r w:rsidR="00F3572F" w:rsidRPr="00110998">
        <w:rPr>
          <w:rFonts w:ascii="Book Antiqua" w:eastAsia="Book Antiqua" w:hAnsi="Book Antiqua" w:cs="Book Antiqua"/>
          <w:color w:val="000000"/>
        </w:rPr>
        <w:t xml:space="preserve">for </w:t>
      </w:r>
      <w:r w:rsidRPr="00110998">
        <w:rPr>
          <w:rFonts w:ascii="Book Antiqua" w:eastAsia="Book Antiqua" w:hAnsi="Book Antiqua" w:cs="Book Antiqua"/>
          <w:color w:val="000000"/>
        </w:rPr>
        <w:t>the treatment of R/R chronic lymphocytic leukemia</w:t>
      </w:r>
      <w:r w:rsidRPr="00110998">
        <w:rPr>
          <w:rFonts w:ascii="Book Antiqua" w:eastAsia="Book Antiqua" w:hAnsi="Book Antiqua" w:cs="Book Antiqua"/>
          <w:color w:val="000000"/>
          <w:vertAlign w:val="superscript"/>
        </w:rPr>
        <w:t>[39]</w:t>
      </w:r>
      <w:r w:rsidRPr="00110998">
        <w:rPr>
          <w:rFonts w:ascii="Book Antiqua" w:eastAsia="Book Antiqua" w:hAnsi="Book Antiqua" w:cs="Book Antiqua"/>
          <w:color w:val="000000"/>
        </w:rPr>
        <w:t xml:space="preserve">. The type II antibody obinutuzumab </w:t>
      </w:r>
      <w:r w:rsidR="00F3572F" w:rsidRPr="00110998">
        <w:rPr>
          <w:rFonts w:ascii="Book Antiqua" w:eastAsia="Book Antiqua" w:hAnsi="Book Antiqua" w:cs="Book Antiqua"/>
          <w:color w:val="000000"/>
        </w:rPr>
        <w:t xml:space="preserve">has had greater </w:t>
      </w:r>
      <w:r w:rsidRPr="00110998">
        <w:rPr>
          <w:rFonts w:ascii="Book Antiqua" w:eastAsia="Book Antiqua" w:hAnsi="Book Antiqua" w:cs="Book Antiqua"/>
          <w:color w:val="000000"/>
        </w:rPr>
        <w:t>success. The key difference between rituximab and obinutuzumab is the higher affinity of obinutuzumab for FcγRIII receptors on effector immune cells and the decreased FcγRIIb-mediated internalization of the CD20 receptor into lipid rafts, thus increasing antibody-dependent cellular cytotoxicity (ADCC)</w:t>
      </w:r>
      <w:r w:rsidRPr="00110998">
        <w:rPr>
          <w:rFonts w:ascii="Book Antiqua" w:eastAsia="Book Antiqua" w:hAnsi="Book Antiqua" w:cs="Book Antiqua"/>
          <w:color w:val="000000"/>
          <w:vertAlign w:val="superscript"/>
        </w:rPr>
        <w:t>[40,41]</w:t>
      </w:r>
      <w:r w:rsidRPr="00110998">
        <w:rPr>
          <w:rFonts w:ascii="Book Antiqua" w:eastAsia="Book Antiqua" w:hAnsi="Book Antiqua" w:cs="Book Antiqua"/>
          <w:color w:val="000000"/>
        </w:rPr>
        <w:t xml:space="preserve">. The CLL11 study demonstrated longer PFS when obinutuzumab was combined with chlorambucil (O-Clb)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rituximab-chlorambucil (R-Clb). At that time, no difference in overall survival (OS) was shown</w:t>
      </w:r>
      <w:r w:rsidRPr="00110998">
        <w:rPr>
          <w:rFonts w:ascii="Book Antiqua" w:eastAsia="Book Antiqua" w:hAnsi="Book Antiqua" w:cs="Book Antiqua"/>
          <w:color w:val="000000"/>
          <w:vertAlign w:val="superscript"/>
        </w:rPr>
        <w:t>[42]</w:t>
      </w:r>
      <w:r w:rsidRPr="00110998">
        <w:rPr>
          <w:rFonts w:ascii="Book Antiqua" w:eastAsia="Book Antiqua" w:hAnsi="Book Antiqua" w:cs="Book Antiqua"/>
          <w:color w:val="000000"/>
        </w:rPr>
        <w:t xml:space="preserve">. </w:t>
      </w:r>
      <w:r w:rsidR="00F3572F" w:rsidRPr="00110998">
        <w:rPr>
          <w:rFonts w:ascii="Book Antiqua" w:eastAsia="Book Antiqua" w:hAnsi="Book Antiqua" w:cs="Book Antiqua"/>
          <w:color w:val="000000"/>
        </w:rPr>
        <w:t xml:space="preserve">n an updated analysis with a longer follow-up, </w:t>
      </w:r>
      <w:r w:rsidRPr="00110998">
        <w:rPr>
          <w:rFonts w:ascii="Book Antiqua" w:eastAsia="Book Antiqua" w:hAnsi="Book Antiqua" w:cs="Book Antiqua"/>
          <w:color w:val="000000"/>
        </w:rPr>
        <w:t xml:space="preserve">O-Clb extended OS relative to R-Clb </w:t>
      </w:r>
      <w:r w:rsidR="00F3572F" w:rsidRPr="00110998">
        <w:rPr>
          <w:rFonts w:ascii="Book Antiqua" w:eastAsia="Book Antiqua" w:hAnsi="Book Antiqua" w:cs="Book Antiqua"/>
          <w:color w:val="000000"/>
        </w:rPr>
        <w:t>with no new safety issues</w:t>
      </w:r>
      <w:r w:rsidRPr="00110998">
        <w:rPr>
          <w:rFonts w:ascii="Book Antiqua" w:eastAsia="Book Antiqua" w:hAnsi="Book Antiqua" w:cs="Book Antiqua"/>
          <w:color w:val="000000"/>
          <w:vertAlign w:val="superscript"/>
        </w:rPr>
        <w:t>[43]</w:t>
      </w:r>
      <w:r w:rsidRPr="00110998">
        <w:rPr>
          <w:rFonts w:ascii="Book Antiqua" w:eastAsia="Book Antiqua" w:hAnsi="Book Antiqua" w:cs="Book Antiqua"/>
          <w:color w:val="000000"/>
        </w:rPr>
        <w:t xml:space="preserve">. The GALLIUM study compared obinutuzumab with rituximab in combination with chemotherapy in untreated patients with </w:t>
      </w:r>
      <w:r w:rsidR="008E7F8A" w:rsidRPr="00110998">
        <w:rPr>
          <w:rFonts w:ascii="Book Antiqua" w:eastAsia="Book Antiqua" w:hAnsi="Book Antiqua" w:cs="Book Antiqua"/>
          <w:color w:val="000000"/>
        </w:rPr>
        <w:t xml:space="preserve">follicular lymphoma </w:t>
      </w:r>
      <w:r w:rsidR="008E7F8A">
        <w:rPr>
          <w:rFonts w:ascii="Book Antiqua" w:eastAsia="Book Antiqua" w:hAnsi="Book Antiqua" w:cs="Book Antiqua"/>
          <w:color w:val="000000"/>
        </w:rPr>
        <w:t>(</w:t>
      </w:r>
      <w:r w:rsidRPr="00110998">
        <w:rPr>
          <w:rFonts w:ascii="Book Antiqua" w:eastAsia="Book Antiqua" w:hAnsi="Book Antiqua" w:cs="Book Antiqua"/>
          <w:color w:val="000000"/>
        </w:rPr>
        <w:t>FL</w:t>
      </w:r>
      <w:r w:rsidR="008E7F8A">
        <w:rPr>
          <w:rFonts w:ascii="Book Antiqua" w:eastAsia="Book Antiqua" w:hAnsi="Book Antiqua" w:cs="Book Antiqua"/>
          <w:color w:val="000000"/>
        </w:rPr>
        <w:t>)</w:t>
      </w:r>
      <w:r w:rsidRPr="00110998">
        <w:rPr>
          <w:rFonts w:ascii="Book Antiqua" w:eastAsia="Book Antiqua" w:hAnsi="Book Antiqua" w:cs="Book Antiqua"/>
          <w:color w:val="000000"/>
        </w:rPr>
        <w:t xml:space="preserve">. Obinutuzumab </w:t>
      </w:r>
      <w:r w:rsidR="00F3572F"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 xml:space="preserve">a superior PFS without </w:t>
      </w:r>
      <w:r w:rsidR="00F3572F" w:rsidRPr="00110998">
        <w:rPr>
          <w:rFonts w:ascii="Book Antiqua" w:eastAsia="Book Antiqua" w:hAnsi="Book Antiqua" w:cs="Book Antiqua"/>
          <w:color w:val="000000"/>
        </w:rPr>
        <w:t xml:space="preserve">an </w:t>
      </w:r>
      <w:r w:rsidRPr="00110998">
        <w:rPr>
          <w:rFonts w:ascii="Book Antiqua" w:eastAsia="Book Antiqua" w:hAnsi="Book Antiqua" w:cs="Book Antiqua"/>
          <w:color w:val="000000"/>
        </w:rPr>
        <w:t xml:space="preserve">OS benefit compared </w:t>
      </w:r>
      <w:r w:rsidR="00F3572F"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rituximab</w:t>
      </w:r>
      <w:r w:rsidRPr="00110998">
        <w:rPr>
          <w:rFonts w:ascii="Book Antiqua" w:eastAsia="Book Antiqua" w:hAnsi="Book Antiqua" w:cs="Book Antiqua"/>
          <w:color w:val="000000"/>
          <w:vertAlign w:val="superscript"/>
        </w:rPr>
        <w:t>[44]</w:t>
      </w:r>
      <w:r w:rsidRPr="00110998">
        <w:rPr>
          <w:rFonts w:ascii="Book Antiqua" w:eastAsia="Book Antiqua" w:hAnsi="Book Antiqua" w:cs="Book Antiqua"/>
          <w:color w:val="000000"/>
        </w:rPr>
        <w:t>. In patients refractory to rituximab, obinutuzumab also showed benefit in the GADOLIN study. The combination of O-bendamustin prolonged PFS over bendamustin</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monotherapy</w:t>
      </w:r>
      <w:r w:rsidRPr="00110998">
        <w:rPr>
          <w:rFonts w:ascii="Book Antiqua" w:eastAsia="Book Antiqua" w:hAnsi="Book Antiqua" w:cs="Book Antiqua"/>
          <w:color w:val="000000"/>
          <w:vertAlign w:val="superscript"/>
        </w:rPr>
        <w:t>[45]</w:t>
      </w:r>
      <w:r w:rsidRPr="00110998">
        <w:rPr>
          <w:rFonts w:ascii="Book Antiqua" w:eastAsia="Book Antiqua" w:hAnsi="Book Antiqua" w:cs="Book Antiqua"/>
          <w:color w:val="000000"/>
        </w:rPr>
        <w:t>. Unlike chronic lymphocytic leukemia</w:t>
      </w:r>
      <w:r w:rsidR="002144B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(CLL) and FL, obinutuzumab showed no benefit compared </w:t>
      </w:r>
      <w:r w:rsidR="00110998" w:rsidRPr="00110998">
        <w:rPr>
          <w:rFonts w:ascii="Book Antiqua" w:eastAsia="Book Antiqua" w:hAnsi="Book Antiqua" w:cs="Book Antiqua"/>
          <w:color w:val="000000"/>
        </w:rPr>
        <w:t>with</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rituximab in combination with CHOP chemotherapy in patients with DLBCL</w:t>
      </w:r>
      <w:r w:rsidRPr="00110998">
        <w:rPr>
          <w:rFonts w:ascii="Book Antiqua" w:eastAsia="Book Antiqua" w:hAnsi="Book Antiqua" w:cs="Book Antiqua"/>
          <w:color w:val="000000"/>
          <w:vertAlign w:val="superscript"/>
        </w:rPr>
        <w:t>[46]</w:t>
      </w:r>
      <w:r w:rsidRPr="00110998">
        <w:rPr>
          <w:rFonts w:ascii="Book Antiqua" w:eastAsia="Book Antiqua" w:hAnsi="Book Antiqua" w:cs="Book Antiqua"/>
          <w:color w:val="000000"/>
        </w:rPr>
        <w:t>.</w:t>
      </w:r>
    </w:p>
    <w:p w14:paraId="154C8EDF" w14:textId="6425B4BC"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CD19 is a receptor present </w:t>
      </w:r>
      <w:r w:rsidR="00F3572F" w:rsidRPr="00110998">
        <w:rPr>
          <w:rFonts w:ascii="Book Antiqua" w:eastAsia="Book Antiqua" w:hAnsi="Book Antiqua" w:cs="Book Antiqua"/>
          <w:color w:val="000000"/>
        </w:rPr>
        <w:t xml:space="preserve">in </w:t>
      </w:r>
      <w:r w:rsidRPr="00110998">
        <w:rPr>
          <w:rFonts w:ascii="Book Antiqua" w:eastAsia="Book Antiqua" w:hAnsi="Book Antiqua" w:cs="Book Antiqua"/>
          <w:color w:val="000000"/>
        </w:rPr>
        <w:t>B-cell lymphoma</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is an interesting target for drug development. Tafasitamab is a humanized antibody against the CD19 receptor. Similar</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to obinutuzumab, tafasitamab has a strong affinity for binding FcγRIII receptors to effector cells of the immune system</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is thus a potent ADCC inducer. In a phase IIa study, single-agent tafasitamab </w:t>
      </w:r>
      <w:r w:rsidR="00F3572F"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an ORR of 26% in pretreated patients with DLBCL</w:t>
      </w:r>
      <w:r w:rsidRPr="00110998">
        <w:rPr>
          <w:rFonts w:ascii="Book Antiqua" w:eastAsia="Book Antiqua" w:hAnsi="Book Antiqua" w:cs="Book Antiqua"/>
          <w:color w:val="000000"/>
          <w:vertAlign w:val="superscript"/>
        </w:rPr>
        <w:t>[47]</w:t>
      </w:r>
      <w:r w:rsidRPr="00110998">
        <w:rPr>
          <w:rFonts w:ascii="Book Antiqua" w:eastAsia="Book Antiqua" w:hAnsi="Book Antiqua" w:cs="Book Antiqua"/>
          <w:color w:val="000000"/>
        </w:rPr>
        <w:t>. In a phase II study of L-MIND in R/R DLBCL,</w:t>
      </w:r>
      <w:r w:rsidR="00735E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tafasitamab in combination with lenalidomide</w:t>
      </w:r>
      <w:r w:rsidR="00F3572F" w:rsidRPr="00110998">
        <w:rPr>
          <w:rFonts w:ascii="Book Antiqua" w:eastAsia="Book Antiqua" w:hAnsi="Book Antiqua" w:cs="Book Antiqua"/>
          <w:color w:val="000000"/>
        </w:rPr>
        <w:t xml:space="preserve"> had </w:t>
      </w:r>
      <w:r w:rsidRPr="00110998">
        <w:rPr>
          <w:rFonts w:ascii="Book Antiqua" w:eastAsia="Book Antiqua" w:hAnsi="Book Antiqua" w:cs="Book Antiqua"/>
          <w:color w:val="000000"/>
        </w:rPr>
        <w:t xml:space="preserve">an ORR of 54%, with 32% of patients </w:t>
      </w:r>
      <w:r w:rsidR="00F3572F" w:rsidRPr="00110998">
        <w:rPr>
          <w:rFonts w:ascii="Book Antiqua" w:eastAsia="Book Antiqua" w:hAnsi="Book Antiqua" w:cs="Book Antiqua"/>
          <w:color w:val="000000"/>
        </w:rPr>
        <w:t xml:space="preserve">achieving </w:t>
      </w:r>
      <w:r w:rsidR="008E7F8A">
        <w:rPr>
          <w:rFonts w:ascii="Book Antiqua" w:eastAsia="Book Antiqua" w:hAnsi="Book Antiqua" w:cs="Book Antiqua"/>
          <w:color w:val="000000"/>
        </w:rPr>
        <w:t xml:space="preserve">a complete </w:t>
      </w:r>
      <w:r w:rsidR="008E7F8A">
        <w:rPr>
          <w:rFonts w:ascii="Book Antiqua" w:eastAsia="Book Antiqua" w:hAnsi="Book Antiqua" w:cs="Book Antiqua"/>
          <w:color w:val="000000"/>
        </w:rPr>
        <w:lastRenderedPageBreak/>
        <w:t>response (</w:t>
      </w:r>
      <w:r w:rsidRPr="00110998">
        <w:rPr>
          <w:rFonts w:ascii="Book Antiqua" w:eastAsia="Book Antiqua" w:hAnsi="Book Antiqua" w:cs="Book Antiqua"/>
          <w:color w:val="000000"/>
        </w:rPr>
        <w:t>CR</w:t>
      </w:r>
      <w:r w:rsidR="008E7F8A">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[48]</w:t>
      </w:r>
      <w:r w:rsidRPr="00110998">
        <w:rPr>
          <w:rFonts w:ascii="Book Antiqua" w:eastAsia="Book Antiqua" w:hAnsi="Book Antiqua" w:cs="Book Antiqua"/>
          <w:color w:val="000000"/>
        </w:rPr>
        <w:t xml:space="preserve">. A phase II/III B-MIND study comparing the combination of tafasitamab-benda with R-Benda in R/R DLBCL and a phase III study comparing R-CHOP with tafasitamab and lenalidomide </w:t>
      </w:r>
      <w:r w:rsidR="00F3572F" w:rsidRPr="00110998">
        <w:rPr>
          <w:rFonts w:ascii="Book Antiqua" w:eastAsia="Book Antiqua" w:hAnsi="Book Antiqua" w:cs="Book Antiqua"/>
          <w:color w:val="000000"/>
        </w:rPr>
        <w:t xml:space="preserve">as </w:t>
      </w:r>
      <w:r w:rsidRPr="00110998">
        <w:rPr>
          <w:rFonts w:ascii="Book Antiqua" w:eastAsia="Book Antiqua" w:hAnsi="Book Antiqua" w:cs="Book Antiqua"/>
          <w:color w:val="000000"/>
        </w:rPr>
        <w:t>first</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line </w:t>
      </w:r>
      <w:r w:rsidR="00F3572F" w:rsidRPr="00110998">
        <w:rPr>
          <w:rFonts w:ascii="Book Antiqua" w:eastAsia="Book Antiqua" w:hAnsi="Book Antiqua" w:cs="Book Antiqua"/>
          <w:color w:val="000000"/>
        </w:rPr>
        <w:t xml:space="preserve">treatment </w:t>
      </w:r>
      <w:r w:rsidRPr="00110998">
        <w:rPr>
          <w:rFonts w:ascii="Book Antiqua" w:eastAsia="Book Antiqua" w:hAnsi="Book Antiqua" w:cs="Book Antiqua"/>
          <w:color w:val="000000"/>
        </w:rPr>
        <w:t>of B-cell non-Hodgkin lymphoma(B-NHL)</w:t>
      </w:r>
      <w:r w:rsidRPr="00110998">
        <w:rPr>
          <w:rFonts w:ascii="Book Antiqua" w:eastAsia="Book Antiqua" w:hAnsi="Book Antiqua" w:cs="Book Antiqua"/>
          <w:color w:val="000000"/>
          <w:vertAlign w:val="superscript"/>
        </w:rPr>
        <w:t>[49,50]</w:t>
      </w:r>
      <w:r w:rsidRPr="00110998">
        <w:rPr>
          <w:rFonts w:ascii="Book Antiqua" w:eastAsia="Book Antiqua" w:hAnsi="Book Antiqua" w:cs="Book Antiqua"/>
          <w:color w:val="000000"/>
        </w:rPr>
        <w:t xml:space="preserve"> are underway.</w:t>
      </w:r>
    </w:p>
    <w:p w14:paraId="034BB0D4" w14:textId="087B12E9"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Magrolimab is a humanized monoclonal antibody that binds to the CD47 receptor that is often expressed in B-cell lymphomas. Unlike CD19 and CD20 antibodies, the</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magrolimab mechanism of action is not related to the direct killing of malignant cells, ADCC</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or cell-dependent cytotoxicity. The SIRPα receptor of macrophages binds to CD47, leading to macrophage invasion and a reduction in the immune response. Magrolimab, by binding to CD47, prevents the binding of SIRPα macrophages to this receptor and thus increases the recognition and destruction of lymphoma cells</w:t>
      </w:r>
      <w:r w:rsidRPr="00110998">
        <w:rPr>
          <w:rFonts w:ascii="Book Antiqua" w:eastAsia="Book Antiqua" w:hAnsi="Book Antiqua" w:cs="Book Antiqua"/>
          <w:color w:val="000000"/>
          <w:vertAlign w:val="superscript"/>
        </w:rPr>
        <w:t>[51]</w:t>
      </w:r>
      <w:r w:rsidRPr="00110998">
        <w:rPr>
          <w:rFonts w:ascii="Book Antiqua" w:eastAsia="Book Antiqua" w:hAnsi="Book Antiqua" w:cs="Book Antiqua"/>
          <w:color w:val="000000"/>
        </w:rPr>
        <w:t>. In phase Ib/II</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recruiting a heavily pretreated population of DLBCL and FL patients, magrolimab showed an ORR of 50% and a CR of 36% without significant toxicity</w:t>
      </w:r>
      <w:r w:rsidRPr="00110998">
        <w:rPr>
          <w:rFonts w:ascii="Book Antiqua" w:eastAsia="Book Antiqua" w:hAnsi="Book Antiqua" w:cs="Book Antiqua"/>
          <w:color w:val="000000"/>
          <w:vertAlign w:val="superscript"/>
        </w:rPr>
        <w:t>[52]</w:t>
      </w:r>
      <w:r w:rsidRPr="00110998">
        <w:rPr>
          <w:rFonts w:ascii="Book Antiqua" w:eastAsia="Book Antiqua" w:hAnsi="Book Antiqua" w:cs="Book Antiqua"/>
          <w:color w:val="000000"/>
        </w:rPr>
        <w:t>.</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Mogamulizumab is an antibody against C chemokine receptor 4 (CCR4). In a phase III study in cutaneous T-cell lymphomas (CTCLs),</w:t>
      </w:r>
      <w:r w:rsidR="00735E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mogamulizumab demonstrated </w:t>
      </w:r>
      <w:r w:rsidR="00F3572F" w:rsidRPr="00110998">
        <w:rPr>
          <w:rFonts w:ascii="Book Antiqua" w:eastAsia="Book Antiqua" w:hAnsi="Book Antiqua" w:cs="Book Antiqua"/>
          <w:color w:val="000000"/>
        </w:rPr>
        <w:t xml:space="preserve">a </w:t>
      </w:r>
      <w:r w:rsidRPr="00110998">
        <w:rPr>
          <w:rFonts w:ascii="Book Antiqua" w:eastAsia="Book Antiqua" w:hAnsi="Book Antiqua" w:cs="Book Antiqua"/>
          <w:color w:val="000000"/>
        </w:rPr>
        <w:t>longer PFS than vorinostat</w:t>
      </w:r>
      <w:r w:rsidRPr="00110998">
        <w:rPr>
          <w:rFonts w:ascii="Book Antiqua" w:eastAsia="Book Antiqua" w:hAnsi="Book Antiqua" w:cs="Book Antiqua"/>
          <w:color w:val="000000"/>
          <w:vertAlign w:val="superscript"/>
        </w:rPr>
        <w:t>[53]</w:t>
      </w:r>
      <w:r w:rsidRPr="00110998">
        <w:rPr>
          <w:rFonts w:ascii="Book Antiqua" w:eastAsia="Book Antiqua" w:hAnsi="Book Antiqua" w:cs="Book Antiqua"/>
          <w:color w:val="000000"/>
        </w:rPr>
        <w:t>.</w:t>
      </w:r>
    </w:p>
    <w:p w14:paraId="09CB5FCE" w14:textId="77777777" w:rsidR="008E7812" w:rsidRPr="00110998" w:rsidRDefault="008E7812">
      <w:pPr>
        <w:snapToGrid w:val="0"/>
        <w:spacing w:line="360" w:lineRule="auto"/>
        <w:jc w:val="both"/>
      </w:pPr>
    </w:p>
    <w:p w14:paraId="5A270A73" w14:textId="74913C33"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ANTIBODY</w:t>
      </w:r>
      <w:r w:rsidR="00B00F0D">
        <w:rPr>
          <w:rFonts w:ascii="Book Antiqua" w:eastAsia="Book Antiqua" w:hAnsi="Book Antiqua" w:cs="Book Antiqua"/>
          <w:b/>
          <w:bCs/>
          <w:caps/>
          <w:color w:val="000000"/>
          <w:u w:val="single"/>
        </w:rPr>
        <w:t>-</w:t>
      </w:r>
      <w:r w:rsidRPr="00110998">
        <w:rPr>
          <w:rFonts w:ascii="Book Antiqua" w:eastAsia="Book Antiqua" w:hAnsi="Book Antiqua" w:cs="Book Antiqua"/>
          <w:b/>
          <w:bCs/>
          <w:caps/>
          <w:color w:val="000000"/>
          <w:u w:val="single"/>
        </w:rPr>
        <w:t>DRUG CONJUGATES</w:t>
      </w:r>
    </w:p>
    <w:p w14:paraId="26C8B97B" w14:textId="0243CB11" w:rsidR="008E7812" w:rsidRPr="00110998" w:rsidRDefault="008E2E22">
      <w:pPr>
        <w:snapToGrid w:val="0"/>
        <w:spacing w:line="360" w:lineRule="auto"/>
        <w:jc w:val="both"/>
      </w:pPr>
      <w:r w:rsidRPr="00110998">
        <w:rPr>
          <w:rFonts w:ascii="Book Antiqua" w:eastAsia="Book Antiqua" w:hAnsi="Book Antiqua" w:cs="Book Antiqua"/>
          <w:color w:val="000000"/>
        </w:rPr>
        <w:t xml:space="preserve">Attempts to increase the </w:t>
      </w:r>
      <w:r w:rsidR="00CF3F71" w:rsidRPr="00110998">
        <w:rPr>
          <w:rFonts w:ascii="Book Antiqua" w:eastAsia="Book Antiqua" w:hAnsi="Book Antiqua" w:cs="Book Antiqua"/>
          <w:color w:val="000000"/>
        </w:rPr>
        <w:t xml:space="preserve">effectiveness </w:t>
      </w:r>
      <w:r w:rsidRPr="00110998">
        <w:rPr>
          <w:rFonts w:ascii="Book Antiqua" w:eastAsia="Book Antiqua" w:hAnsi="Book Antiqua" w:cs="Book Antiqua"/>
          <w:color w:val="000000"/>
        </w:rPr>
        <w:t>of antibodies led to the construction of molecules with radioactive elements, such as yttrium-90 (ibrotumab-tiuxetan)</w:t>
      </w:r>
      <w:r w:rsidRPr="00110998">
        <w:rPr>
          <w:rFonts w:ascii="Book Antiqua" w:eastAsia="Book Antiqua" w:hAnsi="Book Antiqua" w:cs="Book Antiqua"/>
          <w:color w:val="000000"/>
          <w:vertAlign w:val="superscript"/>
        </w:rPr>
        <w:t>[54]</w:t>
      </w:r>
      <w:r w:rsidRPr="00110998">
        <w:rPr>
          <w:rFonts w:ascii="Book Antiqua" w:eastAsia="Book Antiqua" w:hAnsi="Book Antiqua" w:cs="Book Antiqua"/>
          <w:color w:val="000000"/>
        </w:rPr>
        <w:t xml:space="preserve"> and iodine-131 (tositumomab)</w:t>
      </w:r>
      <w:r w:rsidRPr="00110998">
        <w:rPr>
          <w:rFonts w:ascii="Book Antiqua" w:eastAsia="Book Antiqua" w:hAnsi="Book Antiqua" w:cs="Book Antiqua"/>
          <w:color w:val="000000"/>
          <w:vertAlign w:val="superscript"/>
        </w:rPr>
        <w:t>[55]</w:t>
      </w:r>
      <w:r w:rsidRPr="00110998">
        <w:rPr>
          <w:rFonts w:ascii="Book Antiqua" w:eastAsia="Book Antiqua" w:hAnsi="Book Antiqua" w:cs="Book Antiqua"/>
          <w:color w:val="000000"/>
        </w:rPr>
        <w:t>, and more recently, cytotoxic agents (Table 2).</w:t>
      </w:r>
    </w:p>
    <w:p w14:paraId="7D807AD2" w14:textId="0544379E"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Brentuximab</w:t>
      </w:r>
      <w:r w:rsidR="008E7F8A">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vedotin (BV) is a CD30-targeting antibody-drug conjugate (ADC) that </w:t>
      </w:r>
      <w:r w:rsidR="00CF3F71" w:rsidRPr="00110998">
        <w:rPr>
          <w:rFonts w:ascii="Book Antiqua" w:eastAsia="Book Antiqua" w:hAnsi="Book Antiqua" w:cs="Book Antiqua"/>
          <w:color w:val="000000"/>
        </w:rPr>
        <w:t xml:space="preserve">includes </w:t>
      </w:r>
      <w:r w:rsidRPr="00110998">
        <w:rPr>
          <w:rFonts w:ascii="Book Antiqua" w:eastAsia="Book Antiqua" w:hAnsi="Book Antiqua" w:cs="Book Antiqua"/>
          <w:color w:val="000000"/>
        </w:rPr>
        <w:t>the cytotoxic agent monomethylauristatin B on its Fc fragment</w:t>
      </w:r>
      <w:r w:rsidRPr="00110998">
        <w:rPr>
          <w:rFonts w:ascii="Book Antiqua" w:eastAsia="Book Antiqua" w:hAnsi="Book Antiqua" w:cs="Book Antiqua"/>
          <w:color w:val="000000"/>
          <w:vertAlign w:val="superscript"/>
        </w:rPr>
        <w:t>[56]</w:t>
      </w:r>
      <w:r w:rsidRPr="00110998">
        <w:rPr>
          <w:rFonts w:ascii="Book Antiqua" w:eastAsia="Book Antiqua" w:hAnsi="Book Antiqua" w:cs="Book Antiqua"/>
          <w:color w:val="000000"/>
        </w:rPr>
        <w:t>. BV was first approved for the treatment of cHL and systemic anaplastic large</w:t>
      </w:r>
      <w:r w:rsidR="00CF3F71" w:rsidRPr="00110998">
        <w:rPr>
          <w:rFonts w:ascii="Book Antiqua" w:eastAsia="Book Antiqua" w:hAnsi="Book Antiqua" w:cs="Book Antiqua"/>
          <w:color w:val="000000"/>
        </w:rPr>
        <w:t>-</w:t>
      </w:r>
      <w:r w:rsidRPr="00110998">
        <w:rPr>
          <w:rFonts w:ascii="Book Antiqua" w:eastAsia="Book Antiqua" w:hAnsi="Book Antiqua" w:cs="Book Antiqua"/>
          <w:color w:val="000000"/>
        </w:rPr>
        <w:t>cell lymphoma (sALCL). Tumor reduction was observed in 86% of 46 patients in a phase I study</w:t>
      </w:r>
      <w:r w:rsidRPr="00110998">
        <w:rPr>
          <w:rFonts w:ascii="Book Antiqua" w:eastAsia="Book Antiqua" w:hAnsi="Book Antiqua" w:cs="Book Antiqua"/>
          <w:color w:val="000000"/>
          <w:vertAlign w:val="superscript"/>
        </w:rPr>
        <w:t>[57]</w:t>
      </w:r>
      <w:r w:rsidRPr="00110998">
        <w:rPr>
          <w:rFonts w:ascii="Book Antiqua" w:eastAsia="Book Antiqua" w:hAnsi="Book Antiqua" w:cs="Book Antiqua"/>
          <w:color w:val="000000"/>
        </w:rPr>
        <w:t>. Another cohort of 102 patients with R/R cHL was treated with BV. Th</w:t>
      </w:r>
      <w:r w:rsidR="00CF3F71" w:rsidRPr="00110998">
        <w:rPr>
          <w:rFonts w:ascii="Book Antiqua" w:eastAsia="Book Antiqua" w:hAnsi="Book Antiqua" w:cs="Book Antiqua"/>
          <w:color w:val="000000"/>
        </w:rPr>
        <w:t>o</w:t>
      </w:r>
      <w:r w:rsidRPr="00110998">
        <w:rPr>
          <w:rFonts w:ascii="Book Antiqua" w:eastAsia="Book Antiqua" w:hAnsi="Book Antiqua" w:cs="Book Antiqua"/>
          <w:color w:val="000000"/>
        </w:rPr>
        <w:t xml:space="preserve">se patients had previously received at least two lines of therapy or HDCT/ASCT. The </w:t>
      </w:r>
      <w:r w:rsidR="007C2D85">
        <w:rPr>
          <w:rFonts w:ascii="Book Antiqua" w:eastAsia="Book Antiqua" w:hAnsi="Book Antiqua" w:cs="Book Antiqua"/>
          <w:color w:val="000000"/>
        </w:rPr>
        <w:t>ORR</w:t>
      </w:r>
      <w:r w:rsidRPr="00110998">
        <w:rPr>
          <w:rFonts w:ascii="Book Antiqua" w:eastAsia="Book Antiqua" w:hAnsi="Book Antiqua" w:cs="Book Antiqua"/>
          <w:color w:val="000000"/>
        </w:rPr>
        <w:t xml:space="preserve"> was 75% with</w:t>
      </w:r>
      <w:r w:rsidR="00CF3F71" w:rsidRPr="00110998">
        <w:rPr>
          <w:rFonts w:ascii="Book Antiqua" w:eastAsia="Book Antiqua" w:hAnsi="Book Antiqua" w:cs="Book Antiqua"/>
          <w:color w:val="000000"/>
        </w:rPr>
        <w:t xml:space="preserve"> a</w:t>
      </w:r>
      <w:r w:rsidRPr="00110998">
        <w:rPr>
          <w:rFonts w:ascii="Book Antiqua" w:eastAsia="Book Antiqua" w:hAnsi="Book Antiqua" w:cs="Book Antiqua"/>
          <w:color w:val="000000"/>
        </w:rPr>
        <w:t xml:space="preserve"> CR</w:t>
      </w:r>
      <w:r w:rsidR="008E7F8A">
        <w:rPr>
          <w:rFonts w:ascii="Book Antiqua" w:eastAsia="Book Antiqua" w:hAnsi="Book Antiqua" w:cs="Book Antiqua"/>
          <w:color w:val="000000"/>
        </w:rPr>
        <w:t xml:space="preserve"> of </w:t>
      </w:r>
      <w:r w:rsidR="008E7F8A" w:rsidRPr="00110998">
        <w:rPr>
          <w:rFonts w:ascii="Book Antiqua" w:eastAsia="Book Antiqua" w:hAnsi="Book Antiqua" w:cs="Book Antiqua"/>
          <w:color w:val="000000"/>
        </w:rPr>
        <w:t>34%</w:t>
      </w:r>
      <w:r w:rsidRPr="00110998">
        <w:rPr>
          <w:rFonts w:ascii="Book Antiqua" w:eastAsia="Book Antiqua" w:hAnsi="Book Antiqua" w:cs="Book Antiqua"/>
          <w:color w:val="000000"/>
        </w:rPr>
        <w:t>. The median PFS and the duration of response in those who achieved CR were 5.6 and 20.5 mo, respectively</w:t>
      </w:r>
      <w:r w:rsidRPr="00110998">
        <w:rPr>
          <w:rFonts w:ascii="Book Antiqua" w:eastAsia="Book Antiqua" w:hAnsi="Book Antiqua" w:cs="Book Antiqua"/>
          <w:color w:val="000000"/>
          <w:vertAlign w:val="superscript"/>
        </w:rPr>
        <w:t>[10,58]</w:t>
      </w:r>
      <w:r w:rsidRPr="00110998">
        <w:rPr>
          <w:rFonts w:ascii="Book Antiqua" w:eastAsia="Book Antiqua" w:hAnsi="Book Antiqua" w:cs="Book Antiqua"/>
          <w:color w:val="000000"/>
        </w:rPr>
        <w:t xml:space="preserve">. The AETHERA study </w:t>
      </w:r>
      <w:r w:rsidR="00CF3F71" w:rsidRPr="00110998">
        <w:rPr>
          <w:rFonts w:ascii="Book Antiqua" w:eastAsia="Book Antiqua" w:hAnsi="Book Antiqua" w:cs="Book Antiqua"/>
          <w:color w:val="000000"/>
        </w:rPr>
        <w:t xml:space="preserve">evaluated </w:t>
      </w:r>
      <w:r w:rsidRPr="00110998">
        <w:rPr>
          <w:rFonts w:ascii="Book Antiqua" w:eastAsia="Book Antiqua" w:hAnsi="Book Antiqua" w:cs="Book Antiqua"/>
          <w:color w:val="000000"/>
        </w:rPr>
        <w:t xml:space="preserve">BV </w:t>
      </w:r>
      <w:r w:rsidRPr="00110998">
        <w:rPr>
          <w:rFonts w:ascii="Book Antiqua" w:eastAsia="Book Antiqua" w:hAnsi="Book Antiqua" w:cs="Book Antiqua"/>
          <w:color w:val="000000"/>
        </w:rPr>
        <w:lastRenderedPageBreak/>
        <w:t xml:space="preserve">maintenance after HDCT/ASCT in patients </w:t>
      </w:r>
      <w:r w:rsidR="00CF3F71" w:rsidRPr="00110998">
        <w:rPr>
          <w:rFonts w:ascii="Book Antiqua" w:eastAsia="Book Antiqua" w:hAnsi="Book Antiqua" w:cs="Book Antiqua"/>
          <w:color w:val="000000"/>
        </w:rPr>
        <w:t xml:space="preserve">with a </w:t>
      </w:r>
      <w:r w:rsidRPr="00110998">
        <w:rPr>
          <w:rFonts w:ascii="Book Antiqua" w:eastAsia="Book Antiqua" w:hAnsi="Book Antiqua" w:cs="Book Antiqua"/>
          <w:color w:val="000000"/>
        </w:rPr>
        <w:t>high</w:t>
      </w:r>
      <w:r w:rsidR="00B00F0D">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risk </w:t>
      </w:r>
      <w:r w:rsidR="00CF3F71" w:rsidRPr="00110998">
        <w:rPr>
          <w:rFonts w:ascii="Book Antiqua" w:eastAsia="Book Antiqua" w:hAnsi="Book Antiqua" w:cs="Book Antiqua"/>
          <w:color w:val="000000"/>
        </w:rPr>
        <w:t xml:space="preserve">of </w:t>
      </w:r>
      <w:r w:rsidRPr="00110998">
        <w:rPr>
          <w:rFonts w:ascii="Book Antiqua" w:eastAsia="Book Antiqua" w:hAnsi="Book Antiqua" w:cs="Book Antiqua"/>
          <w:color w:val="000000"/>
        </w:rPr>
        <w:t>relapse after ASCT, defined as relapse within 12 mo of initial therapy, primary refractory disease, and/or</w:t>
      </w:r>
      <w:r w:rsidR="00CF3F7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extranodal presentation. A total of 329 patients were randomized to BV or a placebo. The median PFS was 49.2 mo with BV </w:t>
      </w:r>
      <w:r w:rsidRPr="00110998">
        <w:rPr>
          <w:rFonts w:ascii="Book Antiqua" w:eastAsia="Book Antiqua" w:hAnsi="Book Antiqua" w:cs="Book Antiqua"/>
          <w:i/>
          <w:color w:val="000000"/>
        </w:rPr>
        <w:t>vs</w:t>
      </w:r>
      <w:r w:rsidRPr="00110998">
        <w:rPr>
          <w:rFonts w:ascii="Book Antiqua" w:eastAsia="Book Antiqua" w:hAnsi="Book Antiqua" w:cs="Book Antiqua"/>
          <w:color w:val="000000"/>
        </w:rPr>
        <w:t xml:space="preserve"> 24.1 mo with the placebo (HR 0.57,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0.0013)</w:t>
      </w:r>
      <w:r w:rsidRPr="00110998">
        <w:rPr>
          <w:rFonts w:ascii="Book Antiqua" w:eastAsia="Book Antiqua" w:hAnsi="Book Antiqua" w:cs="Book Antiqua"/>
          <w:color w:val="000000"/>
          <w:vertAlign w:val="superscript"/>
        </w:rPr>
        <w:t>[59]</w:t>
      </w:r>
      <w:r w:rsidRPr="00110998">
        <w:rPr>
          <w:rFonts w:ascii="Book Antiqua" w:eastAsia="Book Antiqua" w:hAnsi="Book Antiqua" w:cs="Book Antiqua"/>
          <w:color w:val="000000"/>
        </w:rPr>
        <w:t xml:space="preserve">. After </w:t>
      </w:r>
      <w:r w:rsidR="00CF3F71" w:rsidRPr="00110998">
        <w:rPr>
          <w:rFonts w:ascii="Book Antiqua" w:eastAsia="Book Antiqua" w:hAnsi="Book Antiqua" w:cs="Book Antiqua"/>
          <w:color w:val="000000"/>
        </w:rPr>
        <w:t xml:space="preserve">5 </w:t>
      </w:r>
      <w:r w:rsidRPr="00110998">
        <w:rPr>
          <w:rFonts w:ascii="Book Antiqua" w:eastAsia="Book Antiqua" w:hAnsi="Book Antiqua" w:cs="Book Antiqua"/>
          <w:color w:val="000000"/>
        </w:rPr>
        <w:t xml:space="preserve">years of follow-up, the analysis was updated to reveal that relapse-free survival </w:t>
      </w:r>
      <w:r w:rsidR="00CF3F71" w:rsidRPr="00110998">
        <w:rPr>
          <w:rFonts w:ascii="Book Antiqua" w:eastAsia="Book Antiqua" w:hAnsi="Book Antiqua" w:cs="Book Antiqua"/>
          <w:color w:val="000000"/>
        </w:rPr>
        <w:t xml:space="preserve">was 59% </w:t>
      </w:r>
      <w:r w:rsidRPr="00110998">
        <w:rPr>
          <w:rFonts w:ascii="Book Antiqua" w:eastAsia="Book Antiqua" w:hAnsi="Book Antiqua" w:cs="Book Antiqua"/>
          <w:color w:val="000000"/>
        </w:rPr>
        <w:t xml:space="preserve">in patients who received BV </w:t>
      </w:r>
      <w:r w:rsidR="00CF3F71" w:rsidRPr="00110998">
        <w:rPr>
          <w:rFonts w:ascii="Book Antiqua" w:eastAsia="Book Antiqua" w:hAnsi="Book Antiqua" w:cs="Book Antiqua"/>
          <w:color w:val="000000"/>
        </w:rPr>
        <w:t xml:space="preserve">and 41% in those given the </w:t>
      </w:r>
      <w:r w:rsidRPr="00110998">
        <w:rPr>
          <w:rFonts w:ascii="Book Antiqua" w:eastAsia="Book Antiqua" w:hAnsi="Book Antiqua" w:cs="Book Antiqua"/>
          <w:color w:val="000000"/>
        </w:rPr>
        <w:t>placebo.</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OS difference has not yet been determined, but the need for further </w:t>
      </w:r>
      <w:r w:rsidR="00CF3F71" w:rsidRPr="00110998">
        <w:rPr>
          <w:rFonts w:ascii="Book Antiqua" w:eastAsia="Book Antiqua" w:hAnsi="Book Antiqua" w:cs="Book Antiqua"/>
          <w:color w:val="000000"/>
        </w:rPr>
        <w:t xml:space="preserve">treatment </w:t>
      </w:r>
      <w:r w:rsidRPr="00110998">
        <w:rPr>
          <w:rFonts w:ascii="Book Antiqua" w:eastAsia="Book Antiqua" w:hAnsi="Book Antiqua" w:cs="Book Antiqua"/>
          <w:color w:val="000000"/>
        </w:rPr>
        <w:t xml:space="preserve">in BV-treated patients </w:t>
      </w:r>
      <w:r w:rsidR="00CF3F71" w:rsidRPr="00110998">
        <w:rPr>
          <w:rFonts w:ascii="Book Antiqua" w:eastAsia="Book Antiqua" w:hAnsi="Book Antiqua" w:cs="Book Antiqua"/>
          <w:color w:val="000000"/>
        </w:rPr>
        <w:t>was</w:t>
      </w:r>
      <w:r w:rsidRPr="00110998">
        <w:rPr>
          <w:rFonts w:ascii="Book Antiqua" w:eastAsia="Book Antiqua" w:hAnsi="Book Antiqua" w:cs="Book Antiqua"/>
          <w:color w:val="000000"/>
        </w:rPr>
        <w:t xml:space="preserve"> reduced</w:t>
      </w:r>
      <w:r w:rsidRPr="00110998">
        <w:rPr>
          <w:rFonts w:ascii="Book Antiqua" w:eastAsia="Book Antiqua" w:hAnsi="Book Antiqua" w:cs="Book Antiqua"/>
          <w:color w:val="000000"/>
          <w:vertAlign w:val="superscript"/>
        </w:rPr>
        <w:t>[60]</w:t>
      </w:r>
      <w:r w:rsidRPr="00110998">
        <w:rPr>
          <w:rFonts w:ascii="Book Antiqua" w:eastAsia="Book Antiqua" w:hAnsi="Book Antiqua" w:cs="Book Antiqua"/>
          <w:color w:val="000000"/>
        </w:rPr>
        <w:t xml:space="preserve">. Another study compared six cycles of BV in combination with AVD with </w:t>
      </w:r>
      <w:r w:rsidR="00CF3F71" w:rsidRPr="00110998">
        <w:rPr>
          <w:rFonts w:ascii="Book Antiqua" w:eastAsia="Book Antiqua" w:hAnsi="Book Antiqua" w:cs="Book Antiqua"/>
          <w:color w:val="000000"/>
        </w:rPr>
        <w:t xml:space="preserve">six </w:t>
      </w:r>
      <w:r w:rsidRPr="00110998">
        <w:rPr>
          <w:rFonts w:ascii="Book Antiqua" w:eastAsia="Book Antiqua" w:hAnsi="Book Antiqua" w:cs="Book Antiqua"/>
          <w:color w:val="000000"/>
        </w:rPr>
        <w:t xml:space="preserve">cycles of ABVD therapy alone in patients with stage III and IV untreated cHL. After </w:t>
      </w:r>
      <w:r w:rsidR="00CF3F71" w:rsidRPr="00110998">
        <w:rPr>
          <w:rFonts w:ascii="Book Antiqua" w:eastAsia="Book Antiqua" w:hAnsi="Book Antiqua" w:cs="Book Antiqua"/>
          <w:color w:val="000000"/>
        </w:rPr>
        <w:t xml:space="preserve">2 </w:t>
      </w:r>
      <w:r w:rsidRPr="00110998">
        <w:rPr>
          <w:rFonts w:ascii="Book Antiqua" w:eastAsia="Book Antiqua" w:hAnsi="Book Antiqua" w:cs="Book Antiqua"/>
          <w:color w:val="000000"/>
        </w:rPr>
        <w:t xml:space="preserve">years of follow-up, 82.1% of patients in the BV arm and 77.2% in the control arm </w:t>
      </w:r>
      <w:r w:rsidR="00CF3F71" w:rsidRPr="00110998">
        <w:rPr>
          <w:rFonts w:ascii="Book Antiqua" w:eastAsia="Book Antiqua" w:hAnsi="Book Antiqua" w:cs="Book Antiqua"/>
          <w:color w:val="000000"/>
        </w:rPr>
        <w:t>were progression</w:t>
      </w:r>
      <w:r w:rsidR="00825823">
        <w:rPr>
          <w:rFonts w:ascii="Book Antiqua" w:eastAsia="Book Antiqua" w:hAnsi="Book Antiqua" w:cs="Book Antiqua"/>
          <w:color w:val="000000"/>
        </w:rPr>
        <w:t xml:space="preserve"> free</w:t>
      </w:r>
      <w:r w:rsidR="00CF3F7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(HR 0.77,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0.04)</w:t>
      </w:r>
      <w:r w:rsidRPr="00110998">
        <w:rPr>
          <w:rFonts w:ascii="Book Antiqua" w:eastAsia="Book Antiqua" w:hAnsi="Book Antiqua" w:cs="Book Antiqua"/>
          <w:color w:val="000000"/>
          <w:vertAlign w:val="superscript"/>
        </w:rPr>
        <w:t>[61]</w:t>
      </w:r>
      <w:r w:rsidRPr="00110998">
        <w:rPr>
          <w:rFonts w:ascii="Book Antiqua" w:eastAsia="Book Antiqua" w:hAnsi="Book Antiqua" w:cs="Book Antiqua"/>
          <w:color w:val="000000"/>
        </w:rPr>
        <w:t xml:space="preserve">. In recent years, BV has also played an important role in the treatment of CD30-positive T-cell lymphomas. The ALCANZA study compared BV with the investigators’ choice of methotrexate or bexarotene in R/R </w:t>
      </w:r>
      <w:r w:rsidR="007C2D85">
        <w:rPr>
          <w:rFonts w:ascii="Book Antiqua" w:eastAsia="Book Antiqua" w:hAnsi="Book Antiqua" w:cs="Book Antiqua"/>
          <w:color w:val="000000"/>
        </w:rPr>
        <w:t>CTCLs</w:t>
      </w:r>
      <w:r w:rsidRPr="00110998">
        <w:rPr>
          <w:rFonts w:ascii="Book Antiqua" w:eastAsia="Book Antiqua" w:hAnsi="Book Antiqua" w:cs="Book Antiqua"/>
          <w:color w:val="000000"/>
        </w:rPr>
        <w:t xml:space="preserve">. The primary endpoint was the </w:t>
      </w:r>
      <w:r w:rsidR="006A213F" w:rsidRPr="00110998">
        <w:rPr>
          <w:rFonts w:ascii="Book Antiqua" w:eastAsia="Book Antiqua" w:hAnsi="Book Antiqua" w:cs="Book Antiqua"/>
          <w:color w:val="000000"/>
        </w:rPr>
        <w:t>4</w:t>
      </w:r>
      <w:r w:rsidRPr="00110998">
        <w:rPr>
          <w:rFonts w:ascii="Book Antiqua" w:eastAsia="Book Antiqua" w:hAnsi="Book Antiqua" w:cs="Book Antiqua"/>
          <w:color w:val="000000"/>
        </w:rPr>
        <w:t xml:space="preserve">-mo objective response (ORR4). The ORR4 was 56.3% </w:t>
      </w:r>
      <w:r w:rsidR="006A213F" w:rsidRPr="00110998">
        <w:rPr>
          <w:rFonts w:ascii="Book Antiqua" w:eastAsia="Book Antiqua" w:hAnsi="Book Antiqua" w:cs="Book Antiqua"/>
          <w:color w:val="000000"/>
        </w:rPr>
        <w:t>in the BV</w:t>
      </w:r>
      <w:r w:rsidRPr="00110998">
        <w:rPr>
          <w:rFonts w:ascii="Book Antiqua" w:eastAsia="Book Antiqua" w:hAnsi="Book Antiqua" w:cs="Book Antiqua"/>
          <w:color w:val="000000"/>
        </w:rPr>
        <w:t xml:space="preserve"> </w:t>
      </w:r>
      <w:r w:rsidR="006A213F" w:rsidRPr="00110998">
        <w:rPr>
          <w:rFonts w:ascii="Book Antiqua" w:eastAsia="Book Antiqua" w:hAnsi="Book Antiqua" w:cs="Book Antiqua"/>
          <w:color w:val="000000"/>
        </w:rPr>
        <w:t xml:space="preserve">12.5% in the </w:t>
      </w:r>
      <w:r w:rsidRPr="00110998">
        <w:rPr>
          <w:rFonts w:ascii="Book Antiqua" w:eastAsia="Book Antiqua" w:hAnsi="Book Antiqua" w:cs="Book Antiqua"/>
          <w:color w:val="000000"/>
        </w:rPr>
        <w:t>control arm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&lt;</w:t>
      </w:r>
      <w:r w:rsidR="00714E73"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0.0001)</w:t>
      </w:r>
      <w:r w:rsidRPr="00110998">
        <w:rPr>
          <w:rFonts w:ascii="Book Antiqua" w:eastAsia="Book Antiqua" w:hAnsi="Book Antiqua" w:cs="Book Antiqua"/>
          <w:color w:val="000000"/>
          <w:vertAlign w:val="superscript"/>
        </w:rPr>
        <w:t>[62]</w:t>
      </w:r>
      <w:r w:rsidRPr="00110998">
        <w:rPr>
          <w:rFonts w:ascii="Book Antiqua" w:eastAsia="Book Antiqua" w:hAnsi="Book Antiqua" w:cs="Book Antiqua"/>
          <w:color w:val="000000"/>
        </w:rPr>
        <w:t>. BV has shown remarkable results for the treatment of R/R ALCL</w:t>
      </w:r>
      <w:r w:rsidRPr="00110998">
        <w:rPr>
          <w:rFonts w:ascii="Book Antiqua" w:eastAsia="Book Antiqua" w:hAnsi="Book Antiqua" w:cs="Book Antiqua"/>
          <w:color w:val="000000"/>
          <w:vertAlign w:val="superscript"/>
        </w:rPr>
        <w:t>[63]</w:t>
      </w:r>
      <w:r w:rsidR="006A213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6A213F" w:rsidRPr="00110998">
        <w:rPr>
          <w:rFonts w:ascii="Book Antiqua" w:eastAsia="Book Antiqua" w:hAnsi="Book Antiqua" w:cs="Book Antiqua"/>
          <w:color w:val="000000"/>
        </w:rPr>
        <w:t>H</w:t>
      </w:r>
      <w:r w:rsidRPr="00110998">
        <w:rPr>
          <w:rFonts w:ascii="Book Antiqua" w:eastAsia="Book Antiqua" w:hAnsi="Book Antiqua" w:cs="Book Antiqua"/>
          <w:color w:val="000000"/>
        </w:rPr>
        <w:t xml:space="preserve">owever, probably the greatest progress made using BV has been in the initial treatment of CD30-positive peripheral T-cell lymphomas. The randomized, double-blind, phase III ECHELON-2 study randomized a total of 601 patients </w:t>
      </w:r>
      <w:r w:rsidR="006A213F" w:rsidRPr="00110998">
        <w:rPr>
          <w:rFonts w:ascii="Book Antiqua" w:eastAsia="Book Antiqua" w:hAnsi="Book Antiqua" w:cs="Book Antiqua"/>
          <w:color w:val="000000"/>
        </w:rPr>
        <w:t xml:space="preserve">to </w:t>
      </w:r>
      <w:r w:rsidRPr="00110998">
        <w:rPr>
          <w:rFonts w:ascii="Book Antiqua" w:eastAsia="Book Antiqua" w:hAnsi="Book Antiqua" w:cs="Book Antiqua"/>
          <w:color w:val="000000"/>
        </w:rPr>
        <w:t xml:space="preserve">BV + CHP (A-CHP) or CHOP therapy. The median PFS in the A-CHP arm was 48.2 mo compared </w:t>
      </w:r>
      <w:r w:rsidR="006A213F"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 xml:space="preserve">20.8 mo in the CHOP arm (HR 0.71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0.011). BV also prolonged OS in comparison to the control (HR 0.66,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0.0244)</w:t>
      </w:r>
      <w:r w:rsidRPr="00110998">
        <w:rPr>
          <w:rFonts w:ascii="Book Antiqua" w:eastAsia="Book Antiqua" w:hAnsi="Book Antiqua" w:cs="Book Antiqua"/>
          <w:color w:val="000000"/>
          <w:vertAlign w:val="superscript"/>
        </w:rPr>
        <w:t>[64]</w:t>
      </w:r>
      <w:r w:rsidRPr="00110998">
        <w:rPr>
          <w:rFonts w:ascii="Book Antiqua" w:eastAsia="Book Antiqua" w:hAnsi="Book Antiqua" w:cs="Book Antiqua"/>
          <w:color w:val="000000"/>
        </w:rPr>
        <w:t>. The most common toxicity associated with BV is peripheral sensory neuropathy, which is reversible in most cases</w:t>
      </w:r>
      <w:r w:rsidRPr="00110998">
        <w:rPr>
          <w:rFonts w:ascii="Book Antiqua" w:eastAsia="Book Antiqua" w:hAnsi="Book Antiqua" w:cs="Book Antiqua"/>
          <w:color w:val="000000"/>
          <w:vertAlign w:val="superscript"/>
        </w:rPr>
        <w:t>[56-64]</w:t>
      </w:r>
      <w:r w:rsidRPr="00110998">
        <w:rPr>
          <w:rFonts w:ascii="Book Antiqua" w:eastAsia="Book Antiqua" w:hAnsi="Book Antiqua" w:cs="Book Antiqua"/>
          <w:color w:val="000000"/>
        </w:rPr>
        <w:t>.</w:t>
      </w:r>
    </w:p>
    <w:p w14:paraId="7F76252B" w14:textId="024FEBC8"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Polatuzumab</w:t>
      </w:r>
      <w:r w:rsidR="00825823">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vedotin (PV) is an ADC that targets the CD79b receptor expressed on B-cell lymphomas. PV was approved by the Food and Drug Administration (FDA) based on the results of a phase II study in R/R DLBCL. In </w:t>
      </w:r>
      <w:r w:rsidR="00C36A35"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 xml:space="preserve">study, the addition of PV was compared </w:t>
      </w:r>
      <w:r w:rsidR="00C36A35"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 xml:space="preserve">the R-Benda combination. Compared with patients receiving R-Benda, patients receiving PV had a longer median PFS (9.5 </w:t>
      </w:r>
      <w:r w:rsidR="009F1186" w:rsidRPr="00110998">
        <w:rPr>
          <w:rFonts w:ascii="Book Antiqua" w:eastAsia="Book Antiqua" w:hAnsi="Book Antiqua" w:cs="Book Antiqua"/>
          <w:color w:val="000000"/>
        </w:rPr>
        <w:t>mo</w:t>
      </w:r>
      <w:r w:rsidR="009F1186" w:rsidRPr="00110998">
        <w:rPr>
          <w:rFonts w:ascii="Book Antiqua" w:eastAsia="Book Antiqua" w:hAnsi="Book Antiqua" w:cs="Book Antiqua"/>
          <w:i/>
          <w:iCs/>
          <w:color w:val="000000"/>
        </w:rPr>
        <w:t xml:space="preserve">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3.7 mo; HR 0.36,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lastRenderedPageBreak/>
        <w:t xml:space="preserve">= 0.001), a longer OS (12.4 </w:t>
      </w:r>
      <w:r w:rsidR="008B1CE0" w:rsidRPr="00110998">
        <w:rPr>
          <w:rFonts w:ascii="Book Antiqua" w:eastAsia="Book Antiqua" w:hAnsi="Book Antiqua" w:cs="Book Antiqua"/>
          <w:color w:val="000000"/>
        </w:rPr>
        <w:t>mo</w:t>
      </w:r>
      <w:r w:rsidR="008B1CE0" w:rsidRPr="00110998">
        <w:rPr>
          <w:rFonts w:ascii="Book Antiqua" w:eastAsia="Book Antiqua" w:hAnsi="Book Antiqua" w:cs="Book Antiqua"/>
          <w:i/>
          <w:iCs/>
          <w:color w:val="000000"/>
        </w:rPr>
        <w:t xml:space="preserve">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4.7</w:t>
      </w:r>
      <w:r w:rsidR="008B1CE0" w:rsidRPr="00110998">
        <w:rPr>
          <w:rFonts w:ascii="Book Antiqua" w:eastAsia="Book Antiqua" w:hAnsi="Book Antiqua" w:cs="Book Antiqua"/>
          <w:color w:val="000000"/>
        </w:rPr>
        <w:t xml:space="preserve"> mo</w:t>
      </w:r>
      <w:r w:rsidRPr="00110998">
        <w:rPr>
          <w:rFonts w:ascii="Book Antiqua" w:eastAsia="Book Antiqua" w:hAnsi="Book Antiqua" w:cs="Book Antiqua"/>
          <w:color w:val="000000"/>
        </w:rPr>
        <w:t xml:space="preserve">; HR 0.42,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0.002), and a higher </w:t>
      </w:r>
      <w:r w:rsidR="008E7F8A">
        <w:rPr>
          <w:rFonts w:ascii="Book Antiqua" w:eastAsia="Book Antiqua" w:hAnsi="Book Antiqua" w:cs="Book Antiqua"/>
          <w:color w:val="000000"/>
        </w:rPr>
        <w:t>CR</w:t>
      </w:r>
      <w:r w:rsidRPr="00110998">
        <w:rPr>
          <w:rFonts w:ascii="Book Antiqua" w:eastAsia="Book Antiqua" w:hAnsi="Book Antiqua" w:cs="Book Antiqua"/>
          <w:color w:val="000000"/>
        </w:rPr>
        <w:t xml:space="preserve"> rate (40%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17.5%;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0.026)</w:t>
      </w:r>
      <w:r w:rsidRPr="00110998">
        <w:rPr>
          <w:rFonts w:ascii="Book Antiqua" w:eastAsia="Book Antiqua" w:hAnsi="Book Antiqua" w:cs="Book Antiqua"/>
          <w:color w:val="000000"/>
          <w:vertAlign w:val="superscript"/>
        </w:rPr>
        <w:t>[65]</w:t>
      </w:r>
      <w:r w:rsidRPr="00110998">
        <w:rPr>
          <w:rFonts w:ascii="Book Antiqua" w:eastAsia="Book Antiqua" w:hAnsi="Book Antiqua" w:cs="Book Antiqua"/>
          <w:color w:val="000000"/>
        </w:rPr>
        <w:t>. Two important clinical trials are underway to further investigate the efficacy of PV for lymphoma, including</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PV in R/R FL and DLBCL in combination with lenalidomide, and PV </w:t>
      </w:r>
      <w:r w:rsidR="00C36A35" w:rsidRPr="00110998">
        <w:rPr>
          <w:rFonts w:ascii="Book Antiqua" w:eastAsia="Book Antiqua" w:hAnsi="Book Antiqua" w:cs="Book Antiqua"/>
          <w:color w:val="000000"/>
        </w:rPr>
        <w:t xml:space="preserve">as </w:t>
      </w:r>
      <w:r w:rsidRPr="00110998">
        <w:rPr>
          <w:rFonts w:ascii="Book Antiqua" w:eastAsia="Book Antiqua" w:hAnsi="Book Antiqua" w:cs="Book Antiqua"/>
          <w:color w:val="000000"/>
        </w:rPr>
        <w:t xml:space="preserve">the first-line treatment of the DLBCL </w:t>
      </w:r>
      <w:r w:rsidR="00C36A35" w:rsidRPr="00110998">
        <w:rPr>
          <w:rFonts w:ascii="Book Antiqua" w:eastAsia="Book Antiqua" w:hAnsi="Book Antiqua" w:cs="Book Antiqua"/>
          <w:color w:val="000000"/>
        </w:rPr>
        <w:t xml:space="preserve">with an </w:t>
      </w:r>
      <w:r w:rsidRPr="00110998">
        <w:rPr>
          <w:rFonts w:ascii="Book Antiqua" w:eastAsia="Book Antiqua" w:hAnsi="Book Antiqua" w:cs="Book Antiqua"/>
          <w:color w:val="000000"/>
        </w:rPr>
        <w:t>International Prognostic Index (IPI) score of 2-5 in combination with R-CHOP therapy in the phase III POLARIX study</w:t>
      </w:r>
      <w:r w:rsidRPr="00110998">
        <w:rPr>
          <w:rFonts w:ascii="Book Antiqua" w:eastAsia="Book Antiqua" w:hAnsi="Book Antiqua" w:cs="Book Antiqua"/>
          <w:color w:val="000000"/>
          <w:vertAlign w:val="superscript"/>
        </w:rPr>
        <w:t>[66,67]</w:t>
      </w:r>
      <w:r w:rsidRPr="00110998">
        <w:rPr>
          <w:rFonts w:ascii="Book Antiqua" w:eastAsia="Book Antiqua" w:hAnsi="Book Antiqua" w:cs="Book Antiqua"/>
          <w:color w:val="000000"/>
        </w:rPr>
        <w: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Moxetumomab pseudotox was approved for the treatment of R/R hairy cell leukemia (HCL) based on a phase II study in which 30% of patients with HCL who had previously received at least two lines of treatment achieved CR</w:t>
      </w:r>
      <w:r w:rsidRPr="00110998">
        <w:rPr>
          <w:rFonts w:ascii="Book Antiqua" w:eastAsia="Book Antiqua" w:hAnsi="Book Antiqua" w:cs="Book Antiqua"/>
          <w:color w:val="000000"/>
          <w:vertAlign w:val="superscript"/>
        </w:rPr>
        <w:t>[68]</w:t>
      </w:r>
      <w:r w:rsidRPr="00110998">
        <w:rPr>
          <w:rFonts w:ascii="Book Antiqua" w:eastAsia="Book Antiqua" w:hAnsi="Book Antiqua" w:cs="Book Antiqua"/>
          <w:color w:val="000000"/>
        </w:rPr>
        <w:t>.</w:t>
      </w:r>
    </w:p>
    <w:p w14:paraId="727CD7A8" w14:textId="77777777" w:rsidR="008E7812" w:rsidRPr="00110998" w:rsidRDefault="008E7812">
      <w:pPr>
        <w:snapToGrid w:val="0"/>
        <w:spacing w:line="360" w:lineRule="auto"/>
        <w:jc w:val="both"/>
      </w:pPr>
    </w:p>
    <w:p w14:paraId="3A6A3DBF"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BISPECIFIC ANTIBODIES/BISPECIFIC T-CELL ENGAGERS</w:t>
      </w:r>
    </w:p>
    <w:p w14:paraId="18CF89A7" w14:textId="3612C4BE" w:rsidR="008E7812" w:rsidRPr="00110998" w:rsidRDefault="008E2E22">
      <w:pPr>
        <w:snapToGrid w:val="0"/>
        <w:spacing w:line="360" w:lineRule="auto"/>
        <w:jc w:val="both"/>
      </w:pPr>
      <w:r w:rsidRPr="00110998">
        <w:rPr>
          <w:rFonts w:ascii="Book Antiqua" w:eastAsia="Book Antiqua" w:hAnsi="Book Antiqua" w:cs="Book Antiqua"/>
          <w:color w:val="000000"/>
        </w:rPr>
        <w:t xml:space="preserve">Bispecific antibodies/bispecific T-cell engagers (BITEs) bind two antigens/receptors. One is found on a malignant cell and the other is most </w:t>
      </w:r>
      <w:r w:rsidR="00C36A35" w:rsidRPr="00110998">
        <w:rPr>
          <w:rFonts w:ascii="Book Antiqua" w:eastAsia="Book Antiqua" w:hAnsi="Book Antiqua" w:cs="Book Antiqua"/>
          <w:color w:val="000000"/>
        </w:rPr>
        <w:t xml:space="preserve">often </w:t>
      </w:r>
      <w:r w:rsidRPr="00110998">
        <w:rPr>
          <w:rFonts w:ascii="Book Antiqua" w:eastAsia="Book Antiqua" w:hAnsi="Book Antiqua" w:cs="Book Antiqua"/>
          <w:color w:val="000000"/>
        </w:rPr>
        <w:t xml:space="preserve">CD3, which is a T-cell surface antigen. In </w:t>
      </w:r>
      <w:r w:rsidR="00C36A35"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way, the molecules mediate the direct destruction of lymphoma cells by 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(Table 3). Blinatumomab is a CD19/CD3 antibody </w:t>
      </w:r>
      <w:r w:rsidR="00C36A35" w:rsidRPr="00110998">
        <w:rPr>
          <w:rFonts w:ascii="Book Antiqua" w:eastAsia="Book Antiqua" w:hAnsi="Book Antiqua" w:cs="Book Antiqua"/>
          <w:color w:val="000000"/>
        </w:rPr>
        <w:t xml:space="preserve">approved </w:t>
      </w:r>
      <w:r w:rsidRPr="00110998">
        <w:rPr>
          <w:rFonts w:ascii="Book Antiqua" w:eastAsia="Book Antiqua" w:hAnsi="Book Antiqua" w:cs="Book Antiqua"/>
          <w:color w:val="000000"/>
        </w:rPr>
        <w:t>for the treatment of R/R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xml:space="preserve"> acute lymphoblastic leukemia (B-ALL)</w:t>
      </w:r>
      <w:r w:rsidRPr="00110998">
        <w:rPr>
          <w:rFonts w:ascii="Book Antiqua" w:eastAsia="Book Antiqua" w:hAnsi="Book Antiqua" w:cs="Book Antiqua"/>
          <w:color w:val="000000"/>
          <w:vertAlign w:val="superscript"/>
        </w:rPr>
        <w:t>[69]</w:t>
      </w:r>
      <w:r w:rsidRPr="00110998">
        <w:rPr>
          <w:rFonts w:ascii="Book Antiqua" w:eastAsia="Book Antiqua" w:hAnsi="Book Antiqua" w:cs="Book Antiqua"/>
          <w:color w:val="000000"/>
        </w:rPr>
        <w:t>. Blinatumomab was tested as a therapy for R/R DLBCL in a phase I trial</w:t>
      </w:r>
      <w:r w:rsidRPr="00110998">
        <w:rPr>
          <w:rFonts w:ascii="Book Antiqua" w:eastAsia="Book Antiqua" w:hAnsi="Book Antiqua" w:cs="Book Antiqua"/>
          <w:color w:val="000000"/>
          <w:vertAlign w:val="superscript"/>
        </w:rPr>
        <w:t>[70]</w:t>
      </w:r>
      <w:r w:rsidRPr="00110998">
        <w:rPr>
          <w:rFonts w:ascii="Book Antiqua" w:eastAsia="Book Antiqua" w:hAnsi="Book Antiqua" w:cs="Book Antiqua"/>
          <w:color w:val="000000"/>
        </w:rPr>
        <w:t>. A high rate of neurotoxicity was noted, and the drug did not enter the later clinical trial stages. Long-term follow-up data from th</w:t>
      </w:r>
      <w:r w:rsidR="00C36A35" w:rsidRPr="00110998">
        <w:rPr>
          <w:rFonts w:ascii="Book Antiqua" w:eastAsia="Book Antiqua" w:hAnsi="Book Antiqua" w:cs="Book Antiqua"/>
          <w:color w:val="000000"/>
        </w:rPr>
        <w:t>o</w:t>
      </w:r>
      <w:r w:rsidRPr="00110998">
        <w:rPr>
          <w:rFonts w:ascii="Book Antiqua" w:eastAsia="Book Antiqua" w:hAnsi="Book Antiqua" w:cs="Book Antiqua"/>
          <w:color w:val="000000"/>
        </w:rPr>
        <w:t xml:space="preserve">se patients have been recently published. The median </w:t>
      </w:r>
      <w:r w:rsidR="007C2D85">
        <w:rPr>
          <w:rFonts w:ascii="Book Antiqua" w:eastAsia="Book Antiqua" w:hAnsi="Book Antiqua" w:cs="Book Antiqua"/>
          <w:color w:val="000000"/>
        </w:rPr>
        <w:t>OS</w:t>
      </w:r>
      <w:r w:rsidRPr="00110998">
        <w:rPr>
          <w:rFonts w:ascii="Book Antiqua" w:eastAsia="Book Antiqua" w:hAnsi="Book Antiqua" w:cs="Book Antiqua"/>
          <w:color w:val="000000"/>
        </w:rPr>
        <w:t xml:space="preserve"> was 7.7 years </w:t>
      </w:r>
      <w:r w:rsidR="00AA1689" w:rsidRPr="00110998">
        <w:rPr>
          <w:rFonts w:ascii="Book Antiqua" w:eastAsia="Book Antiqua" w:hAnsi="Book Antiqua" w:cs="Book Antiqua"/>
          <w:color w:val="000000"/>
        </w:rPr>
        <w:t xml:space="preserve">in patients receiving a dose ≥ </w:t>
      </w:r>
      <w:r w:rsidRPr="00110998">
        <w:rPr>
          <w:rFonts w:ascii="Book Antiqua" w:eastAsia="Book Antiqua" w:hAnsi="Book Antiqua" w:cs="Book Antiqua"/>
          <w:color w:val="000000"/>
        </w:rPr>
        <w:t>60 μg/m</w:t>
      </w:r>
      <w:r w:rsidRPr="00110998">
        <w:rPr>
          <w:rFonts w:ascii="Book Antiqua" w:eastAsia="Book Antiqua" w:hAnsi="Book Antiqua" w:cs="Book Antiqua"/>
          <w:color w:val="000000"/>
          <w:szCs w:val="30"/>
          <w:vertAlign w:val="superscript"/>
        </w:rPr>
        <w:t>2</w:t>
      </w:r>
      <w:r w:rsidRPr="00110998">
        <w:rPr>
          <w:rFonts w:ascii="Book Antiqua" w:eastAsia="Book Antiqua" w:hAnsi="Book Antiqua" w:cs="Book Antiqua"/>
          <w:color w:val="000000"/>
        </w:rPr>
        <w:t>,</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indicating that this approach might be an important consideration for future research</w:t>
      </w:r>
      <w:r w:rsidRPr="00110998">
        <w:rPr>
          <w:rFonts w:ascii="Book Antiqua" w:eastAsia="Book Antiqua" w:hAnsi="Book Antiqua" w:cs="Book Antiqua"/>
          <w:color w:val="000000"/>
          <w:vertAlign w:val="superscript"/>
        </w:rPr>
        <w:t>[71]</w:t>
      </w:r>
      <w:r w:rsidRPr="00110998">
        <w:rPr>
          <w:rFonts w:ascii="Book Antiqua" w:eastAsia="Book Antiqua" w:hAnsi="Book Antiqua" w:cs="Book Antiqua"/>
          <w:color w:val="000000"/>
        </w:rPr>
        <w:t>.</w:t>
      </w:r>
    </w:p>
    <w:p w14:paraId="7CAE1246" w14:textId="587BA330"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Mosunetuzumab is a BITE targeting CD20/CD3.</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It has a longer serum half-life than</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blinatumomab </w:t>
      </w:r>
      <w:r w:rsidR="00C36A35"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its pharmacological properties and does not have to be administered as a multiday continuous infusion. In a population of heavily pretreated patients with R/R FL and R/R DLBCL, including those who relapsed after CAR T-cell therapy, mosunetuzumab achieved ORRs of 64.1% and 42.2%, respectively, in indolent and aggressive lymphomas. The CR rate was 18.6% for DLBCL and 34.7% for FL. The most limiting blinatumomab and CAR T-cell toxicities</w:t>
      </w:r>
      <w:r w:rsidR="00C36A35" w:rsidRPr="00110998">
        <w:rPr>
          <w:rFonts w:ascii="Book Antiqua" w:eastAsia="Book Antiqua" w:hAnsi="Book Antiqua" w:cs="Book Antiqua"/>
          <w:color w:val="000000"/>
        </w:rPr>
        <w:t xml:space="preserve"> were</w:t>
      </w:r>
      <w:r w:rsidRPr="00110998">
        <w:rPr>
          <w:rFonts w:ascii="Book Antiqua" w:eastAsia="Book Antiqua" w:hAnsi="Book Antiqua" w:cs="Book Antiqua"/>
          <w:color w:val="000000"/>
        </w:rPr>
        <w:t xml:space="preserve"> neurotoxicity </w:t>
      </w:r>
      <w:r w:rsidR="00C36A35" w:rsidRPr="00110998">
        <w:rPr>
          <w:rFonts w:ascii="Book Antiqua" w:eastAsia="Book Antiqua" w:hAnsi="Book Antiqua" w:cs="Book Antiqua"/>
          <w:color w:val="000000"/>
        </w:rPr>
        <w:t xml:space="preserve">in 44% </w:t>
      </w:r>
      <w:r w:rsidRPr="00110998">
        <w:rPr>
          <w:rFonts w:ascii="Book Antiqua" w:eastAsia="Book Antiqua" w:hAnsi="Book Antiqua" w:cs="Book Antiqua"/>
          <w:color w:val="000000"/>
        </w:rPr>
        <w:t>and cytokine releasing syndrome (CRS)</w:t>
      </w:r>
      <w:r w:rsidR="00C36A35" w:rsidRPr="00110998">
        <w:rPr>
          <w:rFonts w:ascii="Book Antiqua" w:eastAsia="Book Antiqua" w:hAnsi="Book Antiqua" w:cs="Book Antiqua"/>
          <w:color w:val="000000"/>
        </w:rPr>
        <w:t xml:space="preserve"> in</w:t>
      </w:r>
      <w:r w:rsidRPr="00110998">
        <w:rPr>
          <w:rFonts w:ascii="Book Antiqua" w:eastAsia="Book Antiqua" w:hAnsi="Book Antiqua" w:cs="Book Antiqua"/>
          <w:color w:val="000000"/>
        </w:rPr>
        <w:t xml:space="preserve"> 28.4%</w:t>
      </w:r>
      <w:r w:rsidR="00C36A35" w:rsidRPr="00110998">
        <w:rPr>
          <w:rFonts w:ascii="Book Antiqua" w:eastAsia="Book Antiqua" w:hAnsi="Book Antiqua" w:cs="Book Antiqua"/>
          <w:color w:val="000000"/>
        </w:rPr>
        <w:t xml:space="preserve"> of patients</w:t>
      </w:r>
      <w:r w:rsidRPr="00110998">
        <w:rPr>
          <w:rFonts w:ascii="Book Antiqua" w:eastAsia="Book Antiqua" w:hAnsi="Book Antiqua" w:cs="Book Antiqua"/>
          <w:color w:val="000000"/>
        </w:rPr>
        <w:t xml:space="preserve"> with mosunetuzumab, mostly </w:t>
      </w:r>
      <w:r w:rsidRPr="00110998">
        <w:rPr>
          <w:rFonts w:ascii="Book Antiqua" w:eastAsia="Book Antiqua" w:hAnsi="Book Antiqua" w:cs="Book Antiqua"/>
          <w:color w:val="000000"/>
        </w:rPr>
        <w:lastRenderedPageBreak/>
        <w:t>grade 1 or 2</w:t>
      </w:r>
      <w:r w:rsidRPr="00110998">
        <w:rPr>
          <w:rFonts w:ascii="Book Antiqua" w:eastAsia="Book Antiqua" w:hAnsi="Book Antiqua" w:cs="Book Antiqua"/>
          <w:color w:val="000000"/>
          <w:vertAlign w:val="superscript"/>
        </w:rPr>
        <w:t>[72]</w:t>
      </w:r>
      <w:r w:rsidRPr="00110998">
        <w:rPr>
          <w:rFonts w:ascii="Book Antiqua" w:eastAsia="Book Antiqua" w:hAnsi="Book Antiqua" w:cs="Book Antiqua"/>
          <w:color w:val="000000"/>
        </w:rPr>
        <w: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REG1979 and CD20-TBC are two CD20/CD3 BITEs that have been tested in phase I studies</w:t>
      </w:r>
      <w:r w:rsidRPr="00110998">
        <w:rPr>
          <w:rFonts w:ascii="Book Antiqua" w:eastAsia="Book Antiqua" w:hAnsi="Book Antiqua" w:cs="Book Antiqua"/>
          <w:color w:val="000000"/>
          <w:vertAlign w:val="superscript"/>
        </w:rPr>
        <w:t>[73-75]</w:t>
      </w:r>
      <w:r w:rsidRPr="00110998">
        <w:rPr>
          <w:rFonts w:ascii="Book Antiqua" w:eastAsia="Book Antiqua" w:hAnsi="Book Antiqua" w:cs="Book Antiqua"/>
          <w:color w:val="000000"/>
        </w:rPr>
        <w:t xml:space="preserve">. CD20-TBC </w:t>
      </w:r>
      <w:r w:rsidR="00C36A35"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 xml:space="preserve">a 47% ORR </w:t>
      </w:r>
      <w:r w:rsidR="00C36A35" w:rsidRPr="00110998">
        <w:rPr>
          <w:rFonts w:ascii="Book Antiqua" w:eastAsia="Book Antiqua" w:hAnsi="Book Antiqua" w:cs="Book Antiqua"/>
          <w:color w:val="000000"/>
        </w:rPr>
        <w:t xml:space="preserve">and </w:t>
      </w:r>
      <w:r w:rsidRPr="00110998">
        <w:rPr>
          <w:rFonts w:ascii="Book Antiqua" w:eastAsia="Book Antiqua" w:hAnsi="Book Antiqua" w:cs="Book Antiqua"/>
          <w:color w:val="000000"/>
        </w:rPr>
        <w:t>34% CR in heavily pretreated NHL patients. The incidence of CRS was 55% and was mostly grade 1 or 2</w:t>
      </w:r>
      <w:r w:rsidRPr="00110998">
        <w:rPr>
          <w:rFonts w:ascii="Book Antiqua" w:eastAsia="Book Antiqua" w:hAnsi="Book Antiqua" w:cs="Book Antiqua"/>
          <w:color w:val="000000"/>
          <w:vertAlign w:val="superscript"/>
        </w:rPr>
        <w:t>[75]</w:t>
      </w:r>
      <w:r w:rsidRPr="00110998">
        <w:rPr>
          <w:rFonts w:ascii="Book Antiqua" w:eastAsia="Book Antiqua" w:hAnsi="Book Antiqua" w:cs="Book Antiqua"/>
          <w:color w:val="000000"/>
        </w:rPr>
        <w:t>.</w:t>
      </w:r>
    </w:p>
    <w:p w14:paraId="3CFFF44D" w14:textId="77777777" w:rsidR="008E7812" w:rsidRPr="00110998" w:rsidRDefault="008E7812">
      <w:pPr>
        <w:snapToGrid w:val="0"/>
        <w:spacing w:line="360" w:lineRule="auto"/>
        <w:jc w:val="both"/>
      </w:pPr>
    </w:p>
    <w:p w14:paraId="424C04F7"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CHECKPOINT INHIBITORS</w:t>
      </w:r>
    </w:p>
    <w:p w14:paraId="79674D25" w14:textId="00D8DC5E" w:rsidR="008E7812" w:rsidRPr="00110998" w:rsidRDefault="008E2E22">
      <w:pPr>
        <w:snapToGrid w:val="0"/>
        <w:spacing w:line="360" w:lineRule="auto"/>
        <w:jc w:val="both"/>
      </w:pPr>
      <w:r w:rsidRPr="00110998">
        <w:rPr>
          <w:rFonts w:ascii="Book Antiqua" w:eastAsia="Book Antiqua" w:hAnsi="Book Antiqua" w:cs="Book Antiqua"/>
          <w:color w:val="000000"/>
        </w:rPr>
        <w:t>Checkp</w:t>
      </w:r>
      <w:r w:rsidR="004A05F2" w:rsidRPr="00110998">
        <w:rPr>
          <w:rFonts w:ascii="Book Antiqua" w:eastAsia="Book Antiqua" w:hAnsi="Book Antiqua" w:cs="Book Antiqua"/>
          <w:color w:val="000000"/>
        </w:rPr>
        <w:t>oint inhibitors (CPIs</w:t>
      </w:r>
      <w:r w:rsidR="00C36A35" w:rsidRPr="00110998">
        <w:rPr>
          <w:rFonts w:ascii="Book Antiqua" w:eastAsia="Book Antiqua" w:hAnsi="Book Antiqua" w:cs="Book Antiqua"/>
          <w:color w:val="000000"/>
        </w:rPr>
        <w:t xml:space="preserve">, </w:t>
      </w:r>
      <w:r w:rsidR="004A05F2" w:rsidRPr="00110998">
        <w:rPr>
          <w:rFonts w:ascii="Book Antiqua" w:eastAsia="Book Antiqua" w:hAnsi="Book Antiqua" w:cs="Book Antiqua"/>
          <w:color w:val="000000"/>
        </w:rPr>
        <w:t>Table 4</w:t>
      </w:r>
      <w:r w:rsidRPr="00110998">
        <w:rPr>
          <w:rFonts w:ascii="Book Antiqua" w:eastAsia="Book Antiqua" w:hAnsi="Book Antiqua" w:cs="Book Antiqua"/>
          <w:color w:val="000000"/>
        </w:rPr>
        <w:t>) have revolutionized the treatment of solid tumors and have become the absolute standard of care for melanoma, lung cancer, urological tumors, and triple-negative breast cancer</w:t>
      </w:r>
      <w:r w:rsidRPr="00110998">
        <w:rPr>
          <w:rFonts w:ascii="Book Antiqua" w:eastAsia="Book Antiqua" w:hAnsi="Book Antiqua" w:cs="Book Antiqua"/>
          <w:color w:val="000000"/>
          <w:vertAlign w:val="superscript"/>
        </w:rPr>
        <w:t>[76-83]</w:t>
      </w:r>
      <w:r w:rsidRPr="00110998">
        <w:rPr>
          <w:rFonts w:ascii="Book Antiqua" w:eastAsia="Book Antiqua" w:hAnsi="Book Antiqua" w:cs="Book Antiqua"/>
          <w:color w:val="000000"/>
        </w:rPr>
        <w:t>. The rationale for CPI clinical trials for cHLis is high PD-L1/PD-L2 expression as a result of copy-number amplification of the PD-L1 and JAK gene loci on chromosome 9p24</w:t>
      </w:r>
      <w:r w:rsidRPr="00110998">
        <w:rPr>
          <w:rFonts w:ascii="Book Antiqua" w:eastAsia="Book Antiqua" w:hAnsi="Book Antiqua" w:cs="Book Antiqua"/>
          <w:color w:val="000000"/>
          <w:vertAlign w:val="superscript"/>
        </w:rPr>
        <w:t>[16]</w:t>
      </w:r>
      <w:r w:rsidRPr="00110998">
        <w:rPr>
          <w:rFonts w:ascii="Book Antiqua" w:eastAsia="Book Antiqua" w:hAnsi="Book Antiqua" w:cs="Book Antiqua"/>
          <w:color w:val="000000"/>
        </w:rPr>
        <w:t xml:space="preserve">. Nivolumab and pembrolizumab have shown </w:t>
      </w:r>
      <w:r w:rsidR="00C36A35" w:rsidRPr="00110998">
        <w:rPr>
          <w:rFonts w:ascii="Book Antiqua" w:eastAsia="Book Antiqua" w:hAnsi="Book Antiqua" w:cs="Book Antiqua"/>
          <w:color w:val="000000"/>
        </w:rPr>
        <w:t xml:space="preserve">good </w:t>
      </w:r>
      <w:r w:rsidRPr="00110998">
        <w:rPr>
          <w:rFonts w:ascii="Book Antiqua" w:eastAsia="Book Antiqua" w:hAnsi="Book Antiqua" w:cs="Book Antiqua"/>
          <w:color w:val="000000"/>
        </w:rPr>
        <w:t xml:space="preserve">results in heavily pretreated patients with R/R cHL. Nivolumab </w:t>
      </w:r>
      <w:r w:rsidR="00C36A35"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an ORR of 69%, a CR of 40%</w:t>
      </w:r>
      <w:r w:rsidR="00C36A3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a median DoR of 16.6 mo in patients who relapsed after HDCT/ASCT</w:t>
      </w:r>
      <w:r w:rsidRPr="00110998">
        <w:rPr>
          <w:rFonts w:ascii="Book Antiqua" w:eastAsia="Book Antiqua" w:hAnsi="Book Antiqua" w:cs="Book Antiqua"/>
          <w:color w:val="000000"/>
          <w:vertAlign w:val="superscript"/>
        </w:rPr>
        <w:t>[84]</w:t>
      </w:r>
      <w:r w:rsidRPr="00110998">
        <w:rPr>
          <w:rFonts w:ascii="Book Antiqua" w:eastAsia="Book Antiqua" w:hAnsi="Book Antiqua" w:cs="Book Antiqua"/>
          <w:color w:val="000000"/>
        </w:rPr>
        <w:t>. Similar to nivolumab, pembrolizumab achieved an ORR of 69%</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22% CR</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 </w:t>
      </w:r>
      <w:r w:rsidR="00B311AB" w:rsidRPr="00110998">
        <w:rPr>
          <w:rFonts w:ascii="Book Antiqua" w:eastAsia="Book Antiqua" w:hAnsi="Book Antiqua" w:cs="Book Antiqua"/>
          <w:color w:val="000000"/>
        </w:rPr>
        <w:t>6</w:t>
      </w:r>
      <w:r w:rsidRPr="00110998">
        <w:rPr>
          <w:rFonts w:ascii="Book Antiqua" w:eastAsia="Book Antiqua" w:hAnsi="Book Antiqua" w:cs="Book Antiqua"/>
          <w:color w:val="000000"/>
        </w:rPr>
        <w:t>-mo PFS of 72.4%</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w:t>
      </w:r>
      <w:r w:rsidR="00B311AB" w:rsidRPr="00110998">
        <w:rPr>
          <w:rFonts w:ascii="Book Antiqua" w:eastAsia="Book Antiqua" w:hAnsi="Book Antiqua" w:cs="Book Antiqua"/>
          <w:color w:val="000000"/>
        </w:rPr>
        <w:t xml:space="preserve">an OS of </w:t>
      </w:r>
      <w:r w:rsidRPr="00110998">
        <w:rPr>
          <w:rFonts w:ascii="Book Antiqua" w:eastAsia="Book Antiqua" w:hAnsi="Book Antiqua" w:cs="Book Antiqua"/>
          <w:color w:val="000000"/>
        </w:rPr>
        <w:t>99.5%</w:t>
      </w:r>
      <w:r w:rsidRPr="00110998">
        <w:rPr>
          <w:rFonts w:ascii="Book Antiqua" w:eastAsia="Book Antiqua" w:hAnsi="Book Antiqua" w:cs="Book Antiqua"/>
          <w:color w:val="000000"/>
          <w:vertAlign w:val="superscript"/>
        </w:rPr>
        <w:t>[85]</w:t>
      </w:r>
      <w:r w:rsidRPr="00110998">
        <w:rPr>
          <w:rFonts w:ascii="Book Antiqua" w:eastAsia="Book Antiqua" w:hAnsi="Book Antiqua" w:cs="Book Antiqua"/>
          <w:color w:val="000000"/>
        </w:rPr>
        <w:t xml:space="preserve">. The KEYNOTE-204 study compared pembrolizumab with BV in patients who had previously relapsed after HDCT/ASCT or who were not </w:t>
      </w:r>
      <w:r w:rsidR="00B311AB" w:rsidRPr="00110998">
        <w:rPr>
          <w:rFonts w:ascii="Book Antiqua" w:eastAsia="Book Antiqua" w:hAnsi="Book Antiqua" w:cs="Book Antiqua"/>
          <w:color w:val="000000"/>
        </w:rPr>
        <w:t xml:space="preserve">suitable </w:t>
      </w:r>
      <w:r w:rsidRPr="00110998">
        <w:rPr>
          <w:rFonts w:ascii="Book Antiqua" w:eastAsia="Book Antiqua" w:hAnsi="Book Antiqua" w:cs="Book Antiqua"/>
          <w:color w:val="000000"/>
        </w:rPr>
        <w:t xml:space="preserve">for ASCT. </w:t>
      </w:r>
      <w:r w:rsidR="00B311AB"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phase III study included a total of 304 patients. The primary endpoint, median PFS, was longer in the pembrolizumab arm (13.2</w:t>
      </w:r>
      <w:r w:rsidR="005A2D7A" w:rsidRPr="00110998">
        <w:rPr>
          <w:rFonts w:ascii="Book Antiqua" w:eastAsia="Book Antiqua" w:hAnsi="Book Antiqua" w:cs="Book Antiqua"/>
          <w:color w:val="000000"/>
        </w:rPr>
        <w:t xml:space="preserve"> mo</w:t>
      </w:r>
      <w:r w:rsidRPr="00110998">
        <w:rPr>
          <w:rFonts w:ascii="Book Antiqua" w:eastAsia="Book Antiqua" w:hAnsi="Book Antiqua" w:cs="Book Antiqua"/>
          <w:color w:val="000000"/>
        </w:rPr>
        <w:t xml:space="preserve"> </w:t>
      </w:r>
      <w:r w:rsidRPr="00110998">
        <w:rPr>
          <w:rFonts w:ascii="Book Antiqua" w:eastAsia="Book Antiqua" w:hAnsi="Book Antiqua" w:cs="Book Antiqua"/>
          <w:i/>
          <w:color w:val="000000"/>
        </w:rPr>
        <w:t>vs</w:t>
      </w:r>
      <w:r w:rsidRPr="00110998">
        <w:rPr>
          <w:rFonts w:ascii="Book Antiqua" w:eastAsia="Book Antiqua" w:hAnsi="Book Antiqua" w:cs="Book Antiqua"/>
          <w:color w:val="000000"/>
        </w:rPr>
        <w:t xml:space="preserve"> 8.3 mo; HR 0.65,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0.00271). Pembrolizumab </w:t>
      </w:r>
      <w:r w:rsidR="00B311AB"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demonstrated benefit</w:t>
      </w:r>
      <w:r w:rsidR="00B311AB"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in all subgroups of patients with primary refractory disease, including </w:t>
      </w:r>
      <w:r w:rsidR="00B311AB" w:rsidRPr="00110998">
        <w:rPr>
          <w:rFonts w:ascii="Book Antiqua" w:eastAsia="Book Antiqua" w:hAnsi="Book Antiqua" w:cs="Book Antiqua"/>
          <w:color w:val="000000"/>
        </w:rPr>
        <w:t xml:space="preserve">those </w:t>
      </w:r>
      <w:r w:rsidRPr="00110998">
        <w:rPr>
          <w:rFonts w:ascii="Book Antiqua" w:eastAsia="Book Antiqua" w:hAnsi="Book Antiqua" w:cs="Book Antiqua"/>
          <w:color w:val="000000"/>
        </w:rPr>
        <w:t>who previously had ASCT</w:t>
      </w:r>
      <w:r w:rsidR="00AA1689" w:rsidRPr="00110998">
        <w:rPr>
          <w:rFonts w:ascii="Book Antiqua" w:eastAsia="Book Antiqua" w:hAnsi="Book Antiqua" w:cs="Book Antiqua"/>
          <w:color w:val="000000"/>
        </w:rPr>
        <w:t xml:space="preserve"> </w:t>
      </w:r>
      <w:r w:rsidR="00B311AB" w:rsidRPr="00110998">
        <w:rPr>
          <w:rFonts w:ascii="Book Antiqua" w:eastAsia="Book Antiqua" w:hAnsi="Book Antiqua" w:cs="Book Antiqua"/>
          <w:color w:val="000000"/>
        </w:rPr>
        <w:t xml:space="preserve">or </w:t>
      </w:r>
      <w:r w:rsidRPr="00110998">
        <w:rPr>
          <w:rFonts w:ascii="Book Antiqua" w:eastAsia="Book Antiqua" w:hAnsi="Book Antiqua" w:cs="Book Antiqua"/>
          <w:color w:val="000000"/>
        </w:rPr>
        <w:t>had previously been treated with BV</w:t>
      </w:r>
      <w:r w:rsidRPr="00110998">
        <w:rPr>
          <w:rFonts w:ascii="Book Antiqua" w:eastAsia="Book Antiqua" w:hAnsi="Book Antiqua" w:cs="Book Antiqua"/>
          <w:color w:val="000000"/>
          <w:vertAlign w:val="superscript"/>
        </w:rPr>
        <w:t>[86]</w:t>
      </w:r>
      <w:r w:rsidRPr="00110998">
        <w:rPr>
          <w:rFonts w:ascii="Book Antiqua" w:eastAsia="Book Antiqua" w:hAnsi="Book Antiqua" w:cs="Book Antiqua"/>
          <w:color w:val="000000"/>
        </w:rPr>
        <w:t>. Nivolumab is being studied in previously untreated patients with stage III and IV cHL. Th</w:t>
      </w:r>
      <w:r w:rsidR="00B311AB" w:rsidRPr="00110998">
        <w:rPr>
          <w:rFonts w:ascii="Book Antiqua" w:eastAsia="Book Antiqua" w:hAnsi="Book Antiqua" w:cs="Book Antiqua"/>
          <w:color w:val="000000"/>
        </w:rPr>
        <w:t>e</w:t>
      </w:r>
      <w:r w:rsidRPr="00110998">
        <w:rPr>
          <w:rFonts w:ascii="Book Antiqua" w:eastAsia="Book Antiqua" w:hAnsi="Book Antiqua" w:cs="Book Antiqua"/>
          <w:color w:val="000000"/>
        </w:rPr>
        <w:t xml:space="preserve"> study compares nivolumab</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BV in combination with doxorubicin, vinblastine and dacarbazine (AVD) chemotherapy</w:t>
      </w:r>
      <w:r w:rsidRPr="00110998">
        <w:rPr>
          <w:rFonts w:ascii="Book Antiqua" w:eastAsia="Book Antiqua" w:hAnsi="Book Antiqua" w:cs="Book Antiqua"/>
          <w:color w:val="000000"/>
          <w:vertAlign w:val="superscript"/>
        </w:rPr>
        <w:t>[87]</w:t>
      </w:r>
      <w:r w:rsidRPr="00110998">
        <w:rPr>
          <w:rFonts w:ascii="Book Antiqua" w:eastAsia="Book Antiqua" w:hAnsi="Book Antiqua" w:cs="Book Antiqua"/>
          <w:color w:val="000000"/>
        </w:rPr>
        <w:t>.</w:t>
      </w:r>
    </w:p>
    <w:p w14:paraId="0B078758" w14:textId="542A8688"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Nivolumab has also been studied in combination with BV and/or ipilimumab in patients with R/R cHL.</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Nivo + BV combination was tested as salvage treatment in a phase I/II trial, after which patients could proceed to ASCT. Therapy was given for up to four cycles. The CR rate was 61% and the ORR 82%. </w:t>
      </w:r>
      <w:r w:rsidR="00B311AB" w:rsidRPr="00110998">
        <w:rPr>
          <w:rFonts w:ascii="Book Antiqua" w:eastAsia="Book Antiqua" w:hAnsi="Book Antiqua" w:cs="Book Antiqua"/>
          <w:color w:val="000000"/>
        </w:rPr>
        <w:t xml:space="preserve">Fewer </w:t>
      </w:r>
      <w:r w:rsidRPr="00110998">
        <w:rPr>
          <w:rFonts w:ascii="Book Antiqua" w:eastAsia="Book Antiqua" w:hAnsi="Book Antiqua" w:cs="Book Antiqua"/>
          <w:color w:val="000000"/>
        </w:rPr>
        <w:t xml:space="preserve">than 10% of the patients received corticosteroids </w:t>
      </w:r>
      <w:r w:rsidR="00B311AB"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adverse events, and stem cell collection </w:t>
      </w:r>
      <w:r w:rsidRPr="00110998">
        <w:rPr>
          <w:rFonts w:ascii="Book Antiqua" w:eastAsia="Book Antiqua" w:hAnsi="Book Antiqua" w:cs="Book Antiqua"/>
          <w:color w:val="000000"/>
        </w:rPr>
        <w:lastRenderedPageBreak/>
        <w:t>was not compromised</w:t>
      </w:r>
      <w:r w:rsidRPr="00110998">
        <w:rPr>
          <w:rFonts w:ascii="Book Antiqua" w:eastAsia="Book Antiqua" w:hAnsi="Book Antiqua" w:cs="Book Antiqua"/>
          <w:color w:val="000000"/>
          <w:vertAlign w:val="superscript"/>
        </w:rPr>
        <w:t>[88]</w:t>
      </w:r>
      <w:r w:rsidRPr="00110998">
        <w:rPr>
          <w:rFonts w:ascii="Book Antiqua" w:eastAsia="Book Antiqua" w:hAnsi="Book Antiqua" w:cs="Book Antiqua"/>
          <w:color w:val="000000"/>
        </w:rPr>
        <w:t>. The combination of Nivo + BV, ipilimumab + BV</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triple therapy with</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Nivo + Ipi + BV was investigated in phase I of the study. The ORRs were 89%, 76%, and 82%, respectively, but grade 3 and higher adverse events were observed in 16%, 43%, and 50% of patients, respectively</w:t>
      </w:r>
      <w:r w:rsidRPr="00110998">
        <w:rPr>
          <w:rFonts w:ascii="Book Antiqua" w:eastAsia="Book Antiqua" w:hAnsi="Book Antiqua" w:cs="Book Antiqua"/>
          <w:color w:val="000000"/>
          <w:vertAlign w:val="superscript"/>
        </w:rPr>
        <w:t>[89]</w:t>
      </w:r>
      <w:r w:rsidRPr="00110998">
        <w:rPr>
          <w:rFonts w:ascii="Book Antiqua" w:eastAsia="Book Antiqua" w:hAnsi="Book Antiqua" w:cs="Book Antiqua"/>
          <w:color w:val="000000"/>
        </w:rPr>
        <w:t>.</w:t>
      </w:r>
    </w:p>
    <w:p w14:paraId="3ADFFB08" w14:textId="16D59A2D"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In NHL, unlike in cHL, CPIs </w:t>
      </w:r>
      <w:r w:rsidR="00B311AB" w:rsidRPr="00110998">
        <w:rPr>
          <w:rFonts w:ascii="Book Antiqua" w:eastAsia="Book Antiqua" w:hAnsi="Book Antiqua" w:cs="Book Antiqua"/>
          <w:color w:val="000000"/>
        </w:rPr>
        <w:t xml:space="preserve">have </w:t>
      </w:r>
      <w:r w:rsidRPr="00110998">
        <w:rPr>
          <w:rFonts w:ascii="Book Antiqua" w:eastAsia="Book Antiqua" w:hAnsi="Book Antiqua" w:cs="Book Antiqua"/>
          <w:color w:val="000000"/>
        </w:rPr>
        <w:t>not show</w:t>
      </w:r>
      <w:r w:rsidR="00B311AB" w:rsidRPr="00110998">
        <w:rPr>
          <w:rFonts w:ascii="Book Antiqua" w:eastAsia="Book Antiqua" w:hAnsi="Book Antiqua" w:cs="Book Antiqua"/>
          <w:color w:val="000000"/>
        </w:rPr>
        <w:t>n</w:t>
      </w:r>
      <w:r w:rsidRPr="00110998">
        <w:rPr>
          <w:rFonts w:ascii="Book Antiqua" w:eastAsia="Book Antiqua" w:hAnsi="Book Antiqua" w:cs="Book Antiqua"/>
          <w:color w:val="000000"/>
        </w:rPr>
        <w:t xml:space="preserve"> a high level of response. Only in PMBCL, a subtype of DLBCL, does response to CPI occur</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because PMBCL shares some features with cHL and expresses PD-L1</w:t>
      </w:r>
      <w:r w:rsidRPr="00110998">
        <w:rPr>
          <w:rFonts w:ascii="Book Antiqua" w:eastAsia="Book Antiqua" w:hAnsi="Book Antiqua" w:cs="Book Antiqua"/>
          <w:color w:val="000000"/>
          <w:vertAlign w:val="superscript"/>
        </w:rPr>
        <w:t>[91]</w:t>
      </w:r>
      <w:r w:rsidRPr="00110998">
        <w:rPr>
          <w:rFonts w:ascii="Book Antiqua" w:eastAsia="Book Antiqua" w:hAnsi="Book Antiqua" w:cs="Book Antiqua"/>
          <w:color w:val="000000"/>
        </w:rPr>
        <w:t xml:space="preserve">. Pembrolizumab </w:t>
      </w:r>
      <w:r w:rsidR="00B311AB" w:rsidRPr="00110998">
        <w:rPr>
          <w:rFonts w:ascii="Book Antiqua" w:eastAsia="Book Antiqua" w:hAnsi="Book Antiqua" w:cs="Book Antiqua"/>
          <w:color w:val="000000"/>
        </w:rPr>
        <w:t>achieved</w:t>
      </w:r>
      <w:r w:rsidRPr="00110998">
        <w:rPr>
          <w:rFonts w:ascii="Book Antiqua" w:eastAsia="Book Antiqua" w:hAnsi="Book Antiqua" w:cs="Book Antiqua"/>
          <w:color w:val="000000"/>
        </w:rPr>
        <w:t xml:space="preserve"> an ORR of 45%, with a median DoR not reached after </w:t>
      </w:r>
      <w:r w:rsidR="00B311AB" w:rsidRPr="00110998">
        <w:rPr>
          <w:rFonts w:ascii="Book Antiqua" w:eastAsia="Book Antiqua" w:hAnsi="Book Antiqua" w:cs="Book Antiqua"/>
          <w:color w:val="000000"/>
        </w:rPr>
        <w:t xml:space="preserve">1 </w:t>
      </w:r>
      <w:r w:rsidRPr="00110998">
        <w:rPr>
          <w:rFonts w:ascii="Book Antiqua" w:eastAsia="Book Antiqua" w:hAnsi="Book Antiqua" w:cs="Book Antiqua"/>
          <w:color w:val="000000"/>
        </w:rPr>
        <w:t>year of follow-up in the KEYNOTE-170 study. The CR rate was 13%</w:t>
      </w:r>
      <w:r w:rsidRPr="00110998">
        <w:rPr>
          <w:rFonts w:ascii="Book Antiqua" w:eastAsia="Book Antiqua" w:hAnsi="Book Antiqua" w:cs="Book Antiqua"/>
          <w:color w:val="000000"/>
          <w:vertAlign w:val="superscript"/>
        </w:rPr>
        <w:t>[91]</w:t>
      </w:r>
      <w:r w:rsidRPr="00110998">
        <w:rPr>
          <w:rFonts w:ascii="Book Antiqua" w:eastAsia="Book Antiqua" w:hAnsi="Book Antiqua" w:cs="Book Antiqua"/>
          <w:color w:val="000000"/>
        </w:rPr>
        <w:t>. Pembrolizumab also achieved a response rate of 38% in patients with R/R CTCL</w:t>
      </w:r>
      <w:r w:rsidRPr="00110998">
        <w:rPr>
          <w:rFonts w:ascii="Book Antiqua" w:eastAsia="Book Antiqua" w:hAnsi="Book Antiqua" w:cs="Book Antiqua"/>
          <w:color w:val="000000"/>
          <w:vertAlign w:val="superscript"/>
        </w:rPr>
        <w:t>[92]</w:t>
      </w:r>
      <w:r w:rsidRPr="00110998">
        <w:rPr>
          <w:rFonts w:ascii="Book Antiqua" w:eastAsia="Book Antiqua" w:hAnsi="Book Antiqua" w:cs="Book Antiqua"/>
          <w:color w:val="000000"/>
        </w:rPr>
        <w:t>.</w:t>
      </w:r>
    </w:p>
    <w:p w14:paraId="3DAE475C" w14:textId="77777777" w:rsidR="008E7812" w:rsidRPr="00110998" w:rsidRDefault="008E7812">
      <w:pPr>
        <w:snapToGrid w:val="0"/>
        <w:spacing w:line="360" w:lineRule="auto"/>
        <w:jc w:val="both"/>
      </w:pPr>
    </w:p>
    <w:p w14:paraId="61F46C03"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CHIMERIC ANTIGEN RECEPTOR T-CELL THERAPY</w:t>
      </w:r>
    </w:p>
    <w:p w14:paraId="78E095E3" w14:textId="5E306CBE" w:rsidR="008E7812" w:rsidRPr="00110998" w:rsidRDefault="008E2E22">
      <w:pPr>
        <w:snapToGrid w:val="0"/>
        <w:spacing w:line="360" w:lineRule="auto"/>
        <w:jc w:val="both"/>
      </w:pPr>
      <w:r w:rsidRPr="00110998">
        <w:rPr>
          <w:rFonts w:ascii="Book Antiqua" w:eastAsia="Book Antiqua" w:hAnsi="Book Antiqua" w:cs="Book Antiqua"/>
          <w:color w:val="000000"/>
        </w:rPr>
        <w:t>Chimeric antigen receptor T</w:t>
      </w:r>
      <w:r w:rsidR="00B311AB"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therapies involving the </w:t>
      </w:r>
      <w:r w:rsidRPr="00110998">
        <w:rPr>
          <w:rFonts w:ascii="Book Antiqua" w:eastAsia="Book Antiqua" w:hAnsi="Book Antiqua" w:cs="Book Antiqua"/>
          <w:i/>
          <w:iCs/>
          <w:color w:val="000000"/>
        </w:rPr>
        <w:t>in vitro</w:t>
      </w:r>
      <w:r w:rsidRPr="00110998">
        <w:rPr>
          <w:rFonts w:ascii="Book Antiqua" w:eastAsia="Book Antiqua" w:hAnsi="Book Antiqua" w:cs="Book Antiqua"/>
          <w:color w:val="000000"/>
        </w:rPr>
        <w:t xml:space="preserve"> genetic engineering of patient T</w:t>
      </w:r>
      <w:r w:rsidR="00B311AB"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capable of</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recognizing and killing CD19-positive B-lymphoma cells.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consist of an extracellular variable fragment targeted to tumors, a hinge antigen-transmembrane region, and an intracellular domain. The development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began with a first-generation receptor that consisted of the CD3ζ signaling domain and had limited persistence and efficacy. The addition of a costimulatory</w:t>
      </w:r>
      <w:r w:rsidR="0065589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domain to second-generation CAR T-cell receptors led to</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greater efficacy. The most important feature of CAR T-cell action is that it does not depend on MHC costimulation and acts by activating T</w:t>
      </w:r>
      <w:r w:rsidR="00A75FA0">
        <w:rPr>
          <w:rFonts w:ascii="Book Antiqua" w:eastAsia="Book Antiqua" w:hAnsi="Book Antiqua" w:cs="Book Antiqua"/>
          <w:color w:val="000000"/>
        </w:rPr>
        <w:t>-cell</w:t>
      </w:r>
      <w:r w:rsidRPr="00110998">
        <w:rPr>
          <w:rFonts w:ascii="Book Antiqua" w:eastAsia="Book Antiqua" w:hAnsi="Book Antiqua" w:cs="Book Antiqua"/>
          <w:color w:val="000000"/>
        </w:rPr>
        <w:t xml:space="preserve"> signals and costimulatory pathways (Table 5)</w:t>
      </w:r>
      <w:r w:rsidRPr="00110998">
        <w:rPr>
          <w:rFonts w:ascii="Book Antiqua" w:eastAsia="Book Antiqua" w:hAnsi="Book Antiqua" w:cs="Book Antiqua"/>
          <w:color w:val="000000"/>
          <w:vertAlign w:val="superscript"/>
        </w:rPr>
        <w:t>[31,93,94]</w:t>
      </w:r>
      <w:r w:rsidRPr="00110998">
        <w:rPr>
          <w:rFonts w:ascii="Book Antiqua" w:eastAsia="Book Antiqua" w:hAnsi="Book Antiqua" w:cs="Book Antiqua"/>
          <w:color w:val="000000"/>
        </w:rPr>
        <w:t>.</w:t>
      </w:r>
    </w:p>
    <w:p w14:paraId="5AE32DC2" w14:textId="4C6882D6"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Two CAR T-cell products have been approved by the FDA in the absence of randomized trials</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based on comparison </w:t>
      </w:r>
      <w:r w:rsidR="0065589D"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the historical data on</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R/R DLBCL treatment</w:t>
      </w:r>
      <w:r w:rsidRPr="00110998">
        <w:rPr>
          <w:rFonts w:ascii="Book Antiqua" w:eastAsia="Book Antiqua" w:hAnsi="Book Antiqua" w:cs="Book Antiqua"/>
          <w:color w:val="000000"/>
          <w:vertAlign w:val="superscript"/>
        </w:rPr>
        <w:t>[95]</w:t>
      </w:r>
      <w:r w:rsidRPr="00110998">
        <w:rPr>
          <w:rFonts w:ascii="Book Antiqua" w:eastAsia="Book Antiqua" w:hAnsi="Book Antiqua" w:cs="Book Antiqua"/>
          <w:color w:val="000000"/>
        </w:rPr>
        <w:t>. The axicabtagene-lisoleucel (axi-cel) CAR T-cell receptor expresses the CD28 costimulatory domain and was examined in a phase 2 trial in patients with R/R DLBCL. One</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hundred</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eleven patients were included in the study</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T</w:t>
      </w:r>
      <w:r w:rsidRPr="00110998">
        <w:rPr>
          <w:rFonts w:ascii="Book Antiqua" w:eastAsia="Book Antiqua" w:hAnsi="Book Antiqua" w:cs="Book Antiqua"/>
          <w:color w:val="000000"/>
        </w:rPr>
        <w:t>he production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was successful in 110 patients, and the therapy was applied in 101 patients. The ORR was 82%, with a CR rate of 54%. After a median follow-up of 15.4 </w:t>
      </w:r>
      <w:r w:rsidRPr="00110998">
        <w:rPr>
          <w:rFonts w:ascii="Book Antiqua" w:eastAsia="Book Antiqua" w:hAnsi="Book Antiqua" w:cs="Book Antiqua"/>
          <w:color w:val="000000"/>
        </w:rPr>
        <w:lastRenderedPageBreak/>
        <w:t>mo, 42% of the patients were still without progression, and 40% were still in complete remission. The total 18-mo survival was 52%. The most common side effects were cytopenias, while CRS and immune effector cell-associated neurotoxicity syndrome (ICANS) of grade 3 and higher occurred in 13% and 28% of patients, respectively</w:t>
      </w:r>
      <w:r w:rsidRPr="00110998">
        <w:rPr>
          <w:rFonts w:ascii="Book Antiqua" w:eastAsia="Book Antiqua" w:hAnsi="Book Antiqua" w:cs="Book Antiqua"/>
          <w:color w:val="000000"/>
          <w:vertAlign w:val="superscript"/>
        </w:rPr>
        <w:t>[96]</w:t>
      </w:r>
      <w:r w:rsidRPr="00110998">
        <w:rPr>
          <w:rFonts w:ascii="Book Antiqua" w:eastAsia="Book Antiqua" w:hAnsi="Book Antiqua" w:cs="Book Antiqua"/>
          <w:color w:val="000000"/>
        </w:rPr>
        <w:t>. Tisagenlecleucel (tisa-cel) is a CAR T-cell product, similar to axi-cel, directed against the CD19 antigen of B-cell lymphomas but with a different 4-1BB costimulatory domain. Tisa-cel showed an ORR of 52%, of which 40% achieved CR in a study of 93 patients with R/R DLBCL. After 12 mo of follow-up, 65% of patients were progression</w:t>
      </w:r>
      <w:r w:rsidR="00825823">
        <w:rPr>
          <w:rFonts w:ascii="Book Antiqua" w:eastAsia="Book Antiqua" w:hAnsi="Book Antiqua" w:cs="Book Antiqua"/>
          <w:color w:val="000000"/>
        </w:rPr>
        <w:t xml:space="preserve"> </w:t>
      </w:r>
      <w:r w:rsidRPr="00110998">
        <w:rPr>
          <w:rFonts w:ascii="Book Antiqua" w:eastAsia="Book Antiqua" w:hAnsi="Book Antiqua" w:cs="Book Antiqua"/>
          <w:color w:val="000000"/>
        </w:rPr>
        <w:t>free, 79% of whom achieved CR</w:t>
      </w:r>
      <w:r w:rsidRPr="00110998">
        <w:rPr>
          <w:rFonts w:ascii="Book Antiqua" w:eastAsia="Book Antiqua" w:hAnsi="Book Antiqua" w:cs="Book Antiqua"/>
          <w:color w:val="000000"/>
          <w:vertAlign w:val="superscript"/>
        </w:rPr>
        <w:t>[97]</w:t>
      </w:r>
      <w:r w:rsidRPr="00110998">
        <w:rPr>
          <w:rFonts w:ascii="Book Antiqua" w:eastAsia="Book Antiqua" w:hAnsi="Book Antiqua" w:cs="Book Antiqua"/>
          <w:color w:val="000000"/>
        </w:rPr>
        <w:t>. Lisocabtagen-maraleucel (liso-cel) is another anti-CD19 4-1BB CAR T-cell product that has shown significant results in R/R DLBCL. The study included 344 patients who underwent leukapheresis, of whom 269 received at least one dose of liso-cel. Almost all patients (97%) had previously received at least two lines of therapy, 42% were older than 65 years</w:t>
      </w:r>
      <w:r w:rsidR="0065589D" w:rsidRPr="00110998">
        <w:rPr>
          <w:rFonts w:ascii="Book Antiqua" w:eastAsia="Book Antiqua" w:hAnsi="Book Antiqua" w:cs="Book Antiqua"/>
          <w:color w:val="000000"/>
        </w:rPr>
        <w:t xml:space="preserve"> of age</w:t>
      </w:r>
      <w:r w:rsidRPr="00110998">
        <w:rPr>
          <w:rFonts w:ascii="Book Antiqua" w:eastAsia="Book Antiqua" w:hAnsi="Book Antiqua" w:cs="Book Antiqua"/>
          <w:color w:val="000000"/>
        </w:rPr>
        <w:t xml:space="preserve">, 67% had chemotherapy-refractory disease, and </w:t>
      </w:r>
      <w:r w:rsidR="0065589D" w:rsidRPr="00110998">
        <w:rPr>
          <w:rFonts w:ascii="Book Antiqua" w:eastAsia="Book Antiqua" w:hAnsi="Book Antiqua" w:cs="Book Antiqua"/>
          <w:color w:val="000000"/>
        </w:rPr>
        <w:t>seven</w:t>
      </w:r>
      <w:r w:rsidRPr="00110998">
        <w:rPr>
          <w:rFonts w:ascii="Book Antiqua" w:eastAsia="Book Antiqua" w:hAnsi="Book Antiqua" w:cs="Book Antiqua"/>
          <w:color w:val="000000"/>
        </w:rPr>
        <w:t xml:space="preserve"> had secondary CNS involvement. The overall response was 73%, with 53% of patients achieving CR. Grade 3 and higher chronic inflammatory response syndrome (CIRS) and ICANS occurred in 2% and 10% of patients, respectively</w:t>
      </w:r>
      <w:r w:rsidRPr="00110998">
        <w:rPr>
          <w:rFonts w:ascii="Book Antiqua" w:eastAsia="Book Antiqua" w:hAnsi="Book Antiqua" w:cs="Book Antiqua"/>
          <w:color w:val="000000"/>
          <w:vertAlign w:val="superscript"/>
        </w:rPr>
        <w:t>[98]</w:t>
      </w:r>
      <w:r w:rsidRPr="00110998">
        <w:rPr>
          <w:rFonts w:ascii="Book Antiqua" w:eastAsia="Book Antiqua" w:hAnsi="Book Antiqua" w:cs="Book Antiqua"/>
          <w:color w:val="000000"/>
        </w:rPr>
        <w:t>.</w:t>
      </w:r>
    </w:p>
    <w:p w14:paraId="585F54E6" w14:textId="1B5B840D"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CAR T-cell therapies have also been shown to be effective for mantle cell lymphoma (MCL) and CLL in addition to DLBCL. Brexucabtagene</w:t>
      </w:r>
      <w:r w:rsidR="00B00F0D">
        <w:rPr>
          <w:rFonts w:ascii="Book Antiqua" w:eastAsia="Book Antiqua" w:hAnsi="Book Antiqua" w:cs="Book Antiqua"/>
          <w:color w:val="000000"/>
        </w:rPr>
        <w:t>-</w:t>
      </w:r>
      <w:r w:rsidRPr="00110998">
        <w:rPr>
          <w:rFonts w:ascii="Book Antiqua" w:eastAsia="Book Antiqua" w:hAnsi="Book Antiqua" w:cs="Book Antiqua"/>
          <w:color w:val="000000"/>
        </w:rPr>
        <w:t xml:space="preserve">autoleucel was investigated in pretreated patients with MCL. The ORR was 93%, and the CR rate was 67%. The </w:t>
      </w:r>
      <w:r w:rsidR="0065589D" w:rsidRPr="00110998">
        <w:rPr>
          <w:rFonts w:ascii="Book Antiqua" w:eastAsia="Book Antiqua" w:hAnsi="Book Antiqua" w:cs="Book Antiqua"/>
          <w:color w:val="000000"/>
        </w:rPr>
        <w:t>1</w:t>
      </w:r>
      <w:r w:rsidRPr="00110998">
        <w:rPr>
          <w:rFonts w:ascii="Book Antiqua" w:eastAsia="Book Antiqua" w:hAnsi="Book Antiqua" w:cs="Book Antiqua"/>
          <w:color w:val="000000"/>
        </w:rPr>
        <w:t>-year PFS rate was 61%. The toxicity profile was similar to that of other CAR T-cell products tested for DLBCL</w:t>
      </w:r>
      <w:r w:rsidRPr="00110998">
        <w:rPr>
          <w:rFonts w:ascii="Book Antiqua" w:eastAsia="Book Antiqua" w:hAnsi="Book Antiqua" w:cs="Book Antiqua"/>
          <w:color w:val="000000"/>
          <w:vertAlign w:val="superscript"/>
        </w:rPr>
        <w:t>[99]</w:t>
      </w:r>
      <w:r w:rsidRPr="00110998">
        <w:rPr>
          <w:rFonts w:ascii="Book Antiqua" w:eastAsia="Book Antiqua" w:hAnsi="Book Antiqua" w:cs="Book Antiqua"/>
          <w:color w:val="000000"/>
        </w:rPr>
        <w:t xml:space="preserve">. CLL is one of the first diseases in which CAR T-cell therapy was tested. Tisa-cel and liso-cel </w:t>
      </w:r>
      <w:r w:rsidR="0065589D"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substantial and long-lasting responses in R/R CLL</w:t>
      </w:r>
      <w:r w:rsidRPr="00110998">
        <w:rPr>
          <w:rFonts w:ascii="Book Antiqua" w:eastAsia="Book Antiqua" w:hAnsi="Book Antiqua" w:cs="Book Antiqua"/>
          <w:color w:val="000000"/>
          <w:vertAlign w:val="superscript"/>
        </w:rPr>
        <w:t>[100,101]</w:t>
      </w:r>
      <w:r w:rsidRPr="00110998">
        <w:rPr>
          <w:rFonts w:ascii="Book Antiqua" w:eastAsia="Book Antiqua" w:hAnsi="Book Antiqua" w:cs="Book Antiqua"/>
          <w:color w:val="000000"/>
        </w:rPr>
        <w:t>. Similar studies have shown a high ORR and long remission after CAR T-cell therapy in patients with FL, marginal zone lymphoma (MZL), and Epstein-Bar virus (EBV)-associated lymphoma</w:t>
      </w:r>
      <w:r w:rsidRPr="00110998">
        <w:rPr>
          <w:rFonts w:ascii="Book Antiqua" w:eastAsia="Book Antiqua" w:hAnsi="Book Antiqua" w:cs="Book Antiqua"/>
          <w:color w:val="000000"/>
          <w:vertAlign w:val="superscript"/>
        </w:rPr>
        <w:t>[102-104]</w:t>
      </w:r>
      <w:r w:rsidRPr="00110998">
        <w:rPr>
          <w:rFonts w:ascii="Book Antiqua" w:eastAsia="Book Antiqua" w:hAnsi="Book Antiqua" w:cs="Book Antiqua"/>
          <w:color w:val="000000"/>
        </w:rPr>
        <w:t>.</w:t>
      </w:r>
    </w:p>
    <w:p w14:paraId="5C48EB32" w14:textId="490DD684"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application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is complex and requires careful patient selection and a series of procedures from leukapheresis, bridging therapy, laboratory treatment, lymphodepletion, and infusion of the CAR T-cell product to the management of acute </w:t>
      </w:r>
      <w:r w:rsidRPr="00110998">
        <w:rPr>
          <w:rFonts w:ascii="Book Antiqua" w:eastAsia="Book Antiqua" w:hAnsi="Book Antiqua" w:cs="Book Antiqua"/>
          <w:color w:val="000000"/>
        </w:rPr>
        <w:lastRenderedPageBreak/>
        <w:t>and chronic toxicities</w:t>
      </w:r>
      <w:r w:rsidRPr="00110998">
        <w:rPr>
          <w:rFonts w:ascii="Book Antiqua" w:eastAsia="Book Antiqua" w:hAnsi="Book Antiqua" w:cs="Book Antiqua"/>
          <w:color w:val="000000"/>
          <w:vertAlign w:val="superscript"/>
        </w:rPr>
        <w:t>[93]</w:t>
      </w:r>
      <w:r w:rsidRPr="00110998">
        <w:rPr>
          <w:rFonts w:ascii="Book Antiqua" w:eastAsia="Book Antiqua" w:hAnsi="Book Antiqua" w:cs="Book Antiqua"/>
          <w:color w:val="000000"/>
        </w:rPr>
        <w:t>. Clinical studies with axi-cel and tisa-cel included fit patients (ECOG 0-1)</w:t>
      </w:r>
      <w:r w:rsidRPr="00110998">
        <w:rPr>
          <w:rFonts w:ascii="Book Antiqua" w:eastAsia="Book Antiqua" w:hAnsi="Book Antiqua" w:cs="Book Antiqua"/>
          <w:color w:val="000000"/>
          <w:vertAlign w:val="superscript"/>
        </w:rPr>
        <w:t>[96,97]</w:t>
      </w:r>
      <w:r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Analysis of r</w:t>
      </w:r>
      <w:r w:rsidRPr="00110998">
        <w:rPr>
          <w:rFonts w:ascii="Book Antiqua" w:eastAsia="Book Antiqua" w:hAnsi="Book Antiqua" w:cs="Book Antiqua"/>
          <w:color w:val="000000"/>
        </w:rPr>
        <w:t>eal-world data showed that patients with poorer performance status could</w:t>
      </w:r>
      <w:r w:rsidR="00306A67"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also be treated successfully</w:t>
      </w:r>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xml:space="preserve">. Some patients are not eligible for this type of therapy and are excluded from clinical trials, including those with renal impairment (creatinine clearance &lt; 40), liver or lung damage, </w:t>
      </w:r>
      <w:r w:rsidR="0065589D" w:rsidRPr="00110998">
        <w:rPr>
          <w:rFonts w:ascii="Book Antiqua" w:eastAsia="Book Antiqua" w:hAnsi="Book Antiqua" w:cs="Book Antiqua"/>
          <w:color w:val="000000"/>
        </w:rPr>
        <w:t xml:space="preserve">or a </w:t>
      </w:r>
      <w:r w:rsidRPr="00110998">
        <w:rPr>
          <w:rFonts w:ascii="Book Antiqua" w:eastAsia="Book Antiqua" w:hAnsi="Book Antiqua" w:cs="Book Antiqua"/>
          <w:color w:val="000000"/>
        </w:rPr>
        <w:t>left ventricular ejection fraction &lt; 40%)</w:t>
      </w:r>
      <w:r w:rsidRPr="00110998">
        <w:rPr>
          <w:rFonts w:ascii="Book Antiqua" w:eastAsia="Book Antiqua" w:hAnsi="Book Antiqua" w:cs="Book Antiqua"/>
          <w:color w:val="000000"/>
          <w:vertAlign w:val="superscript"/>
        </w:rPr>
        <w:t>[96-98,105]</w:t>
      </w:r>
      <w:r w:rsidRPr="00110998">
        <w:rPr>
          <w:rFonts w:ascii="Book Antiqua" w:eastAsia="Book Antiqua" w:hAnsi="Book Antiqua" w:cs="Book Antiqua"/>
          <w:color w:val="000000"/>
        </w:rPr>
        <w:t>. Patients with neurological diseases or cognitive impairment are also not eligible for this type of therapy</w:t>
      </w:r>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The DLBCL subtype did not affect the ORR</w:t>
      </w:r>
      <w:r w:rsidRPr="00110998">
        <w:rPr>
          <w:rFonts w:ascii="Book Antiqua" w:eastAsia="Book Antiqua" w:hAnsi="Book Antiqua" w:cs="Book Antiqua"/>
          <w:color w:val="000000"/>
          <w:vertAlign w:val="superscript"/>
        </w:rPr>
        <w:t>[96,97]</w:t>
      </w:r>
      <w:r w:rsidRPr="00110998">
        <w:rPr>
          <w:rFonts w:ascii="Book Antiqua" w:eastAsia="Book Antiqua" w:hAnsi="Book Antiqua" w:cs="Book Antiqua"/>
          <w:color w:val="000000"/>
        </w:rPr>
        <w:t>. Although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have not been registered for the treatment of DLBCL with CNS involvement, several studies that included </w:t>
      </w:r>
      <w:r w:rsidR="0065589D" w:rsidRPr="00110998">
        <w:rPr>
          <w:rFonts w:ascii="Book Antiqua" w:eastAsia="Book Antiqua" w:hAnsi="Book Antiqua" w:cs="Book Antiqua"/>
          <w:color w:val="000000"/>
        </w:rPr>
        <w:t xml:space="preserve">such </w:t>
      </w:r>
      <w:r w:rsidRPr="00110998">
        <w:rPr>
          <w:rFonts w:ascii="Book Antiqua" w:eastAsia="Book Antiqua" w:hAnsi="Book Antiqua" w:cs="Book Antiqua"/>
          <w:color w:val="000000"/>
        </w:rPr>
        <w:t>patients</w:t>
      </w:r>
      <w:r w:rsidR="00C85AC0"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have shown CAR T-cell efficacy in this group. On the other hand, patients with high disease volume and high lactate dehydrogenase (LDH) have shorter PFS times</w:t>
      </w:r>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Some patients need bridging therapy after leukapheresis</w:t>
      </w:r>
      <w:r w:rsidR="00C85AC0"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the aggressiveness of the disease and the 4-6 wk it takes to make a CAR T-cell product. This therapy may include the R-ICE or R-DHAP protocols</w:t>
      </w:r>
      <w:r w:rsidR="00306A67" w:rsidRPr="00110998">
        <w:rPr>
          <w:rFonts w:ascii="Book Antiqua" w:eastAsia="Book Antiqua" w:hAnsi="Book Antiqua" w:cs="Book Antiqua"/>
          <w:color w:val="000000"/>
          <w:vertAlign w:val="superscript"/>
        </w:rPr>
        <w:t>[</w:t>
      </w:r>
      <w:r w:rsidRPr="00110998">
        <w:rPr>
          <w:rFonts w:ascii="Book Antiqua" w:eastAsia="Book Antiqua" w:hAnsi="Book Antiqua" w:cs="Book Antiqua"/>
          <w:color w:val="000000"/>
          <w:vertAlign w:val="superscript"/>
        </w:rPr>
        <w:t>2</w:t>
      </w:r>
      <w:r w:rsidR="00306A67" w:rsidRPr="00110998">
        <w:rPr>
          <w:rFonts w:ascii="Book Antiqua" w:eastAsia="Book Antiqua" w:hAnsi="Book Antiqua" w:cs="Book Antiqua"/>
          <w:color w:val="000000"/>
          <w:vertAlign w:val="superscript"/>
        </w:rPr>
        <w:t>]</w:t>
      </w:r>
      <w:r w:rsidRPr="00110998">
        <w:rPr>
          <w:rFonts w:ascii="Book Antiqua" w:eastAsia="Book Antiqua" w:hAnsi="Book Antiqua" w:cs="Book Antiqua"/>
          <w:color w:val="000000"/>
        </w:rPr>
        <w:t xml:space="preserve"> as well as the combination of polatuzumab with rituximab and bendamustine</w:t>
      </w:r>
      <w:r w:rsidRPr="00110998">
        <w:rPr>
          <w:rFonts w:ascii="Book Antiqua" w:eastAsia="Book Antiqua" w:hAnsi="Book Antiqua" w:cs="Book Antiqua"/>
          <w:color w:val="000000"/>
          <w:vertAlign w:val="superscript"/>
        </w:rPr>
        <w:t>[65]</w:t>
      </w:r>
      <w:r w:rsidRPr="00110998">
        <w:rPr>
          <w:rFonts w:ascii="Book Antiqua" w:eastAsia="Book Antiqua" w:hAnsi="Book Antiqua" w:cs="Book Antiqua"/>
          <w:color w:val="000000"/>
        </w:rPr>
        <w:t>.</w:t>
      </w:r>
    </w:p>
    <w:p w14:paraId="7473CFBA" w14:textId="3CFB00D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have two specific toxicities in addition to pancytopenia, febrile neutropenia, and infections</w:t>
      </w:r>
      <w:r w:rsidR="0065589D" w:rsidRPr="00110998">
        <w:rPr>
          <w:rFonts w:ascii="Book Antiqua" w:eastAsia="Book Antiqua" w:hAnsi="Book Antiqua" w:cs="Book Antiqua"/>
          <w:color w:val="000000"/>
        </w:rPr>
        <w:t>, which are</w:t>
      </w:r>
      <w:r w:rsidRPr="00110998">
        <w:rPr>
          <w:rFonts w:ascii="Book Antiqua" w:eastAsia="Book Antiqua" w:hAnsi="Book Antiqua" w:cs="Book Antiqua"/>
          <w:color w:val="000000"/>
        </w:rPr>
        <w:t xml:space="preserve"> CRS and ICANS. CRS is characterized by high fever, but as the clinical condition progresses, capillary leak syndrome, hypotension</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hypoxia of varying degrees occur. Any organ in the body can be affected</w:t>
      </w:r>
      <w:r w:rsidRPr="00110998">
        <w:rPr>
          <w:rFonts w:ascii="Book Antiqua" w:eastAsia="Book Antiqua" w:hAnsi="Book Antiqua" w:cs="Book Antiqua"/>
          <w:color w:val="000000"/>
          <w:vertAlign w:val="superscript"/>
        </w:rPr>
        <w:t>[106,107]</w:t>
      </w:r>
      <w:r w:rsidRPr="00110998">
        <w:rPr>
          <w:rFonts w:ascii="Book Antiqua" w:eastAsia="Book Antiqua" w:hAnsi="Book Antiqua" w:cs="Book Antiqua"/>
          <w:color w:val="000000"/>
        </w:rPr>
        <w:t>. On the other hand, ICANS is characterized by various neurological symptoms, including decreased level of consciousness, motor dysfunction, and speaking difficulties. The progression of symptoms can lead to convulsions and cerebral edema</w:t>
      </w:r>
      <w:r w:rsidRPr="00110998">
        <w:rPr>
          <w:rFonts w:ascii="Book Antiqua" w:eastAsia="Book Antiqua" w:hAnsi="Book Antiqua" w:cs="Book Antiqua"/>
          <w:color w:val="000000"/>
          <w:vertAlign w:val="superscript"/>
        </w:rPr>
        <w:t>[106]</w:t>
      </w:r>
      <w:r w:rsidRPr="00110998">
        <w:rPr>
          <w:rFonts w:ascii="Book Antiqua" w:eastAsia="Book Antiqua" w:hAnsi="Book Antiqua" w:cs="Book Antiqua"/>
          <w:color w:val="000000"/>
        </w:rPr>
        <w:t>. Tocilizumab, an anti-IL-6 antibody, is used to treat th</w:t>
      </w:r>
      <w:r w:rsidR="0065589D" w:rsidRPr="00110998">
        <w:rPr>
          <w:rFonts w:ascii="Book Antiqua" w:eastAsia="Book Antiqua" w:hAnsi="Book Antiqua" w:cs="Book Antiqua"/>
          <w:color w:val="000000"/>
        </w:rPr>
        <w:t>o</w:t>
      </w:r>
      <w:r w:rsidRPr="00110998">
        <w:rPr>
          <w:rFonts w:ascii="Book Antiqua" w:eastAsia="Book Antiqua" w:hAnsi="Book Antiqua" w:cs="Book Antiqua"/>
          <w:color w:val="000000"/>
        </w:rPr>
        <w:t>se symptoms. In addition to tocilizumab, corticosteroid therapy has shown results in ICANS therapy</w:t>
      </w:r>
      <w:r w:rsidRPr="00110998">
        <w:rPr>
          <w:rFonts w:ascii="Book Antiqua" w:eastAsia="Book Antiqua" w:hAnsi="Book Antiqua" w:cs="Book Antiqua"/>
          <w:color w:val="000000"/>
          <w:vertAlign w:val="superscript"/>
        </w:rPr>
        <w:t>[106,107]</w:t>
      </w:r>
      <w:r w:rsidRPr="00110998">
        <w:rPr>
          <w:rFonts w:ascii="Book Antiqua" w:eastAsia="Book Antiqua" w:hAnsi="Book Antiqua" w:cs="Book Antiqua"/>
          <w:color w:val="000000"/>
        </w:rPr>
        <w:t>. Clinical trials are underway with various drugs</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110998" w:rsidRPr="00110998">
        <w:rPr>
          <w:rFonts w:ascii="Book Antiqua" w:eastAsia="Book Antiqua" w:hAnsi="Book Antiqua" w:cs="Book Antiqua"/>
          <w:color w:val="000000"/>
        </w:rPr>
        <w:t>including</w:t>
      </w:r>
      <w:r w:rsidR="00044FAE"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tocilizumab, corticosteroids, </w:t>
      </w:r>
      <w:r w:rsidR="00044FAE" w:rsidRPr="00110998">
        <w:rPr>
          <w:rFonts w:ascii="Book Antiqua" w:eastAsia="Book Antiqua" w:hAnsi="Book Antiqua" w:cs="Book Antiqua"/>
          <w:color w:val="000000"/>
        </w:rPr>
        <w:t xml:space="preserve">and </w:t>
      </w:r>
      <w:r w:rsidRPr="00110998">
        <w:rPr>
          <w:rFonts w:ascii="Book Antiqua" w:eastAsia="Book Antiqua" w:hAnsi="Book Antiqua" w:cs="Book Antiqua"/>
          <w:color w:val="000000"/>
        </w:rPr>
        <w:t>anakinra</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in an attempt to provide prophylaxis for CRS and ICANS after CAR T-cell therapy</w:t>
      </w:r>
      <w:r w:rsidRPr="00110998">
        <w:rPr>
          <w:rFonts w:ascii="Book Antiqua" w:eastAsia="Book Antiqua" w:hAnsi="Book Antiqua" w:cs="Book Antiqua"/>
          <w:color w:val="000000"/>
          <w:vertAlign w:val="superscript"/>
        </w:rPr>
        <w:t>[108,109]</w:t>
      </w:r>
      <w:r w:rsidRPr="00110998">
        <w:rPr>
          <w:rFonts w:ascii="Book Antiqua" w:eastAsia="Book Antiqua" w:hAnsi="Book Antiqua" w:cs="Book Antiqua"/>
          <w:color w:val="000000"/>
        </w:rPr>
        <w:t>.</w:t>
      </w:r>
    </w:p>
    <w:p w14:paraId="19F5085C" w14:textId="77777777" w:rsidR="008E7812" w:rsidRPr="00110998" w:rsidRDefault="008E7812">
      <w:pPr>
        <w:snapToGrid w:val="0"/>
        <w:spacing w:line="360" w:lineRule="auto"/>
        <w:jc w:val="both"/>
      </w:pPr>
    </w:p>
    <w:p w14:paraId="684E7993" w14:textId="77777777" w:rsidR="008E7812" w:rsidRPr="00110998" w:rsidRDefault="008E2E22">
      <w:pPr>
        <w:snapToGrid w:val="0"/>
        <w:spacing w:line="360" w:lineRule="auto"/>
        <w:jc w:val="both"/>
      </w:pPr>
      <w:r w:rsidRPr="00110998">
        <w:rPr>
          <w:rFonts w:ascii="Book Antiqua" w:eastAsia="Book Antiqua" w:hAnsi="Book Antiqua" w:cs="Book Antiqua"/>
          <w:b/>
          <w:caps/>
          <w:color w:val="000000"/>
          <w:u w:val="single"/>
        </w:rPr>
        <w:t>CONCLUSION</w:t>
      </w:r>
    </w:p>
    <w:p w14:paraId="259AF989" w14:textId="77777777" w:rsidR="008E7812" w:rsidRPr="00110998" w:rsidRDefault="008E2E22">
      <w:pPr>
        <w:snapToGrid w:val="0"/>
        <w:spacing w:line="360" w:lineRule="auto"/>
        <w:jc w:val="both"/>
        <w:rPr>
          <w:i/>
          <w:iCs/>
        </w:rPr>
      </w:pPr>
      <w:r w:rsidRPr="00110998">
        <w:rPr>
          <w:rFonts w:ascii="Book Antiqua" w:eastAsia="Book Antiqua" w:hAnsi="Book Antiqua" w:cs="Book Antiqua"/>
          <w:b/>
          <w:bCs/>
          <w:i/>
          <w:iCs/>
          <w:color w:val="000000"/>
        </w:rPr>
        <w:lastRenderedPageBreak/>
        <w:t>Are we going to replace stem cell transplantation with immunotherapy?</w:t>
      </w:r>
    </w:p>
    <w:p w14:paraId="4563BD48" w14:textId="4202894C" w:rsidR="008E7812" w:rsidRPr="00110998" w:rsidRDefault="008E2E22">
      <w:pPr>
        <w:snapToGrid w:val="0"/>
        <w:spacing w:line="360" w:lineRule="auto"/>
        <w:jc w:val="both"/>
      </w:pPr>
      <w:r w:rsidRPr="00110998">
        <w:rPr>
          <w:rFonts w:ascii="Book Antiqua" w:eastAsia="Book Antiqua" w:hAnsi="Book Antiqua" w:cs="Book Antiqua"/>
          <w:color w:val="000000"/>
        </w:rPr>
        <w:t>Relapsed or refractory DLBCL has a poor prognosis. The SCHOLAR-1 study showed that the median survival time of refractory disease was 6.3 mo</w:t>
      </w:r>
      <w:r w:rsidRPr="00110998">
        <w:rPr>
          <w:rFonts w:ascii="Book Antiqua" w:eastAsia="Book Antiqua" w:hAnsi="Book Antiqua" w:cs="Book Antiqua"/>
          <w:color w:val="000000"/>
          <w:vertAlign w:val="superscript"/>
        </w:rPr>
        <w:t>[95]</w:t>
      </w:r>
      <w:r w:rsidRPr="00110998">
        <w:rPr>
          <w:rFonts w:ascii="Book Antiqua" w:eastAsia="Book Antiqua" w:hAnsi="Book Antiqua" w:cs="Book Antiqua"/>
          <w:color w:val="000000"/>
        </w:rPr>
        <w:t xml:space="preserve">. The median survival time was approximately 13 mo in our patients, and a large number of patients were not eligible for HDCT/ASCT </w:t>
      </w:r>
      <w:r w:rsidR="00044FAE" w:rsidRPr="00110998">
        <w:rPr>
          <w:rFonts w:ascii="Book Antiqua" w:eastAsia="Book Antiqua" w:hAnsi="Book Antiqua" w:cs="Book Antiqua"/>
          <w:color w:val="000000"/>
        </w:rPr>
        <w:t xml:space="preserve">because of </w:t>
      </w:r>
      <w:r w:rsidRPr="00110998">
        <w:rPr>
          <w:rFonts w:ascii="Book Antiqua" w:eastAsia="Book Antiqua" w:hAnsi="Book Antiqua" w:cs="Book Antiqua"/>
          <w:color w:val="000000"/>
        </w:rPr>
        <w:t>refractory disease or poor performance status</w:t>
      </w:r>
      <w:r w:rsidRPr="00110998">
        <w:rPr>
          <w:rFonts w:ascii="Book Antiqua" w:eastAsia="Book Antiqua" w:hAnsi="Book Antiqua" w:cs="Book Antiqua"/>
          <w:color w:val="000000"/>
          <w:vertAlign w:val="superscript"/>
        </w:rPr>
        <w:t>[110]</w:t>
      </w:r>
      <w:r w:rsidRPr="00110998">
        <w:rPr>
          <w:rFonts w:ascii="Book Antiqua" w:eastAsia="Book Antiqua" w:hAnsi="Book Antiqua" w:cs="Book Antiqua"/>
          <w:color w:val="000000"/>
        </w:rPr>
        <w:t>. HDCT/ASCT for fit patients remains the standard of care, but many</w:t>
      </w:r>
      <w:r w:rsidR="00044FAE"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patients are not eligible for </w:t>
      </w:r>
      <w:r w:rsidR="00044FAE"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procedure</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some relapse after ASCT. Tafasitamab and selinexor have shown promising results, but </w:t>
      </w:r>
      <w:r w:rsidR="007C2D85">
        <w:rPr>
          <w:rFonts w:ascii="Book Antiqua" w:eastAsia="Book Antiqua" w:hAnsi="Book Antiqua" w:cs="Book Antiqua"/>
          <w:color w:val="000000"/>
        </w:rPr>
        <w:t>PV</w:t>
      </w:r>
      <w:r w:rsidRPr="00110998">
        <w:rPr>
          <w:rFonts w:ascii="Book Antiqua" w:eastAsia="Book Antiqua" w:hAnsi="Book Antiqua" w:cs="Book Antiqua"/>
          <w:color w:val="000000"/>
        </w:rPr>
        <w:t xml:space="preserve"> in combination with rituximab and bendamustine</w:t>
      </w:r>
      <w:r w:rsidR="007B1573"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has been largely adopted as the standard of care. We are waiting for the results of clinical trials investigating polatuzumab and tafasitamab in the initial treatment of DLBCL</w:t>
      </w:r>
      <w:r w:rsidRPr="00110998">
        <w:rPr>
          <w:rFonts w:ascii="Book Antiqua" w:eastAsia="Book Antiqua" w:hAnsi="Book Antiqua" w:cs="Book Antiqua"/>
          <w:color w:val="000000"/>
          <w:vertAlign w:val="superscript"/>
        </w:rPr>
        <w:t>[50,67]</w:t>
      </w:r>
      <w:r w:rsidRPr="00110998">
        <w:rPr>
          <w:rFonts w:ascii="Book Antiqua" w:eastAsia="Book Antiqua" w:hAnsi="Book Antiqua" w:cs="Book Antiqua"/>
          <w:color w:val="000000"/>
        </w:rPr>
        <w:t>. Despite the complexity of the CAR T-cell procedure itself, the results obtained with CAR T-cell therapy have pushed AlloSCT</w:t>
      </w:r>
      <w:r w:rsidR="00D34B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to later lines of therapy, and three studies comparing different CD19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with HDCT/ASCT are underway</w:t>
      </w:r>
      <w:r w:rsidRPr="00110998">
        <w:rPr>
          <w:rFonts w:ascii="Book Antiqua" w:eastAsia="Book Antiqua" w:hAnsi="Book Antiqua" w:cs="Book Antiqua"/>
          <w:color w:val="000000"/>
          <w:vertAlign w:val="superscript"/>
        </w:rPr>
        <w:t>[111-113]</w:t>
      </w:r>
      <w:r w:rsidRPr="00110998">
        <w:rPr>
          <w:rFonts w:ascii="Book Antiqua" w:eastAsia="Book Antiqua" w:hAnsi="Book Antiqua" w:cs="Book Antiqua"/>
          <w:color w:val="000000"/>
        </w:rPr>
        <w:t>. Mosunetuzumab and other BITEs have shown promising results in the early stages of research and are a potential therapeutic option after relapse following CAR T-cell therapy or in countries where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not available. CRS and ICANS are potentially fatal complications of both CAR T-cell </w:t>
      </w:r>
      <w:r w:rsidR="00A75FA0">
        <w:rPr>
          <w:rFonts w:ascii="Book Antiqua" w:eastAsia="Book Antiqua" w:hAnsi="Book Antiqua" w:cs="Book Antiqua"/>
          <w:color w:val="000000"/>
        </w:rPr>
        <w:t xml:space="preserve">therapy </w:t>
      </w:r>
      <w:r w:rsidRPr="00110998">
        <w:rPr>
          <w:rFonts w:ascii="Book Antiqua" w:eastAsia="Book Antiqua" w:hAnsi="Book Antiqua" w:cs="Book Antiqua"/>
          <w:color w:val="000000"/>
        </w:rPr>
        <w:t>and BITE, and significant education is needed in terms of recognizing and treating these complications.</w:t>
      </w:r>
    </w:p>
    <w:p w14:paraId="1E615C0F" w14:textId="605F399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Hodgkin's lymphoma is a curable disease in over 80% of cases. HDCT/ASCT is an important part of relapse treatment</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044FAE" w:rsidRPr="00110998">
        <w:rPr>
          <w:rFonts w:ascii="Book Antiqua" w:eastAsia="Book Antiqua" w:hAnsi="Book Antiqua" w:cs="Book Antiqua"/>
          <w:color w:val="000000"/>
        </w:rPr>
        <w:t>M</w:t>
      </w:r>
      <w:r w:rsidRPr="00110998">
        <w:rPr>
          <w:rFonts w:ascii="Book Antiqua" w:eastAsia="Book Antiqua" w:hAnsi="Book Antiqua" w:cs="Book Antiqua"/>
          <w:color w:val="000000"/>
        </w:rPr>
        <w:t xml:space="preserve">ost patients are eligible for </w:t>
      </w:r>
      <w:r w:rsidR="00044FAE"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 xml:space="preserve">type of treatment, and </w:t>
      </w:r>
      <w:r w:rsidR="00044FAE" w:rsidRPr="00110998">
        <w:rPr>
          <w:rFonts w:ascii="Book Antiqua" w:eastAsia="Book Antiqua" w:hAnsi="Book Antiqua" w:cs="Book Antiqua"/>
          <w:color w:val="000000"/>
        </w:rPr>
        <w:t xml:space="preserve">the </w:t>
      </w:r>
      <w:r w:rsidRPr="00110998">
        <w:rPr>
          <w:rFonts w:ascii="Book Antiqua" w:eastAsia="Book Antiqua" w:hAnsi="Book Antiqua" w:cs="Book Antiqua"/>
          <w:color w:val="000000"/>
        </w:rPr>
        <w:t>procedure can cure approximately 50% of patients</w:t>
      </w:r>
      <w:r w:rsidRPr="00110998">
        <w:rPr>
          <w:rFonts w:ascii="Book Antiqua" w:eastAsia="Book Antiqua" w:hAnsi="Book Antiqua" w:cs="Book Antiqua"/>
          <w:color w:val="000000"/>
          <w:vertAlign w:val="superscript"/>
        </w:rPr>
        <w:t>[7-9]</w:t>
      </w:r>
      <w:r w:rsidRPr="00110998">
        <w:rPr>
          <w:rFonts w:ascii="Book Antiqua" w:eastAsia="Book Antiqua" w:hAnsi="Book Antiqua" w:cs="Book Antiqua"/>
          <w:color w:val="000000"/>
        </w:rPr>
        <w:t>. B</w:t>
      </w:r>
      <w:r w:rsidR="007C2D85">
        <w:rPr>
          <w:rFonts w:ascii="Book Antiqua" w:eastAsia="Book Antiqua" w:hAnsi="Book Antiqua" w:cs="Book Antiqua"/>
          <w:color w:val="000000"/>
        </w:rPr>
        <w:t>V</w:t>
      </w:r>
      <w:r w:rsidRPr="00110998">
        <w:rPr>
          <w:rFonts w:ascii="Book Antiqua" w:eastAsia="Book Antiqua" w:hAnsi="Book Antiqua" w:cs="Book Antiqua"/>
          <w:color w:val="000000"/>
        </w:rPr>
        <w:t xml:space="preserve"> improved treatment outcomes in patients with stage III and IV cHL and prolonged PFS when administered after HDCT/ASCT was given as maintenance therapy in patients at a high risk of relapse</w:t>
      </w:r>
      <w:r w:rsidRPr="00110998">
        <w:rPr>
          <w:rFonts w:ascii="Book Antiqua" w:eastAsia="Book Antiqua" w:hAnsi="Book Antiqua" w:cs="Book Antiqua"/>
          <w:color w:val="000000"/>
          <w:vertAlign w:val="superscript"/>
        </w:rPr>
        <w:t>[59,61]</w:t>
      </w:r>
      <w:r w:rsidRPr="00110998">
        <w:rPr>
          <w:rFonts w:ascii="Book Antiqua" w:eastAsia="Book Antiqua" w:hAnsi="Book Antiqua" w:cs="Book Antiqua"/>
          <w:color w:val="000000"/>
        </w:rPr>
        <w:t xml:space="preserve">. AlloSCT has also been significantly suppressed by the CPI of pembrolizumab and nivolumab, which are now standard fourth-line treatments. Pembrolizumab has achieved </w:t>
      </w:r>
      <w:r w:rsidR="00044FAE" w:rsidRPr="00110998">
        <w:rPr>
          <w:rFonts w:ascii="Book Antiqua" w:eastAsia="Book Antiqua" w:hAnsi="Book Antiqua" w:cs="Book Antiqua"/>
          <w:color w:val="000000"/>
        </w:rPr>
        <w:t xml:space="preserve">even </w:t>
      </w:r>
      <w:r w:rsidRPr="00110998">
        <w:rPr>
          <w:rFonts w:ascii="Book Antiqua" w:eastAsia="Book Antiqua" w:hAnsi="Book Antiqua" w:cs="Book Antiqua"/>
          <w:color w:val="000000"/>
        </w:rPr>
        <w:t>longer PFS and OS than brentuximab-vedotin</w:t>
      </w:r>
      <w:r w:rsidRPr="00110998">
        <w:rPr>
          <w:rFonts w:ascii="Book Antiqua" w:eastAsia="Book Antiqua" w:hAnsi="Book Antiqua" w:cs="Book Antiqua"/>
          <w:color w:val="000000"/>
          <w:vertAlign w:val="superscript"/>
        </w:rPr>
        <w:t>[86]</w:t>
      </w:r>
      <w:r w:rsidRPr="00110998">
        <w:rPr>
          <w:rFonts w:ascii="Book Antiqua" w:eastAsia="Book Antiqua" w:hAnsi="Book Antiqua" w:cs="Book Antiqua"/>
          <w:color w:val="000000"/>
        </w:rPr>
        <w:t xml:space="preserve"> and is slowly becoming the first treatment option after disease progression following ASCT. </w:t>
      </w:r>
      <w:r w:rsidR="00044FAE" w:rsidRPr="00110998">
        <w:rPr>
          <w:rFonts w:ascii="Book Antiqua" w:eastAsia="Book Antiqua" w:hAnsi="Book Antiqua" w:cs="Book Antiqua"/>
          <w:color w:val="000000"/>
        </w:rPr>
        <w:t>P</w:t>
      </w:r>
      <w:r w:rsidRPr="00110998">
        <w:rPr>
          <w:rFonts w:ascii="Book Antiqua" w:eastAsia="Book Antiqua" w:hAnsi="Book Antiqua" w:cs="Book Antiqua"/>
          <w:color w:val="000000"/>
        </w:rPr>
        <w:t xml:space="preserve">romising results </w:t>
      </w:r>
      <w:r w:rsidR="00044FAE" w:rsidRPr="00110998">
        <w:rPr>
          <w:rFonts w:ascii="Book Antiqua" w:eastAsia="Book Antiqua" w:hAnsi="Book Antiqua" w:cs="Book Antiqua"/>
          <w:color w:val="000000"/>
        </w:rPr>
        <w:t xml:space="preserve">achieved by </w:t>
      </w:r>
      <w:r w:rsidRPr="00110998">
        <w:rPr>
          <w:rFonts w:ascii="Book Antiqua" w:eastAsia="Book Antiqua" w:hAnsi="Book Antiqua" w:cs="Book Antiqua"/>
          <w:color w:val="000000"/>
        </w:rPr>
        <w:t xml:space="preserve">the combination of BV and nivolumab provide </w:t>
      </w:r>
      <w:r w:rsidRPr="00110998">
        <w:rPr>
          <w:rFonts w:ascii="Book Antiqua" w:eastAsia="Book Antiqua" w:hAnsi="Book Antiqua" w:cs="Book Antiqua"/>
          <w:color w:val="000000"/>
        </w:rPr>
        <w:lastRenderedPageBreak/>
        <w:t>optimism for the results achieved with this type of treatment</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044FAE" w:rsidRPr="00110998">
        <w:rPr>
          <w:rFonts w:ascii="Book Antiqua" w:eastAsia="Book Antiqua" w:hAnsi="Book Antiqua" w:cs="Book Antiqua"/>
          <w:color w:val="000000"/>
        </w:rPr>
        <w:t>T</w:t>
      </w:r>
      <w:r w:rsidRPr="00110998">
        <w:rPr>
          <w:rFonts w:ascii="Book Antiqua" w:eastAsia="Book Antiqua" w:hAnsi="Book Antiqua" w:cs="Book Antiqua"/>
          <w:color w:val="000000"/>
        </w:rPr>
        <w:t>he results of first-line studies comparing nivolumab with chemotherapy and BV with chemotherapy</w:t>
      </w:r>
      <w:r w:rsidRPr="00110998">
        <w:rPr>
          <w:rFonts w:ascii="Book Antiqua" w:eastAsia="Book Antiqua" w:hAnsi="Book Antiqua" w:cs="Book Antiqua"/>
          <w:color w:val="000000"/>
          <w:vertAlign w:val="superscript"/>
        </w:rPr>
        <w:t>[87,88]</w:t>
      </w:r>
      <w:r w:rsidRPr="00110998">
        <w:rPr>
          <w:rFonts w:ascii="Book Antiqua" w:eastAsia="Book Antiqua" w:hAnsi="Book Antiqua" w:cs="Book Antiqua"/>
          <w:color w:val="000000"/>
        </w:rPr>
        <w:t>.</w:t>
      </w:r>
    </w:p>
    <w:p w14:paraId="18156A51" w14:textId="77777777" w:rsidR="008E7812" w:rsidRPr="00110998" w:rsidRDefault="008E7812">
      <w:pPr>
        <w:snapToGrid w:val="0"/>
        <w:spacing w:line="360" w:lineRule="auto"/>
        <w:jc w:val="both"/>
      </w:pPr>
    </w:p>
    <w:p w14:paraId="089C681E"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REFERENCES</w:t>
      </w:r>
    </w:p>
    <w:p w14:paraId="5E67C1FB" w14:textId="77777777" w:rsidR="00E34410" w:rsidRPr="00110998" w:rsidRDefault="00E34410">
      <w:pPr>
        <w:snapToGrid w:val="0"/>
        <w:spacing w:line="360" w:lineRule="auto"/>
        <w:jc w:val="both"/>
        <w:rPr>
          <w:rFonts w:ascii="Book Antiqua" w:hAnsi="Book Antiqua"/>
        </w:rPr>
      </w:pPr>
      <w:bookmarkStart w:id="0" w:name="OLE_LINK27"/>
      <w:r w:rsidRPr="00110998">
        <w:rPr>
          <w:rFonts w:ascii="Book Antiqua" w:hAnsi="Book Antiqua"/>
        </w:rPr>
        <w:t xml:space="preserve">1 </w:t>
      </w:r>
      <w:r w:rsidRPr="00110998">
        <w:rPr>
          <w:rFonts w:ascii="Book Antiqua" w:hAnsi="Book Antiqua"/>
          <w:b/>
          <w:bCs/>
        </w:rPr>
        <w:t>Tilly H</w:t>
      </w:r>
      <w:r w:rsidRPr="00110998">
        <w:rPr>
          <w:rFonts w:ascii="Book Antiqua" w:hAnsi="Book Antiqua"/>
        </w:rPr>
        <w:t xml:space="preserve">, Gomes da Silva M, Vitolo U, Jack A, Meignan M, Lopez-Guillermo A, Walewski J, André M, Johnson PW, Pfreundschuh M, Ladetto M; ESMO Guidelines Committee. Diffuse large B-cell lymphoma (DLBCL): ESMO Clinical Practice Guidelines for diagnosis, treatment and follow-up. </w:t>
      </w:r>
      <w:r w:rsidRPr="00110998">
        <w:rPr>
          <w:rFonts w:ascii="Book Antiqua" w:hAnsi="Book Antiqua"/>
          <w:i/>
          <w:iCs/>
        </w:rPr>
        <w:t>Ann Oncol</w:t>
      </w:r>
      <w:r w:rsidRPr="00110998">
        <w:rPr>
          <w:rFonts w:ascii="Book Antiqua" w:hAnsi="Book Antiqua"/>
        </w:rPr>
        <w:t xml:space="preserve"> 2015; </w:t>
      </w:r>
      <w:r w:rsidRPr="00110998">
        <w:rPr>
          <w:rFonts w:ascii="Book Antiqua" w:hAnsi="Book Antiqua"/>
          <w:b/>
          <w:bCs/>
        </w:rPr>
        <w:t>26 Suppl 5</w:t>
      </w:r>
      <w:r w:rsidRPr="00110998">
        <w:rPr>
          <w:rFonts w:ascii="Book Antiqua" w:hAnsi="Book Antiqua"/>
        </w:rPr>
        <w:t>: v116-v125 [PMID: 26314773 DOI: 10.1093/annonc/mdv304]</w:t>
      </w:r>
    </w:p>
    <w:p w14:paraId="4D89909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 </w:t>
      </w:r>
      <w:r w:rsidRPr="00110998">
        <w:rPr>
          <w:rFonts w:ascii="Book Antiqua" w:hAnsi="Book Antiqua"/>
          <w:b/>
          <w:bCs/>
        </w:rPr>
        <w:t>Hagberg H</w:t>
      </w:r>
      <w:r w:rsidRPr="00110998">
        <w:rPr>
          <w:rFonts w:ascii="Book Antiqua" w:hAnsi="Book Antiqua"/>
        </w:rPr>
        <w:t xml:space="preserve">, Gisselbrecht C; CORAL study group. Randomised phase III study of R-ICE versus R-DHAP in relapsed patients with CD20 diffuse large B-cell lymphoma (DLBCL) followed by high-dose therapy and a second randomisation to maintenance treatment with rituximab or not: an update of the CORAL study. </w:t>
      </w:r>
      <w:r w:rsidRPr="00110998">
        <w:rPr>
          <w:rFonts w:ascii="Book Antiqua" w:hAnsi="Book Antiqua"/>
          <w:i/>
          <w:iCs/>
        </w:rPr>
        <w:t>Ann Oncol</w:t>
      </w:r>
      <w:r w:rsidRPr="00110998">
        <w:rPr>
          <w:rFonts w:ascii="Book Antiqua" w:hAnsi="Book Antiqua"/>
        </w:rPr>
        <w:t xml:space="preserve"> 2006; </w:t>
      </w:r>
      <w:r w:rsidRPr="00110998">
        <w:rPr>
          <w:rFonts w:ascii="Book Antiqua" w:hAnsi="Book Antiqua"/>
          <w:b/>
          <w:bCs/>
        </w:rPr>
        <w:t xml:space="preserve">17 </w:t>
      </w:r>
      <w:r w:rsidRPr="00110998">
        <w:rPr>
          <w:rFonts w:ascii="Book Antiqua" w:hAnsi="Book Antiqua"/>
        </w:rPr>
        <w:t>Suppl 4: iv31-iv32 [PMID: 16702182 DOI: 10.1093/annonc/mdj996]</w:t>
      </w:r>
    </w:p>
    <w:p w14:paraId="317C41C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 </w:t>
      </w:r>
      <w:r w:rsidRPr="00110998">
        <w:rPr>
          <w:rFonts w:ascii="Book Antiqua" w:hAnsi="Book Antiqua"/>
          <w:b/>
          <w:bCs/>
        </w:rPr>
        <w:t>Philip T</w:t>
      </w:r>
      <w:r w:rsidRPr="00110998">
        <w:rPr>
          <w:rFonts w:ascii="Book Antiqua" w:hAnsi="Book Antiqua"/>
        </w:rPr>
        <w:t xml:space="preserve">, Chauvin F, Bron D, Guglielmi C, Hagenbeek A, Coiffier B, Gisselbrecht C, Kluin Nelemans JC, Somers R, Misset JC. PARMA international protocol: pilot study on 50 patients and preliminary analysis of the ongoing randomized study (62 patients). </w:t>
      </w:r>
      <w:r w:rsidRPr="00110998">
        <w:rPr>
          <w:rFonts w:ascii="Book Antiqua" w:hAnsi="Book Antiqua"/>
          <w:i/>
          <w:iCs/>
        </w:rPr>
        <w:t>Ann Oncol</w:t>
      </w:r>
      <w:r w:rsidRPr="00110998">
        <w:rPr>
          <w:rFonts w:ascii="Book Antiqua" w:hAnsi="Book Antiqua"/>
        </w:rPr>
        <w:t xml:space="preserve"> 1991; </w:t>
      </w:r>
      <w:r w:rsidRPr="00110998">
        <w:rPr>
          <w:rFonts w:ascii="Book Antiqua" w:hAnsi="Book Antiqua"/>
          <w:b/>
          <w:bCs/>
        </w:rPr>
        <w:t>2</w:t>
      </w:r>
      <w:r w:rsidRPr="00110998">
        <w:rPr>
          <w:rFonts w:ascii="Book Antiqua" w:hAnsi="Book Antiqua"/>
        </w:rPr>
        <w:t xml:space="preserve"> Suppl 1: 57-64 [PMID: 2043500 DOI: 10.1093/annonc/2.suppl_1.57]</w:t>
      </w:r>
    </w:p>
    <w:p w14:paraId="06F52C9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 </w:t>
      </w:r>
      <w:r w:rsidRPr="00110998">
        <w:rPr>
          <w:rFonts w:ascii="Book Antiqua" w:hAnsi="Book Antiqua"/>
          <w:b/>
          <w:bCs/>
        </w:rPr>
        <w:t>El Gnaoui T</w:t>
      </w:r>
      <w:r w:rsidRPr="00110998">
        <w:rPr>
          <w:rFonts w:ascii="Book Antiqua" w:hAnsi="Book Antiqua"/>
        </w:rPr>
        <w:t xml:space="preserve">, Dupuis J, Belhadj K, Jais JP, Rahmouni A, Copie-Bergman C, Gaillard I, Diviné M, Tabah-Fisch I, Reyes F, Haioun C. Rituximab, gemcitabine and oxaliplatin: an effective salvage regimen for patients with relapsed or refractory B-cell lymphoma not candidates for high-dose therapy. </w:t>
      </w:r>
      <w:r w:rsidRPr="00110998">
        <w:rPr>
          <w:rFonts w:ascii="Book Antiqua" w:hAnsi="Book Antiqua"/>
          <w:i/>
          <w:iCs/>
        </w:rPr>
        <w:t>Ann Oncol</w:t>
      </w:r>
      <w:r w:rsidRPr="00110998">
        <w:rPr>
          <w:rFonts w:ascii="Book Antiqua" w:hAnsi="Book Antiqua"/>
        </w:rPr>
        <w:t xml:space="preserve"> 2007; </w:t>
      </w:r>
      <w:r w:rsidRPr="00110998">
        <w:rPr>
          <w:rFonts w:ascii="Book Antiqua" w:hAnsi="Book Antiqua"/>
          <w:b/>
          <w:bCs/>
        </w:rPr>
        <w:t>18</w:t>
      </w:r>
      <w:r w:rsidRPr="00110998">
        <w:rPr>
          <w:rFonts w:ascii="Book Antiqua" w:hAnsi="Book Antiqua"/>
        </w:rPr>
        <w:t>: 1363-1368 [PMID: 17496309 DOI: 10.1093/annonc/mdm133]</w:t>
      </w:r>
    </w:p>
    <w:p w14:paraId="06BD666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 </w:t>
      </w:r>
      <w:r w:rsidRPr="00110998">
        <w:rPr>
          <w:rFonts w:ascii="Book Antiqua" w:hAnsi="Book Antiqua"/>
          <w:b/>
          <w:bCs/>
        </w:rPr>
        <w:t>Arcari A</w:t>
      </w:r>
      <w:r w:rsidRPr="00110998">
        <w:rPr>
          <w:rFonts w:ascii="Book Antiqua" w:hAnsi="Book Antiqua"/>
        </w:rPr>
        <w:t xml:space="preserve">, Chiappella A, Spina M, Zanlari L, Bernuzzi P, Valenti V, Tani M, Marasca R, Cabras MG, Zambello R, Santagostino A, Ilariucci F, Carli G, Musto P, Savini P, Marino D, Ghio F, Gentile M, Cox MC, Vallisa D. Safety and efficacy of rituximab plus bendamustine in relapsed or refractory diffuse large B-cell lymphoma patients: an Italian retrospective multicenter study. </w:t>
      </w:r>
      <w:r w:rsidRPr="00110998">
        <w:rPr>
          <w:rFonts w:ascii="Book Antiqua" w:hAnsi="Book Antiqua"/>
          <w:i/>
          <w:iCs/>
        </w:rPr>
        <w:t>Leuk Lymphoma</w:t>
      </w:r>
      <w:r w:rsidRPr="00110998">
        <w:rPr>
          <w:rFonts w:ascii="Book Antiqua" w:hAnsi="Book Antiqua"/>
        </w:rPr>
        <w:t xml:space="preserve"> 2016; </w:t>
      </w:r>
      <w:r w:rsidRPr="00110998">
        <w:rPr>
          <w:rFonts w:ascii="Book Antiqua" w:hAnsi="Book Antiqua"/>
          <w:b/>
          <w:bCs/>
        </w:rPr>
        <w:t>57</w:t>
      </w:r>
      <w:r w:rsidRPr="00110998">
        <w:rPr>
          <w:rFonts w:ascii="Book Antiqua" w:hAnsi="Book Antiqua"/>
        </w:rPr>
        <w:t>: 1823-1830 [PMID: 26666433 DOI: 10.3109/10428194.2015.1106536]</w:t>
      </w:r>
    </w:p>
    <w:p w14:paraId="2B0DDEA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6 </w:t>
      </w:r>
      <w:r w:rsidRPr="00110998">
        <w:rPr>
          <w:rFonts w:ascii="Book Antiqua" w:hAnsi="Book Antiqua"/>
          <w:b/>
          <w:bCs/>
        </w:rPr>
        <w:t>Modi D</w:t>
      </w:r>
      <w:r w:rsidRPr="00110998">
        <w:rPr>
          <w:rFonts w:ascii="Book Antiqua" w:hAnsi="Book Antiqua"/>
        </w:rPr>
        <w:t xml:space="preserve">, Kim S, Surapaneni M, Deol A, Alavi A, Ayash L, Ratanatharathorn V, Uberti JP; Long Term Outcomes of Allogeneic Transplant in Diffuse Large B-Cell Lymphoma. </w:t>
      </w:r>
      <w:r w:rsidRPr="00110998">
        <w:rPr>
          <w:rFonts w:ascii="Book Antiqua" w:hAnsi="Book Antiqua"/>
          <w:i/>
        </w:rPr>
        <w:t xml:space="preserve">Blood </w:t>
      </w:r>
      <w:r w:rsidRPr="00110998">
        <w:rPr>
          <w:rFonts w:ascii="Book Antiqua" w:hAnsi="Book Antiqua"/>
        </w:rPr>
        <w:t xml:space="preserve">2018; </w:t>
      </w:r>
      <w:r w:rsidRPr="00110998">
        <w:rPr>
          <w:rFonts w:ascii="Book Antiqua" w:hAnsi="Book Antiqua"/>
          <w:b/>
        </w:rPr>
        <w:t>132</w:t>
      </w:r>
      <w:r w:rsidRPr="00110998">
        <w:rPr>
          <w:rFonts w:ascii="Book Antiqua" w:hAnsi="Book Antiqua"/>
        </w:rPr>
        <w:t>: 5769 [</w:t>
      </w:r>
      <w:r w:rsidRPr="00110998">
        <w:rPr>
          <w:rFonts w:ascii="Book Antiqua" w:hAnsi="Book Antiqua"/>
          <w:caps/>
        </w:rPr>
        <w:t xml:space="preserve">doi: </w:t>
      </w:r>
      <w:r w:rsidRPr="00110998">
        <w:rPr>
          <w:rFonts w:ascii="Book Antiqua" w:hAnsi="Book Antiqua"/>
        </w:rPr>
        <w:t>10.1182/blood-2018-99-114278]</w:t>
      </w:r>
    </w:p>
    <w:p w14:paraId="4E2260D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 </w:t>
      </w:r>
      <w:r w:rsidRPr="00110998">
        <w:rPr>
          <w:rFonts w:ascii="Book Antiqua" w:hAnsi="Book Antiqua"/>
          <w:b/>
          <w:bCs/>
        </w:rPr>
        <w:t>Eichenauer DA</w:t>
      </w:r>
      <w:r w:rsidRPr="00110998">
        <w:rPr>
          <w:rFonts w:ascii="Book Antiqua" w:hAnsi="Book Antiqua"/>
        </w:rPr>
        <w:t xml:space="preserve">, Aleman BMP, André M, Federico M, Hutchings M, Illidge T, Engert A, Ladetto M; ESMO Guidelines Committee. Hodgkin lymphoma: ESMO Clinical Practice Guidelines for diagnosis, treatment and follow-up. </w:t>
      </w:r>
      <w:r w:rsidRPr="00110998">
        <w:rPr>
          <w:rFonts w:ascii="Book Antiqua" w:hAnsi="Book Antiqua"/>
          <w:i/>
          <w:iCs/>
        </w:rPr>
        <w:t>Ann Oncol</w:t>
      </w:r>
      <w:r w:rsidRPr="00110998">
        <w:rPr>
          <w:rFonts w:ascii="Book Antiqua" w:hAnsi="Book Antiqua"/>
        </w:rPr>
        <w:t xml:space="preserve"> 2018; </w:t>
      </w:r>
      <w:r w:rsidRPr="00110998">
        <w:rPr>
          <w:rFonts w:ascii="Book Antiqua" w:hAnsi="Book Antiqua"/>
          <w:b/>
          <w:bCs/>
        </w:rPr>
        <w:t>29</w:t>
      </w:r>
      <w:r w:rsidRPr="00110998">
        <w:rPr>
          <w:rFonts w:ascii="Book Antiqua" w:hAnsi="Book Antiqua"/>
        </w:rPr>
        <w:t>: iv19-iv29 [PMID: 29796651 DOI: 10.1093/annonc/mdy080]</w:t>
      </w:r>
    </w:p>
    <w:p w14:paraId="17EAD5B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 </w:t>
      </w:r>
      <w:r w:rsidRPr="00110998">
        <w:rPr>
          <w:rFonts w:ascii="Book Antiqua" w:hAnsi="Book Antiqua"/>
          <w:b/>
          <w:bCs/>
        </w:rPr>
        <w:t>Schmitz N</w:t>
      </w:r>
      <w:r w:rsidRPr="00110998">
        <w:rPr>
          <w:rFonts w:ascii="Book Antiqua" w:hAnsi="Book Antiqua"/>
        </w:rPr>
        <w:t xml:space="preserve">, Pfistner B, Sextro M, Sieber M, Carella AM, Haenel M, Boissevain F, Zschaber R, Müller P, Kirchner H, Lohri A, Decker S, Koch B, Hasenclever D, Goldstone AH, Diehl V; German Hodgkin's Lymphoma Study Group; Lymphoma Working Party of the European Group for Blood and Marrow Transplantation. Aggressive conventional chemotherapy compared with high-dose chemotherapy with autologous haemopoietic stem-cell transplantation for relapsed chemosensitive Hodgkin's disease: a randomised trial. </w:t>
      </w:r>
      <w:r w:rsidRPr="00110998">
        <w:rPr>
          <w:rFonts w:ascii="Book Antiqua" w:hAnsi="Book Antiqua"/>
          <w:i/>
          <w:iCs/>
        </w:rPr>
        <w:t>Lancet</w:t>
      </w:r>
      <w:r w:rsidRPr="00110998">
        <w:rPr>
          <w:rFonts w:ascii="Book Antiqua" w:hAnsi="Book Antiqua"/>
        </w:rPr>
        <w:t xml:space="preserve"> 2002; </w:t>
      </w:r>
      <w:r w:rsidRPr="00110998">
        <w:rPr>
          <w:rFonts w:ascii="Book Antiqua" w:hAnsi="Book Antiqua"/>
          <w:b/>
          <w:bCs/>
        </w:rPr>
        <w:t>359</w:t>
      </w:r>
      <w:r w:rsidRPr="00110998">
        <w:rPr>
          <w:rFonts w:ascii="Book Antiqua" w:hAnsi="Book Antiqua"/>
        </w:rPr>
        <w:t>: 2065-2071 [PMID: 12086759 DOI: 10.1016/S0140-6736(02)08938-9]</w:t>
      </w:r>
    </w:p>
    <w:p w14:paraId="2716197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 </w:t>
      </w:r>
      <w:r w:rsidRPr="00110998">
        <w:rPr>
          <w:rFonts w:ascii="Book Antiqua" w:hAnsi="Book Antiqua"/>
          <w:b/>
          <w:bCs/>
        </w:rPr>
        <w:t>Sibon D</w:t>
      </w:r>
      <w:r w:rsidRPr="00110998">
        <w:rPr>
          <w:rFonts w:ascii="Book Antiqua" w:hAnsi="Book Antiqua"/>
        </w:rPr>
        <w:t xml:space="preserve">, Morschhauser F, Resche-Rigon M, Ghez D, Dupuis J, Marçais A, Deau-Fischer B, Bouabdallah R, Sebban C, Salles G, Brice P. Single or tandem autologous stem-cell transplantation for first-relapsed or refractory Hodgkin lymphoma: 10-year follow-up of the prospective H96 trial by the LYSA/SFGM-TC study group. </w:t>
      </w:r>
      <w:r w:rsidRPr="00110998">
        <w:rPr>
          <w:rFonts w:ascii="Book Antiqua" w:hAnsi="Book Antiqua"/>
          <w:i/>
          <w:iCs/>
        </w:rPr>
        <w:t>Haematologica</w:t>
      </w:r>
      <w:r w:rsidRPr="00110998">
        <w:rPr>
          <w:rFonts w:ascii="Book Antiqua" w:hAnsi="Book Antiqua"/>
        </w:rPr>
        <w:t xml:space="preserve"> 2016; </w:t>
      </w:r>
      <w:r w:rsidRPr="00110998">
        <w:rPr>
          <w:rFonts w:ascii="Book Antiqua" w:hAnsi="Book Antiqua"/>
          <w:b/>
          <w:bCs/>
        </w:rPr>
        <w:t>101</w:t>
      </w:r>
      <w:r w:rsidRPr="00110998">
        <w:rPr>
          <w:rFonts w:ascii="Book Antiqua" w:hAnsi="Book Antiqua"/>
        </w:rPr>
        <w:t>: 474-481 [PMID: 26721893 DOI: 10.3324/haematol.2015.136408]</w:t>
      </w:r>
    </w:p>
    <w:p w14:paraId="15DAA18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 </w:t>
      </w:r>
      <w:r w:rsidRPr="00110998">
        <w:rPr>
          <w:rFonts w:ascii="Book Antiqua" w:hAnsi="Book Antiqua"/>
          <w:b/>
          <w:bCs/>
        </w:rPr>
        <w:t>Gopal AK</w:t>
      </w:r>
      <w:r w:rsidRPr="00110998">
        <w:rPr>
          <w:rFonts w:ascii="Book Antiqua" w:hAnsi="Book Antiqua"/>
        </w:rPr>
        <w:t xml:space="preserve">, Chen R, Smith SE, Ansell SM, Rosenblatt JD, Savage KJ, Connors JM, Engert A, Larsen EK, Chi X, Sievers EL, Younes A. Durable remissions in a pivotal phase 2 study of brentuximab vedotin in relapsed or refractory Hodgkin lymphoma. </w:t>
      </w:r>
      <w:r w:rsidRPr="00110998">
        <w:rPr>
          <w:rFonts w:ascii="Book Antiqua" w:hAnsi="Book Antiqua"/>
          <w:i/>
          <w:iCs/>
        </w:rPr>
        <w:t>Blood</w:t>
      </w:r>
      <w:r w:rsidRPr="00110998">
        <w:rPr>
          <w:rFonts w:ascii="Book Antiqua" w:hAnsi="Book Antiqua"/>
        </w:rPr>
        <w:t xml:space="preserve"> 2015; </w:t>
      </w:r>
      <w:r w:rsidRPr="00110998">
        <w:rPr>
          <w:rFonts w:ascii="Book Antiqua" w:hAnsi="Book Antiqua"/>
          <w:b/>
          <w:bCs/>
        </w:rPr>
        <w:t>125</w:t>
      </w:r>
      <w:r w:rsidRPr="00110998">
        <w:rPr>
          <w:rFonts w:ascii="Book Antiqua" w:hAnsi="Book Antiqua"/>
        </w:rPr>
        <w:t>: 1236-1243 [PMID: 25533035 DOI: 10.1182/blood-2014-08-595801]</w:t>
      </w:r>
    </w:p>
    <w:p w14:paraId="7F726DB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11 </w:t>
      </w:r>
      <w:r w:rsidRPr="00110998">
        <w:rPr>
          <w:rFonts w:ascii="Book Antiqua" w:hAnsi="Book Antiqua"/>
          <w:b/>
          <w:bCs/>
        </w:rPr>
        <w:t>Ansell SM</w:t>
      </w:r>
      <w:r w:rsidRPr="00110998">
        <w:rPr>
          <w:rFonts w:ascii="Book Antiqua" w:hAnsi="Book Antiqua"/>
        </w:rPr>
        <w:t xml:space="preserve">, Lesokhin AM, Borrello I, Halwani A, Scott EC, Gutierrez M, Schuster SJ, Millenson MM, Cattry D, Freeman GJ, Rodig SJ, Chapuy B, Ligon AH, Zhu L, Grosso JF, Kim SY, Timmerman JM, Shipp MA, Armand P. PD-1 blockade with nivolumab in relapsed or refractory Hodgkin's lymphoma.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372</w:t>
      </w:r>
      <w:r w:rsidRPr="00110998">
        <w:rPr>
          <w:rFonts w:ascii="Book Antiqua" w:hAnsi="Book Antiqua"/>
        </w:rPr>
        <w:t>: 311-319 [PMID: 25482239 DOI: 10.1056/NEJMoa1411087]</w:t>
      </w:r>
    </w:p>
    <w:p w14:paraId="63E8B50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12 </w:t>
      </w:r>
      <w:r w:rsidRPr="00110998">
        <w:rPr>
          <w:rFonts w:ascii="Book Antiqua" w:hAnsi="Book Antiqua"/>
          <w:b/>
          <w:bCs/>
        </w:rPr>
        <w:t>Todisco E</w:t>
      </w:r>
      <w:r w:rsidRPr="00110998">
        <w:rPr>
          <w:rFonts w:ascii="Book Antiqua" w:hAnsi="Book Antiqua"/>
        </w:rPr>
        <w:t xml:space="preserve">, Castagna L, Sarina B, Mazza R, Anastasia A, Balzarotti M, Banna G, Tirelli U, Soligo D, Santoro A. Reduced-intensity allogeneic transplantation in patients with refractory or progressive Hodgkin's disease after high-dose chemotherapy and autologous stem cell infusion. </w:t>
      </w:r>
      <w:r w:rsidRPr="00110998">
        <w:rPr>
          <w:rFonts w:ascii="Book Antiqua" w:hAnsi="Book Antiqua"/>
          <w:i/>
          <w:iCs/>
        </w:rPr>
        <w:t>Eur J Haematol</w:t>
      </w:r>
      <w:r w:rsidRPr="00110998">
        <w:rPr>
          <w:rFonts w:ascii="Book Antiqua" w:hAnsi="Book Antiqua"/>
        </w:rPr>
        <w:t xml:space="preserve"> 2007; </w:t>
      </w:r>
      <w:r w:rsidRPr="00110998">
        <w:rPr>
          <w:rFonts w:ascii="Book Antiqua" w:hAnsi="Book Antiqua"/>
          <w:b/>
          <w:bCs/>
        </w:rPr>
        <w:t>78</w:t>
      </w:r>
      <w:r w:rsidRPr="00110998">
        <w:rPr>
          <w:rFonts w:ascii="Book Antiqua" w:hAnsi="Book Antiqua"/>
        </w:rPr>
        <w:t>: 322-329 [PMID: 17253967 DOI: 10.1111/j.1600-0609.2007.00814.x]</w:t>
      </w:r>
    </w:p>
    <w:p w14:paraId="71752DB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13 </w:t>
      </w:r>
      <w:r w:rsidRPr="00110998">
        <w:rPr>
          <w:rFonts w:ascii="Book Antiqua" w:hAnsi="Book Antiqua"/>
          <w:b/>
          <w:bCs/>
        </w:rPr>
        <w:t>Chen DS</w:t>
      </w:r>
      <w:r w:rsidRPr="00110998">
        <w:rPr>
          <w:rFonts w:ascii="Book Antiqua" w:hAnsi="Book Antiqua"/>
        </w:rPr>
        <w:t xml:space="preserve">, Mellman I. Oncology meets immunology: the cancer-immunity cycle. </w:t>
      </w:r>
      <w:r w:rsidRPr="00110998">
        <w:rPr>
          <w:rFonts w:ascii="Book Antiqua" w:hAnsi="Book Antiqua"/>
          <w:i/>
          <w:iCs/>
        </w:rPr>
        <w:t>Immunity</w:t>
      </w:r>
      <w:r w:rsidRPr="00110998">
        <w:rPr>
          <w:rFonts w:ascii="Book Antiqua" w:hAnsi="Book Antiqua"/>
        </w:rPr>
        <w:t xml:space="preserve"> 2013; </w:t>
      </w:r>
      <w:r w:rsidRPr="00110998">
        <w:rPr>
          <w:rFonts w:ascii="Book Antiqua" w:hAnsi="Book Antiqua"/>
          <w:b/>
          <w:bCs/>
        </w:rPr>
        <w:t>39</w:t>
      </w:r>
      <w:r w:rsidRPr="00110998">
        <w:rPr>
          <w:rFonts w:ascii="Book Antiqua" w:hAnsi="Book Antiqua"/>
        </w:rPr>
        <w:t>: 1-10 [PMID: 23890059 DOI: 10.1016/j.immuni.2013.07.012]</w:t>
      </w:r>
    </w:p>
    <w:p w14:paraId="3766FE4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14 </w:t>
      </w:r>
      <w:r w:rsidRPr="00110998">
        <w:rPr>
          <w:rFonts w:ascii="Book Antiqua" w:hAnsi="Book Antiqua"/>
          <w:b/>
          <w:bCs/>
        </w:rPr>
        <w:t>Tarte K</w:t>
      </w:r>
      <w:r w:rsidRPr="00110998">
        <w:rPr>
          <w:rFonts w:ascii="Book Antiqua" w:hAnsi="Book Antiqua"/>
        </w:rPr>
        <w:t xml:space="preserve">. Role of the microenvironment across histological subtypes of NHL. </w:t>
      </w:r>
      <w:r w:rsidRPr="00110998">
        <w:rPr>
          <w:rFonts w:ascii="Book Antiqua" w:hAnsi="Book Antiqua"/>
          <w:i/>
          <w:iCs/>
        </w:rPr>
        <w:t>Hematology Am Soc Hematol Educ Program</w:t>
      </w:r>
      <w:r w:rsidRPr="00110998">
        <w:rPr>
          <w:rFonts w:ascii="Book Antiqua" w:hAnsi="Book Antiqua"/>
        </w:rPr>
        <w:t xml:space="preserve"> 2017; </w:t>
      </w:r>
      <w:r w:rsidRPr="00110998">
        <w:rPr>
          <w:rFonts w:ascii="Book Antiqua" w:hAnsi="Book Antiqua"/>
          <w:b/>
          <w:bCs/>
        </w:rPr>
        <w:t>2017</w:t>
      </w:r>
      <w:r w:rsidRPr="00110998">
        <w:rPr>
          <w:rFonts w:ascii="Book Antiqua" w:hAnsi="Book Antiqua"/>
        </w:rPr>
        <w:t>: 610-617 [PMID: 29222311 DOI: 10.1182/asheducation-2017.1.610]</w:t>
      </w:r>
    </w:p>
    <w:p w14:paraId="0536948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15 </w:t>
      </w:r>
      <w:r w:rsidRPr="00110998">
        <w:rPr>
          <w:rFonts w:ascii="Book Antiqua" w:hAnsi="Book Antiqua"/>
          <w:b/>
          <w:bCs/>
        </w:rPr>
        <w:t>Kline J</w:t>
      </w:r>
      <w:r w:rsidRPr="00110998">
        <w:rPr>
          <w:rFonts w:ascii="Book Antiqua" w:hAnsi="Book Antiqua"/>
        </w:rPr>
        <w:t xml:space="preserve">, Godfrey J, Ansell SM. The immune landscape and response to immune checkpoint blockade therapy in lymphoma. </w:t>
      </w:r>
      <w:r w:rsidRPr="00110998">
        <w:rPr>
          <w:rFonts w:ascii="Book Antiqua" w:hAnsi="Book Antiqua"/>
          <w:i/>
          <w:iCs/>
        </w:rPr>
        <w:t>Blood</w:t>
      </w:r>
      <w:r w:rsidRPr="00110998">
        <w:rPr>
          <w:rFonts w:ascii="Book Antiqua" w:hAnsi="Book Antiqua"/>
        </w:rPr>
        <w:t xml:space="preserve"> 2020; </w:t>
      </w:r>
      <w:r w:rsidRPr="00110998">
        <w:rPr>
          <w:rFonts w:ascii="Book Antiqua" w:hAnsi="Book Antiqua"/>
          <w:b/>
          <w:bCs/>
        </w:rPr>
        <w:t>135</w:t>
      </w:r>
      <w:r w:rsidRPr="00110998">
        <w:rPr>
          <w:rFonts w:ascii="Book Antiqua" w:hAnsi="Book Antiqua"/>
        </w:rPr>
        <w:t>: 523-533 [PMID: 31790142 DOI: 10.1182/blood.2019000847]</w:t>
      </w:r>
    </w:p>
    <w:p w14:paraId="19ED06F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16 </w:t>
      </w:r>
      <w:r w:rsidRPr="00110998">
        <w:rPr>
          <w:rFonts w:ascii="Book Antiqua" w:hAnsi="Book Antiqua"/>
          <w:b/>
          <w:bCs/>
        </w:rPr>
        <w:t>Aoki T</w:t>
      </w:r>
      <w:r w:rsidRPr="00110998">
        <w:rPr>
          <w:rFonts w:ascii="Book Antiqua" w:hAnsi="Book Antiqua"/>
        </w:rPr>
        <w:t xml:space="preserve">, Chong LC, Takata K, Milne K, Hav M, Colombo A, Chavez EA, Nissen M, Wang X, Miyata-Takata T, Lam V, Viganò E, Woolcock BW, Telenius A, Li MY, Healy S, Ghesquiere C, Kos D, Goodyear T, Veldman J, Zhang AW, Kim J, Saberi S, Ding J, Farinha P, Weng AP, Savage KJ, Scott DW, Krystal G, Nelson BH, Mottok A, Merchant A, Shah SP, Steidl C. Single-Cell Transcriptome Analysis Reveals Disease-Defining T-cell Subsets in the Tumor Microenvironment of Classic Hodgkin Lymphoma. </w:t>
      </w:r>
      <w:r w:rsidRPr="00110998">
        <w:rPr>
          <w:rFonts w:ascii="Book Antiqua" w:hAnsi="Book Antiqua"/>
          <w:i/>
          <w:iCs/>
        </w:rPr>
        <w:t>Cancer Discov</w:t>
      </w:r>
      <w:r w:rsidRPr="00110998">
        <w:rPr>
          <w:rFonts w:ascii="Book Antiqua" w:hAnsi="Book Antiqua"/>
        </w:rPr>
        <w:t xml:space="preserve"> 2020; </w:t>
      </w:r>
      <w:r w:rsidRPr="00110998">
        <w:rPr>
          <w:rFonts w:ascii="Book Antiqua" w:hAnsi="Book Antiqua"/>
          <w:b/>
          <w:bCs/>
        </w:rPr>
        <w:t>10</w:t>
      </w:r>
      <w:r w:rsidRPr="00110998">
        <w:rPr>
          <w:rFonts w:ascii="Book Antiqua" w:hAnsi="Book Antiqua"/>
        </w:rPr>
        <w:t>: 406-421 [PMID: 31857391 DOI: 10.1158/2159-8290.CD-19-0680]</w:t>
      </w:r>
    </w:p>
    <w:p w14:paraId="3530F83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17 </w:t>
      </w:r>
      <w:r w:rsidRPr="00110998">
        <w:rPr>
          <w:rFonts w:ascii="Book Antiqua" w:hAnsi="Book Antiqua"/>
          <w:b/>
          <w:bCs/>
        </w:rPr>
        <w:t>Alegre ML</w:t>
      </w:r>
      <w:r w:rsidRPr="00110998">
        <w:rPr>
          <w:rFonts w:ascii="Book Antiqua" w:hAnsi="Book Antiqua"/>
        </w:rPr>
        <w:t xml:space="preserve">, Frauwirth KA, Thompson CB. T-cell regulation by CD28 and CTLA-4. </w:t>
      </w:r>
      <w:r w:rsidRPr="00110998">
        <w:rPr>
          <w:rFonts w:ascii="Book Antiqua" w:hAnsi="Book Antiqua"/>
          <w:i/>
          <w:iCs/>
        </w:rPr>
        <w:t>Nat Rev Immunol</w:t>
      </w:r>
      <w:r w:rsidRPr="00110998">
        <w:rPr>
          <w:rFonts w:ascii="Book Antiqua" w:hAnsi="Book Antiqua"/>
        </w:rPr>
        <w:t xml:space="preserve"> 2001; </w:t>
      </w:r>
      <w:r w:rsidRPr="00110998">
        <w:rPr>
          <w:rFonts w:ascii="Book Antiqua" w:hAnsi="Book Antiqua"/>
          <w:b/>
          <w:bCs/>
        </w:rPr>
        <w:t>1</w:t>
      </w:r>
      <w:r w:rsidRPr="00110998">
        <w:rPr>
          <w:rFonts w:ascii="Book Antiqua" w:hAnsi="Book Antiqua"/>
        </w:rPr>
        <w:t>: 220-228 [PMID: 11905831 DOI: 10.1038/35105024]</w:t>
      </w:r>
    </w:p>
    <w:p w14:paraId="32B0131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18 </w:t>
      </w:r>
      <w:r w:rsidRPr="00110998">
        <w:rPr>
          <w:rFonts w:ascii="Book Antiqua" w:hAnsi="Book Antiqua"/>
          <w:b/>
          <w:bCs/>
        </w:rPr>
        <w:t>Rimsza LM</w:t>
      </w:r>
      <w:r w:rsidRPr="00110998">
        <w:rPr>
          <w:rFonts w:ascii="Book Antiqua" w:hAnsi="Book Antiqua"/>
        </w:rPr>
        <w:t xml:space="preserve">, Roberts RA, Miller TP, Unger JM, LeBlanc M, Braziel RM, Weisenberger DD, Chan WC, Muller-Hermelink HK, Jaffe ES, Gascoyne RD, Campo E, Fuchs DA, Spier CM, Fisher RI, Delabie J, Rosenwald A, Staudt LM, Grogan TM. Loss of MHC class II gene and protein expression in diffuse large B-cell lymphoma is related to decreased tumor immunosurveillance and poor patient survival regardless of other prognostic factors: a follow-up study from the Leukemia and Lymphoma </w:t>
      </w:r>
      <w:r w:rsidRPr="00110998">
        <w:rPr>
          <w:rFonts w:ascii="Book Antiqua" w:hAnsi="Book Antiqua"/>
        </w:rPr>
        <w:lastRenderedPageBreak/>
        <w:t xml:space="preserve">Molecular Profiling Project. </w:t>
      </w:r>
      <w:r w:rsidRPr="00110998">
        <w:rPr>
          <w:rFonts w:ascii="Book Antiqua" w:hAnsi="Book Antiqua"/>
          <w:i/>
          <w:iCs/>
        </w:rPr>
        <w:t>Blood</w:t>
      </w:r>
      <w:r w:rsidRPr="00110998">
        <w:rPr>
          <w:rFonts w:ascii="Book Antiqua" w:hAnsi="Book Antiqua"/>
        </w:rPr>
        <w:t xml:space="preserve"> 2004; </w:t>
      </w:r>
      <w:r w:rsidRPr="00110998">
        <w:rPr>
          <w:rFonts w:ascii="Book Antiqua" w:hAnsi="Book Antiqua"/>
          <w:b/>
          <w:bCs/>
        </w:rPr>
        <w:t>103</w:t>
      </w:r>
      <w:r w:rsidRPr="00110998">
        <w:rPr>
          <w:rFonts w:ascii="Book Antiqua" w:hAnsi="Book Antiqua"/>
        </w:rPr>
        <w:t>: 4251-4258 [PMID: 14976040 DOI: 10.1182/blood-2003-07-2365]</w:t>
      </w:r>
    </w:p>
    <w:p w14:paraId="27D8B4B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19 </w:t>
      </w:r>
      <w:r w:rsidRPr="00110998">
        <w:rPr>
          <w:rFonts w:ascii="Book Antiqua" w:hAnsi="Book Antiqua"/>
          <w:b/>
          <w:bCs/>
        </w:rPr>
        <w:t>Roemer MG</w:t>
      </w:r>
      <w:r w:rsidRPr="00110998">
        <w:rPr>
          <w:rFonts w:ascii="Book Antiqua" w:hAnsi="Book Antiqua"/>
        </w:rPr>
        <w:t xml:space="preserve">, Advani RH, Redd RA, Pinkus GS, Natkunam Y, Ligon AH, Connelly CF, Pak CJ, Carey CD, Daadi SE, Chapuy B, de Jong D, Hoppe RT, Neuberg DS, Shipp MA, Rodig SJ. Classical Hodgkin Lymphoma with Reduced β2M/MHC Class I Expression Is Associated with Inferior Outcome Independent of 9p24.1 Status. </w:t>
      </w:r>
      <w:r w:rsidRPr="00110998">
        <w:rPr>
          <w:rFonts w:ascii="Book Antiqua" w:hAnsi="Book Antiqua"/>
          <w:i/>
          <w:iCs/>
        </w:rPr>
        <w:t>Cancer Immunol Res</w:t>
      </w:r>
      <w:r w:rsidRPr="00110998">
        <w:rPr>
          <w:rFonts w:ascii="Book Antiqua" w:hAnsi="Book Antiqua"/>
        </w:rPr>
        <w:t xml:space="preserve"> 2016; </w:t>
      </w:r>
      <w:r w:rsidRPr="00110998">
        <w:rPr>
          <w:rFonts w:ascii="Book Antiqua" w:hAnsi="Book Antiqua"/>
          <w:b/>
          <w:bCs/>
        </w:rPr>
        <w:t>4</w:t>
      </w:r>
      <w:r w:rsidRPr="00110998">
        <w:rPr>
          <w:rFonts w:ascii="Book Antiqua" w:hAnsi="Book Antiqua"/>
        </w:rPr>
        <w:t>: 910-916 [PMID: 27737878 DOI: 10.1158/2326-6066.CIR-16-0201]</w:t>
      </w:r>
    </w:p>
    <w:p w14:paraId="3F99B12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20 </w:t>
      </w:r>
      <w:r w:rsidRPr="00110998">
        <w:rPr>
          <w:rFonts w:ascii="Book Antiqua" w:hAnsi="Book Antiqua"/>
          <w:b/>
          <w:bCs/>
        </w:rPr>
        <w:t>Roberts RA</w:t>
      </w:r>
      <w:r w:rsidRPr="00110998">
        <w:rPr>
          <w:rFonts w:ascii="Book Antiqua" w:hAnsi="Book Antiqua"/>
        </w:rPr>
        <w:t xml:space="preserve">, Wright G, Rosenwald AR, Jaramillo MA, Grogan TM, Miller TP, Frutiger Y, Chan WC, Gascoyne RD, Ott G, Muller-Hermelink HK, Staudt LM, Rimsza LM. Loss of major histocompatibility class II gene and protein expression in primary mediastinal large B-cell lymphoma is highly coordinated and related to poor patient survival. </w:t>
      </w:r>
      <w:r w:rsidRPr="00110998">
        <w:rPr>
          <w:rFonts w:ascii="Book Antiqua" w:hAnsi="Book Antiqua"/>
          <w:i/>
          <w:iCs/>
        </w:rPr>
        <w:t>Blood</w:t>
      </w:r>
      <w:r w:rsidRPr="00110998">
        <w:rPr>
          <w:rFonts w:ascii="Book Antiqua" w:hAnsi="Book Antiqua"/>
        </w:rPr>
        <w:t xml:space="preserve"> 2006; </w:t>
      </w:r>
      <w:r w:rsidRPr="00110998">
        <w:rPr>
          <w:rFonts w:ascii="Book Antiqua" w:hAnsi="Book Antiqua"/>
          <w:b/>
          <w:bCs/>
        </w:rPr>
        <w:t>108</w:t>
      </w:r>
      <w:r w:rsidRPr="00110998">
        <w:rPr>
          <w:rFonts w:ascii="Book Antiqua" w:hAnsi="Book Antiqua"/>
        </w:rPr>
        <w:t>: 311-318 [PMID: 16543468 DOI: 10.1182/blood-2005-11-4742]</w:t>
      </w:r>
    </w:p>
    <w:p w14:paraId="062D71B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21 </w:t>
      </w:r>
      <w:r w:rsidRPr="00110998">
        <w:rPr>
          <w:rFonts w:ascii="Book Antiqua" w:hAnsi="Book Antiqua"/>
          <w:b/>
          <w:bCs/>
        </w:rPr>
        <w:t>Booman M</w:t>
      </w:r>
      <w:r w:rsidRPr="00110998">
        <w:rPr>
          <w:rFonts w:ascii="Book Antiqua" w:hAnsi="Book Antiqua"/>
        </w:rPr>
        <w:t xml:space="preserve">, Douwes J, Glas AM, Riemersma SA, Jordanova ES, Kok K, Rosenwald A, de Jong D, Schuuring E, Kluin PM. Mechanisms and effects of loss of human leukocyte antigen class II expression in immune-privileged site-associated B-cell lymphoma. </w:t>
      </w:r>
      <w:r w:rsidRPr="00110998">
        <w:rPr>
          <w:rFonts w:ascii="Book Antiqua" w:hAnsi="Book Antiqua"/>
          <w:i/>
          <w:iCs/>
        </w:rPr>
        <w:t>Clin Cancer Res</w:t>
      </w:r>
      <w:r w:rsidRPr="00110998">
        <w:rPr>
          <w:rFonts w:ascii="Book Antiqua" w:hAnsi="Book Antiqua"/>
        </w:rPr>
        <w:t xml:space="preserve"> 2006; </w:t>
      </w:r>
      <w:r w:rsidRPr="00110998">
        <w:rPr>
          <w:rFonts w:ascii="Book Antiqua" w:hAnsi="Book Antiqua"/>
          <w:b/>
          <w:bCs/>
        </w:rPr>
        <w:t>12</w:t>
      </w:r>
      <w:r w:rsidRPr="00110998">
        <w:rPr>
          <w:rFonts w:ascii="Book Antiqua" w:hAnsi="Book Antiqua"/>
        </w:rPr>
        <w:t>: 2698-2705 [PMID: 16675561 DOI: 10.1158/1078-0432.CCR-05-2617]</w:t>
      </w:r>
    </w:p>
    <w:p w14:paraId="186F754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22 </w:t>
      </w:r>
      <w:r w:rsidRPr="00110998">
        <w:rPr>
          <w:rFonts w:ascii="Book Antiqua" w:hAnsi="Book Antiqua"/>
          <w:b/>
          <w:bCs/>
        </w:rPr>
        <w:t>Roemer MG</w:t>
      </w:r>
      <w:r w:rsidRPr="00110998">
        <w:rPr>
          <w:rFonts w:ascii="Book Antiqua" w:hAnsi="Book Antiqua"/>
        </w:rPr>
        <w:t xml:space="preserve">, Advani RH, Ligon AH, Natkunam Y, Redd RA, Homer H, Connelly CF, Sun HH, Daadi SE, Freeman GJ, Armand P, Chapuy B, de Jong D, Hoppe RT, Neuberg DS, Rodig SJ, Shipp MA. PD-L1 and PD-L2 Genetic Alterations Define Classical Hodgkin Lymphoma and Predict Outcome. </w:t>
      </w:r>
      <w:r w:rsidRPr="00110998">
        <w:rPr>
          <w:rFonts w:ascii="Book Antiqua" w:hAnsi="Book Antiqua"/>
          <w:i/>
          <w:iCs/>
        </w:rPr>
        <w:t>J Clin Oncol</w:t>
      </w:r>
      <w:r w:rsidRPr="00110998">
        <w:rPr>
          <w:rFonts w:ascii="Book Antiqua" w:hAnsi="Book Antiqua"/>
        </w:rPr>
        <w:t xml:space="preserve"> 2016; </w:t>
      </w:r>
      <w:r w:rsidRPr="00110998">
        <w:rPr>
          <w:rFonts w:ascii="Book Antiqua" w:hAnsi="Book Antiqua"/>
          <w:b/>
          <w:bCs/>
        </w:rPr>
        <w:t>34</w:t>
      </w:r>
      <w:r w:rsidRPr="00110998">
        <w:rPr>
          <w:rFonts w:ascii="Book Antiqua" w:hAnsi="Book Antiqua"/>
        </w:rPr>
        <w:t>: 2690-2697 [PMID: 27069084 DOI: 10.1200/JCO.2016.66.4482]</w:t>
      </w:r>
    </w:p>
    <w:p w14:paraId="06F421A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23 </w:t>
      </w:r>
      <w:r w:rsidRPr="00110998">
        <w:rPr>
          <w:rFonts w:ascii="Book Antiqua" w:hAnsi="Book Antiqua"/>
          <w:b/>
          <w:bCs/>
        </w:rPr>
        <w:t>Anderson AC</w:t>
      </w:r>
      <w:r w:rsidRPr="00110998">
        <w:rPr>
          <w:rFonts w:ascii="Book Antiqua" w:hAnsi="Book Antiqua"/>
        </w:rPr>
        <w:t xml:space="preserve">, Joller N, Kuchroo VK. Lag-3, Tim-3, and TIGIT: Co-inhibitory Receptors with Specialized Functions in Immune Regulation. </w:t>
      </w:r>
      <w:r w:rsidRPr="00110998">
        <w:rPr>
          <w:rFonts w:ascii="Book Antiqua" w:hAnsi="Book Antiqua"/>
          <w:i/>
          <w:iCs/>
        </w:rPr>
        <w:t>Immunity</w:t>
      </w:r>
      <w:r w:rsidRPr="00110998">
        <w:rPr>
          <w:rFonts w:ascii="Book Antiqua" w:hAnsi="Book Antiqua"/>
        </w:rPr>
        <w:t xml:space="preserve"> 2016; </w:t>
      </w:r>
      <w:r w:rsidRPr="00110998">
        <w:rPr>
          <w:rFonts w:ascii="Book Antiqua" w:hAnsi="Book Antiqua"/>
          <w:b/>
          <w:bCs/>
        </w:rPr>
        <w:t>44</w:t>
      </w:r>
      <w:r w:rsidRPr="00110998">
        <w:rPr>
          <w:rFonts w:ascii="Book Antiqua" w:hAnsi="Book Antiqua"/>
        </w:rPr>
        <w:t>: 989-1004 [PMID: 27192565 DOI: 10.1016/j.immuni.2016.05.001]</w:t>
      </w:r>
    </w:p>
    <w:p w14:paraId="5EBBE83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24 </w:t>
      </w:r>
      <w:r w:rsidRPr="00110998">
        <w:rPr>
          <w:rFonts w:ascii="Book Antiqua" w:hAnsi="Book Antiqua"/>
          <w:b/>
          <w:bCs/>
        </w:rPr>
        <w:t>Xiu B</w:t>
      </w:r>
      <w:r w:rsidRPr="00110998">
        <w:rPr>
          <w:rFonts w:ascii="Book Antiqua" w:hAnsi="Book Antiqua"/>
        </w:rPr>
        <w:t xml:space="preserve">, Lin Y, Grote DM, Ziesmer SC, Gustafson MP, Maas ML, Zhang Z, Dietz AB, Porrata LF, Novak AJ, Liang AB, Yang ZZ, Ansell SM. IL-10 induces the development of immunosuppressive CD14(+)HLA-DR(low/-) monocytes in B-cell non-Hodgkin lymphoma. </w:t>
      </w:r>
      <w:r w:rsidRPr="00110998">
        <w:rPr>
          <w:rFonts w:ascii="Book Antiqua" w:hAnsi="Book Antiqua"/>
          <w:i/>
          <w:iCs/>
        </w:rPr>
        <w:t>Blood Cancer J</w:t>
      </w:r>
      <w:r w:rsidRPr="00110998">
        <w:rPr>
          <w:rFonts w:ascii="Book Antiqua" w:hAnsi="Book Antiqua"/>
        </w:rPr>
        <w:t xml:space="preserve"> 2015; </w:t>
      </w:r>
      <w:r w:rsidRPr="00110998">
        <w:rPr>
          <w:rFonts w:ascii="Book Antiqua" w:hAnsi="Book Antiqua"/>
          <w:b/>
          <w:bCs/>
        </w:rPr>
        <w:t>5</w:t>
      </w:r>
      <w:r w:rsidRPr="00110998">
        <w:rPr>
          <w:rFonts w:ascii="Book Antiqua" w:hAnsi="Book Antiqua"/>
        </w:rPr>
        <w:t>: e328 [PMID: 26230952 DOI: 10.1038/bcj.2015.56]</w:t>
      </w:r>
    </w:p>
    <w:p w14:paraId="69C8A36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25 </w:t>
      </w:r>
      <w:r w:rsidRPr="00110998">
        <w:rPr>
          <w:rFonts w:ascii="Book Antiqua" w:hAnsi="Book Antiqua"/>
          <w:b/>
          <w:bCs/>
        </w:rPr>
        <w:t>Yang ZZ</w:t>
      </w:r>
      <w:r w:rsidRPr="00110998">
        <w:rPr>
          <w:rFonts w:ascii="Book Antiqua" w:hAnsi="Book Antiqua"/>
        </w:rPr>
        <w:t xml:space="preserve">, Grote DM, Ziesmer SC, Niki T, Hirashima M, Novak AJ, Witzig TE, Ansell SM. IL-12 upregulates TIM-3 expression and induces T cell exhaustion in patients with follicular B cell non-Hodgkin lymphoma. </w:t>
      </w:r>
      <w:r w:rsidRPr="00110998">
        <w:rPr>
          <w:rFonts w:ascii="Book Antiqua" w:hAnsi="Book Antiqua"/>
          <w:i/>
          <w:iCs/>
        </w:rPr>
        <w:t>J Clin Invest</w:t>
      </w:r>
      <w:r w:rsidRPr="00110998">
        <w:rPr>
          <w:rFonts w:ascii="Book Antiqua" w:hAnsi="Book Antiqua"/>
        </w:rPr>
        <w:t xml:space="preserve"> 2012; </w:t>
      </w:r>
      <w:r w:rsidRPr="00110998">
        <w:rPr>
          <w:rFonts w:ascii="Book Antiqua" w:hAnsi="Book Antiqua"/>
          <w:b/>
          <w:bCs/>
        </w:rPr>
        <w:t>122</w:t>
      </w:r>
      <w:r w:rsidRPr="00110998">
        <w:rPr>
          <w:rFonts w:ascii="Book Antiqua" w:hAnsi="Book Antiqua"/>
        </w:rPr>
        <w:t>: 1271-1282 [PMID: 22426209 DOI: 10.1172/JCI59806]</w:t>
      </w:r>
    </w:p>
    <w:p w14:paraId="5131984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26 </w:t>
      </w:r>
      <w:r w:rsidRPr="00110998">
        <w:rPr>
          <w:rFonts w:ascii="Book Antiqua" w:hAnsi="Book Antiqua"/>
          <w:b/>
          <w:bCs/>
        </w:rPr>
        <w:t>Yang ZZ</w:t>
      </w:r>
      <w:r w:rsidRPr="00110998">
        <w:rPr>
          <w:rFonts w:ascii="Book Antiqua" w:hAnsi="Book Antiqua"/>
        </w:rPr>
        <w:t xml:space="preserve">, Grote DM, Xiu B, Ziesmer SC, Price-Troska TL, Hodge LS, Yates DM, Novak AJ, Ansell SM. TGF-β upregulates CD70 expression and induces exhaustion of effector memory T cells in B-cell non-Hodgkin's lymphoma. </w:t>
      </w:r>
      <w:r w:rsidRPr="00110998">
        <w:rPr>
          <w:rFonts w:ascii="Book Antiqua" w:hAnsi="Book Antiqua"/>
          <w:i/>
          <w:iCs/>
        </w:rPr>
        <w:t>Leukemia</w:t>
      </w:r>
      <w:r w:rsidRPr="00110998">
        <w:rPr>
          <w:rFonts w:ascii="Book Antiqua" w:hAnsi="Book Antiqua"/>
        </w:rPr>
        <w:t xml:space="preserve"> 2014; </w:t>
      </w:r>
      <w:r w:rsidRPr="00110998">
        <w:rPr>
          <w:rFonts w:ascii="Book Antiqua" w:hAnsi="Book Antiqua"/>
          <w:b/>
          <w:bCs/>
        </w:rPr>
        <w:t>28</w:t>
      </w:r>
      <w:r w:rsidRPr="00110998">
        <w:rPr>
          <w:rFonts w:ascii="Book Antiqua" w:hAnsi="Book Antiqua"/>
        </w:rPr>
        <w:t>: 1872-1884 [PMID: 24569779 DOI: 10.1038/leu.2014.84]</w:t>
      </w:r>
    </w:p>
    <w:p w14:paraId="76ACEC2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27 </w:t>
      </w:r>
      <w:r w:rsidRPr="00110998">
        <w:rPr>
          <w:rFonts w:ascii="Book Antiqua" w:hAnsi="Book Antiqua"/>
          <w:b/>
          <w:bCs/>
        </w:rPr>
        <w:t>Azzaoui I</w:t>
      </w:r>
      <w:r w:rsidRPr="00110998">
        <w:rPr>
          <w:rFonts w:ascii="Book Antiqua" w:hAnsi="Book Antiqua"/>
        </w:rPr>
        <w:t xml:space="preserve">, Uhel F, Rossille D, Pangault C, Dulong J, Le Priol J, Lamy T, Houot R, Le Gouill S, Cartron G, Godmer P, Bouabdallah K, Milpied N, Damaj G, Tarte K, Fest T, Roussel M. T-cell defect in diffuse large B-cell lymphomas involves expansion of myeloid-derived suppressor cells.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128</w:t>
      </w:r>
      <w:r w:rsidRPr="00110998">
        <w:rPr>
          <w:rFonts w:ascii="Book Antiqua" w:hAnsi="Book Antiqua"/>
        </w:rPr>
        <w:t>: 1081-1092 [PMID: 27338100 DOI: 10.1182/blood-2015-08-662783]</w:t>
      </w:r>
    </w:p>
    <w:p w14:paraId="62EBC19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28 </w:t>
      </w:r>
      <w:r w:rsidRPr="00110998">
        <w:rPr>
          <w:rFonts w:ascii="Book Antiqua" w:hAnsi="Book Antiqua"/>
          <w:b/>
          <w:bCs/>
        </w:rPr>
        <w:t>Carey CD</w:t>
      </w:r>
      <w:r w:rsidRPr="00110998">
        <w:rPr>
          <w:rFonts w:ascii="Book Antiqua" w:hAnsi="Book Antiqua"/>
        </w:rPr>
        <w:t xml:space="preserve">, Gusenleitner D, Lipschitz M, Roemer MGM, Stack EC, Gjini E, Hu X, Redd R, Freeman GJ, Neuberg D, Hodi FS, Liu XS, Shipp MA, Rodig SJ. Topological analysis reveals a PD-L1-associated microenvironmental niche for Reed-Sternberg cells in Hodgkin lymphoma.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2420-2430 [PMID: 28893733 DOI: 10.1182/blood-2017-03-770719]</w:t>
      </w:r>
    </w:p>
    <w:p w14:paraId="096EDE2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29 </w:t>
      </w:r>
      <w:r w:rsidRPr="00110998">
        <w:rPr>
          <w:rFonts w:ascii="Book Antiqua" w:hAnsi="Book Antiqua"/>
          <w:b/>
          <w:bCs/>
        </w:rPr>
        <w:t>Vardhana S</w:t>
      </w:r>
      <w:r w:rsidRPr="00110998">
        <w:rPr>
          <w:rFonts w:ascii="Book Antiqua" w:hAnsi="Book Antiqua"/>
        </w:rPr>
        <w:t xml:space="preserve">, Younes A. The immune microenvironment in Hodgkin lymphoma: T cells, B cells, and immune checkpoints. </w:t>
      </w:r>
      <w:r w:rsidRPr="00110998">
        <w:rPr>
          <w:rFonts w:ascii="Book Antiqua" w:hAnsi="Book Antiqua"/>
          <w:i/>
          <w:iCs/>
        </w:rPr>
        <w:t>Haematologica</w:t>
      </w:r>
      <w:r w:rsidRPr="00110998">
        <w:rPr>
          <w:rFonts w:ascii="Book Antiqua" w:hAnsi="Book Antiqua"/>
        </w:rPr>
        <w:t xml:space="preserve"> 2016; </w:t>
      </w:r>
      <w:r w:rsidRPr="00110998">
        <w:rPr>
          <w:rFonts w:ascii="Book Antiqua" w:hAnsi="Book Antiqua"/>
          <w:b/>
          <w:bCs/>
        </w:rPr>
        <w:t>101</w:t>
      </w:r>
      <w:r w:rsidRPr="00110998">
        <w:rPr>
          <w:rFonts w:ascii="Book Antiqua" w:hAnsi="Book Antiqua"/>
        </w:rPr>
        <w:t>: 794-802 [PMID: 27365459 DOI: 10.3324/haematol.2015.132761]</w:t>
      </w:r>
    </w:p>
    <w:p w14:paraId="7D4C5FC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30 </w:t>
      </w:r>
      <w:r w:rsidRPr="00110998">
        <w:rPr>
          <w:rFonts w:ascii="Book Antiqua" w:hAnsi="Book Antiqua"/>
          <w:b/>
          <w:bCs/>
        </w:rPr>
        <w:t>Yang ZZ</w:t>
      </w:r>
      <w:r w:rsidRPr="00110998">
        <w:rPr>
          <w:rFonts w:ascii="Book Antiqua" w:hAnsi="Book Antiqua"/>
        </w:rPr>
        <w:t xml:space="preserve">, Novak AJ, Ziesmer SC, Witzig TE, Ansell SM. CD70+ non-Hodgkin lymphoma B cells induce Foxp3 expression and regulatory function in intratumoral CD4+CD25 T cells. </w:t>
      </w:r>
      <w:r w:rsidRPr="00110998">
        <w:rPr>
          <w:rFonts w:ascii="Book Antiqua" w:hAnsi="Book Antiqua"/>
          <w:i/>
          <w:iCs/>
        </w:rPr>
        <w:t>Blood</w:t>
      </w:r>
      <w:r w:rsidRPr="00110998">
        <w:rPr>
          <w:rFonts w:ascii="Book Antiqua" w:hAnsi="Book Antiqua"/>
        </w:rPr>
        <w:t xml:space="preserve"> 2007; </w:t>
      </w:r>
      <w:r w:rsidRPr="00110998">
        <w:rPr>
          <w:rFonts w:ascii="Book Antiqua" w:hAnsi="Book Antiqua"/>
          <w:b/>
          <w:bCs/>
        </w:rPr>
        <w:t>110</w:t>
      </w:r>
      <w:r w:rsidRPr="00110998">
        <w:rPr>
          <w:rFonts w:ascii="Book Antiqua" w:hAnsi="Book Antiqua"/>
        </w:rPr>
        <w:t>: 2537-2544 [PMID: 17615291 DOI: 10.1182/blood-2007-03-082578]</w:t>
      </w:r>
    </w:p>
    <w:p w14:paraId="7602E2D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31 </w:t>
      </w:r>
      <w:r w:rsidRPr="00110998">
        <w:rPr>
          <w:rFonts w:ascii="Book Antiqua" w:hAnsi="Book Antiqua"/>
          <w:b/>
          <w:bCs/>
        </w:rPr>
        <w:t>Kallam A</w:t>
      </w:r>
      <w:r w:rsidRPr="00110998">
        <w:rPr>
          <w:rFonts w:ascii="Book Antiqua" w:hAnsi="Book Antiqua"/>
        </w:rPr>
        <w:t xml:space="preserve">, Vose JM. Recent Advances in CAR-T Cell Therapy for Non-Hodgkin Lymphoma. </w:t>
      </w:r>
      <w:r w:rsidRPr="00110998">
        <w:rPr>
          <w:rFonts w:ascii="Book Antiqua" w:hAnsi="Book Antiqua"/>
          <w:i/>
          <w:iCs/>
        </w:rPr>
        <w:t>Clin Lymphoma Myeloma Leuk</w:t>
      </w:r>
      <w:r w:rsidRPr="00110998">
        <w:rPr>
          <w:rFonts w:ascii="Book Antiqua" w:hAnsi="Book Antiqua"/>
        </w:rPr>
        <w:t xml:space="preserve"> 2019; </w:t>
      </w:r>
      <w:r w:rsidRPr="00110998">
        <w:rPr>
          <w:rFonts w:ascii="Book Antiqua" w:hAnsi="Book Antiqua"/>
          <w:b/>
          <w:bCs/>
        </w:rPr>
        <w:t>19</w:t>
      </w:r>
      <w:r w:rsidRPr="00110998">
        <w:rPr>
          <w:rFonts w:ascii="Book Antiqua" w:hAnsi="Book Antiqua"/>
        </w:rPr>
        <w:t>: 751-757 [PMID: 31648957 DOI: 10.1016/j.clml.2019.09.598]</w:t>
      </w:r>
    </w:p>
    <w:p w14:paraId="67C5C0C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32 </w:t>
      </w:r>
      <w:r w:rsidRPr="00110998">
        <w:rPr>
          <w:rFonts w:ascii="Book Antiqua" w:hAnsi="Book Antiqua"/>
          <w:b/>
          <w:bCs/>
        </w:rPr>
        <w:t>Viardot A</w:t>
      </w:r>
      <w:r w:rsidRPr="00110998">
        <w:rPr>
          <w:rFonts w:ascii="Book Antiqua" w:hAnsi="Book Antiqua"/>
        </w:rPr>
        <w:t xml:space="preserve">, Goebeler ME, Hess G, Neumann S, Pfreundschuh M, Adrian N, Zettl F, Libicher M, Sayehli C, Stieglmaier J, Zhang A, Nagorsen D, Bargou RC. Phase 2 study of the bispecific T-cell engager (BiTE) antibody blinatumomab in relapsed/refractory diffuse large B-cell lymphoma.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1410-1416 [PMID: 26755709 DOI: 10.1182/blood-2015-06-651380]</w:t>
      </w:r>
    </w:p>
    <w:p w14:paraId="288073D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33 </w:t>
      </w:r>
      <w:r w:rsidRPr="00110998">
        <w:rPr>
          <w:rFonts w:ascii="Book Antiqua" w:hAnsi="Book Antiqua"/>
          <w:b/>
          <w:bCs/>
        </w:rPr>
        <w:t>Rothe A</w:t>
      </w:r>
      <w:r w:rsidRPr="00110998">
        <w:rPr>
          <w:rFonts w:ascii="Book Antiqua" w:hAnsi="Book Antiqua"/>
        </w:rPr>
        <w:t xml:space="preserve">, Sasse S, Topp MS, Eichenauer DA, Hummel H, Reiners KS, Dietlein M, Kuhnert G, Kessler J, Buerkle C, Ravic M, Knackmuss S, Marschner JP, Pogge von Strandmann E, Borchmann P, Engert A. A phase 1 study of the bispecific anti-CD30/CD16A antibody construct AFM13 in patients with relapsed or refractory Hodgkin lymphoma. </w:t>
      </w:r>
      <w:r w:rsidRPr="00110998">
        <w:rPr>
          <w:rFonts w:ascii="Book Antiqua" w:hAnsi="Book Antiqua"/>
          <w:i/>
          <w:iCs/>
        </w:rPr>
        <w:t>Blood</w:t>
      </w:r>
      <w:r w:rsidRPr="00110998">
        <w:rPr>
          <w:rFonts w:ascii="Book Antiqua" w:hAnsi="Book Antiqua"/>
        </w:rPr>
        <w:t xml:space="preserve"> 2015; </w:t>
      </w:r>
      <w:r w:rsidRPr="00110998">
        <w:rPr>
          <w:rFonts w:ascii="Book Antiqua" w:hAnsi="Book Antiqua"/>
          <w:b/>
          <w:bCs/>
        </w:rPr>
        <w:t>125</w:t>
      </w:r>
      <w:r w:rsidRPr="00110998">
        <w:rPr>
          <w:rFonts w:ascii="Book Antiqua" w:hAnsi="Book Antiqua"/>
        </w:rPr>
        <w:t>: 4024-4031 [PMID: 25887777 DOI: 10.1182/blood-2014-12-614636]</w:t>
      </w:r>
    </w:p>
    <w:p w14:paraId="62E8129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34 </w:t>
      </w:r>
      <w:r w:rsidRPr="00110998">
        <w:rPr>
          <w:rFonts w:ascii="Book Antiqua" w:hAnsi="Book Antiqua"/>
          <w:b/>
          <w:bCs/>
        </w:rPr>
        <w:t>Tomzcak P</w:t>
      </w:r>
      <w:r w:rsidRPr="00110998">
        <w:rPr>
          <w:rFonts w:ascii="Book Antiqua" w:hAnsi="Book Antiqua"/>
        </w:rPr>
        <w:t xml:space="preserve">, Popovic L, Barhelemy P, Janicic A, Fernandez ES, Borchiellini D, Aglietta M, Maroto J, Carnot A, O'Connell B, Zizlsperger N, Zhang HH, Valderrama BP. Preliminary Analysis of a Phase 2, Multicenter, Randomized, Active-Control Study to Evaluate the Efficacy and Safety of Eganelisib (IPI-549) in Combination with Nivolumab compared to Nivolumab Monotherapy in Patients with Advanced Urothelial Carcinoma. </w:t>
      </w:r>
      <w:r w:rsidRPr="00110998">
        <w:rPr>
          <w:rFonts w:ascii="Book Antiqua" w:hAnsi="Book Antiqua"/>
          <w:i/>
        </w:rPr>
        <w:t>J Clin Oncol</w:t>
      </w:r>
      <w:r w:rsidRPr="00110998">
        <w:rPr>
          <w:rFonts w:ascii="Book Antiqua" w:hAnsi="Book Antiqua"/>
        </w:rPr>
        <w:t xml:space="preserve"> 2021 </w:t>
      </w:r>
      <w:r w:rsidRPr="00110998">
        <w:rPr>
          <w:rFonts w:ascii="Book Antiqua" w:hAnsi="Book Antiqua"/>
          <w:b/>
        </w:rPr>
        <w:t>39</w:t>
      </w:r>
      <w:r w:rsidRPr="00110998">
        <w:rPr>
          <w:rFonts w:ascii="Book Antiqua" w:hAnsi="Book Antiqua"/>
        </w:rPr>
        <w:t>: 436-436 [DOI: 10.1200/JCO.2021.39.6_suppl.436]</w:t>
      </w:r>
    </w:p>
    <w:p w14:paraId="7C1EC3E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35 </w:t>
      </w:r>
      <w:r w:rsidRPr="00110998">
        <w:rPr>
          <w:rFonts w:ascii="Book Antiqua" w:hAnsi="Book Antiqua"/>
          <w:b/>
          <w:bCs/>
        </w:rPr>
        <w:t>Coiffier B</w:t>
      </w:r>
      <w:r w:rsidRPr="00110998">
        <w:rPr>
          <w:rFonts w:ascii="Book Antiqua" w:hAnsi="Book Antiqua"/>
        </w:rPr>
        <w:t xml:space="preserve">, Lepage E, Briere J, Herbrecht R, Tilly H, Bouabdallah R, Morel P, Van Den Neste E, Salles G, Gaulard P, Reyes F, Lederlin P, Gisselbrecht C. CHOP chemotherapy plus rituximab compared with CHOP alone in elderly patients with diffuse large-B-cell lymphoma. </w:t>
      </w:r>
      <w:r w:rsidRPr="00110998">
        <w:rPr>
          <w:rFonts w:ascii="Book Antiqua" w:hAnsi="Book Antiqua"/>
          <w:i/>
          <w:iCs/>
        </w:rPr>
        <w:t>N Engl J Med</w:t>
      </w:r>
      <w:r w:rsidRPr="00110998">
        <w:rPr>
          <w:rFonts w:ascii="Book Antiqua" w:hAnsi="Book Antiqua"/>
        </w:rPr>
        <w:t xml:space="preserve"> 2002; </w:t>
      </w:r>
      <w:r w:rsidRPr="00110998">
        <w:rPr>
          <w:rFonts w:ascii="Book Antiqua" w:hAnsi="Book Antiqua"/>
          <w:b/>
          <w:bCs/>
        </w:rPr>
        <w:t>346</w:t>
      </w:r>
      <w:r w:rsidRPr="00110998">
        <w:rPr>
          <w:rFonts w:ascii="Book Antiqua" w:hAnsi="Book Antiqua"/>
        </w:rPr>
        <w:t>: 235-242 [PMID: 11807147 DOI: 10.1056/NEJMoa011795]</w:t>
      </w:r>
    </w:p>
    <w:p w14:paraId="434EA84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36 </w:t>
      </w:r>
      <w:r w:rsidRPr="00110998">
        <w:rPr>
          <w:rFonts w:ascii="Book Antiqua" w:hAnsi="Book Antiqua"/>
          <w:b/>
          <w:bCs/>
        </w:rPr>
        <w:t>Pfreundschuh M</w:t>
      </w:r>
      <w:r w:rsidRPr="00110998">
        <w:rPr>
          <w:rFonts w:ascii="Book Antiqua" w:hAnsi="Book Antiqua"/>
        </w:rPr>
        <w:t xml:space="preserve">, Trümper L, Osterborg A, Pettengell R, Trneny M, Imrie K, Ma D, Gill D, Walewski J, Zinzani PL, Stahel R, Kvaloy S, Shpilberg O, Jaeger U, Hansen M, Lehtinen T, López-Guillermo A, Corrado C, Scheliga A, Milpied N, Mendila M, Rashford M, Kuhnt E, Loeffler M; MabThera International Trial Group. CHOP-like chemotherapy plus rituximab versus CHOP-like chemotherapy alone in young patients with good-prognosis diffuse large-B-cell lymphoma: a randomised controlled </w:t>
      </w:r>
      <w:r w:rsidRPr="00110998">
        <w:rPr>
          <w:rFonts w:ascii="Book Antiqua" w:hAnsi="Book Antiqua"/>
        </w:rPr>
        <w:lastRenderedPageBreak/>
        <w:t xml:space="preserve">trial by the MabThera International Trial (MInT) Group. </w:t>
      </w:r>
      <w:r w:rsidRPr="00110998">
        <w:rPr>
          <w:rFonts w:ascii="Book Antiqua" w:hAnsi="Book Antiqua"/>
          <w:i/>
          <w:iCs/>
        </w:rPr>
        <w:t>Lancet Oncol</w:t>
      </w:r>
      <w:r w:rsidRPr="00110998">
        <w:rPr>
          <w:rFonts w:ascii="Book Antiqua" w:hAnsi="Book Antiqua"/>
        </w:rPr>
        <w:t xml:space="preserve"> 2006; </w:t>
      </w:r>
      <w:r w:rsidRPr="00110998">
        <w:rPr>
          <w:rFonts w:ascii="Book Antiqua" w:hAnsi="Book Antiqua"/>
          <w:b/>
          <w:bCs/>
        </w:rPr>
        <w:t>7</w:t>
      </w:r>
      <w:r w:rsidRPr="00110998">
        <w:rPr>
          <w:rFonts w:ascii="Book Antiqua" w:hAnsi="Book Antiqua"/>
        </w:rPr>
        <w:t>: 379-391 [PMID: 16648042 DOI: 10.1016/S1470-2045(06)70664-7]</w:t>
      </w:r>
    </w:p>
    <w:p w14:paraId="3B9B3FC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37 </w:t>
      </w:r>
      <w:r w:rsidRPr="00110998">
        <w:rPr>
          <w:rFonts w:ascii="Book Antiqua" w:hAnsi="Book Antiqua"/>
          <w:b/>
          <w:bCs/>
        </w:rPr>
        <w:t>Salles G</w:t>
      </w:r>
      <w:r w:rsidRPr="00110998">
        <w:rPr>
          <w:rFonts w:ascii="Book Antiqua" w:hAnsi="Book Antiqua"/>
        </w:rPr>
        <w:t xml:space="preserve">, Mounier N, de Guibert S, Morschhauser F, Doyen C, Rossi JF, Haioun C, Brice P, Mahé B, Bouabdallah R, Audhuy B, Ferme C, Dartigeas C, Feugier P, Sebban C, Xerri L, Foussard C. Rituximab combined with chemotherapy and interferon in follicular lymphoma patients: results of the GELA-GOELAMS FL2000 study. </w:t>
      </w:r>
      <w:r w:rsidRPr="00110998">
        <w:rPr>
          <w:rFonts w:ascii="Book Antiqua" w:hAnsi="Book Antiqua"/>
          <w:i/>
          <w:iCs/>
        </w:rPr>
        <w:t>Blood</w:t>
      </w:r>
      <w:r w:rsidRPr="00110998">
        <w:rPr>
          <w:rFonts w:ascii="Book Antiqua" w:hAnsi="Book Antiqua"/>
        </w:rPr>
        <w:t xml:space="preserve"> 2008; </w:t>
      </w:r>
      <w:r w:rsidRPr="00110998">
        <w:rPr>
          <w:rFonts w:ascii="Book Antiqua" w:hAnsi="Book Antiqua"/>
          <w:b/>
          <w:bCs/>
        </w:rPr>
        <w:t>112</w:t>
      </w:r>
      <w:r w:rsidRPr="00110998">
        <w:rPr>
          <w:rFonts w:ascii="Book Antiqua" w:hAnsi="Book Antiqua"/>
        </w:rPr>
        <w:t>: 4824-4831 [PMID: 18799723 DOI: 10.1182/blood-2008-04-153189]</w:t>
      </w:r>
    </w:p>
    <w:p w14:paraId="4DE9A84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38 </w:t>
      </w:r>
      <w:r w:rsidRPr="00110998">
        <w:rPr>
          <w:rFonts w:ascii="Book Antiqua" w:hAnsi="Book Antiqua"/>
          <w:b/>
          <w:bCs/>
        </w:rPr>
        <w:t>Fischer K</w:t>
      </w:r>
      <w:r w:rsidRPr="00110998">
        <w:rPr>
          <w:rFonts w:ascii="Book Antiqua" w:hAnsi="Book Antiqua"/>
        </w:rPr>
        <w:t xml:space="preserve">, Bahlo J, Fink AM, Goede V, Herling CD, Cramer P, Langerbeins P, von Tresckow J, Engelke A, Maurer C, Kovacs G, Herling M, Tausch E, Kreuzer KA, Eichhorst B, Böttcher S, Seymour JF, Ghia P, Marlton P, Kneba M, Wendtner CM, Döhner H, Stilgenbauer S, Hallek M. Long-term remissions after FCR chemoimmunotherapy in previously untreated patients with CLL: updated results of the CLL8 trial.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208-215 [PMID: 26486789 DOI: 10.1182/blood-2015-06-651125]</w:t>
      </w:r>
    </w:p>
    <w:p w14:paraId="17E98B7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39 </w:t>
      </w:r>
      <w:r w:rsidRPr="00110998">
        <w:rPr>
          <w:rFonts w:ascii="Book Antiqua" w:hAnsi="Book Antiqua"/>
          <w:b/>
          <w:bCs/>
        </w:rPr>
        <w:t>Wierda WG</w:t>
      </w:r>
      <w:r w:rsidRPr="00110998">
        <w:rPr>
          <w:rFonts w:ascii="Book Antiqua" w:hAnsi="Book Antiqua"/>
        </w:rPr>
        <w:t xml:space="preserve">, Kipps TJ, Mayer J, Stilgenbauer S, Williams CD, Hellmann A, Robak T, Furman RR, Hillmen P, Trneny M, Dyer MJ, Padmanabhan S, Piotrowska M, Kozak T, Chan G, Davis R, Losic N, Wilms J, Russell CA, Osterborg A; Hx-CD20-406 Study Investigators. Ofatumumab as single-agent CD20 immunotherapy in fludarabine-refractory chronic lymphocytic leukemia. </w:t>
      </w:r>
      <w:r w:rsidRPr="00110998">
        <w:rPr>
          <w:rFonts w:ascii="Book Antiqua" w:hAnsi="Book Antiqua"/>
          <w:i/>
          <w:iCs/>
        </w:rPr>
        <w:t>J Clin Oncol</w:t>
      </w:r>
      <w:r w:rsidRPr="00110998">
        <w:rPr>
          <w:rFonts w:ascii="Book Antiqua" w:hAnsi="Book Antiqua"/>
        </w:rPr>
        <w:t xml:space="preserve"> 2010; </w:t>
      </w:r>
      <w:r w:rsidRPr="00110998">
        <w:rPr>
          <w:rFonts w:ascii="Book Antiqua" w:hAnsi="Book Antiqua"/>
          <w:b/>
          <w:bCs/>
        </w:rPr>
        <w:t>28</w:t>
      </w:r>
      <w:r w:rsidRPr="00110998">
        <w:rPr>
          <w:rFonts w:ascii="Book Antiqua" w:hAnsi="Book Antiqua"/>
        </w:rPr>
        <w:t>: 1749-1755 [PMID: 20194866 DOI: 10.1200/JCO.2009.25.3187]</w:t>
      </w:r>
    </w:p>
    <w:p w14:paraId="75989F6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40 </w:t>
      </w:r>
      <w:r w:rsidRPr="00110998">
        <w:rPr>
          <w:rFonts w:ascii="Book Antiqua" w:hAnsi="Book Antiqua"/>
          <w:b/>
          <w:bCs/>
        </w:rPr>
        <w:t>Tobinai K</w:t>
      </w:r>
      <w:r w:rsidRPr="00110998">
        <w:rPr>
          <w:rFonts w:ascii="Book Antiqua" w:hAnsi="Book Antiqua"/>
        </w:rPr>
        <w:t xml:space="preserve">, Klein C, Oya N, Fingerle-Rowson G. A Review of Obinutuzumab (GA101), a Novel Type II Anti-CD20 Monoclonal Antibody, for the Treatment of Patients with B-Cell Malignancies. </w:t>
      </w:r>
      <w:r w:rsidRPr="00110998">
        <w:rPr>
          <w:rFonts w:ascii="Book Antiqua" w:hAnsi="Book Antiqua"/>
          <w:i/>
          <w:iCs/>
        </w:rPr>
        <w:t>Adv Ther</w:t>
      </w:r>
      <w:r w:rsidRPr="00110998">
        <w:rPr>
          <w:rFonts w:ascii="Book Antiqua" w:hAnsi="Book Antiqua"/>
        </w:rPr>
        <w:t xml:space="preserve"> 2017; </w:t>
      </w:r>
      <w:r w:rsidRPr="00110998">
        <w:rPr>
          <w:rFonts w:ascii="Book Antiqua" w:hAnsi="Book Antiqua"/>
          <w:b/>
          <w:bCs/>
        </w:rPr>
        <w:t>34</w:t>
      </w:r>
      <w:r w:rsidRPr="00110998">
        <w:rPr>
          <w:rFonts w:ascii="Book Antiqua" w:hAnsi="Book Antiqua"/>
        </w:rPr>
        <w:t>: 324-356 [PMID: 28004361 DOI: 10.1007/s12325-016-0451-1]</w:t>
      </w:r>
    </w:p>
    <w:p w14:paraId="7B29568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41 </w:t>
      </w:r>
      <w:r w:rsidRPr="00110998">
        <w:rPr>
          <w:rFonts w:ascii="Book Antiqua" w:hAnsi="Book Antiqua"/>
          <w:b/>
          <w:bCs/>
        </w:rPr>
        <w:t>Goede V</w:t>
      </w:r>
      <w:r w:rsidRPr="00110998">
        <w:rPr>
          <w:rFonts w:ascii="Book Antiqua" w:hAnsi="Book Antiqua"/>
        </w:rPr>
        <w:t xml:space="preserve">, Klein C, Stilgenbauer S. Obinutuzumab (GA101) for the treatment of chronic lymphocytic leukemia and other B-cell non-hodgkin's lymphomas: a glycoengineered type II CD20 antibody. </w:t>
      </w:r>
      <w:r w:rsidRPr="00110998">
        <w:rPr>
          <w:rFonts w:ascii="Book Antiqua" w:hAnsi="Book Antiqua"/>
          <w:i/>
          <w:iCs/>
        </w:rPr>
        <w:t>Oncol Res Treat</w:t>
      </w:r>
      <w:r w:rsidRPr="00110998">
        <w:rPr>
          <w:rFonts w:ascii="Book Antiqua" w:hAnsi="Book Antiqua"/>
        </w:rPr>
        <w:t xml:space="preserve"> 2015; </w:t>
      </w:r>
      <w:r w:rsidRPr="00110998">
        <w:rPr>
          <w:rFonts w:ascii="Book Antiqua" w:hAnsi="Book Antiqua"/>
          <w:b/>
          <w:bCs/>
        </w:rPr>
        <w:t>38</w:t>
      </w:r>
      <w:r w:rsidRPr="00110998">
        <w:rPr>
          <w:rFonts w:ascii="Book Antiqua" w:hAnsi="Book Antiqua"/>
        </w:rPr>
        <w:t>: 185-192 [PMID: 25877943 DOI: 10.1159/000381524]</w:t>
      </w:r>
    </w:p>
    <w:p w14:paraId="7BE9D7A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42 </w:t>
      </w:r>
      <w:r w:rsidRPr="00110998">
        <w:rPr>
          <w:rFonts w:ascii="Book Antiqua" w:hAnsi="Book Antiqua"/>
          <w:b/>
          <w:bCs/>
        </w:rPr>
        <w:t>Goede V</w:t>
      </w:r>
      <w:r w:rsidRPr="00110998">
        <w:rPr>
          <w:rFonts w:ascii="Book Antiqua" w:hAnsi="Book Antiqua"/>
        </w:rPr>
        <w:t xml:space="preserve">, Fischer K, Busch R, Engelke A, Eichhorst B, Wendtner CM, Chagorova T, de la Serna J, Dilhuydy MS, Illmer T, Opat S, Owen CJ, Samoylova O, Kreuzer KA, Stilgenbauer S, Döhner H, Langerak AW, Ritgen M, Kneba M, Asikanius E, Humphrey K, Wenger M, Hallek M. Obinutuzumab plus chlorambucil in patients with CLL and coexisting conditions. </w:t>
      </w:r>
      <w:r w:rsidRPr="00110998">
        <w:rPr>
          <w:rFonts w:ascii="Book Antiqua" w:hAnsi="Book Antiqua"/>
          <w:i/>
          <w:iCs/>
        </w:rPr>
        <w:t>N Engl J Med</w:t>
      </w:r>
      <w:r w:rsidRPr="00110998">
        <w:rPr>
          <w:rFonts w:ascii="Book Antiqua" w:hAnsi="Book Antiqua"/>
        </w:rPr>
        <w:t xml:space="preserve"> 2014; </w:t>
      </w:r>
      <w:r w:rsidRPr="00110998">
        <w:rPr>
          <w:rFonts w:ascii="Book Antiqua" w:hAnsi="Book Antiqua"/>
          <w:b/>
          <w:bCs/>
        </w:rPr>
        <w:t>370</w:t>
      </w:r>
      <w:r w:rsidRPr="00110998">
        <w:rPr>
          <w:rFonts w:ascii="Book Antiqua" w:hAnsi="Book Antiqua"/>
        </w:rPr>
        <w:t>: 1101-1110 [PMID: 24401022 DOI: 10.1056/NEJMoa1313984]</w:t>
      </w:r>
    </w:p>
    <w:p w14:paraId="550314AF" w14:textId="4031E58C"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43 </w:t>
      </w:r>
      <w:r w:rsidRPr="00110998">
        <w:rPr>
          <w:rFonts w:ascii="Book Antiqua" w:hAnsi="Book Antiqua"/>
          <w:b/>
          <w:bCs/>
          <w:highlight w:val="yellow"/>
        </w:rPr>
        <w:t>Goede V</w:t>
      </w:r>
      <w:r w:rsidRPr="00110998">
        <w:rPr>
          <w:rFonts w:ascii="Book Antiqua" w:hAnsi="Book Antiqua"/>
          <w:highlight w:val="yellow"/>
        </w:rPr>
        <w:t>, Fischer K, DyerM, Mülle L, Smolej L, Di Bernardo MC, Knapp A, Nielsen T, Hallek M. Overall survival benefit of obinutuzumab over rituximab when combined with chlorambucil in patients with chronic lymphocytic leukemia and comorbidities: final survival analysis of the CLL11 study. Abstract S151; 2018, 14-17 June, Stockholm, Sweden EHA Congress [Internet]. [</w:t>
      </w:r>
      <w:r w:rsidR="001E0F5F" w:rsidRPr="00110998">
        <w:rPr>
          <w:rFonts w:ascii="Book Antiqua" w:hAnsi="Book Antiqua"/>
          <w:highlight w:val="yellow"/>
        </w:rPr>
        <w:t>cited</w:t>
      </w:r>
      <w:r w:rsidRPr="00110998">
        <w:rPr>
          <w:rFonts w:ascii="Book Antiqua" w:hAnsi="Book Antiqua"/>
          <w:highlight w:val="yellow"/>
        </w:rPr>
        <w:t xml:space="preserve"> </w:t>
      </w:r>
      <w:r w:rsidR="001E0F5F" w:rsidRPr="00110998">
        <w:rPr>
          <w:rFonts w:ascii="Book Antiqua" w:hAnsi="Book Antiqua"/>
          <w:highlight w:val="yellow"/>
        </w:rPr>
        <w:t xml:space="preserve">15 </w:t>
      </w:r>
      <w:r w:rsidRPr="00110998">
        <w:rPr>
          <w:rFonts w:ascii="Book Antiqua" w:hAnsi="Book Antiqua"/>
          <w:highlight w:val="yellow"/>
        </w:rPr>
        <w:t xml:space="preserve">January 2021] Available from: </w:t>
      </w:r>
      <w:hyperlink r:id="rId9" w:history="1">
        <w:r w:rsidRPr="00110998">
          <w:rPr>
            <w:rStyle w:val="Hyperlink"/>
            <w:rFonts w:ascii="Book Antiqua" w:hAnsi="Book Antiqua"/>
            <w:highlight w:val="yellow"/>
          </w:rPr>
          <w:t>https://library.ehaweb.org/eha/2018/stockholm/215923/valentin.goede.overall.survival.benefit.of.obinutuzumab.over.rituximab.when.html?f=menu%3D14%2Abrowseby%3D8%2Asortby%3D2%2Amedia%3D3%2Aspeaker%3D664514</w:t>
        </w:r>
      </w:hyperlink>
    </w:p>
    <w:p w14:paraId="723D508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44 </w:t>
      </w:r>
      <w:r w:rsidRPr="00110998">
        <w:rPr>
          <w:rFonts w:ascii="Book Antiqua" w:hAnsi="Book Antiqua"/>
          <w:b/>
          <w:bCs/>
        </w:rPr>
        <w:t>Marcus R</w:t>
      </w:r>
      <w:r w:rsidRPr="00110998">
        <w:rPr>
          <w:rFonts w:ascii="Book Antiqua" w:hAnsi="Book Antiqua"/>
        </w:rPr>
        <w:t xml:space="preserve">, Davies A, Ando K, Klapper W, Opat S, Owen C, Phillips E, Sangha R, Schlag R, Seymour JF, Townsend W, Trněný M, Wenger M, Fingerle-Rowson G, Rufibach K, Moore T, Herold M, Hiddemann W. Obinutuzumab for the First-Line Treatment of Follicular Lymphoma.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377</w:t>
      </w:r>
      <w:r w:rsidRPr="00110998">
        <w:rPr>
          <w:rFonts w:ascii="Book Antiqua" w:hAnsi="Book Antiqua"/>
        </w:rPr>
        <w:t>: 1331-1344 [PMID: 28976863 DOI: 10.1056/NEJMoa1614598]</w:t>
      </w:r>
    </w:p>
    <w:p w14:paraId="3546DB1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45 </w:t>
      </w:r>
      <w:r w:rsidRPr="00110998">
        <w:rPr>
          <w:rFonts w:ascii="Book Antiqua" w:hAnsi="Book Antiqua"/>
          <w:b/>
          <w:bCs/>
        </w:rPr>
        <w:t>Cheson BD</w:t>
      </w:r>
      <w:r w:rsidRPr="00110998">
        <w:rPr>
          <w:rFonts w:ascii="Book Antiqua" w:hAnsi="Book Antiqua"/>
        </w:rPr>
        <w:t xml:space="preserve">, Chua N, Mayer J, Dueck G, Trněný M, Bouabdallah K, Fowler N, Delwail V, Press O, Salles G, Gribben JG, Lennard A, Lugtenburg PJ, Fingerle-Rowson G, Mattiello F, Knapp A, Sehn LH. Overall Survival Benefit in Patients With Rituximab-Refractory Indolent Non-Hodgkin Lymphoma Who Received Obinutuzumab Plus Bendamustine Induction and Obinutuzumab Maintenance in the GADOLIN Study. </w:t>
      </w:r>
      <w:r w:rsidRPr="00110998">
        <w:rPr>
          <w:rFonts w:ascii="Book Antiqua" w:hAnsi="Book Antiqua"/>
          <w:i/>
          <w:iCs/>
        </w:rPr>
        <w:t>J Clin Oncol</w:t>
      </w:r>
      <w:r w:rsidRPr="00110998">
        <w:rPr>
          <w:rFonts w:ascii="Book Antiqua" w:hAnsi="Book Antiqua"/>
        </w:rPr>
        <w:t xml:space="preserve"> 2018; </w:t>
      </w:r>
      <w:r w:rsidRPr="00110998">
        <w:rPr>
          <w:rFonts w:ascii="Book Antiqua" w:hAnsi="Book Antiqua"/>
          <w:b/>
          <w:bCs/>
        </w:rPr>
        <w:t>36</w:t>
      </w:r>
      <w:r w:rsidRPr="00110998">
        <w:rPr>
          <w:rFonts w:ascii="Book Antiqua" w:hAnsi="Book Antiqua"/>
        </w:rPr>
        <w:t>: 2259-2266 [PMID: 29584548 DOI: 10.1200/JCO.2017.76.3656]</w:t>
      </w:r>
    </w:p>
    <w:p w14:paraId="7A4F634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46 </w:t>
      </w:r>
      <w:r w:rsidRPr="00110998">
        <w:rPr>
          <w:rFonts w:ascii="Book Antiqua" w:hAnsi="Book Antiqua"/>
          <w:b/>
          <w:bCs/>
        </w:rPr>
        <w:t>Vitolo U</w:t>
      </w:r>
      <w:r w:rsidRPr="00110998">
        <w:rPr>
          <w:rFonts w:ascii="Book Antiqua" w:hAnsi="Book Antiqua"/>
        </w:rPr>
        <w:t xml:space="preserve">, Trněný M, Belada D, Burke JM, Carella AM, Chua N, Abrisqueta P, Demeter J, Flinn I, Hong X, Kim WS, Pinto A, Shi YK, Tatsumi Y, Oestergaard MZ, Wenger M, Fingerle-Rowson G, Catalani O, Nielsen T, Martelli M, Sehn LH. </w:t>
      </w:r>
      <w:r w:rsidRPr="00110998">
        <w:rPr>
          <w:rFonts w:ascii="Book Antiqua" w:hAnsi="Book Antiqua"/>
        </w:rPr>
        <w:lastRenderedPageBreak/>
        <w:t xml:space="preserve">Obinutuzumab or Rituximab Plus Cyclophosphamide, Doxorubicin, Vincristine, and Prednisone in Previously Untreated Diffuse Large B-Cell Lymphoma. </w:t>
      </w:r>
      <w:r w:rsidRPr="00110998">
        <w:rPr>
          <w:rFonts w:ascii="Book Antiqua" w:hAnsi="Book Antiqua"/>
          <w:i/>
          <w:iCs/>
        </w:rPr>
        <w:t>J Clin Oncol</w:t>
      </w:r>
      <w:r w:rsidRPr="00110998">
        <w:rPr>
          <w:rFonts w:ascii="Book Antiqua" w:hAnsi="Book Antiqua"/>
        </w:rPr>
        <w:t xml:space="preserve"> 2017; </w:t>
      </w:r>
      <w:r w:rsidRPr="00110998">
        <w:rPr>
          <w:rFonts w:ascii="Book Antiqua" w:hAnsi="Book Antiqua"/>
          <w:b/>
          <w:bCs/>
        </w:rPr>
        <w:t>35</w:t>
      </w:r>
      <w:r w:rsidRPr="00110998">
        <w:rPr>
          <w:rFonts w:ascii="Book Antiqua" w:hAnsi="Book Antiqua"/>
        </w:rPr>
        <w:t>: 3529-3537 [PMID: 28796588 DOI: 10.1200/JCO.2017.73.3402]</w:t>
      </w:r>
    </w:p>
    <w:p w14:paraId="52A1ADC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47 </w:t>
      </w:r>
      <w:r w:rsidRPr="00110998">
        <w:rPr>
          <w:rFonts w:ascii="Book Antiqua" w:hAnsi="Book Antiqua"/>
          <w:b/>
          <w:bCs/>
        </w:rPr>
        <w:t>Jurczak W</w:t>
      </w:r>
      <w:r w:rsidRPr="00110998">
        <w:rPr>
          <w:rFonts w:ascii="Book Antiqua" w:hAnsi="Book Antiqua"/>
        </w:rPr>
        <w:t xml:space="preserve">, Zinzani PL, Gaidano G, Goy A, Provencio M, Nagy Z, Robak T, Maddocks K, Buske C, Ambarkhane S, Winderlich M, Dirnberger-Hertweck M, Korolkiewicz R, Blum KA. Phase IIa study of the CD19 antibody MOR208 in patients with relapsed or refractory B-cell non-Hodgkin's lymphoma. </w:t>
      </w:r>
      <w:r w:rsidRPr="00110998">
        <w:rPr>
          <w:rFonts w:ascii="Book Antiqua" w:hAnsi="Book Antiqua"/>
          <w:i/>
          <w:iCs/>
        </w:rPr>
        <w:t>Ann Oncol</w:t>
      </w:r>
      <w:r w:rsidRPr="00110998">
        <w:rPr>
          <w:rFonts w:ascii="Book Antiqua" w:hAnsi="Book Antiqua"/>
        </w:rPr>
        <w:t xml:space="preserve"> 2018; </w:t>
      </w:r>
      <w:r w:rsidRPr="00110998">
        <w:rPr>
          <w:rFonts w:ascii="Book Antiqua" w:hAnsi="Book Antiqua"/>
          <w:b/>
          <w:bCs/>
        </w:rPr>
        <w:t>29</w:t>
      </w:r>
      <w:r w:rsidRPr="00110998">
        <w:rPr>
          <w:rFonts w:ascii="Book Antiqua" w:hAnsi="Book Antiqua"/>
        </w:rPr>
        <w:t>: 1266-1272 [PMID: 29444231 DOI: 10.1093/annonc/mdy056]</w:t>
      </w:r>
    </w:p>
    <w:p w14:paraId="1F93C03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48 </w:t>
      </w:r>
      <w:r w:rsidRPr="00110998">
        <w:rPr>
          <w:rFonts w:ascii="Book Antiqua" w:hAnsi="Book Antiqua"/>
          <w:b/>
          <w:bCs/>
        </w:rPr>
        <w:t>Maddocks KJ</w:t>
      </w:r>
      <w:r w:rsidRPr="00110998">
        <w:rPr>
          <w:rFonts w:ascii="Book Antiqua" w:hAnsi="Book Antiqua"/>
        </w:rPr>
        <w:t>, Duell J, Gonzales Barca E, Jurczak W, Liberati AM, Nagy Z, Obr A, Gaidano G, André M, Kalakonda N, Dreyling MH, Zinzani PL, Dirnberger-Hertweck M, Weirather J, Ambarkhane SV, Salles GA. Update of the single-arm phase II L-MIND study of MOR208+lenalidomide(Len) in relapsed/refractory diffuse large B-cell lymphoma (R-R DLBCL): Response rates in patient subgroups with poor prognosis.</w:t>
      </w:r>
      <w:r w:rsidRPr="00110998">
        <w:rPr>
          <w:rFonts w:ascii="Book Antiqua" w:hAnsi="Book Antiqua"/>
          <w:i/>
        </w:rPr>
        <w:t xml:space="preserve"> J Clin Oncol</w:t>
      </w:r>
      <w:r w:rsidRPr="00110998">
        <w:rPr>
          <w:rFonts w:ascii="Book Antiqua" w:hAnsi="Book Antiqua"/>
        </w:rPr>
        <w:t xml:space="preserve"> 2019: </w:t>
      </w:r>
      <w:r w:rsidRPr="00110998">
        <w:rPr>
          <w:rFonts w:ascii="Book Antiqua" w:hAnsi="Book Antiqua"/>
          <w:b/>
        </w:rPr>
        <w:t>37</w:t>
      </w:r>
      <w:r w:rsidRPr="00110998">
        <w:rPr>
          <w:rFonts w:ascii="Book Antiqua" w:hAnsi="Book Antiqua"/>
        </w:rPr>
        <w:t>: 7521-7521 [DOI: 10.1200/JCO.2019.37.15_suppl.7521]</w:t>
      </w:r>
    </w:p>
    <w:p w14:paraId="02420EE5" w14:textId="3E85B123"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49 </w:t>
      </w:r>
      <w:r w:rsidRPr="00110998">
        <w:rPr>
          <w:rFonts w:ascii="Book Antiqua" w:hAnsi="Book Antiqua"/>
          <w:b/>
          <w:highlight w:val="yellow"/>
        </w:rPr>
        <w:t>ClinicalTrials.gov</w:t>
      </w:r>
      <w:r w:rsidRPr="00110998">
        <w:rPr>
          <w:rFonts w:ascii="Book Antiqua" w:hAnsi="Book Antiqua"/>
          <w:bCs/>
          <w:highlight w:val="yellow"/>
        </w:rPr>
        <w:t xml:space="preserve">. </w:t>
      </w:r>
      <w:r w:rsidRPr="00110998">
        <w:rPr>
          <w:rFonts w:ascii="Book Antiqua" w:hAnsi="Book Antiqua"/>
          <w:highlight w:val="yellow"/>
        </w:rPr>
        <w:t xml:space="preserve">A Trial to Evaluate the Efficacy and Safety of Tafasitamab With Bendamustine (BEN) Versus Rituximab (RTX) With BEN in Adult Patients With Relapsed or Refractory Diffuse Large B-cell Lymphoma (DLBCL) (B-MIND). [accessed January 20, 2021]. In: ClinicalTrials.gov [Internet]. Available from: </w:t>
      </w:r>
      <w:hyperlink r:id="rId10" w:history="1">
        <w:r w:rsidRPr="00110998">
          <w:rPr>
            <w:rStyle w:val="Hyperlink"/>
            <w:rFonts w:ascii="Book Antiqua" w:hAnsi="Book Antiqua"/>
            <w:highlight w:val="yellow"/>
          </w:rPr>
          <w:t>https://clinicaltrials.gov/ct2/show/NCT02763319</w:t>
        </w:r>
      </w:hyperlink>
      <w:r w:rsidRPr="00110998">
        <w:rPr>
          <w:rFonts w:ascii="Book Antiqua" w:hAnsi="Book Antiqua"/>
        </w:rPr>
        <w:t xml:space="preserve"> </w:t>
      </w:r>
      <w:r w:rsidR="001E0F5F" w:rsidRPr="00110998">
        <w:rPr>
          <w:rFonts w:ascii="Book Antiqua" w:hAnsi="Book Antiqua"/>
          <w:highlight w:val="yellow"/>
        </w:rPr>
        <w:t>Clinicaltrials.gov Indentifier: NCT02763319</w:t>
      </w:r>
    </w:p>
    <w:p w14:paraId="3B4225E8" w14:textId="4A2A9731"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50 </w:t>
      </w:r>
      <w:r w:rsidRPr="00110998">
        <w:rPr>
          <w:rFonts w:ascii="Book Antiqua" w:hAnsi="Book Antiqua"/>
          <w:b/>
          <w:highlight w:val="yellow"/>
        </w:rPr>
        <w:t>ClinicalTrials.gov</w:t>
      </w:r>
      <w:r w:rsidRPr="00110998">
        <w:rPr>
          <w:rFonts w:ascii="Book Antiqua" w:hAnsi="Book Antiqua"/>
          <w:bCs/>
          <w:highlight w:val="yellow"/>
        </w:rPr>
        <w:t xml:space="preserve">. </w:t>
      </w:r>
      <w:r w:rsidRPr="00110998">
        <w:rPr>
          <w:rFonts w:ascii="Book Antiqua" w:hAnsi="Book Antiqua"/>
          <w:highlight w:val="yellow"/>
        </w:rPr>
        <w:t xml:space="preserve">Phase Ib Study to Assess Safety and Preliminary Efficacy of Tafasitamab or Tafasitamab Plus Lenalidomide in Addition to R-CHOP in Patients With Newly Diagnosed DLBCL. [accessed January 21, 2021]. In: ClinicalTrials.gov [Internet]. Available from: </w:t>
      </w:r>
      <w:hyperlink r:id="rId11" w:history="1">
        <w:r w:rsidRPr="00110998">
          <w:rPr>
            <w:rStyle w:val="Hyperlink"/>
            <w:rFonts w:ascii="Book Antiqua" w:hAnsi="Book Antiqua"/>
            <w:highlight w:val="yellow"/>
          </w:rPr>
          <w:t>https://clinicaltrials.gov/ct2/show/NCT04134936</w:t>
        </w:r>
      </w:hyperlink>
      <w:r w:rsidRPr="00110998">
        <w:rPr>
          <w:rFonts w:ascii="Book Antiqua" w:hAnsi="Book Antiqua"/>
        </w:rPr>
        <w:t xml:space="preserve"> </w:t>
      </w:r>
      <w:r w:rsidR="001E0F5F" w:rsidRPr="00110998">
        <w:rPr>
          <w:rFonts w:ascii="Book Antiqua" w:hAnsi="Book Antiqua"/>
          <w:highlight w:val="yellow"/>
        </w:rPr>
        <w:t>Clinicaltrials.gov Identifier: NCT04134936</w:t>
      </w:r>
    </w:p>
    <w:p w14:paraId="73B5106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51 </w:t>
      </w:r>
      <w:r w:rsidRPr="00110998">
        <w:rPr>
          <w:rFonts w:ascii="Book Antiqua" w:hAnsi="Book Antiqua"/>
          <w:b/>
          <w:bCs/>
        </w:rPr>
        <w:t>Logtenberg MEW</w:t>
      </w:r>
      <w:r w:rsidRPr="00110998">
        <w:rPr>
          <w:rFonts w:ascii="Book Antiqua" w:hAnsi="Book Antiqua"/>
        </w:rPr>
        <w:t xml:space="preserve">, Scheeren FA, Schumacher TN. The CD47-SIRPα Immune Checkpoint. </w:t>
      </w:r>
      <w:r w:rsidRPr="00110998">
        <w:rPr>
          <w:rFonts w:ascii="Book Antiqua" w:hAnsi="Book Antiqua"/>
          <w:i/>
          <w:iCs/>
        </w:rPr>
        <w:t>Immunity</w:t>
      </w:r>
      <w:r w:rsidRPr="00110998">
        <w:rPr>
          <w:rFonts w:ascii="Book Antiqua" w:hAnsi="Book Antiqua"/>
        </w:rPr>
        <w:t xml:space="preserve"> 2020; </w:t>
      </w:r>
      <w:r w:rsidRPr="00110998">
        <w:rPr>
          <w:rFonts w:ascii="Book Antiqua" w:hAnsi="Book Antiqua"/>
          <w:b/>
          <w:bCs/>
        </w:rPr>
        <w:t>52</w:t>
      </w:r>
      <w:r w:rsidRPr="00110998">
        <w:rPr>
          <w:rFonts w:ascii="Book Antiqua" w:hAnsi="Book Antiqua"/>
        </w:rPr>
        <w:t>: 742-752 [PMID: 32433947 DOI: 10.1016/j.immuni.2020.04.011]</w:t>
      </w:r>
    </w:p>
    <w:p w14:paraId="0442DEB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52 </w:t>
      </w:r>
      <w:r w:rsidRPr="00110998">
        <w:rPr>
          <w:rFonts w:ascii="Book Antiqua" w:hAnsi="Book Antiqua"/>
          <w:b/>
          <w:bCs/>
        </w:rPr>
        <w:t>Advani R</w:t>
      </w:r>
      <w:r w:rsidRPr="00110998">
        <w:rPr>
          <w:rFonts w:ascii="Book Antiqua" w:hAnsi="Book Antiqua"/>
        </w:rPr>
        <w:t xml:space="preserve">, Flinn I, Popplewell L, Forero A, Bartlett NL, Ghosh N, Kline J, Roschewski M, LaCasce A, Collins GP, Tran T, Lynn J, Chen JY, Volkmer JP, Agoram B, Huang J, Majeti R, Weissman IL, Takimoto CH, Chao MP, Smith SM. CD47 Blockade by Hu5F9-G4 and Rituximab in Non-Hodgkin's Lymphoma.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379</w:t>
      </w:r>
      <w:r w:rsidRPr="00110998">
        <w:rPr>
          <w:rFonts w:ascii="Book Antiqua" w:hAnsi="Book Antiqua"/>
        </w:rPr>
        <w:t>: 1711-1721 [PMID: 30380386 DOI: 10.1056/NEJMoa1807315]</w:t>
      </w:r>
    </w:p>
    <w:p w14:paraId="1467CFC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53 </w:t>
      </w:r>
      <w:r w:rsidRPr="00110998">
        <w:rPr>
          <w:rFonts w:ascii="Book Antiqua" w:hAnsi="Book Antiqua"/>
          <w:b/>
          <w:bCs/>
        </w:rPr>
        <w:t>Kim YH</w:t>
      </w:r>
      <w:r w:rsidRPr="00110998">
        <w:rPr>
          <w:rFonts w:ascii="Book Antiqua" w:hAnsi="Book Antiqua"/>
        </w:rPr>
        <w:t xml:space="preserve">, Bagot M, Pinter-Brown L, Rook AH, Porcu P, Horwitz SM, Whittaker S, Tokura Y, Vermeer M, Zinzani PL, Sokol L, Morris S, Kim EJ, Ortiz-Romero PL, Eradat H, Scarisbrick J, Tsianakas A, Elmets C, Dalle S, Fisher DC, Halwani A, Poligone B, Greer J, Fierro MT, Khot A, Moskowitz AJ, Musiek A, Shustov A, Pro B, Geskin LJ, Dwyer K, Moriya J, Leoni M, Humphrey JS, Hudgens S, Grebennik DO, Tobinai K, Duvic M; MAVORIC Investigators. Mogamulizumab versus vorinostat in previously treated cutaneous T-cell lymphoma (MAVORIC): an international, open-label, randomised, controlled phase 3 trial. </w:t>
      </w:r>
      <w:r w:rsidRPr="00110998">
        <w:rPr>
          <w:rFonts w:ascii="Book Antiqua" w:hAnsi="Book Antiqua"/>
          <w:i/>
          <w:iCs/>
        </w:rPr>
        <w:t>Lancet Oncol</w:t>
      </w:r>
      <w:r w:rsidRPr="00110998">
        <w:rPr>
          <w:rFonts w:ascii="Book Antiqua" w:hAnsi="Book Antiqua"/>
        </w:rPr>
        <w:t xml:space="preserve"> 2018; </w:t>
      </w:r>
      <w:r w:rsidRPr="00110998">
        <w:rPr>
          <w:rFonts w:ascii="Book Antiqua" w:hAnsi="Book Antiqua"/>
          <w:b/>
          <w:bCs/>
        </w:rPr>
        <w:t>19</w:t>
      </w:r>
      <w:r w:rsidRPr="00110998">
        <w:rPr>
          <w:rFonts w:ascii="Book Antiqua" w:hAnsi="Book Antiqua"/>
        </w:rPr>
        <w:t>: 1192-1204 [PMID: 30100375 DOI: 10.1016/S1470-2045(18)30379-6]</w:t>
      </w:r>
    </w:p>
    <w:p w14:paraId="6D9BCED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54 </w:t>
      </w:r>
      <w:r w:rsidRPr="00110998">
        <w:rPr>
          <w:rFonts w:ascii="Book Antiqua" w:hAnsi="Book Antiqua"/>
          <w:b/>
          <w:bCs/>
        </w:rPr>
        <w:t>Witzig TE</w:t>
      </w:r>
      <w:r w:rsidRPr="00110998">
        <w:rPr>
          <w:rFonts w:ascii="Book Antiqua" w:hAnsi="Book Antiqua"/>
        </w:rPr>
        <w:t xml:space="preserve">, Flinn IW, Gordon LI, Emmanouilides C, Czuczman MS, Saleh MN, Cripe L, Wiseman G, Olejnik T, Multani PS, White CA. Treatment with ibritumomab tiuxetan radioimmunotherapy in patients with rituximab-refractory follicular non-Hodgkin's lymphoma. </w:t>
      </w:r>
      <w:r w:rsidRPr="00110998">
        <w:rPr>
          <w:rFonts w:ascii="Book Antiqua" w:hAnsi="Book Antiqua"/>
          <w:i/>
          <w:iCs/>
        </w:rPr>
        <w:t>J Clin Oncol</w:t>
      </w:r>
      <w:r w:rsidRPr="00110998">
        <w:rPr>
          <w:rFonts w:ascii="Book Antiqua" w:hAnsi="Book Antiqua"/>
        </w:rPr>
        <w:t xml:space="preserve"> 2002; </w:t>
      </w:r>
      <w:r w:rsidRPr="00110998">
        <w:rPr>
          <w:rFonts w:ascii="Book Antiqua" w:hAnsi="Book Antiqua"/>
          <w:b/>
          <w:bCs/>
        </w:rPr>
        <w:t>20</w:t>
      </w:r>
      <w:r w:rsidRPr="00110998">
        <w:rPr>
          <w:rFonts w:ascii="Book Antiqua" w:hAnsi="Book Antiqua"/>
        </w:rPr>
        <w:t>: 3262-3269 [PMID: 12149300 DOI: 10.1200/JCO.2002.11.017]</w:t>
      </w:r>
    </w:p>
    <w:p w14:paraId="0D5A6F5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55 </w:t>
      </w:r>
      <w:r w:rsidRPr="00110998">
        <w:rPr>
          <w:rFonts w:ascii="Book Antiqua" w:hAnsi="Book Antiqua"/>
          <w:b/>
          <w:bCs/>
        </w:rPr>
        <w:t>Kaminski MS</w:t>
      </w:r>
      <w:r w:rsidRPr="00110998">
        <w:rPr>
          <w:rFonts w:ascii="Book Antiqua" w:hAnsi="Book Antiqua"/>
        </w:rPr>
        <w:t xml:space="preserve">, Tuck M, Estes J, Kolstad A, Ross CW, Zasadny K, Regan D, Kison P, Fisher S, Kroll S, Wahl RL. 131I-tositumomab therapy as initial treatment for follicular lymphoma. </w:t>
      </w:r>
      <w:r w:rsidRPr="00110998">
        <w:rPr>
          <w:rFonts w:ascii="Book Antiqua" w:hAnsi="Book Antiqua"/>
          <w:i/>
          <w:iCs/>
        </w:rPr>
        <w:t>N Engl J Med</w:t>
      </w:r>
      <w:r w:rsidRPr="00110998">
        <w:rPr>
          <w:rFonts w:ascii="Book Antiqua" w:hAnsi="Book Antiqua"/>
        </w:rPr>
        <w:t xml:space="preserve"> 2005; </w:t>
      </w:r>
      <w:r w:rsidRPr="00110998">
        <w:rPr>
          <w:rFonts w:ascii="Book Antiqua" w:hAnsi="Book Antiqua"/>
          <w:b/>
          <w:bCs/>
        </w:rPr>
        <w:t>352</w:t>
      </w:r>
      <w:r w:rsidRPr="00110998">
        <w:rPr>
          <w:rFonts w:ascii="Book Antiqua" w:hAnsi="Book Antiqua"/>
        </w:rPr>
        <w:t>: 441-449 [PMID: 15689582 DOI: 10.1056/NEJMoa041511]</w:t>
      </w:r>
    </w:p>
    <w:p w14:paraId="616D10E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56 </w:t>
      </w:r>
      <w:r w:rsidRPr="00110998">
        <w:rPr>
          <w:rFonts w:ascii="Book Antiqua" w:hAnsi="Book Antiqua"/>
          <w:b/>
        </w:rPr>
        <w:t>Popović L</w:t>
      </w:r>
      <w:r w:rsidRPr="00110998">
        <w:rPr>
          <w:rFonts w:ascii="Book Antiqua" w:hAnsi="Book Antiqua"/>
        </w:rPr>
        <w:t xml:space="preserve">, Jovanović D, Popović Ð. CD30 - the head of TNF-family… or a successful story of brentuximab vedotin. </w:t>
      </w:r>
      <w:r w:rsidRPr="00110998">
        <w:rPr>
          <w:rFonts w:ascii="Book Antiqua" w:hAnsi="Book Antiqua"/>
          <w:i/>
        </w:rPr>
        <w:t xml:space="preserve">Arch Oncol </w:t>
      </w:r>
      <w:r w:rsidRPr="00110998">
        <w:rPr>
          <w:rFonts w:ascii="Book Antiqua" w:hAnsi="Book Antiqua"/>
        </w:rPr>
        <w:t xml:space="preserve">2013; </w:t>
      </w:r>
      <w:r w:rsidRPr="00110998">
        <w:rPr>
          <w:rFonts w:ascii="Book Antiqua" w:hAnsi="Book Antiqua"/>
          <w:b/>
        </w:rPr>
        <w:t>21</w:t>
      </w:r>
      <w:r w:rsidRPr="00110998">
        <w:rPr>
          <w:rFonts w:ascii="Book Antiqua" w:hAnsi="Book Antiqua"/>
        </w:rPr>
        <w:t>: 17-19 [</w:t>
      </w:r>
      <w:r w:rsidRPr="00110998">
        <w:rPr>
          <w:rFonts w:ascii="Book Antiqua" w:hAnsi="Book Antiqua"/>
          <w:caps/>
        </w:rPr>
        <w:t xml:space="preserve">doi: </w:t>
      </w:r>
      <w:r w:rsidRPr="00110998">
        <w:rPr>
          <w:rFonts w:ascii="Book Antiqua" w:hAnsi="Book Antiqua"/>
        </w:rPr>
        <w:t>10.2298/AOO1301017P]</w:t>
      </w:r>
    </w:p>
    <w:p w14:paraId="302D3FC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57 </w:t>
      </w:r>
      <w:r w:rsidRPr="00110998">
        <w:rPr>
          <w:rFonts w:ascii="Book Antiqua" w:hAnsi="Book Antiqua"/>
          <w:b/>
          <w:bCs/>
        </w:rPr>
        <w:t>Younes A</w:t>
      </w:r>
      <w:r w:rsidRPr="00110998">
        <w:rPr>
          <w:rFonts w:ascii="Book Antiqua" w:hAnsi="Book Antiqua"/>
        </w:rPr>
        <w:t xml:space="preserve">, Bartlett NL, Leonard JP, Kennedy DA, Lynch CM, Sievers EL, Forero-Torres A. Brentuximab vedotin (SGN-35) for relapsed CD30-positive lymphomas. </w:t>
      </w:r>
      <w:r w:rsidRPr="00110998">
        <w:rPr>
          <w:rFonts w:ascii="Book Antiqua" w:hAnsi="Book Antiqua"/>
          <w:i/>
          <w:iCs/>
        </w:rPr>
        <w:t>N Engl J Med</w:t>
      </w:r>
      <w:r w:rsidRPr="00110998">
        <w:rPr>
          <w:rFonts w:ascii="Book Antiqua" w:hAnsi="Book Antiqua"/>
        </w:rPr>
        <w:t xml:space="preserve"> 2010; </w:t>
      </w:r>
      <w:r w:rsidRPr="00110998">
        <w:rPr>
          <w:rFonts w:ascii="Book Antiqua" w:hAnsi="Book Antiqua"/>
          <w:b/>
          <w:bCs/>
        </w:rPr>
        <w:t>363</w:t>
      </w:r>
      <w:r w:rsidRPr="00110998">
        <w:rPr>
          <w:rFonts w:ascii="Book Antiqua" w:hAnsi="Book Antiqua"/>
        </w:rPr>
        <w:t>: 1812-1821 [PMID: 21047225 DOI: 10.1056/NEJMoa1002965]</w:t>
      </w:r>
    </w:p>
    <w:p w14:paraId="52F4D6C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58 </w:t>
      </w:r>
      <w:r w:rsidRPr="00110998">
        <w:rPr>
          <w:rFonts w:ascii="Book Antiqua" w:hAnsi="Book Antiqua"/>
          <w:b/>
          <w:bCs/>
        </w:rPr>
        <w:t>Younes A</w:t>
      </w:r>
      <w:r w:rsidRPr="00110998">
        <w:rPr>
          <w:rFonts w:ascii="Book Antiqua" w:hAnsi="Book Antiqua"/>
        </w:rPr>
        <w:t xml:space="preserve">, Gopal AK, Smith SE, Ansell SM, Rosenblatt JD, Savage KJ, Ramchandren R, Bartlett NL, Cheson BD, de Vos S, Forero-Torres A, Moskowitz CH, Connors JM, Engert A, Larsen EK, Kennedy DA, Sievers EL, Chen R. Results of a pivotal phase II study of brentuximab vedotin for patients with relapsed or refractory Hodgkin's lymphoma. </w:t>
      </w:r>
      <w:r w:rsidRPr="00110998">
        <w:rPr>
          <w:rFonts w:ascii="Book Antiqua" w:hAnsi="Book Antiqua"/>
          <w:i/>
          <w:iCs/>
        </w:rPr>
        <w:t>J Clin Oncol</w:t>
      </w:r>
      <w:r w:rsidRPr="00110998">
        <w:rPr>
          <w:rFonts w:ascii="Book Antiqua" w:hAnsi="Book Antiqua"/>
        </w:rPr>
        <w:t xml:space="preserve"> 2012; </w:t>
      </w:r>
      <w:r w:rsidRPr="00110998">
        <w:rPr>
          <w:rFonts w:ascii="Book Antiqua" w:hAnsi="Book Antiqua"/>
          <w:b/>
          <w:bCs/>
        </w:rPr>
        <w:t>30</w:t>
      </w:r>
      <w:r w:rsidRPr="00110998">
        <w:rPr>
          <w:rFonts w:ascii="Book Antiqua" w:hAnsi="Book Antiqua"/>
        </w:rPr>
        <w:t>: 2183-2189 [PMID: 22454421 DOI: 10.1200/JCO.2011.38.0410]</w:t>
      </w:r>
    </w:p>
    <w:p w14:paraId="15DFE16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59 </w:t>
      </w:r>
      <w:r w:rsidRPr="00110998">
        <w:rPr>
          <w:rFonts w:ascii="Book Antiqua" w:hAnsi="Book Antiqua"/>
          <w:b/>
          <w:bCs/>
        </w:rPr>
        <w:t>Moskowitz CH</w:t>
      </w:r>
      <w:r w:rsidRPr="00110998">
        <w:rPr>
          <w:rFonts w:ascii="Book Antiqua" w:hAnsi="Book Antiqua"/>
        </w:rPr>
        <w:t xml:space="preserve">, Nademanee A, Masszi T, Agura E, Holowiecki J, Abidi MH, Chen AI, Stiff P, Gianni AM, Carella A, Osmanov D, Bachanova V, Sweetenham J, Sureda A, Huebner D, Sievers EL, Chi A, Larsen EK, Hunder NN, Walewski J; AETHERA Study Group. Brentuximab vedotin as consolidation therapy after autologous stem-cell transplantation in patients with Hodgkin's lymphoma at risk of relapse or progression (AETHERA): a randomised, double-blind, placebo-controlled, phase 3 trial. </w:t>
      </w:r>
      <w:r w:rsidRPr="00110998">
        <w:rPr>
          <w:rFonts w:ascii="Book Antiqua" w:hAnsi="Book Antiqua"/>
          <w:i/>
          <w:iCs/>
        </w:rPr>
        <w:t>Lancet</w:t>
      </w:r>
      <w:r w:rsidRPr="00110998">
        <w:rPr>
          <w:rFonts w:ascii="Book Antiqua" w:hAnsi="Book Antiqua"/>
        </w:rPr>
        <w:t xml:space="preserve"> 2015; </w:t>
      </w:r>
      <w:r w:rsidRPr="00110998">
        <w:rPr>
          <w:rFonts w:ascii="Book Antiqua" w:hAnsi="Book Antiqua"/>
          <w:b/>
          <w:bCs/>
        </w:rPr>
        <w:t>385</w:t>
      </w:r>
      <w:r w:rsidRPr="00110998">
        <w:rPr>
          <w:rFonts w:ascii="Book Antiqua" w:hAnsi="Book Antiqua"/>
        </w:rPr>
        <w:t>: 1853-1862 [PMID: 25796459 DOI: 10.1016/S0140-6736(15)60165-9]</w:t>
      </w:r>
    </w:p>
    <w:p w14:paraId="48D6780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60 </w:t>
      </w:r>
      <w:r w:rsidRPr="00110998">
        <w:rPr>
          <w:rFonts w:ascii="Book Antiqua" w:hAnsi="Book Antiqua"/>
          <w:b/>
          <w:bCs/>
        </w:rPr>
        <w:t>Moskowitz CH</w:t>
      </w:r>
      <w:r w:rsidRPr="00110998">
        <w:rPr>
          <w:rFonts w:ascii="Book Antiqua" w:hAnsi="Book Antiqua"/>
        </w:rPr>
        <w:t xml:space="preserve">, Walewski J, Nademanee A, Masszi T, Agura E, Holowiecki J, Abidi MH, Chen AI, Stiff P, Viviani S, Bachanova V, Sureda A, McClendon T, Lee C, Lisano J, Sweetenham J. Five-year PFS from the AETHERA trial of brentuximab vedotin for Hodgkin lymphoma at high risk of progression or relapse. </w:t>
      </w:r>
      <w:r w:rsidRPr="00110998">
        <w:rPr>
          <w:rFonts w:ascii="Book Antiqua" w:hAnsi="Book Antiqua"/>
          <w:i/>
          <w:iCs/>
        </w:rPr>
        <w:t>Blood</w:t>
      </w:r>
      <w:r w:rsidRPr="00110998">
        <w:rPr>
          <w:rFonts w:ascii="Book Antiqua" w:hAnsi="Book Antiqua"/>
        </w:rPr>
        <w:t xml:space="preserve"> 2018; </w:t>
      </w:r>
      <w:r w:rsidRPr="00110998">
        <w:rPr>
          <w:rFonts w:ascii="Book Antiqua" w:hAnsi="Book Antiqua"/>
          <w:b/>
          <w:bCs/>
        </w:rPr>
        <w:t>132</w:t>
      </w:r>
      <w:r w:rsidRPr="00110998">
        <w:rPr>
          <w:rFonts w:ascii="Book Antiqua" w:hAnsi="Book Antiqua"/>
        </w:rPr>
        <w:t>: 2639-2642 [PMID: 30266774 DOI: 10.1182/blood-2018-07-861641]</w:t>
      </w:r>
    </w:p>
    <w:p w14:paraId="66C8191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61 </w:t>
      </w:r>
      <w:r w:rsidRPr="00110998">
        <w:rPr>
          <w:rFonts w:ascii="Book Antiqua" w:hAnsi="Book Antiqua"/>
          <w:b/>
          <w:bCs/>
        </w:rPr>
        <w:t>Connors JM</w:t>
      </w:r>
      <w:r w:rsidRPr="00110998">
        <w:rPr>
          <w:rFonts w:ascii="Book Antiqua" w:hAnsi="Book Antiqua"/>
        </w:rPr>
        <w:t xml:space="preserve">, Jurczak W, Straus DJ, Ansell SM, Kim WS, Gallamini A, Younes A, Alekseev S, Illés Á, Picardi M, Lech-Maranda E, Oki Y, Feldman T, Smolewski P, Savage KJ, Bartlett NL, Walewski J, Chen R, Ramchandren R, Zinzani PL, Cunningham D, Rosta A, Josephson NC, Song E, Sachs J, Liu R, Jolin HA, Huebner D, Radford J; ECHELON-1 Study Group. Brentuximab Vedotin with Chemotherapy for Stage III or IV Hodgkin's Lymphoma.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378</w:t>
      </w:r>
      <w:r w:rsidRPr="00110998">
        <w:rPr>
          <w:rFonts w:ascii="Book Antiqua" w:hAnsi="Book Antiqua"/>
        </w:rPr>
        <w:t>: 331-344 [PMID: 29224502 DOI: 10.1056/NEJMoa1708984]</w:t>
      </w:r>
    </w:p>
    <w:p w14:paraId="25781C3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62 </w:t>
      </w:r>
      <w:r w:rsidRPr="00110998">
        <w:rPr>
          <w:rFonts w:ascii="Book Antiqua" w:hAnsi="Book Antiqua"/>
          <w:b/>
          <w:bCs/>
        </w:rPr>
        <w:t>Prince HM</w:t>
      </w:r>
      <w:r w:rsidRPr="00110998">
        <w:rPr>
          <w:rFonts w:ascii="Book Antiqua" w:hAnsi="Book Antiqua"/>
        </w:rPr>
        <w:t xml:space="preserve">, Kim YH, Horwitz SM, Dummer R, Scarisbrick J, Quaglino P, Zinzani PL, Wolter P, Sanches JA, Ortiz-Romero PL, Akilov OE, Geskin L, Trotman J, Taylor K, Dalle S, Weichenthal M, Walewski J, Fisher D, Dréno B, Stadler R, Feldman T, Kuzel TM, Wang Y, Palanca-Wessels MC, Zagadailov E, Trepicchio WL, Zhang W, Lin HM, </w:t>
      </w:r>
      <w:r w:rsidRPr="00110998">
        <w:rPr>
          <w:rFonts w:ascii="Book Antiqua" w:hAnsi="Book Antiqua"/>
        </w:rPr>
        <w:lastRenderedPageBreak/>
        <w:t xml:space="preserve">Liu Y, Huebner D, Little M, Whittaker S, Duvic M; ALCANZA study group. Brentuximab vedotin or physician's choice in CD30-positive cutaneous T-cell lymphoma (ALCANZA): an international, open-label, randomised, phase 3, multicentre trial. </w:t>
      </w:r>
      <w:r w:rsidRPr="00110998">
        <w:rPr>
          <w:rFonts w:ascii="Book Antiqua" w:hAnsi="Book Antiqua"/>
          <w:i/>
          <w:iCs/>
        </w:rPr>
        <w:t>Lancet</w:t>
      </w:r>
      <w:r w:rsidRPr="00110998">
        <w:rPr>
          <w:rFonts w:ascii="Book Antiqua" w:hAnsi="Book Antiqua"/>
        </w:rPr>
        <w:t xml:space="preserve"> 2017; </w:t>
      </w:r>
      <w:r w:rsidRPr="00110998">
        <w:rPr>
          <w:rFonts w:ascii="Book Antiqua" w:hAnsi="Book Antiqua"/>
          <w:b/>
          <w:bCs/>
        </w:rPr>
        <w:t>390</w:t>
      </w:r>
      <w:r w:rsidRPr="00110998">
        <w:rPr>
          <w:rFonts w:ascii="Book Antiqua" w:hAnsi="Book Antiqua"/>
        </w:rPr>
        <w:t>: 555-566 [PMID: 28600132 DOI: 10.1016/S0140-6736(17)31266-7]</w:t>
      </w:r>
    </w:p>
    <w:p w14:paraId="0BDF4A0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63 </w:t>
      </w:r>
      <w:r w:rsidRPr="00110998">
        <w:rPr>
          <w:rFonts w:ascii="Book Antiqua" w:hAnsi="Book Antiqua"/>
          <w:b/>
          <w:bCs/>
        </w:rPr>
        <w:t>Pro B</w:t>
      </w:r>
      <w:r w:rsidRPr="00110998">
        <w:rPr>
          <w:rFonts w:ascii="Book Antiqua" w:hAnsi="Book Antiqua"/>
        </w:rPr>
        <w:t xml:space="preserve">, Advani R, Brice P, Bartlett NL, Rosenblatt JD, Illidge T, Matous J, Ramchandren R, Fanale M, Connors JM, Fenton K, Huebner D, Pinelli JM, Kennedy DA, Shustov A. Five-year results of brentuximab vedotin in patients with relapsed or refractory systemic anaplastic large cell lymphoma.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2709-2717 [PMID: 28974506 DOI: 10.1182/blood-2017-05-780049]</w:t>
      </w:r>
    </w:p>
    <w:p w14:paraId="1028363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64 </w:t>
      </w:r>
      <w:r w:rsidRPr="00110998">
        <w:rPr>
          <w:rFonts w:ascii="Book Antiqua" w:hAnsi="Book Antiqua"/>
          <w:b/>
          <w:bCs/>
        </w:rPr>
        <w:t>Horwitz S</w:t>
      </w:r>
      <w:r w:rsidRPr="00110998">
        <w:rPr>
          <w:rFonts w:ascii="Book Antiqua" w:hAnsi="Book Antiqua"/>
        </w:rPr>
        <w:t xml:space="preserve">, O'Connor OA, Pro B, Illidge T, Fanale M, Advani R, Bartlett NL, Christensen JH, Morschhauser F, Domingo-Domenech E, Rossi G, Kim WS, Feldman T, Lennard A, Belada D, Illés Á, Tobinai K, Tsukasaki K, Yeh SP, Shustov A, Hüttmann A, Savage KJ, Yuen S, Iyer S, Zinzani PL, Hua Z, Little M, Rao S, Woolery J, Manley T, Trümper L; ECHELON-2 Study Group. Brentuximab vedotin with chemotherapy for CD30-positive peripheral T-cell lymphoma (ECHELON-2): a global, double-blind, randomised, phase 3 trial. </w:t>
      </w:r>
      <w:r w:rsidRPr="00110998">
        <w:rPr>
          <w:rFonts w:ascii="Book Antiqua" w:hAnsi="Book Antiqua"/>
          <w:i/>
          <w:iCs/>
        </w:rPr>
        <w:t>Lancet</w:t>
      </w:r>
      <w:r w:rsidRPr="00110998">
        <w:rPr>
          <w:rFonts w:ascii="Book Antiqua" w:hAnsi="Book Antiqua"/>
        </w:rPr>
        <w:t xml:space="preserve"> 2019; </w:t>
      </w:r>
      <w:r w:rsidRPr="00110998">
        <w:rPr>
          <w:rFonts w:ascii="Book Antiqua" w:hAnsi="Book Antiqua"/>
          <w:b/>
          <w:bCs/>
        </w:rPr>
        <w:t>393</w:t>
      </w:r>
      <w:r w:rsidRPr="00110998">
        <w:rPr>
          <w:rFonts w:ascii="Book Antiqua" w:hAnsi="Book Antiqua"/>
        </w:rPr>
        <w:t>: 229-240 [PMID: 30522922 DOI: 10.1016/S0140-6736(18)32984-2]</w:t>
      </w:r>
    </w:p>
    <w:p w14:paraId="71B52BA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65 </w:t>
      </w:r>
      <w:r w:rsidRPr="00110998">
        <w:rPr>
          <w:rFonts w:ascii="Book Antiqua" w:hAnsi="Book Antiqua"/>
          <w:b/>
          <w:bCs/>
        </w:rPr>
        <w:t>Sehn LH</w:t>
      </w:r>
      <w:r w:rsidRPr="00110998">
        <w:rPr>
          <w:rFonts w:ascii="Book Antiqua" w:hAnsi="Book Antiqua"/>
        </w:rPr>
        <w:t xml:space="preserve">, Herrera AF, Flowers CR, Kamdar MK, McMillan A, Hertzberg M, Assouline S, Kim TM, Kim WS, Ozcan M, Hirata J, Penuel E, Paulson JN, Cheng J, Ku G, Matasar MJ. Polatuzumab Vedotin in Relapsed or Refractory Diffuse Large B-Cell Lymphoma.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155-165 [PMID: 31693429 DOI: 10.1200/JCO.19.00172]</w:t>
      </w:r>
    </w:p>
    <w:p w14:paraId="4E599F88" w14:textId="553FF776"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66 </w:t>
      </w:r>
      <w:r w:rsidRPr="00110998">
        <w:rPr>
          <w:rFonts w:ascii="Book Antiqua" w:hAnsi="Book Antiqua"/>
          <w:b/>
          <w:highlight w:val="yellow"/>
        </w:rPr>
        <w:t>ClinicalTrials.gov</w:t>
      </w:r>
      <w:r w:rsidRPr="00110998">
        <w:rPr>
          <w:rFonts w:ascii="Book Antiqua" w:hAnsi="Book Antiqua"/>
          <w:bCs/>
          <w:highlight w:val="yellow"/>
        </w:rPr>
        <w:t>. A Study of Obinutuzumab,</w:t>
      </w:r>
      <w:r w:rsidRPr="00110998">
        <w:rPr>
          <w:rFonts w:ascii="Book Antiqua" w:hAnsi="Book Antiqua"/>
          <w:highlight w:val="yellow"/>
        </w:rPr>
        <w:t xml:space="preserve"> Rituximab, Polatuzumab Vedotin, and Venetoclax in Relapsed or Refractory Follicular Lymphoma (FL) or Diffuse Large B-Cell Lymphoma (DLBCL). [accessed January 30, 2021]. In ClinicalTrials.gov [Internet]. Available from: https://clinicaltrials.gov/ct2/show/NCT02611323</w:t>
      </w:r>
      <w:r w:rsidRPr="00110998">
        <w:rPr>
          <w:rFonts w:ascii="Book Antiqua" w:hAnsi="Book Antiqua"/>
        </w:rPr>
        <w:t xml:space="preserve"> </w:t>
      </w:r>
      <w:r w:rsidR="001E0F5F" w:rsidRPr="00110998">
        <w:rPr>
          <w:rFonts w:ascii="Book Antiqua" w:hAnsi="Book Antiqua"/>
          <w:highlight w:val="yellow"/>
        </w:rPr>
        <w:t>ClinicalTrials.gov Identifier: NCT02611323</w:t>
      </w:r>
    </w:p>
    <w:p w14:paraId="5F49FED8" w14:textId="316005E5"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lastRenderedPageBreak/>
        <w:t xml:space="preserve">67 </w:t>
      </w:r>
      <w:r w:rsidRPr="00110998">
        <w:rPr>
          <w:rFonts w:ascii="Book Antiqua" w:hAnsi="Book Antiqua"/>
          <w:b/>
          <w:highlight w:val="yellow"/>
        </w:rPr>
        <w:t>ClinicalTrials.gov</w:t>
      </w:r>
      <w:r w:rsidRPr="00110998">
        <w:rPr>
          <w:rFonts w:ascii="Book Antiqua" w:hAnsi="Book Antiqua"/>
          <w:bCs/>
          <w:highlight w:val="yellow"/>
        </w:rPr>
        <w:t>. A Study Comparing the Efficacy and Safety of Polatuzumab Vedotin With Rituximab-Cyclophosphamide,</w:t>
      </w:r>
      <w:r w:rsidRPr="00110998">
        <w:rPr>
          <w:rFonts w:ascii="Book Antiqua" w:hAnsi="Book Antiqua"/>
          <w:highlight w:val="yellow"/>
        </w:rPr>
        <w:t xml:space="preserve"> Doxorubicin, and Prednisone (R-CHP) Versus Rituximab-Cyclophosphamide, Doxorubicin, Vincristine, and Prednisone (R-CHOP) in Participants With Diffuse Large B-Cell Lymphoma (POLARIX). [accessed 2021 Feb 2]. In ClinicalTrials.gov [Internet]. Available from: </w:t>
      </w:r>
      <w:hyperlink r:id="rId12" w:history="1">
        <w:r w:rsidRPr="00110998">
          <w:rPr>
            <w:rStyle w:val="Hyperlink"/>
            <w:rFonts w:ascii="Book Antiqua" w:hAnsi="Book Antiqua"/>
            <w:highlight w:val="yellow"/>
          </w:rPr>
          <w:t>https://clinicaltrials.gov/ct2/show/NCT03274492</w:t>
        </w:r>
      </w:hyperlink>
      <w:r w:rsidRPr="00110998">
        <w:rPr>
          <w:rFonts w:ascii="Book Antiqua" w:hAnsi="Book Antiqua"/>
        </w:rPr>
        <w:t xml:space="preserve"> </w:t>
      </w:r>
      <w:r w:rsidR="001E0F5F" w:rsidRPr="00110998">
        <w:rPr>
          <w:rFonts w:ascii="Book Antiqua" w:hAnsi="Book Antiqua"/>
          <w:highlight w:val="yellow"/>
        </w:rPr>
        <w:t>ClinicalTrials.gov Identifier: NCT03274492</w:t>
      </w:r>
    </w:p>
    <w:p w14:paraId="34C28786"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68 </w:t>
      </w:r>
      <w:r w:rsidRPr="00110998">
        <w:rPr>
          <w:rFonts w:ascii="Book Antiqua" w:hAnsi="Book Antiqua"/>
          <w:b/>
          <w:bCs/>
        </w:rPr>
        <w:t>Kreitman RJ</w:t>
      </w:r>
      <w:r w:rsidRPr="00110998">
        <w:rPr>
          <w:rFonts w:ascii="Book Antiqua" w:hAnsi="Book Antiqua"/>
        </w:rPr>
        <w:t xml:space="preserve">, Dearden C, Zinzani PL, Delgado J, Karlin L, Robak T, Gladstone DE, le Coutre P, Dietrich S, Gotic M, Larratt L, Offner F, Schiller G, Swords R, Bacon L, Bocchia M, Bouabdallah K, Breems DA, Cortelezzi A, Dinner S, Doubek M, Gjertsen BT, Gobbi M, Hellmann A, Lepretre S, Maloisel F, Ravandi F, Rousselot P, Rummel M, Siddiqi T, Tadmor T, Troussard X, Yi CA, Saglio G, Roboz GJ, Balic K, Standifer N, He P, Marshall S, Wilson W, Pastan I, Yao NS, Giles F. Moxetumomab pasudotox in relapsed/refractory hairy cell leukemia. </w:t>
      </w:r>
      <w:r w:rsidRPr="00110998">
        <w:rPr>
          <w:rFonts w:ascii="Book Antiqua" w:hAnsi="Book Antiqua"/>
          <w:i/>
          <w:iCs/>
        </w:rPr>
        <w:t>Leukemia</w:t>
      </w:r>
      <w:r w:rsidRPr="00110998">
        <w:rPr>
          <w:rFonts w:ascii="Book Antiqua" w:hAnsi="Book Antiqua"/>
        </w:rPr>
        <w:t xml:space="preserve"> 2018; </w:t>
      </w:r>
      <w:r w:rsidRPr="00110998">
        <w:rPr>
          <w:rFonts w:ascii="Book Antiqua" w:hAnsi="Book Antiqua"/>
          <w:b/>
          <w:bCs/>
        </w:rPr>
        <w:t>32</w:t>
      </w:r>
      <w:r w:rsidRPr="00110998">
        <w:rPr>
          <w:rFonts w:ascii="Book Antiqua" w:hAnsi="Book Antiqua"/>
        </w:rPr>
        <w:t>: 1768-1777 [PMID: 30030507 DOI: 10.1038/s41375-018-0210-1]</w:t>
      </w:r>
    </w:p>
    <w:p w14:paraId="25D5FE7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69 </w:t>
      </w:r>
      <w:r w:rsidRPr="00110998">
        <w:rPr>
          <w:rFonts w:ascii="Book Antiqua" w:hAnsi="Book Antiqua"/>
          <w:b/>
          <w:bCs/>
        </w:rPr>
        <w:t>Kantarjian H</w:t>
      </w:r>
      <w:r w:rsidRPr="00110998">
        <w:rPr>
          <w:rFonts w:ascii="Book Antiqua" w:hAnsi="Book Antiqua"/>
        </w:rPr>
        <w:t xml:space="preserve">, Stein A, Gökbuget N, Fielding AK, Schuh AC, Ribera JM, Wei A, Dombret H, Foà R, Bassan R, Arslan Ö, Sanz MA, Bergeron J, Demirkan F, Lech-Maranda E, Rambaldi A, Thomas X, Horst HA, Brüggemann M, Klapper W, Wood BL, Fleishman A, Nagorsen D, Holland C, Zimmerman Z, Topp MS. Blinatumomab versus Chemotherapy for Advanced Acute Lymphoblastic Leukemia.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376</w:t>
      </w:r>
      <w:r w:rsidRPr="00110998">
        <w:rPr>
          <w:rFonts w:ascii="Book Antiqua" w:hAnsi="Book Antiqua"/>
        </w:rPr>
        <w:t>: 836-847 [PMID: 28249141 DOI: 10.1056/NEJMoa1609783]</w:t>
      </w:r>
    </w:p>
    <w:p w14:paraId="1D8FEC7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70 </w:t>
      </w:r>
      <w:r w:rsidRPr="00110998">
        <w:rPr>
          <w:rFonts w:ascii="Book Antiqua" w:hAnsi="Book Antiqua"/>
          <w:b/>
          <w:bCs/>
        </w:rPr>
        <w:t>Przepiorka D</w:t>
      </w:r>
      <w:r w:rsidRPr="00110998">
        <w:rPr>
          <w:rFonts w:ascii="Book Antiqua" w:hAnsi="Book Antiqua"/>
        </w:rPr>
        <w:t xml:space="preserve">, Ko CW, Deisseroth A, Yancey CL, Candau-Chacon R, Chiu HJ, Gehrke BJ, Gomez-Broughton C, Kane RC, Kirshner S, Mehrotra N, Ricks TK, Schmiel D, Song P, Zhao P, Zhou Q, Farrell AT, Pazdur R. FDA Approval: Blinatumomab. </w:t>
      </w:r>
      <w:r w:rsidRPr="00110998">
        <w:rPr>
          <w:rFonts w:ascii="Book Antiqua" w:hAnsi="Book Antiqua"/>
          <w:i/>
          <w:iCs/>
        </w:rPr>
        <w:t>Clin Cancer Res</w:t>
      </w:r>
      <w:r w:rsidRPr="00110998">
        <w:rPr>
          <w:rFonts w:ascii="Book Antiqua" w:hAnsi="Book Antiqua"/>
        </w:rPr>
        <w:t xml:space="preserve"> 2015; </w:t>
      </w:r>
      <w:r w:rsidRPr="00110998">
        <w:rPr>
          <w:rFonts w:ascii="Book Antiqua" w:hAnsi="Book Antiqua"/>
          <w:b/>
          <w:bCs/>
        </w:rPr>
        <w:t>21</w:t>
      </w:r>
      <w:r w:rsidRPr="00110998">
        <w:rPr>
          <w:rFonts w:ascii="Book Antiqua" w:hAnsi="Book Antiqua"/>
        </w:rPr>
        <w:t>: 4035-4039 [PMID: 26374073 DOI: 10.1158/1078-0432.CCR-15-0612]</w:t>
      </w:r>
    </w:p>
    <w:p w14:paraId="356EF416"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71 </w:t>
      </w:r>
      <w:r w:rsidRPr="00110998">
        <w:rPr>
          <w:rFonts w:ascii="Book Antiqua" w:hAnsi="Book Antiqua"/>
          <w:b/>
          <w:bCs/>
        </w:rPr>
        <w:t>Dufner V</w:t>
      </w:r>
      <w:r w:rsidRPr="00110998">
        <w:rPr>
          <w:rFonts w:ascii="Book Antiqua" w:hAnsi="Book Antiqua"/>
        </w:rPr>
        <w:t xml:space="preserve">, Sayehli CM, Chatterjee M, Hummel HD, Gelbrich G, Bargou RC, Goebeler ME. Long-term outcome of patients with relapsed/refractory B-cell non-Hodgkin lymphoma treated with blinatumomab. </w:t>
      </w:r>
      <w:r w:rsidRPr="00110998">
        <w:rPr>
          <w:rFonts w:ascii="Book Antiqua" w:hAnsi="Book Antiqua"/>
          <w:i/>
          <w:iCs/>
        </w:rPr>
        <w:t>Blood Adv</w:t>
      </w:r>
      <w:r w:rsidRPr="00110998">
        <w:rPr>
          <w:rFonts w:ascii="Book Antiqua" w:hAnsi="Book Antiqua"/>
        </w:rPr>
        <w:t xml:space="preserve"> 2019; </w:t>
      </w:r>
      <w:r w:rsidRPr="00110998">
        <w:rPr>
          <w:rFonts w:ascii="Book Antiqua" w:hAnsi="Book Antiqua"/>
          <w:b/>
          <w:bCs/>
        </w:rPr>
        <w:t>3</w:t>
      </w:r>
      <w:r w:rsidRPr="00110998">
        <w:rPr>
          <w:rFonts w:ascii="Book Antiqua" w:hAnsi="Book Antiqua"/>
        </w:rPr>
        <w:t>: 2491-2498 [PMID: 31451445 DOI: 10.1182/bloodadvances.2019000025]</w:t>
      </w:r>
    </w:p>
    <w:p w14:paraId="7C96B09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72 </w:t>
      </w:r>
      <w:r w:rsidRPr="00110998">
        <w:rPr>
          <w:rFonts w:ascii="Book Antiqua" w:hAnsi="Book Antiqua"/>
          <w:b/>
          <w:bCs/>
        </w:rPr>
        <w:t>Schuster SJ</w:t>
      </w:r>
      <w:r w:rsidRPr="00110998">
        <w:rPr>
          <w:rFonts w:ascii="Book Antiqua" w:hAnsi="Book Antiqua"/>
        </w:rPr>
        <w:t xml:space="preserve">, Bartlett NL, Assouline S, Yoon SS, Bosch F, Sehn LH, Cheah C, Shadman M, Gregory GP, Ku M, Wei MC, Yin S, Kwan A, Yousefi K, Hernandez G, Li CC, O'Hear C, Budde LE. Mosunetuzumab Induces Complete Remissions in Poor Prognosis Non-Hodgkin Lymphoma Patients, Including Those Who Are Resistant to or Relapsing After Chimeric Antigen Receptor T-Cell (CAR-T) Therapies, and Is Active in Treatment through Multiple Lines. </w:t>
      </w:r>
      <w:r w:rsidRPr="00110998">
        <w:rPr>
          <w:rFonts w:ascii="Book Antiqua" w:hAnsi="Book Antiqua"/>
          <w:i/>
        </w:rPr>
        <w:t>Blood</w:t>
      </w:r>
      <w:r w:rsidRPr="00110998">
        <w:rPr>
          <w:rFonts w:ascii="Book Antiqua" w:hAnsi="Book Antiqua"/>
        </w:rPr>
        <w:t xml:space="preserve"> 2019; </w:t>
      </w:r>
      <w:r w:rsidRPr="00110998">
        <w:rPr>
          <w:rFonts w:ascii="Book Antiqua" w:hAnsi="Book Antiqua"/>
          <w:b/>
        </w:rPr>
        <w:t>134</w:t>
      </w:r>
      <w:r w:rsidRPr="00110998">
        <w:rPr>
          <w:rFonts w:ascii="Book Antiqua" w:hAnsi="Book Antiqua"/>
        </w:rPr>
        <w:t>: 6 [</w:t>
      </w:r>
      <w:r w:rsidRPr="00110998">
        <w:rPr>
          <w:rFonts w:ascii="Book Antiqua" w:hAnsi="Book Antiqua"/>
          <w:caps/>
        </w:rPr>
        <w:t>doi:</w:t>
      </w:r>
      <w:r w:rsidRPr="00110998">
        <w:rPr>
          <w:rFonts w:ascii="Book Antiqua" w:hAnsi="Book Antiqua"/>
        </w:rPr>
        <w:t xml:space="preserve"> 10.1182/blood-2019-123742]</w:t>
      </w:r>
    </w:p>
    <w:p w14:paraId="3C010DA2" w14:textId="0E892020"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73 </w:t>
      </w:r>
      <w:r w:rsidRPr="00110998">
        <w:rPr>
          <w:rFonts w:ascii="Book Antiqua" w:hAnsi="Book Antiqua"/>
          <w:b/>
          <w:bCs/>
          <w:highlight w:val="yellow"/>
        </w:rPr>
        <w:t>Dickinson MJ,</w:t>
      </w:r>
      <w:r w:rsidRPr="00110998">
        <w:rPr>
          <w:rFonts w:ascii="Book Antiqua" w:hAnsi="Book Antiqua"/>
          <w:highlight w:val="yellow"/>
        </w:rPr>
        <w:t xml:space="preserve"> Morschhauser F, Iacoboni G, Carlo-Stella C, Offner FC, Sureda A, Salles G, Martinez-Lopez J, Crump M, Lundberg L, Dixon M, Kwan A, Wei MC, Bröske AM, Carlile D, O'Hear C, Hutchings M. CD20-TCB in relapsed or refractory non-hodgkin lymphoma: durable complete responses and manageable safety observed at clinically relevant doses in phase </w:t>
      </w:r>
      <w:r w:rsidRPr="00110998">
        <w:rPr>
          <w:rFonts w:ascii="Book Antiqua" w:hAnsi="Book Antiqua"/>
          <w:caps/>
          <w:highlight w:val="yellow"/>
        </w:rPr>
        <w:t>i</w:t>
      </w:r>
      <w:r w:rsidRPr="00110998">
        <w:rPr>
          <w:rFonts w:ascii="Book Antiqua" w:hAnsi="Book Antiqua"/>
          <w:highlight w:val="yellow"/>
        </w:rPr>
        <w:t xml:space="preserve"> dose escalation EHA Meeting 2020; S241 [</w:t>
      </w:r>
      <w:r w:rsidR="001E0F5F" w:rsidRPr="00110998">
        <w:rPr>
          <w:rFonts w:ascii="Book Antiqua" w:hAnsi="Book Antiqua"/>
          <w:highlight w:val="yellow"/>
        </w:rPr>
        <w:t>cited 3</w:t>
      </w:r>
      <w:r w:rsidRPr="00110998">
        <w:rPr>
          <w:rFonts w:ascii="Book Antiqua" w:hAnsi="Book Antiqua"/>
          <w:highlight w:val="yellow"/>
        </w:rPr>
        <w:t xml:space="preserve"> January 2021] Available from: https://library.ehaweb.org/eha/2020/eha25th/293690/michael.j.dickinson.cd20-tcb.in.relapsed.or.refractory.non-hodgkin.lymphoma.html?f=listing%3D3%2Abrowseby%3D8%2Asortby%3D1%2Amedia%3D1</w:t>
      </w:r>
    </w:p>
    <w:p w14:paraId="0F74E10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74 </w:t>
      </w:r>
      <w:r w:rsidRPr="00110998">
        <w:rPr>
          <w:rFonts w:ascii="Book Antiqua" w:hAnsi="Book Antiqua"/>
          <w:b/>
          <w:bCs/>
        </w:rPr>
        <w:t>Bannerji R</w:t>
      </w:r>
      <w:r w:rsidRPr="00110998">
        <w:rPr>
          <w:rFonts w:ascii="Book Antiqua" w:hAnsi="Book Antiqua"/>
        </w:rPr>
        <w:t xml:space="preserve">, Allan JN, Arnason JE, Brown JR, Advani RH, Barnes JA, Ansell S, O'Brien S, Chavez J, Duell J, David K, Martin P, Joyce R, Charnas R, Ambati S, Adriaens L, Ufkin M, Zhu M, Li J, Gasparini P, Ibrahim A, Jankovic V, Fiaschi N, Aina O, Zhang W, Deering R, Hamon S, Thurston G, Murphy A, Weinreich D, Yancopoulos G, Lowy I, Sternberg D, Topp MS. Clinical Activity of REGN1979, a Bispecific Human, Anti-CD20 x Anti-CD3 Antibody, in Patients with Relapsed/Refractory (R/R) B-Cell Non-Hodgkin Lymphoma (B-NHL). </w:t>
      </w:r>
      <w:r w:rsidRPr="00110998">
        <w:rPr>
          <w:rFonts w:ascii="Book Antiqua" w:hAnsi="Book Antiqua"/>
          <w:i/>
        </w:rPr>
        <w:t>Blood</w:t>
      </w:r>
      <w:r w:rsidRPr="00110998">
        <w:rPr>
          <w:rFonts w:ascii="Book Antiqua" w:hAnsi="Book Antiqua"/>
        </w:rPr>
        <w:t xml:space="preserve"> 2019; </w:t>
      </w:r>
      <w:r w:rsidRPr="00110998">
        <w:rPr>
          <w:rFonts w:ascii="Book Antiqua" w:hAnsi="Book Antiqua"/>
          <w:b/>
        </w:rPr>
        <w:t>134</w:t>
      </w:r>
      <w:r w:rsidRPr="00110998">
        <w:rPr>
          <w:rFonts w:ascii="Book Antiqua" w:hAnsi="Book Antiqua"/>
        </w:rPr>
        <w:t>: 762 [</w:t>
      </w:r>
      <w:r w:rsidRPr="00110998">
        <w:rPr>
          <w:rFonts w:ascii="Book Antiqua" w:hAnsi="Book Antiqua"/>
          <w:caps/>
        </w:rPr>
        <w:t>doi:</w:t>
      </w:r>
      <w:r w:rsidRPr="00110998">
        <w:rPr>
          <w:rFonts w:ascii="Book Antiqua" w:hAnsi="Book Antiqua"/>
        </w:rPr>
        <w:t xml:space="preserve"> 10.1182/blood-2019-122451]</w:t>
      </w:r>
    </w:p>
    <w:p w14:paraId="11E9E04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75 </w:t>
      </w:r>
      <w:r w:rsidRPr="00110998">
        <w:rPr>
          <w:rFonts w:ascii="Book Antiqua" w:hAnsi="Book Antiqua"/>
          <w:b/>
          <w:bCs/>
        </w:rPr>
        <w:t>Morschhauser F</w:t>
      </w:r>
      <w:r w:rsidRPr="00110998">
        <w:rPr>
          <w:rFonts w:ascii="Book Antiqua" w:hAnsi="Book Antiqua"/>
        </w:rPr>
        <w:t xml:space="preserve">, Carlo-Stella C, Offner F, Salles G, Hutchings M, Iacoboni G, Sureda A, Crump M, Martinez-Lopez J, Thomas D, Morcos P, Ferlini C, Keelara A, Bröske AM, Bacac M, Dimier N, Moore T, Weisser M, Dickinson M. Dual CD20-Targeted Therapy With Concurrent CD20-TCB and Obinutuzumab Shows Highly </w:t>
      </w:r>
      <w:r w:rsidRPr="00110998">
        <w:rPr>
          <w:rFonts w:ascii="Book Antiqua" w:hAnsi="Book Antiqua"/>
        </w:rPr>
        <w:lastRenderedPageBreak/>
        <w:t xml:space="preserve">Promising Clinical Activity and Manageable Safety in Relapsed or Refractory B-Cell Non-Hodgkin Lymphoma: Preliminary Results From a Phase Ib Trial. </w:t>
      </w:r>
      <w:r w:rsidRPr="00110998">
        <w:rPr>
          <w:rFonts w:ascii="Book Antiqua" w:hAnsi="Book Antiqua"/>
          <w:i/>
        </w:rPr>
        <w:t xml:space="preserve">Blood </w:t>
      </w:r>
      <w:r w:rsidRPr="00110998">
        <w:rPr>
          <w:rFonts w:ascii="Book Antiqua" w:hAnsi="Book Antiqua"/>
        </w:rPr>
        <w:t xml:space="preserve">2019; </w:t>
      </w:r>
      <w:r w:rsidRPr="00110998">
        <w:rPr>
          <w:rFonts w:ascii="Book Antiqua" w:hAnsi="Book Antiqua"/>
          <w:b/>
        </w:rPr>
        <w:t>134</w:t>
      </w:r>
      <w:r w:rsidRPr="00110998">
        <w:rPr>
          <w:rFonts w:ascii="Book Antiqua" w:hAnsi="Book Antiqua"/>
        </w:rPr>
        <w:t>: 1584 [</w:t>
      </w:r>
      <w:r w:rsidRPr="00110998">
        <w:rPr>
          <w:rFonts w:ascii="Book Antiqua" w:hAnsi="Book Antiqua"/>
          <w:caps/>
        </w:rPr>
        <w:t xml:space="preserve">doi: </w:t>
      </w:r>
      <w:r w:rsidRPr="00110998">
        <w:rPr>
          <w:rFonts w:ascii="Book Antiqua" w:hAnsi="Book Antiqua"/>
        </w:rPr>
        <w:t>10.1182/blood-2019-123949]</w:t>
      </w:r>
    </w:p>
    <w:p w14:paraId="544EAF2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76 </w:t>
      </w:r>
      <w:r w:rsidRPr="00110998">
        <w:rPr>
          <w:rFonts w:ascii="Book Antiqua" w:hAnsi="Book Antiqua"/>
          <w:b/>
          <w:bCs/>
        </w:rPr>
        <w:t>Robert C</w:t>
      </w:r>
      <w:r w:rsidRPr="00110998">
        <w:rPr>
          <w:rFonts w:ascii="Book Antiqua" w:hAnsi="Book Antiqua"/>
        </w:rPr>
        <w:t xml:space="preserve">, Schachter J, Long GV, Arance A, Grob JJ, Mortier L, Daud A, Carlino MS, McNeil C, Lotem M, Larkin J, Lorigan P, Neyns B, Blank CU, Hamid O, Mateus C, Shapira-Frommer R, Kosh M, Zhou H, Ibrahim N, Ebbinghaus S, Ribas A; KEYNOTE-006 investigators. Pembrolizumab versus Ipilimumab in Advanced Melanoma.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372</w:t>
      </w:r>
      <w:r w:rsidRPr="00110998">
        <w:rPr>
          <w:rFonts w:ascii="Book Antiqua" w:hAnsi="Book Antiqua"/>
        </w:rPr>
        <w:t>: 2521-2532 [PMID: 25891173 DOI: 10.1056/NEJMoa1503093]</w:t>
      </w:r>
    </w:p>
    <w:p w14:paraId="69A177E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77 </w:t>
      </w:r>
      <w:r w:rsidRPr="00110998">
        <w:rPr>
          <w:rFonts w:ascii="Book Antiqua" w:hAnsi="Book Antiqua"/>
          <w:b/>
          <w:bCs/>
        </w:rPr>
        <w:t>Larkin J</w:t>
      </w:r>
      <w:r w:rsidRPr="00110998">
        <w:rPr>
          <w:rFonts w:ascii="Book Antiqua" w:hAnsi="Book Antiqua"/>
        </w:rPr>
        <w:t xml:space="preserve">,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373</w:t>
      </w:r>
      <w:r w:rsidRPr="00110998">
        <w:rPr>
          <w:rFonts w:ascii="Book Antiqua" w:hAnsi="Book Antiqua"/>
        </w:rPr>
        <w:t>: 23-34 [PMID: 26027431 DOI: 10.1056/NEJMoa1504030]</w:t>
      </w:r>
    </w:p>
    <w:p w14:paraId="7282B15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78 </w:t>
      </w:r>
      <w:r w:rsidRPr="00110998">
        <w:rPr>
          <w:rFonts w:ascii="Book Antiqua" w:hAnsi="Book Antiqua"/>
          <w:b/>
          <w:bCs/>
        </w:rPr>
        <w:t>Reck M</w:t>
      </w:r>
      <w:r w:rsidRPr="00110998">
        <w:rPr>
          <w:rFonts w:ascii="Book Antiqua" w:hAnsi="Book Antiqua"/>
        </w:rPr>
        <w:t xml:space="preserve">, Rodríguez-Abreu D, Robinson AG, Hui R, Csőszi T, Fülöp A, Gottfried M, Peled N, Tafreshi A, Cuffe S, O'Brien M, Rao S, Hotta K, Leiby MA, Lubiniecki GM, Shentu Y, Rangwala R, Brahmer JR; KEYNOTE-024 Investigators. Pembrolizumab versus Chemotherapy for PD-L1-Positive Non-Small-Cell Lung Cancer. </w:t>
      </w:r>
      <w:r w:rsidRPr="00110998">
        <w:rPr>
          <w:rFonts w:ascii="Book Antiqua" w:hAnsi="Book Antiqua"/>
          <w:i/>
          <w:iCs/>
        </w:rPr>
        <w:t>N Engl J Med</w:t>
      </w:r>
      <w:r w:rsidRPr="00110998">
        <w:rPr>
          <w:rFonts w:ascii="Book Antiqua" w:hAnsi="Book Antiqua"/>
        </w:rPr>
        <w:t xml:space="preserve"> 2016; </w:t>
      </w:r>
      <w:r w:rsidRPr="00110998">
        <w:rPr>
          <w:rFonts w:ascii="Book Antiqua" w:hAnsi="Book Antiqua"/>
          <w:b/>
          <w:bCs/>
        </w:rPr>
        <w:t>375</w:t>
      </w:r>
      <w:r w:rsidRPr="00110998">
        <w:rPr>
          <w:rFonts w:ascii="Book Antiqua" w:hAnsi="Book Antiqua"/>
        </w:rPr>
        <w:t>: 1823-1833 [PMID: 27718847 DOI: 10.1056/NEJMoa1606774]</w:t>
      </w:r>
    </w:p>
    <w:p w14:paraId="1ADB16B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79 </w:t>
      </w:r>
      <w:r w:rsidRPr="00110998">
        <w:rPr>
          <w:rFonts w:ascii="Book Antiqua" w:hAnsi="Book Antiqua"/>
          <w:b/>
          <w:bCs/>
        </w:rPr>
        <w:t>Socinski MA</w:t>
      </w:r>
      <w:r w:rsidRPr="00110998">
        <w:rPr>
          <w:rFonts w:ascii="Book Antiqua" w:hAnsi="Book Antiqua"/>
        </w:rPr>
        <w:t xml:space="preserve">, Jotte RM, Cappuzzo F, Orlandi F, Stroyakovskiy D, Nogami N, Rodríguez-Abreu D, Moro-Sibilot D, Thomas CA, Barlesi F, Finley G, Kelsch C, Lee A, Coleman S, Deng Y, Shen Y, Kowanetz M, Lopez-Chavez A, Sandler A, Reck M; IMpower150 Study Group. Atezolizumab for First-Line Treatment of Metastatic Nonsquamous NSCLC.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378</w:t>
      </w:r>
      <w:r w:rsidRPr="00110998">
        <w:rPr>
          <w:rFonts w:ascii="Book Antiqua" w:hAnsi="Book Antiqua"/>
        </w:rPr>
        <w:t>: 2288-2301 [PMID: 29863955 DOI: 10.1056/NEJMoa1716948]</w:t>
      </w:r>
    </w:p>
    <w:p w14:paraId="6202A9A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80 </w:t>
      </w:r>
      <w:r w:rsidRPr="00110998">
        <w:rPr>
          <w:rFonts w:ascii="Book Antiqua" w:hAnsi="Book Antiqua"/>
          <w:b/>
          <w:bCs/>
        </w:rPr>
        <w:t>Motzer RJ</w:t>
      </w:r>
      <w:r w:rsidRPr="00110998">
        <w:rPr>
          <w:rFonts w:ascii="Book Antiqua" w:hAnsi="Book Antiqua"/>
        </w:rPr>
        <w:t xml:space="preserve">, Penkov K, Haanen J, Rini B, Albiges L, Campbell MT, Venugopal B, Kollmannsberger C, Negrier S, Uemura M, Lee JL, Vasiliev A, Miller WH Jr, Gurney H, Schmidinger M, Larkin J, Atkins MB, Bedke J, Alekseev B, Wang J, Mariani M, Robbins </w:t>
      </w:r>
      <w:r w:rsidRPr="00110998">
        <w:rPr>
          <w:rFonts w:ascii="Book Antiqua" w:hAnsi="Book Antiqua"/>
        </w:rPr>
        <w:lastRenderedPageBreak/>
        <w:t xml:space="preserve">PB, Chudnovsky A, Fowst C, Hariharan S, Huang B, di Pietro A, Choueiri TK. Avelumab plus Axitinib versus Sunitinib for Advanced Renal-Cell Carcinoma. </w:t>
      </w:r>
      <w:r w:rsidRPr="00110998">
        <w:rPr>
          <w:rFonts w:ascii="Book Antiqua" w:hAnsi="Book Antiqua"/>
          <w:i/>
          <w:iCs/>
        </w:rPr>
        <w:t>N Engl J Med</w:t>
      </w:r>
      <w:r w:rsidRPr="00110998">
        <w:rPr>
          <w:rFonts w:ascii="Book Antiqua" w:hAnsi="Book Antiqua"/>
        </w:rPr>
        <w:t xml:space="preserve"> 2019; </w:t>
      </w:r>
      <w:r w:rsidRPr="00110998">
        <w:rPr>
          <w:rFonts w:ascii="Book Antiqua" w:hAnsi="Book Antiqua"/>
          <w:b/>
          <w:bCs/>
        </w:rPr>
        <w:t>380</w:t>
      </w:r>
      <w:r w:rsidRPr="00110998">
        <w:rPr>
          <w:rFonts w:ascii="Book Antiqua" w:hAnsi="Book Antiqua"/>
        </w:rPr>
        <w:t>: 1103-1115 [PMID: 30779531 DOI: 10.1056/NEJMoa1816047]</w:t>
      </w:r>
    </w:p>
    <w:p w14:paraId="1B33DA6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81 </w:t>
      </w:r>
      <w:r w:rsidRPr="00110998">
        <w:rPr>
          <w:rFonts w:ascii="Book Antiqua" w:hAnsi="Book Antiqua"/>
          <w:b/>
          <w:bCs/>
        </w:rPr>
        <w:t>Bellmunt J</w:t>
      </w:r>
      <w:r w:rsidRPr="00110998">
        <w:rPr>
          <w:rFonts w:ascii="Book Antiqua" w:hAnsi="Book Antiqua"/>
        </w:rPr>
        <w:t xml:space="preserve">, de Wit R, Vaughn DJ, Fradet Y, Lee JL, Fong L, Vogelzang NJ, Climent MA, Petrylak DP, Choueiri TK, Necchi A, Gerritsen W, Gurney H, Quinn DI, Culine S, Sternberg CN, Mai Y, Poehlein CH, Perini RF, Bajorin DF; KEYNOTE-045 Investigators. Pembrolizumab as Second-Line Therapy for Advanced Urothelial Carcinoma.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376</w:t>
      </w:r>
      <w:r w:rsidRPr="00110998">
        <w:rPr>
          <w:rFonts w:ascii="Book Antiqua" w:hAnsi="Book Antiqua"/>
        </w:rPr>
        <w:t>: 1015-1026 [PMID: 28212060 DOI: 10.1056/NEJMoa1613683]</w:t>
      </w:r>
    </w:p>
    <w:p w14:paraId="2F4DFCE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82 </w:t>
      </w:r>
      <w:r w:rsidRPr="00110998">
        <w:rPr>
          <w:rFonts w:ascii="Book Antiqua" w:hAnsi="Book Antiqua"/>
          <w:b/>
          <w:bCs/>
        </w:rPr>
        <w:t>Schmid P</w:t>
      </w:r>
      <w:r w:rsidRPr="00110998">
        <w:rPr>
          <w:rFonts w:ascii="Book Antiqua" w:hAnsi="Book Antiqua"/>
        </w:rPr>
        <w:t xml:space="preserve">, Cortes J, Pusztai L, McArthur H, Kümmel S, Bergh J, Denkert C, Park YH, Hui R, Harbeck N, Takahashi M, Foukakis T, Fasching PA, Cardoso F, Untch M, Jia L, Karantza V, Zhao J, Aktan G, Dent R, O'Shaughnessy J; KEYNOTE-522 Investigators. Pembrolizumab for Early Triple-Negative Breast Cancer. </w:t>
      </w:r>
      <w:r w:rsidRPr="00110998">
        <w:rPr>
          <w:rFonts w:ascii="Book Antiqua" w:hAnsi="Book Antiqua"/>
          <w:i/>
          <w:iCs/>
        </w:rPr>
        <w:t>N Engl J Med</w:t>
      </w:r>
      <w:r w:rsidRPr="00110998">
        <w:rPr>
          <w:rFonts w:ascii="Book Antiqua" w:hAnsi="Book Antiqua"/>
        </w:rPr>
        <w:t xml:space="preserve"> 2020; </w:t>
      </w:r>
      <w:r w:rsidRPr="00110998">
        <w:rPr>
          <w:rFonts w:ascii="Book Antiqua" w:hAnsi="Book Antiqua"/>
          <w:b/>
          <w:bCs/>
        </w:rPr>
        <w:t>382</w:t>
      </w:r>
      <w:r w:rsidRPr="00110998">
        <w:rPr>
          <w:rFonts w:ascii="Book Antiqua" w:hAnsi="Book Antiqua"/>
        </w:rPr>
        <w:t>: 810-821 [PMID: 32101663 DOI: 10.1056/NEJMoa1910549]</w:t>
      </w:r>
    </w:p>
    <w:p w14:paraId="5DECFEB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83 </w:t>
      </w:r>
      <w:r w:rsidRPr="00110998">
        <w:rPr>
          <w:rFonts w:ascii="Book Antiqua" w:hAnsi="Book Antiqua"/>
          <w:b/>
          <w:bCs/>
        </w:rPr>
        <w:t>Schmid P</w:t>
      </w:r>
      <w:r w:rsidRPr="00110998">
        <w:rPr>
          <w:rFonts w:ascii="Book Antiqua" w:hAnsi="Book Antiqua"/>
        </w:rPr>
        <w:t xml:space="preserve">, Adams S, Rugo HS, Schneeweiss A, Barrios CH, Iwata H, Diéras V, Hegg R, Im SA, Shaw Wright G, Henschel V, Molinero L, Chui SY, Funke R, Husain A, Winer EP, Loi S, Emens LA; IMpassion130 Trial Investigators. Atezolizumab and Nab-Paclitaxel in Advanced Triple-Negative Breast Cancer.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379</w:t>
      </w:r>
      <w:r w:rsidRPr="00110998">
        <w:rPr>
          <w:rFonts w:ascii="Book Antiqua" w:hAnsi="Book Antiqua"/>
        </w:rPr>
        <w:t>: 2108-2121 [PMID: 30345906 DOI: 10.1056/NEJMoa1809615]</w:t>
      </w:r>
    </w:p>
    <w:p w14:paraId="67F3AA0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84 </w:t>
      </w:r>
      <w:r w:rsidRPr="00110998">
        <w:rPr>
          <w:rFonts w:ascii="Book Antiqua" w:hAnsi="Book Antiqua"/>
          <w:b/>
          <w:bCs/>
        </w:rPr>
        <w:t>Armand P</w:t>
      </w:r>
      <w:r w:rsidRPr="00110998">
        <w:rPr>
          <w:rFonts w:ascii="Book Antiqua" w:hAnsi="Book Antiqua"/>
        </w:rPr>
        <w:t xml:space="preserve">, Engert A, Younes A, Fanale M, Santoro A, Zinzani PL, Timmerman JM, Collins GP, Ramchandren R, Cohen JB, De Boer JP, Kuruvilla J, Savage KJ, Trneny M, Shipp MA, Kato K, Sumbul A, Farsaci B, Ansell SM. Nivolumab for Relapsed/Refractory Classic Hodgkin Lymphoma After Failure of Autologous Hematopoietic Cell Transplantation: Extended Follow-Up of the Multicohort Single-Arm Phase II CheckMate 205 Trial. </w:t>
      </w:r>
      <w:r w:rsidRPr="00110998">
        <w:rPr>
          <w:rFonts w:ascii="Book Antiqua" w:hAnsi="Book Antiqua"/>
          <w:i/>
          <w:iCs/>
        </w:rPr>
        <w:t>J Clin Oncol</w:t>
      </w:r>
      <w:r w:rsidRPr="00110998">
        <w:rPr>
          <w:rFonts w:ascii="Book Antiqua" w:hAnsi="Book Antiqua"/>
        </w:rPr>
        <w:t xml:space="preserve"> 2018; </w:t>
      </w:r>
      <w:r w:rsidRPr="00110998">
        <w:rPr>
          <w:rFonts w:ascii="Book Antiqua" w:hAnsi="Book Antiqua"/>
          <w:b/>
          <w:bCs/>
        </w:rPr>
        <w:t>36</w:t>
      </w:r>
      <w:r w:rsidRPr="00110998">
        <w:rPr>
          <w:rFonts w:ascii="Book Antiqua" w:hAnsi="Book Antiqua"/>
        </w:rPr>
        <w:t>: 1428-1439 [PMID: 29584546 DOI: 10.1200/JCO.2017.76.0793]</w:t>
      </w:r>
    </w:p>
    <w:p w14:paraId="09CEFE0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85 </w:t>
      </w:r>
      <w:r w:rsidRPr="00110998">
        <w:rPr>
          <w:rFonts w:ascii="Book Antiqua" w:hAnsi="Book Antiqua"/>
          <w:b/>
          <w:bCs/>
        </w:rPr>
        <w:t>Chen R</w:t>
      </w:r>
      <w:r w:rsidRPr="00110998">
        <w:rPr>
          <w:rFonts w:ascii="Book Antiqua" w:hAnsi="Book Antiqua"/>
        </w:rPr>
        <w:t xml:space="preserve">, Zinzani PL, Fanale MA, Armand P, Johnson NA, Brice P, Radford J, Ribrag V, Molin D, Vassilakopoulos TP, Tomita A, von Tresckow B, Shipp MA, Zhang Y, Ricart AD, Balakumaran A, Moskowitz CH; KEYNOTE-087. Phase II Study of the </w:t>
      </w:r>
      <w:r w:rsidRPr="00110998">
        <w:rPr>
          <w:rFonts w:ascii="Book Antiqua" w:hAnsi="Book Antiqua"/>
        </w:rPr>
        <w:lastRenderedPageBreak/>
        <w:t xml:space="preserve">Efficacy and Safety of Pembrolizumab for Relapsed/Refractory Classic Hodgkin Lymphoma. </w:t>
      </w:r>
      <w:r w:rsidRPr="00110998">
        <w:rPr>
          <w:rFonts w:ascii="Book Antiqua" w:hAnsi="Book Antiqua"/>
          <w:i/>
          <w:iCs/>
        </w:rPr>
        <w:t>J Clin Oncol</w:t>
      </w:r>
      <w:r w:rsidRPr="00110998">
        <w:rPr>
          <w:rFonts w:ascii="Book Antiqua" w:hAnsi="Book Antiqua"/>
        </w:rPr>
        <w:t xml:space="preserve"> 2017; </w:t>
      </w:r>
      <w:r w:rsidRPr="00110998">
        <w:rPr>
          <w:rFonts w:ascii="Book Antiqua" w:hAnsi="Book Antiqua"/>
          <w:b/>
          <w:bCs/>
        </w:rPr>
        <w:t>35</w:t>
      </w:r>
      <w:r w:rsidRPr="00110998">
        <w:rPr>
          <w:rFonts w:ascii="Book Antiqua" w:hAnsi="Book Antiqua"/>
        </w:rPr>
        <w:t>: 2125-2132 [PMID: 28441111 DOI: 10.1200/JCO.2016.72.1316]</w:t>
      </w:r>
    </w:p>
    <w:p w14:paraId="64F4157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86 </w:t>
      </w:r>
      <w:r w:rsidRPr="00110998">
        <w:rPr>
          <w:rFonts w:ascii="Book Antiqua" w:hAnsi="Book Antiqua"/>
          <w:b/>
          <w:bCs/>
        </w:rPr>
        <w:t>Kuruvilla J</w:t>
      </w:r>
      <w:r w:rsidRPr="00110998">
        <w:rPr>
          <w:rFonts w:ascii="Book Antiqua" w:hAnsi="Book Antiqua"/>
        </w:rPr>
        <w:t xml:space="preserve">, Ramchandren R, Santoro A, Paszkiewicz-Kozik E, Gasiorowski R, Johnson N, Melnichenko V, Fogliatto LM, Goncalves I, Oliveira J, Buccheri V, Perini GF, Goldschmidt N, Alekseev S, Kryachok I, Sekiguchi N, Zhu Y, Nahar A, Marinello P, Zinzani PL. KEYNOTE-204: Randomized, open-label, phase III study of pembrolizumab (pembro) vs brentuximab vedotin (BV) in relapsed or refractory classic Hodgkin lymphoma (R/R cHL). </w:t>
      </w:r>
      <w:r w:rsidRPr="00110998">
        <w:rPr>
          <w:rFonts w:ascii="Book Antiqua" w:hAnsi="Book Antiqua"/>
          <w:i/>
        </w:rPr>
        <w:t xml:space="preserve">J Clin Oncol </w:t>
      </w:r>
      <w:r w:rsidRPr="00110998">
        <w:rPr>
          <w:rFonts w:ascii="Book Antiqua" w:hAnsi="Book Antiqua"/>
        </w:rPr>
        <w:t xml:space="preserve">2020 </w:t>
      </w:r>
      <w:r w:rsidRPr="00110998">
        <w:rPr>
          <w:rFonts w:ascii="Book Antiqua" w:hAnsi="Book Antiqua"/>
          <w:b/>
        </w:rPr>
        <w:t>38</w:t>
      </w:r>
      <w:r w:rsidRPr="00110998">
        <w:rPr>
          <w:rFonts w:ascii="Book Antiqua" w:hAnsi="Book Antiqua"/>
        </w:rPr>
        <w:t>: 8005-8005 [DOI: 10.1200/JCO.2020.38.15_suppl.8005]</w:t>
      </w:r>
    </w:p>
    <w:p w14:paraId="02E7E4DA" w14:textId="12054E46"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87 </w:t>
      </w:r>
      <w:r w:rsidRPr="00110998">
        <w:rPr>
          <w:rFonts w:ascii="Book Antiqua" w:hAnsi="Book Antiqua"/>
          <w:b/>
          <w:highlight w:val="yellow"/>
        </w:rPr>
        <w:t>ClinicalTrials.gov</w:t>
      </w:r>
      <w:r w:rsidRPr="00110998">
        <w:rPr>
          <w:rFonts w:ascii="Book Antiqua" w:hAnsi="Book Antiqua"/>
          <w:bCs/>
          <w:highlight w:val="yellow"/>
        </w:rPr>
        <w:t xml:space="preserve">. </w:t>
      </w:r>
      <w:r w:rsidRPr="00110998">
        <w:rPr>
          <w:rFonts w:ascii="Book Antiqua" w:hAnsi="Book Antiqua"/>
          <w:highlight w:val="yellow"/>
        </w:rPr>
        <w:t>Immunotherapy (Nivolumab or Brentuximab</w:t>
      </w:r>
      <w:r w:rsidR="00B00F0D">
        <w:rPr>
          <w:rFonts w:ascii="Book Antiqua" w:hAnsi="Book Antiqua"/>
          <w:highlight w:val="yellow"/>
        </w:rPr>
        <w:t>-</w:t>
      </w:r>
      <w:r w:rsidRPr="00110998">
        <w:rPr>
          <w:rFonts w:ascii="Book Antiqua" w:hAnsi="Book Antiqua"/>
          <w:highlight w:val="yellow"/>
        </w:rPr>
        <w:t xml:space="preserve">Vedotin) Plus Combination Chemotherapy in Treating Patients With Newly Diagnosed Stage III-IV Classic Hodgkin Lymphoma. [accessed 2021 Jan 22]. In: ClinicalTrials.gov [Internet]. Available from: </w:t>
      </w:r>
      <w:hyperlink r:id="rId13" w:history="1">
        <w:r w:rsidRPr="00110998">
          <w:rPr>
            <w:rStyle w:val="Hyperlink"/>
            <w:rFonts w:ascii="Book Antiqua" w:hAnsi="Book Antiqua"/>
            <w:highlight w:val="yellow"/>
          </w:rPr>
          <w:t>https://clinicaltrials.gov/ct2/show/NCT03907448</w:t>
        </w:r>
      </w:hyperlink>
      <w:r w:rsidRPr="00110998">
        <w:rPr>
          <w:rFonts w:ascii="Book Antiqua" w:hAnsi="Book Antiqua"/>
        </w:rPr>
        <w:t xml:space="preserve"> </w:t>
      </w:r>
      <w:r w:rsidR="001E0F5F" w:rsidRPr="00110998">
        <w:rPr>
          <w:rFonts w:ascii="Book Antiqua" w:hAnsi="Book Antiqua"/>
          <w:highlight w:val="yellow"/>
        </w:rPr>
        <w:t>ClinicalTrials.gov Identifier: NCT 03907448</w:t>
      </w:r>
    </w:p>
    <w:p w14:paraId="15432D4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88 </w:t>
      </w:r>
      <w:r w:rsidRPr="00110998">
        <w:rPr>
          <w:rFonts w:ascii="Book Antiqua" w:hAnsi="Book Antiqua"/>
          <w:b/>
          <w:bCs/>
        </w:rPr>
        <w:t>Herrera AF</w:t>
      </w:r>
      <w:r w:rsidRPr="00110998">
        <w:rPr>
          <w:rFonts w:ascii="Book Antiqua" w:hAnsi="Book Antiqua"/>
        </w:rPr>
        <w:t xml:space="preserve">, Moskowitz AJ, Bartlett NL, Vose JM, Ramchandren R, Feldman TA, LaCasce AS, Ansell SM, Moskowitz CH, Fenton K, Ogden CA, Taft D, Zhang Q, Kato K, Campbell M, Advani RH. Interim results of brentuximab vedotin in combination with nivolumab in patients with relapsed or refractory Hodgkin lymphoma. </w:t>
      </w:r>
      <w:r w:rsidRPr="00110998">
        <w:rPr>
          <w:rFonts w:ascii="Book Antiqua" w:hAnsi="Book Antiqua"/>
          <w:i/>
          <w:iCs/>
        </w:rPr>
        <w:t>Blood</w:t>
      </w:r>
      <w:r w:rsidRPr="00110998">
        <w:rPr>
          <w:rFonts w:ascii="Book Antiqua" w:hAnsi="Book Antiqua"/>
        </w:rPr>
        <w:t xml:space="preserve"> 2018; </w:t>
      </w:r>
      <w:r w:rsidRPr="00110998">
        <w:rPr>
          <w:rFonts w:ascii="Book Antiqua" w:hAnsi="Book Antiqua"/>
          <w:b/>
          <w:bCs/>
        </w:rPr>
        <w:t>131</w:t>
      </w:r>
      <w:r w:rsidRPr="00110998">
        <w:rPr>
          <w:rFonts w:ascii="Book Antiqua" w:hAnsi="Book Antiqua"/>
        </w:rPr>
        <w:t>: 1183-1194 [PMID: 29229594 DOI: 10.1182/blood-2017-10-811224]</w:t>
      </w:r>
    </w:p>
    <w:p w14:paraId="4D2CCB7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89 </w:t>
      </w:r>
      <w:r w:rsidRPr="00110998">
        <w:rPr>
          <w:rFonts w:ascii="Book Antiqua" w:hAnsi="Book Antiqua"/>
          <w:b/>
          <w:bCs/>
        </w:rPr>
        <w:t>Diefenbach CS</w:t>
      </w:r>
      <w:r w:rsidRPr="00110998">
        <w:rPr>
          <w:rFonts w:ascii="Book Antiqua" w:hAnsi="Book Antiqua"/>
        </w:rPr>
        <w:t xml:space="preserve">, Hong F, Ambinder RF, Cohen JB, Robertson MJ, David KA, Advani RH, Fenske TS, Barta SK, Palmisiano ND, Svoboda J, Morgan DS, Karmali R, Sharon E, Streicher H, Kahl BS, Ansell SM. Ipilimumab, nivolumab, and brentuximab vedotin combination therapies in patients with relapsed or refractory Hodgkin lymphoma: phase 1 results of an open-label, multicentre, phase 1/2 trial. </w:t>
      </w:r>
      <w:r w:rsidRPr="00110998">
        <w:rPr>
          <w:rFonts w:ascii="Book Antiqua" w:hAnsi="Book Antiqua"/>
          <w:i/>
          <w:iCs/>
        </w:rPr>
        <w:t>Lancet Haematol</w:t>
      </w:r>
      <w:r w:rsidRPr="00110998">
        <w:rPr>
          <w:rFonts w:ascii="Book Antiqua" w:hAnsi="Book Antiqua"/>
        </w:rPr>
        <w:t xml:space="preserve"> 2020; </w:t>
      </w:r>
      <w:r w:rsidRPr="00110998">
        <w:rPr>
          <w:rFonts w:ascii="Book Antiqua" w:hAnsi="Book Antiqua"/>
          <w:b/>
          <w:bCs/>
        </w:rPr>
        <w:t>7</w:t>
      </w:r>
      <w:r w:rsidRPr="00110998">
        <w:rPr>
          <w:rFonts w:ascii="Book Antiqua" w:hAnsi="Book Antiqua"/>
        </w:rPr>
        <w:t>: e660-e670 [PMID: 32853585 DOI: 10.1016/S2352-3026(20)30221-0]</w:t>
      </w:r>
    </w:p>
    <w:p w14:paraId="4A86A0C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90 </w:t>
      </w:r>
      <w:r w:rsidRPr="00110998">
        <w:rPr>
          <w:rFonts w:ascii="Book Antiqua" w:hAnsi="Book Antiqua"/>
          <w:b/>
          <w:bCs/>
        </w:rPr>
        <w:t>Twa DD</w:t>
      </w:r>
      <w:r w:rsidRPr="00110998">
        <w:rPr>
          <w:rFonts w:ascii="Book Antiqua" w:hAnsi="Book Antiqua"/>
        </w:rPr>
        <w:t xml:space="preserve">, Chan FC, Ben-Neriah S, Woolcock BW, Mottok A, Tan KL, Slack GW, Gunawardana J, Lim RS, McPherson AW, Kridel R, Telenius A, Scott DW, Savage KJ, Shah SP, Gascoyne RD, Steidl C. Genomic rearrangements involving programmed </w:t>
      </w:r>
      <w:r w:rsidRPr="00110998">
        <w:rPr>
          <w:rFonts w:ascii="Book Antiqua" w:hAnsi="Book Antiqua"/>
        </w:rPr>
        <w:lastRenderedPageBreak/>
        <w:t xml:space="preserve">death ligands are recurrent in primary mediastinal large B-cell lymphoma. </w:t>
      </w:r>
      <w:r w:rsidRPr="00110998">
        <w:rPr>
          <w:rFonts w:ascii="Book Antiqua" w:hAnsi="Book Antiqua"/>
          <w:i/>
          <w:iCs/>
        </w:rPr>
        <w:t>Blood</w:t>
      </w:r>
      <w:r w:rsidRPr="00110998">
        <w:rPr>
          <w:rFonts w:ascii="Book Antiqua" w:hAnsi="Book Antiqua"/>
        </w:rPr>
        <w:t xml:space="preserve"> 2014; </w:t>
      </w:r>
      <w:r w:rsidRPr="00110998">
        <w:rPr>
          <w:rFonts w:ascii="Book Antiqua" w:hAnsi="Book Antiqua"/>
          <w:b/>
          <w:bCs/>
        </w:rPr>
        <w:t>123</w:t>
      </w:r>
      <w:r w:rsidRPr="00110998">
        <w:rPr>
          <w:rFonts w:ascii="Book Antiqua" w:hAnsi="Book Antiqua"/>
        </w:rPr>
        <w:t>: 2062-2065 [PMID: 24497532 DOI: 10.1182/blood-2013-10-535443]</w:t>
      </w:r>
    </w:p>
    <w:p w14:paraId="29D382A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91 </w:t>
      </w:r>
      <w:r w:rsidRPr="00110998">
        <w:rPr>
          <w:rFonts w:ascii="Book Antiqua" w:hAnsi="Book Antiqua"/>
          <w:b/>
          <w:bCs/>
        </w:rPr>
        <w:t>Armand P</w:t>
      </w:r>
      <w:r w:rsidRPr="00110998">
        <w:rPr>
          <w:rFonts w:ascii="Book Antiqua" w:hAnsi="Book Antiqua"/>
        </w:rPr>
        <w:t xml:space="preserve">, Rodig S, Melnichenko V, Thieblemont C, Bouabdallah K, Tumyan G, Özcan M, Portino S, Fogliatto L, Caballero MD, Walewski J, Gulbas Z, Ribrag V, Christian B, Perini GF, Salles G, Svoboda J, Zain J, Patel S, Chen PH, Ligon AH, Ouyang J, Neuberg D, Redd R, Chatterjee A, Balakumaran A, Orlowski R, Shipp M, Zinzani PL. Pembrolizumab in Relapsed or Refractory Primary Mediastinal Large B-Cell Lymphoma. </w:t>
      </w:r>
      <w:r w:rsidRPr="00110998">
        <w:rPr>
          <w:rFonts w:ascii="Book Antiqua" w:hAnsi="Book Antiqua"/>
          <w:i/>
          <w:iCs/>
        </w:rPr>
        <w:t>J Clin Oncol</w:t>
      </w:r>
      <w:r w:rsidRPr="00110998">
        <w:rPr>
          <w:rFonts w:ascii="Book Antiqua" w:hAnsi="Book Antiqua"/>
        </w:rPr>
        <w:t xml:space="preserve"> 2019; </w:t>
      </w:r>
      <w:r w:rsidRPr="00110998">
        <w:rPr>
          <w:rFonts w:ascii="Book Antiqua" w:hAnsi="Book Antiqua"/>
          <w:b/>
          <w:bCs/>
        </w:rPr>
        <w:t>37</w:t>
      </w:r>
      <w:r w:rsidRPr="00110998">
        <w:rPr>
          <w:rFonts w:ascii="Book Antiqua" w:hAnsi="Book Antiqua"/>
        </w:rPr>
        <w:t>: 3291-3299 [PMID: 31609651 DOI: 10.1200/JCO.19.01389]</w:t>
      </w:r>
    </w:p>
    <w:p w14:paraId="32484AF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92 </w:t>
      </w:r>
      <w:r w:rsidRPr="00110998">
        <w:rPr>
          <w:rFonts w:ascii="Book Antiqua" w:hAnsi="Book Antiqua"/>
          <w:b/>
          <w:bCs/>
        </w:rPr>
        <w:t>Khodadoust MS</w:t>
      </w:r>
      <w:r w:rsidRPr="00110998">
        <w:rPr>
          <w:rFonts w:ascii="Book Antiqua" w:hAnsi="Book Antiqua"/>
        </w:rPr>
        <w:t xml:space="preserve">, Rook AH, Porcu P, Foss F, Moskowitz AJ, Shustov A, Shanbhag S, Sokol L, Fling SP, Ramchurren N, Pierce R, Davis A, Shine R, Li S, Fong S, Kim J, Yang Y, Blumenschein WM, Yearley JH, Das B, Patidar R, Datta V, Cantu E, McCutcheon JN, Karlovich C, Williams PM, Subrahmanyam PB, Maecker HT, Horwitz SM, Sharon E, Kohrt HE, Cheever MA, Kim YH. Pembrolizumab in Relapsed and Refractory Mycosis Fungoides and Sézary Syndrome: A Multicenter Phase II Study.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20-28 [PMID: 31532724 DOI: 10.1200/JCO.19.01056]</w:t>
      </w:r>
    </w:p>
    <w:p w14:paraId="1A718B3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93 </w:t>
      </w:r>
      <w:r w:rsidRPr="00110998">
        <w:rPr>
          <w:rFonts w:ascii="Book Antiqua" w:hAnsi="Book Antiqua"/>
          <w:b/>
          <w:bCs/>
        </w:rPr>
        <w:t>June CH</w:t>
      </w:r>
      <w:r w:rsidRPr="00110998">
        <w:rPr>
          <w:rFonts w:ascii="Book Antiqua" w:hAnsi="Book Antiqua"/>
        </w:rPr>
        <w:t xml:space="preserve">, Maus MV, Plesa G, Johnson LA, Zhao Y, Levine BL, Grupp SA, Porter DL. Engineered T cells for cancer therapy. </w:t>
      </w:r>
      <w:r w:rsidRPr="00110998">
        <w:rPr>
          <w:rFonts w:ascii="Book Antiqua" w:hAnsi="Book Antiqua"/>
          <w:i/>
          <w:iCs/>
        </w:rPr>
        <w:t>Cancer Immunol Immunother</w:t>
      </w:r>
      <w:r w:rsidRPr="00110998">
        <w:rPr>
          <w:rFonts w:ascii="Book Antiqua" w:hAnsi="Book Antiqua"/>
        </w:rPr>
        <w:t xml:space="preserve"> 2014; </w:t>
      </w:r>
      <w:r w:rsidRPr="00110998">
        <w:rPr>
          <w:rFonts w:ascii="Book Antiqua" w:hAnsi="Book Antiqua"/>
          <w:b/>
          <w:bCs/>
        </w:rPr>
        <w:t>63</w:t>
      </w:r>
      <w:r w:rsidRPr="00110998">
        <w:rPr>
          <w:rFonts w:ascii="Book Antiqua" w:hAnsi="Book Antiqua"/>
        </w:rPr>
        <w:t>: 969-975 [PMID: 24943274 DOI: 10.1007/s00262-014-1568-1]</w:t>
      </w:r>
    </w:p>
    <w:p w14:paraId="10F6F63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94 </w:t>
      </w:r>
      <w:r w:rsidRPr="00110998">
        <w:rPr>
          <w:rFonts w:ascii="Book Antiqua" w:hAnsi="Book Antiqua"/>
          <w:b/>
          <w:bCs/>
        </w:rPr>
        <w:t>Brudno JN</w:t>
      </w:r>
      <w:r w:rsidRPr="00110998">
        <w:rPr>
          <w:rFonts w:ascii="Book Antiqua" w:hAnsi="Book Antiqua"/>
        </w:rPr>
        <w:t xml:space="preserve">, Kochenderfer JN. Recent advances in CAR T-cell toxicity: Mechanisms, manifestations and management. </w:t>
      </w:r>
      <w:r w:rsidRPr="00110998">
        <w:rPr>
          <w:rFonts w:ascii="Book Antiqua" w:hAnsi="Book Antiqua"/>
          <w:i/>
          <w:iCs/>
        </w:rPr>
        <w:t>Blood Rev</w:t>
      </w:r>
      <w:r w:rsidRPr="00110998">
        <w:rPr>
          <w:rFonts w:ascii="Book Antiqua" w:hAnsi="Book Antiqua"/>
        </w:rPr>
        <w:t xml:space="preserve"> 2019; </w:t>
      </w:r>
      <w:r w:rsidRPr="00110998">
        <w:rPr>
          <w:rFonts w:ascii="Book Antiqua" w:hAnsi="Book Antiqua"/>
          <w:b/>
          <w:bCs/>
        </w:rPr>
        <w:t>34</w:t>
      </w:r>
      <w:r w:rsidRPr="00110998">
        <w:rPr>
          <w:rFonts w:ascii="Book Antiqua" w:hAnsi="Book Antiqua"/>
        </w:rPr>
        <w:t>: 45-55 [PMID: 30528964 DOI: 10.1016/j.blre.2018.11.002]</w:t>
      </w:r>
    </w:p>
    <w:p w14:paraId="6D50035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95 </w:t>
      </w:r>
      <w:r w:rsidRPr="00110998">
        <w:rPr>
          <w:rFonts w:ascii="Book Antiqua" w:hAnsi="Book Antiqua"/>
          <w:b/>
          <w:bCs/>
        </w:rPr>
        <w:t>Crump M</w:t>
      </w:r>
      <w:r w:rsidRPr="00110998">
        <w:rPr>
          <w:rFonts w:ascii="Book Antiqua" w:hAnsi="Book Antiqua"/>
        </w:rPr>
        <w:t xml:space="preserve">, Neelapu SS, Farooq U, Van Den Neste E, Kuruvilla J, Westin J, Link BK, Hay A, Cerhan JR, Zhu L, Boussetta S, Feng L, Maurer MJ, Navale L, Wiezorek J, Go WY, Gisselbrecht C. Outcomes in refractory diffuse large B-cell lymphoma: results from the international SCHOLAR-1 study.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1800-1808 [PMID: 28774879 DOI: 10.1182/blood-2017-03-769620]</w:t>
      </w:r>
    </w:p>
    <w:p w14:paraId="319C909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96 </w:t>
      </w:r>
      <w:r w:rsidRPr="00110998">
        <w:rPr>
          <w:rFonts w:ascii="Book Antiqua" w:hAnsi="Book Antiqua"/>
          <w:b/>
          <w:bCs/>
        </w:rPr>
        <w:t>Neelapu SS</w:t>
      </w:r>
      <w:r w:rsidRPr="00110998">
        <w:rPr>
          <w:rFonts w:ascii="Book Antiqua" w:hAnsi="Book Antiqua"/>
        </w:rPr>
        <w:t xml:space="preserve">, Locke FL, Bartlett NL, Lekakis LJ, Miklos DB, Jacobson CA, Braunschweig I, Oluwole OO, Siddiqi T, Lin Y, Timmerman JM, Stiff PJ, Friedberg JW, </w:t>
      </w:r>
      <w:r w:rsidRPr="00110998">
        <w:rPr>
          <w:rFonts w:ascii="Book Antiqua" w:hAnsi="Book Antiqua"/>
        </w:rPr>
        <w:lastRenderedPageBreak/>
        <w:t xml:space="preserve">Flinn IW, Goy A, Hill BT, Smith MR, Deol A, Farooq U, McSweeney P, Munoz J, Avivi I, Castro JE, Westin JR, Chavez JC, Ghobadi A, Komanduri KV, Levy R, Jacobsen ED, Witzig TE, Reagan P, Bot A, Rossi J, Navale L, Jiang Y, Aycock J, Elias M, Chang D, Wiezorek J, Go WY. Axicabtagene Ciloleucel CAR T-Cell Therapy in Refractory Large B-Cell Lymphoma.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377</w:t>
      </w:r>
      <w:r w:rsidRPr="00110998">
        <w:rPr>
          <w:rFonts w:ascii="Book Antiqua" w:hAnsi="Book Antiqua"/>
        </w:rPr>
        <w:t>: 2531-2544 [PMID: 29226797 DOI: 10.1056/NEJMoa1707447]</w:t>
      </w:r>
    </w:p>
    <w:p w14:paraId="5E630FF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97 </w:t>
      </w:r>
      <w:r w:rsidRPr="00110998">
        <w:rPr>
          <w:rFonts w:ascii="Book Antiqua" w:hAnsi="Book Antiqua"/>
          <w:b/>
          <w:bCs/>
        </w:rPr>
        <w:t>Schuster SJ</w:t>
      </w:r>
      <w:r w:rsidRPr="00110998">
        <w:rPr>
          <w:rFonts w:ascii="Book Antiqua" w:hAnsi="Book Antiqua"/>
        </w:rPr>
        <w:t xml:space="preserve">, Bishop MR, Tam CS, Waller EK, Borchmann P, McGuirk JP, Jäger U, Jaglowski S, Andreadis C, Westin JR, Fleury I, Bachanova V, Foley SR, Ho PJ, Mielke S, Magenau JM, Holte H, Pantano S, Pacaud LB, Awasthi R, Chu J, Anak Ö, Salles G, Maziarz RT; JULIET Investigators. Tisagenlecleucel in Adult Relapsed or Refractory Diffuse Large B-Cell Lymphoma. </w:t>
      </w:r>
      <w:r w:rsidRPr="00110998">
        <w:rPr>
          <w:rFonts w:ascii="Book Antiqua" w:hAnsi="Book Antiqua"/>
          <w:i/>
          <w:iCs/>
        </w:rPr>
        <w:t>N Engl J Med</w:t>
      </w:r>
      <w:r w:rsidRPr="00110998">
        <w:rPr>
          <w:rFonts w:ascii="Book Antiqua" w:hAnsi="Book Antiqua"/>
        </w:rPr>
        <w:t xml:space="preserve"> 2019; </w:t>
      </w:r>
      <w:r w:rsidRPr="00110998">
        <w:rPr>
          <w:rFonts w:ascii="Book Antiqua" w:hAnsi="Book Antiqua"/>
          <w:b/>
          <w:bCs/>
        </w:rPr>
        <w:t>380</w:t>
      </w:r>
      <w:r w:rsidRPr="00110998">
        <w:rPr>
          <w:rFonts w:ascii="Book Antiqua" w:hAnsi="Book Antiqua"/>
        </w:rPr>
        <w:t>: 45-56 [PMID: 30501490 DOI: 10.1056/NEJMoa1804980]</w:t>
      </w:r>
    </w:p>
    <w:p w14:paraId="1968A29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98 </w:t>
      </w:r>
      <w:r w:rsidRPr="00110998">
        <w:rPr>
          <w:rFonts w:ascii="Book Antiqua" w:hAnsi="Book Antiqua"/>
          <w:b/>
          <w:bCs/>
        </w:rPr>
        <w:t>Abramson JS</w:t>
      </w:r>
      <w:r w:rsidRPr="00110998">
        <w:rPr>
          <w:rFonts w:ascii="Book Antiqua" w:hAnsi="Book Antiqua"/>
        </w:rPr>
        <w:t xml:space="preserve">, Palomba ML, Gordon LI, Lunning MA, Wang M, Arnason J, Mehta A, Purev E, Maloney DG, Andreadis C, Sehgal A, Solomon SR, Ghosh N, Albertson TM, Garcia J, Kostic A, Mallaney M, Ogasawara K, Newhall K, Kim Y, Li D, Siddiqi T. Lisocabtagene maraleucel for patients with relapsed or refractory large B-cell lymphomas (TRANSCEND NHL 001): a multicentre seamless design study. </w:t>
      </w:r>
      <w:r w:rsidRPr="00110998">
        <w:rPr>
          <w:rFonts w:ascii="Book Antiqua" w:hAnsi="Book Antiqua"/>
          <w:i/>
          <w:iCs/>
        </w:rPr>
        <w:t>Lancet</w:t>
      </w:r>
      <w:r w:rsidRPr="00110998">
        <w:rPr>
          <w:rFonts w:ascii="Book Antiqua" w:hAnsi="Book Antiqua"/>
        </w:rPr>
        <w:t xml:space="preserve"> 2020; </w:t>
      </w:r>
      <w:r w:rsidRPr="00110998">
        <w:rPr>
          <w:rFonts w:ascii="Book Antiqua" w:hAnsi="Book Antiqua"/>
          <w:b/>
          <w:bCs/>
        </w:rPr>
        <w:t>396</w:t>
      </w:r>
      <w:r w:rsidRPr="00110998">
        <w:rPr>
          <w:rFonts w:ascii="Book Antiqua" w:hAnsi="Book Antiqua"/>
        </w:rPr>
        <w:t>: 839-852 [PMID: 32888407 DOI: 10.1016/S0140-6736(20)31366-0]</w:t>
      </w:r>
    </w:p>
    <w:p w14:paraId="5E33551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99 </w:t>
      </w:r>
      <w:r w:rsidRPr="00110998">
        <w:rPr>
          <w:rFonts w:ascii="Book Antiqua" w:hAnsi="Book Antiqua"/>
          <w:b/>
          <w:bCs/>
        </w:rPr>
        <w:t>Wang M</w:t>
      </w:r>
      <w:r w:rsidRPr="00110998">
        <w:rPr>
          <w:rFonts w:ascii="Book Antiqua" w:hAnsi="Book Antiqua"/>
        </w:rPr>
        <w:t xml:space="preserve">, Munoz J, Goy A, Locke FL, Jacobson CA, Hill BT, Timmerman JM, Holmes H, Jaglowski S, Flinn IW, McSweeney PA, Miklos DB, Pagel JM, Kersten MJ, Milpied N, Fung H, Topp MS, Houot R, Beitinjaneh A, Peng W, Zheng L, Rossi JM, Jain RK, Rao AV, Reagan PM. KTE-X19 CAR T-Cell Therapy in Relapsed or Refractory Mantle-Cell Lymphoma. </w:t>
      </w:r>
      <w:r w:rsidRPr="00110998">
        <w:rPr>
          <w:rFonts w:ascii="Book Antiqua" w:hAnsi="Book Antiqua"/>
          <w:i/>
          <w:iCs/>
        </w:rPr>
        <w:t>N Engl J Med</w:t>
      </w:r>
      <w:r w:rsidRPr="00110998">
        <w:rPr>
          <w:rFonts w:ascii="Book Antiqua" w:hAnsi="Book Antiqua"/>
        </w:rPr>
        <w:t xml:space="preserve"> 2020; </w:t>
      </w:r>
      <w:r w:rsidRPr="00110998">
        <w:rPr>
          <w:rFonts w:ascii="Book Antiqua" w:hAnsi="Book Antiqua"/>
          <w:b/>
          <w:bCs/>
        </w:rPr>
        <w:t>382</w:t>
      </w:r>
      <w:r w:rsidRPr="00110998">
        <w:rPr>
          <w:rFonts w:ascii="Book Antiqua" w:hAnsi="Book Antiqua"/>
        </w:rPr>
        <w:t>: 1331-1342 [PMID: 32242358 DOI: 10.1056/NEJMoa1914347]</w:t>
      </w:r>
    </w:p>
    <w:p w14:paraId="725487C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100 </w:t>
      </w:r>
      <w:r w:rsidRPr="00110998">
        <w:rPr>
          <w:rFonts w:ascii="Book Antiqua" w:hAnsi="Book Antiqua"/>
          <w:b/>
          <w:bCs/>
        </w:rPr>
        <w:t>Porter DL</w:t>
      </w:r>
      <w:r w:rsidRPr="00110998">
        <w:rPr>
          <w:rFonts w:ascii="Book Antiqua" w:hAnsi="Book Antiqua"/>
        </w:rPr>
        <w:t xml:space="preserve">, Hwang WT, Frey NV, Lacey SF, Shaw PA, Loren AW, Bagg A, Marcucci KT, Shen A, Gonzalez V, Ambrose D, Grupp SA, Chew A, Zheng Z, Milone MC, Levine BL, Melenhorst JJ, June CH. Chimeric antigen receptor T cells persist and induce sustained remissions in relapsed refractory chronic lymphocytic leukemia. </w:t>
      </w:r>
      <w:r w:rsidRPr="00110998">
        <w:rPr>
          <w:rFonts w:ascii="Book Antiqua" w:hAnsi="Book Antiqua"/>
          <w:i/>
          <w:iCs/>
        </w:rPr>
        <w:t>Sci Transl Med</w:t>
      </w:r>
      <w:r w:rsidRPr="00110998">
        <w:rPr>
          <w:rFonts w:ascii="Book Antiqua" w:hAnsi="Book Antiqua"/>
        </w:rPr>
        <w:t xml:space="preserve"> 2015; </w:t>
      </w:r>
      <w:r w:rsidRPr="00110998">
        <w:rPr>
          <w:rFonts w:ascii="Book Antiqua" w:hAnsi="Book Antiqua"/>
          <w:b/>
          <w:bCs/>
        </w:rPr>
        <w:t>7</w:t>
      </w:r>
      <w:r w:rsidRPr="00110998">
        <w:rPr>
          <w:rFonts w:ascii="Book Antiqua" w:hAnsi="Book Antiqua"/>
        </w:rPr>
        <w:t>: 303ra139 [PMID: 26333935 DOI: 10.1126/scitranslmed.aac5415]</w:t>
      </w:r>
    </w:p>
    <w:p w14:paraId="2FE9EC7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101 </w:t>
      </w:r>
      <w:r w:rsidRPr="00110998">
        <w:rPr>
          <w:rFonts w:ascii="Book Antiqua" w:hAnsi="Book Antiqua"/>
          <w:b/>
          <w:bCs/>
        </w:rPr>
        <w:t>Siddiqi T</w:t>
      </w:r>
      <w:r w:rsidRPr="00110998">
        <w:rPr>
          <w:rFonts w:ascii="Book Antiqua" w:hAnsi="Book Antiqua"/>
        </w:rPr>
        <w:t xml:space="preserve">, Soumerai J, Dorritie K, Stephens D, Riedell P, Arnason J, Kipps T, Gillenwater H, Gong L, Dubovsky J, Rytlewski J, Yang L, Wierda W. Rapid Undetectable MRD (uMRD) Responses in Patients with Relapsed/Refractory (R/R) Chronic Lymphocytic Leukemia/Small Lymphocytic Lymphoma (CLL/SLL) Treated with Lisocabtagene Maraleucel (liso-cel), a CD19-Directed CAR T Cell Product: Updated Results from Transcend CLL 004, a Phase 1/2 Study Including Patients with High-Risk Disease Previously Treated with Ibrutinib. </w:t>
      </w:r>
      <w:r w:rsidRPr="00110998">
        <w:rPr>
          <w:rFonts w:ascii="Book Antiqua" w:hAnsi="Book Antiqua"/>
          <w:i/>
        </w:rPr>
        <w:t xml:space="preserve">Blood </w:t>
      </w:r>
      <w:r w:rsidRPr="00110998">
        <w:rPr>
          <w:rFonts w:ascii="Book Antiqua" w:hAnsi="Book Antiqua"/>
        </w:rPr>
        <w:t>2019;</w:t>
      </w:r>
      <w:r w:rsidRPr="00110998">
        <w:rPr>
          <w:rFonts w:ascii="Book Antiqua" w:hAnsi="Book Antiqua"/>
          <w:b/>
        </w:rPr>
        <w:t xml:space="preserve"> 134</w:t>
      </w:r>
      <w:r w:rsidRPr="00110998">
        <w:rPr>
          <w:rFonts w:ascii="Book Antiqua" w:hAnsi="Book Antiqua"/>
        </w:rPr>
        <w:t>: 503 [DOI: 10.1182/blood-2019-127603]</w:t>
      </w:r>
    </w:p>
    <w:p w14:paraId="3C22090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102 </w:t>
      </w:r>
      <w:r w:rsidRPr="00110998">
        <w:rPr>
          <w:rFonts w:ascii="Book Antiqua" w:hAnsi="Book Antiqua"/>
          <w:b/>
          <w:bCs/>
        </w:rPr>
        <w:t>Jacobson C</w:t>
      </w:r>
      <w:r w:rsidRPr="00110998">
        <w:rPr>
          <w:rFonts w:ascii="Book Antiqua" w:hAnsi="Book Antiqua"/>
        </w:rPr>
        <w:t xml:space="preserve">, Chavez J, Sehgal A, William B, Munoz J, Salles G, Casulo C, Munshi P, Maloney D, Vos S, Reshef R, Leslie L, Yakoub-Agha I, Oluwole O, Fung H, PlaksV, Yang Y, Lee J, Avanzi M, Neelapu SS. Interim analysis of ZUMA-5: A phase II study of axicabtagene ciloleucel (axi-cel) in patients (pts) with relapsed/refractory indolent non-Hodgkin lymphoma (R/R iNHL). </w:t>
      </w:r>
      <w:r w:rsidRPr="00110998">
        <w:rPr>
          <w:rFonts w:ascii="Book Antiqua" w:hAnsi="Book Antiqua"/>
          <w:i/>
        </w:rPr>
        <w:t>J Clin Oncol</w:t>
      </w:r>
      <w:r w:rsidRPr="00110998">
        <w:rPr>
          <w:rFonts w:ascii="Book Antiqua" w:hAnsi="Book Antiqua"/>
        </w:rPr>
        <w:t xml:space="preserve"> 2020 </w:t>
      </w:r>
      <w:r w:rsidRPr="00110998">
        <w:rPr>
          <w:rFonts w:ascii="Book Antiqua" w:hAnsi="Book Antiqua"/>
          <w:b/>
        </w:rPr>
        <w:t>38</w:t>
      </w:r>
      <w:r w:rsidRPr="00110998">
        <w:rPr>
          <w:rFonts w:ascii="Book Antiqua" w:hAnsi="Book Antiqua"/>
        </w:rPr>
        <w:t>: 8008-8008 [DOI: 10.1200/JCO.2020.38.15_suppl.8008]</w:t>
      </w:r>
    </w:p>
    <w:p w14:paraId="00C0D29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103 </w:t>
      </w:r>
      <w:r w:rsidRPr="00110998">
        <w:rPr>
          <w:rFonts w:ascii="Book Antiqua" w:hAnsi="Book Antiqua"/>
          <w:b/>
          <w:bCs/>
        </w:rPr>
        <w:t>Bollard CM</w:t>
      </w:r>
      <w:r w:rsidRPr="00110998">
        <w:rPr>
          <w:rFonts w:ascii="Book Antiqua" w:hAnsi="Book Antiqua"/>
        </w:rPr>
        <w:t xml:space="preserve">, Gottschalk S, Torrano V, Diouf O, Ku S, Hazrat Y, Carrum G, Ramos C, Fayad L, Shpall EJ, Pro B, Liu H, Wu MF, Lee D, Sheehan AM, Zu Y, Gee AP, Brenner MK, Heslop HE, Rooney CM. Sustained complete responses in patients with lymphoma receiving autologous cytotoxic T lymphocytes targeting Epstein-Barr virus latent membrane proteins. </w:t>
      </w:r>
      <w:r w:rsidRPr="00110998">
        <w:rPr>
          <w:rFonts w:ascii="Book Antiqua" w:hAnsi="Book Antiqua"/>
          <w:i/>
          <w:iCs/>
        </w:rPr>
        <w:t>J Clin Oncol</w:t>
      </w:r>
      <w:r w:rsidRPr="00110998">
        <w:rPr>
          <w:rFonts w:ascii="Book Antiqua" w:hAnsi="Book Antiqua"/>
        </w:rPr>
        <w:t xml:space="preserve"> 2014; </w:t>
      </w:r>
      <w:r w:rsidRPr="00110998">
        <w:rPr>
          <w:rFonts w:ascii="Book Antiqua" w:hAnsi="Book Antiqua"/>
          <w:b/>
          <w:bCs/>
        </w:rPr>
        <w:t>32</w:t>
      </w:r>
      <w:r w:rsidRPr="00110998">
        <w:rPr>
          <w:rFonts w:ascii="Book Antiqua" w:hAnsi="Book Antiqua"/>
        </w:rPr>
        <w:t>: 798-808 [PMID: 24344220 DOI: 10.1200/JCO.2013.51.5304]</w:t>
      </w:r>
    </w:p>
    <w:p w14:paraId="005BD98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104 </w:t>
      </w:r>
      <w:r w:rsidRPr="00110998">
        <w:rPr>
          <w:rFonts w:ascii="Book Antiqua" w:hAnsi="Book Antiqua"/>
          <w:b/>
          <w:bCs/>
        </w:rPr>
        <w:t>Prockop S</w:t>
      </w:r>
      <w:r w:rsidRPr="00110998">
        <w:rPr>
          <w:rFonts w:ascii="Book Antiqua" w:hAnsi="Book Antiqua"/>
        </w:rPr>
        <w:t xml:space="preserve">, Doubrovina E, Suser S, Heller G, Barker J, Dahi P, Perales MA, Papadopoulos E, Sauter C, Castro-Malaspina H, Boulad F, Curran KJ, Giralt S, Gyurkocza B, Hsu KC, Jakubowski A, Hanash AM, Kernan NA, Kobos R, Koehne G, Landau H, Ponce D, Spitzer B, Young JW, Behr G, Dunphy M, Haque S, Teruya-Feldstein J, Arcila M, Moung C, Hsu S, Hasan A, O'Reilly RJ. Off-the-shelf EBV-specific T cell immunotherapy for rituximab-refractory EBV-associated lymphoma following transplantation. </w:t>
      </w:r>
      <w:r w:rsidRPr="00110998">
        <w:rPr>
          <w:rFonts w:ascii="Book Antiqua" w:hAnsi="Book Antiqua"/>
          <w:i/>
          <w:iCs/>
        </w:rPr>
        <w:t>J Clin Invest</w:t>
      </w:r>
      <w:r w:rsidRPr="00110998">
        <w:rPr>
          <w:rFonts w:ascii="Book Antiqua" w:hAnsi="Book Antiqua"/>
        </w:rPr>
        <w:t xml:space="preserve"> 2020; </w:t>
      </w:r>
      <w:r w:rsidRPr="00110998">
        <w:rPr>
          <w:rFonts w:ascii="Book Antiqua" w:hAnsi="Book Antiqua"/>
          <w:b/>
          <w:bCs/>
        </w:rPr>
        <w:t>130</w:t>
      </w:r>
      <w:r w:rsidRPr="00110998">
        <w:rPr>
          <w:rFonts w:ascii="Book Antiqua" w:hAnsi="Book Antiqua"/>
        </w:rPr>
        <w:t>: 733-747 [PMID: 31689242 DOI: 10.1172/JCI121127]</w:t>
      </w:r>
    </w:p>
    <w:p w14:paraId="5EB4CE6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105 </w:t>
      </w:r>
      <w:r w:rsidRPr="00110998">
        <w:rPr>
          <w:rFonts w:ascii="Book Antiqua" w:hAnsi="Book Antiqua"/>
          <w:b/>
          <w:bCs/>
        </w:rPr>
        <w:t>Nastoupil LJ</w:t>
      </w:r>
      <w:r w:rsidRPr="00110998">
        <w:rPr>
          <w:rFonts w:ascii="Book Antiqua" w:hAnsi="Book Antiqua"/>
        </w:rPr>
        <w:t xml:space="preserve">, Jain MD, Feng L, Spiegel JY, Ghobadi A, Lin Y, Dahiya S, Lunning M, Lekakis L, Reagan P, Oluwole O, McGuirk J, Deol A, Sehgal AR, Goy A, Hill BT, Vu K, Andreadis C, Munoz J, Westin J, Chavez JC, Cashen A, Bennani NN, Rapoport AP, Vose JM, Miklos DB, Neelapu SS, Locke FL. Standard-of-Care Axicabtagene Ciloleucel for Relapsed or Refractory Large B-Cell Lymphoma: Results From the US Lymphoma CAR T Consortium.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3119-3128 [PMID: 32401634 DOI: 10.1200/JCO.19.02104]</w:t>
      </w:r>
    </w:p>
    <w:p w14:paraId="595E6FB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106 </w:t>
      </w:r>
      <w:r w:rsidRPr="00110998">
        <w:rPr>
          <w:rFonts w:ascii="Book Antiqua" w:hAnsi="Book Antiqua"/>
          <w:b/>
          <w:bCs/>
        </w:rPr>
        <w:t>Lee DW</w:t>
      </w:r>
      <w:r w:rsidRPr="00110998">
        <w:rPr>
          <w:rFonts w:ascii="Book Antiqua" w:hAnsi="Book Antiqua"/>
        </w:rPr>
        <w:t xml:space="preserve">, Santomasso BD, Locke FL, Ghobadi A, Turtle CJ, Brudno JN, Maus MV, Park JH, Mead E, Pavletic S, Go WY, Eldjerou L, Gardner RA, Frey N, Curran KJ, Peggs K, Pasquini M, DiPersio JF, van den Brink MRM, Komanduri KV, Grupp SA, Neelapu SS. ASTCT Consensus Grading for Cytokine Release Syndrome and Neurologic Toxicity Associated with Immune Effector Cells. </w:t>
      </w:r>
      <w:r w:rsidRPr="00110998">
        <w:rPr>
          <w:rFonts w:ascii="Book Antiqua" w:hAnsi="Book Antiqua"/>
          <w:i/>
          <w:iCs/>
        </w:rPr>
        <w:t>Biol Blood Marrow Transplant</w:t>
      </w:r>
      <w:r w:rsidRPr="00110998">
        <w:rPr>
          <w:rFonts w:ascii="Book Antiqua" w:hAnsi="Book Antiqua"/>
        </w:rPr>
        <w:t xml:space="preserve"> 2019; </w:t>
      </w:r>
      <w:r w:rsidRPr="00110998">
        <w:rPr>
          <w:rFonts w:ascii="Book Antiqua" w:hAnsi="Book Antiqua"/>
          <w:b/>
          <w:bCs/>
        </w:rPr>
        <w:t>25</w:t>
      </w:r>
      <w:r w:rsidRPr="00110998">
        <w:rPr>
          <w:rFonts w:ascii="Book Antiqua" w:hAnsi="Book Antiqua"/>
        </w:rPr>
        <w:t>: 625-638 [PMID: 30592986 DOI: 10.1016/j.bbmt.2018.12.758]</w:t>
      </w:r>
    </w:p>
    <w:p w14:paraId="16F1637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107 </w:t>
      </w:r>
      <w:r w:rsidRPr="00110998">
        <w:rPr>
          <w:rFonts w:ascii="Book Antiqua" w:hAnsi="Book Antiqua"/>
          <w:b/>
          <w:bCs/>
        </w:rPr>
        <w:t>Brudno JN</w:t>
      </w:r>
      <w:r w:rsidRPr="00110998">
        <w:rPr>
          <w:rFonts w:ascii="Book Antiqua" w:hAnsi="Book Antiqua"/>
        </w:rPr>
        <w:t xml:space="preserve">, Kochenderfer JN. Toxicities of chimeric antigen receptor T cells: recognition and management.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3321-3330 [PMID: 27207799 DOI: 10.1182/blood-2016-04-703751]</w:t>
      </w:r>
    </w:p>
    <w:p w14:paraId="4582138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108 </w:t>
      </w:r>
      <w:r w:rsidRPr="00110998">
        <w:rPr>
          <w:rFonts w:ascii="Book Antiqua" w:hAnsi="Book Antiqua"/>
          <w:b/>
          <w:bCs/>
        </w:rPr>
        <w:t>Rouce RH</w:t>
      </w:r>
      <w:r w:rsidRPr="00110998">
        <w:rPr>
          <w:rFonts w:ascii="Book Antiqua" w:hAnsi="Book Antiqua"/>
        </w:rPr>
        <w:t xml:space="preserve">. The earlier the better: timely mitigation of CRS. </w:t>
      </w:r>
      <w:r w:rsidRPr="00110998">
        <w:rPr>
          <w:rFonts w:ascii="Book Antiqua" w:hAnsi="Book Antiqua"/>
          <w:i/>
          <w:iCs/>
        </w:rPr>
        <w:t>Blood</w:t>
      </w:r>
      <w:r w:rsidRPr="00110998">
        <w:rPr>
          <w:rFonts w:ascii="Book Antiqua" w:hAnsi="Book Antiqua"/>
        </w:rPr>
        <w:t xml:space="preserve"> 2019; </w:t>
      </w:r>
      <w:r w:rsidRPr="00110998">
        <w:rPr>
          <w:rFonts w:ascii="Book Antiqua" w:hAnsi="Book Antiqua"/>
          <w:b/>
          <w:bCs/>
        </w:rPr>
        <w:t>134</w:t>
      </w:r>
      <w:r w:rsidRPr="00110998">
        <w:rPr>
          <w:rFonts w:ascii="Book Antiqua" w:hAnsi="Book Antiqua"/>
        </w:rPr>
        <w:t>: 2119-2120 [PMID: 31830277 DOI: 10.1182/blood.2019003618]</w:t>
      </w:r>
    </w:p>
    <w:p w14:paraId="2A34754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109 </w:t>
      </w:r>
      <w:r w:rsidRPr="00110998">
        <w:rPr>
          <w:rFonts w:ascii="Book Antiqua" w:hAnsi="Book Antiqua"/>
          <w:b/>
          <w:bCs/>
        </w:rPr>
        <w:t>Gardner RA</w:t>
      </w:r>
      <w:r w:rsidRPr="00110998">
        <w:rPr>
          <w:rFonts w:ascii="Book Antiqua" w:hAnsi="Book Antiqua"/>
        </w:rPr>
        <w:t xml:space="preserve">, Ceppi F, Rivers J, Annesley C, Summers C, Taraseviciute A, Gust J, Leger KJ, Tarlock K, Cooper TM, Finney OC, Brakke H, Li DH, Park JR, Jensen MC. Preemptive mitigation of CD19 CAR T-cell cytokine release syndrome without attenuation of antileukemic efficacy. </w:t>
      </w:r>
      <w:r w:rsidRPr="00110998">
        <w:rPr>
          <w:rFonts w:ascii="Book Antiqua" w:hAnsi="Book Antiqua"/>
          <w:i/>
          <w:iCs/>
        </w:rPr>
        <w:t>Blood</w:t>
      </w:r>
      <w:r w:rsidRPr="00110998">
        <w:rPr>
          <w:rFonts w:ascii="Book Antiqua" w:hAnsi="Book Antiqua"/>
        </w:rPr>
        <w:t xml:space="preserve"> 2019; </w:t>
      </w:r>
      <w:r w:rsidRPr="00110998">
        <w:rPr>
          <w:rFonts w:ascii="Book Antiqua" w:hAnsi="Book Antiqua"/>
          <w:b/>
          <w:bCs/>
        </w:rPr>
        <w:t>134</w:t>
      </w:r>
      <w:r w:rsidRPr="00110998">
        <w:rPr>
          <w:rFonts w:ascii="Book Antiqua" w:hAnsi="Book Antiqua"/>
        </w:rPr>
        <w:t>: 2149-2158 [PMID: 31697826 DOI: 10.1182/blood.2019001463]</w:t>
      </w:r>
    </w:p>
    <w:p w14:paraId="39838D4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110 </w:t>
      </w:r>
      <w:r w:rsidRPr="00110998">
        <w:rPr>
          <w:rFonts w:ascii="Book Antiqua" w:hAnsi="Book Antiqua"/>
          <w:b/>
          <w:bCs/>
        </w:rPr>
        <w:t>Popovic M,</w:t>
      </w:r>
      <w:r w:rsidRPr="00110998">
        <w:rPr>
          <w:rFonts w:ascii="Book Antiqua" w:hAnsi="Book Antiqua"/>
        </w:rPr>
        <w:t xml:space="preserve"> Matovina-Brko G, Petrovic D, Vranjkovic B, Radic J, Popovic L. Prognostic value of Age-Adjusted International Prognostic Index in patients with relapsed or refractory Diffuse Large B-Cell Lymphoma- a single centre experience. </w:t>
      </w:r>
      <w:r w:rsidRPr="00110998">
        <w:rPr>
          <w:rFonts w:ascii="Book Antiqua" w:hAnsi="Book Antiqua"/>
          <w:i/>
        </w:rPr>
        <w:t>Med Pregl</w:t>
      </w:r>
      <w:r w:rsidRPr="00110998">
        <w:rPr>
          <w:rFonts w:ascii="Book Antiqua" w:hAnsi="Book Antiqua"/>
        </w:rPr>
        <w:t xml:space="preserve"> 2019; </w:t>
      </w:r>
      <w:r w:rsidRPr="00110998">
        <w:rPr>
          <w:rFonts w:ascii="Book Antiqua" w:hAnsi="Book Antiqua"/>
          <w:b/>
        </w:rPr>
        <w:t>72</w:t>
      </w:r>
      <w:r w:rsidRPr="00110998">
        <w:rPr>
          <w:rFonts w:ascii="Book Antiqua" w:hAnsi="Book Antiqua"/>
        </w:rPr>
        <w:t>: 25-29 [DOI: 10.2298/MPNS1902025P]</w:t>
      </w:r>
    </w:p>
    <w:p w14:paraId="06CF4232" w14:textId="7F18A348"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111 </w:t>
      </w:r>
      <w:r w:rsidRPr="00110998">
        <w:rPr>
          <w:rFonts w:ascii="Book Antiqua" w:hAnsi="Book Antiqua"/>
          <w:b/>
          <w:highlight w:val="yellow"/>
        </w:rPr>
        <w:t>ClinicalTrials.gov</w:t>
      </w:r>
      <w:r w:rsidRPr="00110998">
        <w:rPr>
          <w:rFonts w:ascii="Book Antiqua" w:hAnsi="Book Antiqua"/>
          <w:bCs/>
          <w:highlight w:val="yellow"/>
        </w:rPr>
        <w:t xml:space="preserve">. </w:t>
      </w:r>
      <w:r w:rsidRPr="00110998">
        <w:rPr>
          <w:rFonts w:ascii="Book Antiqua" w:hAnsi="Book Antiqua"/>
          <w:highlight w:val="yellow"/>
        </w:rPr>
        <w:t xml:space="preserve">Efficacy of Axicabtagene Ciloleucel Compared to Standard of Care Therapy in Subjects With Relapsed/Refractory Diffuse Large B Cell Lymphoma </w:t>
      </w:r>
      <w:r w:rsidRPr="00110998">
        <w:rPr>
          <w:rFonts w:ascii="Book Antiqua" w:hAnsi="Book Antiqua"/>
          <w:highlight w:val="yellow"/>
        </w:rPr>
        <w:lastRenderedPageBreak/>
        <w:t xml:space="preserve">(ZUMA-7). [accessed January 23, 2021]. In: ClinicalTrials.gov [Internet]. Available from: </w:t>
      </w:r>
      <w:hyperlink r:id="rId14" w:history="1">
        <w:r w:rsidRPr="00110998">
          <w:rPr>
            <w:rStyle w:val="Hyperlink"/>
            <w:rFonts w:ascii="Book Antiqua" w:hAnsi="Book Antiqua"/>
            <w:highlight w:val="yellow"/>
          </w:rPr>
          <w:t>https://clinicaltrials.gov/ct2/show/NCT03391466</w:t>
        </w:r>
      </w:hyperlink>
      <w:r w:rsidR="001E0F5F" w:rsidRPr="00110998">
        <w:rPr>
          <w:rStyle w:val="Hyperlink"/>
          <w:rFonts w:ascii="Book Antiqua" w:hAnsi="Book Antiqua"/>
        </w:rPr>
        <w:t xml:space="preserve"> </w:t>
      </w:r>
      <w:r w:rsidR="001E0F5F" w:rsidRPr="00110998">
        <w:rPr>
          <w:rFonts w:ascii="Book Antiqua" w:hAnsi="Book Antiqua"/>
          <w:highlight w:val="yellow"/>
        </w:rPr>
        <w:t>ClinicalTrials.gov Identifier: NCT03391466</w:t>
      </w:r>
    </w:p>
    <w:p w14:paraId="582B3F7F" w14:textId="797D9506" w:rsidR="00E34410" w:rsidRPr="00110998" w:rsidRDefault="00E34410">
      <w:pPr>
        <w:snapToGrid w:val="0"/>
        <w:spacing w:line="360" w:lineRule="auto"/>
        <w:jc w:val="both"/>
        <w:rPr>
          <w:rFonts w:ascii="Book Antiqua" w:hAnsi="Book Antiqua"/>
          <w:highlight w:val="yellow"/>
        </w:rPr>
      </w:pPr>
      <w:r w:rsidRPr="00110998">
        <w:rPr>
          <w:rFonts w:ascii="Book Antiqua" w:hAnsi="Book Antiqua"/>
          <w:highlight w:val="yellow"/>
        </w:rPr>
        <w:t xml:space="preserve">112 </w:t>
      </w:r>
      <w:r w:rsidRPr="00110998">
        <w:rPr>
          <w:rFonts w:ascii="Book Antiqua" w:hAnsi="Book Antiqua"/>
          <w:b/>
          <w:highlight w:val="yellow"/>
        </w:rPr>
        <w:t>ClinicalTrials.gov</w:t>
      </w:r>
      <w:r w:rsidRPr="00110998">
        <w:rPr>
          <w:rFonts w:ascii="Book Antiqua" w:hAnsi="Book Antiqua"/>
          <w:bCs/>
          <w:highlight w:val="yellow"/>
        </w:rPr>
        <w:t xml:space="preserve">. </w:t>
      </w:r>
      <w:r w:rsidRPr="00110998">
        <w:rPr>
          <w:rFonts w:ascii="Book Antiqua" w:hAnsi="Book Antiqua"/>
          <w:highlight w:val="yellow"/>
        </w:rPr>
        <w:t xml:space="preserve">Tisagenlecleucel in Adult Patients With Aggressive B-cell Non-Hodgkin Lymphoma (BELINDA). [accessed January 10, 2021]. In: ClinicalTrials.gov [Internet]. Available from: </w:t>
      </w:r>
      <w:hyperlink r:id="rId15" w:history="1">
        <w:r w:rsidRPr="00110998">
          <w:rPr>
            <w:rStyle w:val="Hyperlink"/>
            <w:rFonts w:ascii="Book Antiqua" w:hAnsi="Book Antiqua"/>
            <w:highlight w:val="yellow"/>
          </w:rPr>
          <w:t>https://clinicaltrials.gov/ct2/show/NCT03570892</w:t>
        </w:r>
      </w:hyperlink>
      <w:r w:rsidR="001E0F5F" w:rsidRPr="00110998">
        <w:rPr>
          <w:rStyle w:val="Hyperlink"/>
          <w:rFonts w:ascii="Book Antiqua" w:hAnsi="Book Antiqua"/>
          <w:highlight w:val="yellow"/>
        </w:rPr>
        <w:t xml:space="preserve"> </w:t>
      </w:r>
      <w:r w:rsidR="001E0F5F" w:rsidRPr="00110998">
        <w:rPr>
          <w:rFonts w:ascii="Book Antiqua" w:hAnsi="Book Antiqua"/>
          <w:highlight w:val="yellow"/>
        </w:rPr>
        <w:t>ClinicalTrials.gov Identifier: NCT03570892</w:t>
      </w:r>
    </w:p>
    <w:p w14:paraId="14DBE23F" w14:textId="05B482D5" w:rsidR="008E7812" w:rsidRPr="00110998" w:rsidRDefault="00E34410">
      <w:pPr>
        <w:snapToGrid w:val="0"/>
        <w:spacing w:line="360" w:lineRule="auto"/>
        <w:jc w:val="both"/>
        <w:rPr>
          <w:rFonts w:ascii="Book Antiqua" w:hAnsi="Book Antiqua"/>
        </w:rPr>
        <w:sectPr w:rsidR="008E7812" w:rsidRPr="00110998" w:rsidSect="002A3988">
          <w:pgSz w:w="12240" w:h="15840"/>
          <w:pgMar w:top="1554" w:right="1497" w:bottom="1554" w:left="1497" w:header="720" w:footer="720" w:gutter="0"/>
          <w:cols w:space="720"/>
          <w:docGrid w:linePitch="360"/>
        </w:sectPr>
      </w:pPr>
      <w:r w:rsidRPr="00110998">
        <w:rPr>
          <w:rFonts w:ascii="Book Antiqua" w:hAnsi="Book Antiqua"/>
          <w:highlight w:val="yellow"/>
        </w:rPr>
        <w:t xml:space="preserve">113 </w:t>
      </w:r>
      <w:r w:rsidRPr="00110998">
        <w:rPr>
          <w:rFonts w:ascii="Book Antiqua" w:hAnsi="Book Antiqua"/>
          <w:b/>
          <w:highlight w:val="yellow"/>
        </w:rPr>
        <w:t>ClinicalTrials.gov</w:t>
      </w:r>
      <w:r w:rsidRPr="00110998">
        <w:rPr>
          <w:rFonts w:ascii="Book Antiqua" w:hAnsi="Book Antiqua"/>
          <w:bCs/>
          <w:highlight w:val="yellow"/>
        </w:rPr>
        <w:t>. A Study to Compare the Efficacy and Safety of JCAR017 to Standard of Care in Adult Subjects With High-risk,</w:t>
      </w:r>
      <w:r w:rsidRPr="00110998">
        <w:rPr>
          <w:rFonts w:ascii="Book Antiqua" w:hAnsi="Book Antiqua"/>
          <w:highlight w:val="yellow"/>
        </w:rPr>
        <w:t xml:space="preserve"> Transplant-eligible Relapsed or Refractory Aggressive B-cell Non-Hodgkin Lymphomas (TRANSFORM). [accessed January 24, 2021]. In: ClinicalTrials.gov [Internet]. Available from: </w:t>
      </w:r>
      <w:hyperlink r:id="rId16" w:history="1">
        <w:r w:rsidRPr="00110998">
          <w:rPr>
            <w:rStyle w:val="Hyperlink"/>
            <w:rFonts w:ascii="Book Antiqua" w:hAnsi="Book Antiqua"/>
            <w:highlight w:val="yellow"/>
          </w:rPr>
          <w:t>https://clinicaltrials.gov/ct2/show/NCT03575351</w:t>
        </w:r>
      </w:hyperlink>
      <w:bookmarkEnd w:id="0"/>
      <w:r w:rsidR="001E0F5F" w:rsidRPr="00110998">
        <w:rPr>
          <w:rFonts w:ascii="Book Antiqua" w:hAnsi="Book Antiqua"/>
          <w:lang w:eastAsia="zh-CN"/>
        </w:rPr>
        <w:t xml:space="preserve"> </w:t>
      </w:r>
      <w:r w:rsidR="001E0F5F" w:rsidRPr="00110998">
        <w:rPr>
          <w:rFonts w:ascii="Book Antiqua" w:hAnsi="Book Antiqua"/>
          <w:highlight w:val="yellow"/>
        </w:rPr>
        <w:t>ClinicalTrials.gov Identifier: NCT03575351</w:t>
      </w:r>
    </w:p>
    <w:p w14:paraId="52833931"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lastRenderedPageBreak/>
        <w:t>Footnotes</w:t>
      </w:r>
    </w:p>
    <w:p w14:paraId="0F35F062" w14:textId="255F28A4" w:rsidR="008E7812" w:rsidRPr="00110998" w:rsidRDefault="008E2E22">
      <w:pPr>
        <w:snapToGrid w:val="0"/>
        <w:spacing w:line="360" w:lineRule="auto"/>
        <w:jc w:val="both"/>
      </w:pPr>
      <w:r w:rsidRPr="00110998">
        <w:rPr>
          <w:rFonts w:ascii="Book Antiqua" w:eastAsia="Book Antiqua" w:hAnsi="Book Antiqua" w:cs="Book Antiqua"/>
          <w:b/>
          <w:bCs/>
          <w:color w:val="000000"/>
        </w:rPr>
        <w:t>Conflict-of-interest statement:</w:t>
      </w:r>
      <w:r w:rsidRPr="00025A53">
        <w:rPr>
          <w:rFonts w:ascii="Book Antiqua" w:eastAsia="Book Antiqua" w:hAnsi="Book Antiqua" w:cs="Book Antiqua"/>
          <w:color w:val="000000"/>
        </w:rPr>
        <w:t xml:space="preserve"> </w:t>
      </w:r>
      <w:r w:rsidR="00044FAE" w:rsidRPr="00025A53">
        <w:rPr>
          <w:rFonts w:ascii="Book Antiqua" w:eastAsia="Book Antiqua" w:hAnsi="Book Antiqua" w:cs="Book Antiqua"/>
          <w:color w:val="000000"/>
        </w:rPr>
        <w:t xml:space="preserve">The </w:t>
      </w:r>
      <w:r w:rsidR="00044FAE"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uthors </w:t>
      </w:r>
      <w:r w:rsidR="00044FAE" w:rsidRPr="00110998">
        <w:rPr>
          <w:rFonts w:ascii="Book Antiqua" w:eastAsia="Book Antiqua" w:hAnsi="Book Antiqua" w:cs="Book Antiqua"/>
          <w:color w:val="000000"/>
        </w:rPr>
        <w:t xml:space="preserve">have no competing interests to </w:t>
      </w:r>
      <w:r w:rsidRPr="00110998">
        <w:rPr>
          <w:rFonts w:ascii="Book Antiqua" w:eastAsia="Book Antiqua" w:hAnsi="Book Antiqua" w:cs="Book Antiqua"/>
          <w:color w:val="000000"/>
        </w:rPr>
        <w:t>declare.</w:t>
      </w:r>
    </w:p>
    <w:p w14:paraId="2353A271" w14:textId="77777777" w:rsidR="008E7812" w:rsidRPr="00110998" w:rsidRDefault="008E7812">
      <w:pPr>
        <w:snapToGrid w:val="0"/>
        <w:spacing w:line="360" w:lineRule="auto"/>
        <w:jc w:val="both"/>
      </w:pPr>
    </w:p>
    <w:p w14:paraId="5A8B7D6D"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Open-Access: </w:t>
      </w:r>
      <w:r w:rsidRPr="001109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57972A" w14:textId="77777777" w:rsidR="008E7812" w:rsidRPr="00110998" w:rsidRDefault="008E7812">
      <w:pPr>
        <w:snapToGrid w:val="0"/>
        <w:spacing w:line="360" w:lineRule="auto"/>
        <w:jc w:val="both"/>
      </w:pPr>
    </w:p>
    <w:p w14:paraId="1F4EF48F" w14:textId="77777777" w:rsidR="008E7812" w:rsidRPr="00110998" w:rsidRDefault="008E2E22">
      <w:pPr>
        <w:snapToGrid w:val="0"/>
        <w:spacing w:line="360" w:lineRule="auto"/>
        <w:jc w:val="both"/>
        <w:rPr>
          <w:rFonts w:ascii="Book Antiqua" w:eastAsia="Book Antiqua" w:hAnsi="Book Antiqua" w:cs="Book Antiqua"/>
          <w:color w:val="000000"/>
        </w:rPr>
      </w:pPr>
      <w:r w:rsidRPr="00110998">
        <w:rPr>
          <w:rFonts w:ascii="Book Antiqua" w:eastAsia="Book Antiqua" w:hAnsi="Book Antiqua" w:cs="Book Antiqua"/>
          <w:b/>
          <w:color w:val="000000"/>
        </w:rPr>
        <w:t xml:space="preserve">Manuscript source: </w:t>
      </w:r>
      <w:r w:rsidRPr="00110998">
        <w:rPr>
          <w:rFonts w:ascii="Book Antiqua" w:eastAsia="Book Antiqua" w:hAnsi="Book Antiqua" w:cs="Book Antiqua"/>
          <w:color w:val="000000"/>
        </w:rPr>
        <w:t>Invited manuscript</w:t>
      </w:r>
    </w:p>
    <w:p w14:paraId="3308E4AC" w14:textId="77777777" w:rsidR="00F86FF2" w:rsidRPr="00110998" w:rsidRDefault="00F86FF2">
      <w:pPr>
        <w:snapToGrid w:val="0"/>
        <w:spacing w:line="360" w:lineRule="auto"/>
        <w:jc w:val="both"/>
      </w:pPr>
    </w:p>
    <w:p w14:paraId="77396256"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Corresponding Author's Membership in Professional Societies: </w:t>
      </w:r>
      <w:r w:rsidRPr="00110998">
        <w:rPr>
          <w:rFonts w:ascii="Book Antiqua" w:eastAsia="Book Antiqua" w:hAnsi="Book Antiqua" w:cs="Book Antiqua"/>
          <w:color w:val="000000"/>
        </w:rPr>
        <w:t xml:space="preserve">European Society for Medical Oncology, </w:t>
      </w:r>
      <w:r w:rsidR="00F86FF2" w:rsidRPr="00110998">
        <w:rPr>
          <w:rFonts w:ascii="Book Antiqua" w:eastAsia="Book Antiqua" w:hAnsi="Book Antiqua" w:cs="Book Antiqua"/>
          <w:color w:val="000000"/>
        </w:rPr>
        <w:t xml:space="preserve">No. </w:t>
      </w:r>
      <w:r w:rsidRPr="00110998">
        <w:rPr>
          <w:rFonts w:ascii="Book Antiqua" w:eastAsia="Book Antiqua" w:hAnsi="Book Antiqua" w:cs="Book Antiqua"/>
          <w:color w:val="000000"/>
        </w:rPr>
        <w:t>331412</w:t>
      </w:r>
    </w:p>
    <w:p w14:paraId="6F7E84DC" w14:textId="77777777" w:rsidR="008E7812" w:rsidRPr="00110998" w:rsidRDefault="008E7812">
      <w:pPr>
        <w:snapToGrid w:val="0"/>
        <w:spacing w:line="360" w:lineRule="auto"/>
        <w:jc w:val="both"/>
      </w:pPr>
    </w:p>
    <w:p w14:paraId="63BBE36E"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Peer-review started: </w:t>
      </w:r>
      <w:r w:rsidRPr="00110998">
        <w:rPr>
          <w:rFonts w:ascii="Book Antiqua" w:eastAsia="Book Antiqua" w:hAnsi="Book Antiqua" w:cs="Book Antiqua"/>
          <w:color w:val="000000"/>
        </w:rPr>
        <w:t>February 13, 2021</w:t>
      </w:r>
    </w:p>
    <w:p w14:paraId="3A10E860"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First decision: </w:t>
      </w:r>
      <w:r w:rsidRPr="00110998">
        <w:rPr>
          <w:rFonts w:ascii="Book Antiqua" w:eastAsia="Book Antiqua" w:hAnsi="Book Antiqua" w:cs="Book Antiqua"/>
          <w:color w:val="000000"/>
        </w:rPr>
        <w:t>March 17, 2021</w:t>
      </w:r>
    </w:p>
    <w:p w14:paraId="35AF768E" w14:textId="4EA6DB44" w:rsidR="008E7812" w:rsidRPr="00110998" w:rsidRDefault="008E2E22">
      <w:pPr>
        <w:snapToGrid w:val="0"/>
        <w:spacing w:line="360" w:lineRule="auto"/>
        <w:jc w:val="both"/>
      </w:pPr>
      <w:r w:rsidRPr="00110998">
        <w:rPr>
          <w:rFonts w:ascii="Book Antiqua" w:eastAsia="Book Antiqua" w:hAnsi="Book Antiqua" w:cs="Book Antiqua"/>
          <w:b/>
          <w:color w:val="000000"/>
        </w:rPr>
        <w:t>Article in press:</w:t>
      </w:r>
    </w:p>
    <w:p w14:paraId="2763EA99" w14:textId="77777777" w:rsidR="008E7812" w:rsidRPr="00110998" w:rsidRDefault="008E7812">
      <w:pPr>
        <w:snapToGrid w:val="0"/>
        <w:spacing w:line="360" w:lineRule="auto"/>
        <w:jc w:val="both"/>
      </w:pPr>
    </w:p>
    <w:p w14:paraId="3F2BAE39" w14:textId="7236A8AD"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Specialty type: </w:t>
      </w:r>
      <w:r w:rsidRPr="00110998">
        <w:rPr>
          <w:rFonts w:ascii="Book Antiqua" w:eastAsia="Book Antiqua" w:hAnsi="Book Antiqua" w:cs="Book Antiqua"/>
          <w:color w:val="000000"/>
        </w:rPr>
        <w:t>Oncology</w:t>
      </w:r>
    </w:p>
    <w:p w14:paraId="09C794DB"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Country/Territory of origin: </w:t>
      </w:r>
      <w:r w:rsidRPr="00110998">
        <w:rPr>
          <w:rFonts w:ascii="Book Antiqua" w:eastAsia="Book Antiqua" w:hAnsi="Book Antiqua" w:cs="Book Antiqua"/>
          <w:color w:val="000000"/>
        </w:rPr>
        <w:t>Serbia</w:t>
      </w:r>
    </w:p>
    <w:p w14:paraId="48A6485C"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Peer-review report’s scientific quality classification</w:t>
      </w:r>
    </w:p>
    <w:p w14:paraId="2E32D11B"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A (Excellent): 0</w:t>
      </w:r>
    </w:p>
    <w:p w14:paraId="6E8CD0EC" w14:textId="37D222BC" w:rsidR="008E7812" w:rsidRPr="00110998" w:rsidRDefault="008E2E22">
      <w:pPr>
        <w:snapToGrid w:val="0"/>
        <w:spacing w:line="360" w:lineRule="auto"/>
        <w:jc w:val="both"/>
      </w:pPr>
      <w:r w:rsidRPr="00110998">
        <w:rPr>
          <w:rFonts w:ascii="Book Antiqua" w:eastAsia="Book Antiqua" w:hAnsi="Book Antiqua" w:cs="Book Antiqua"/>
          <w:color w:val="000000"/>
        </w:rPr>
        <w:t>Grade B (Very good): B</w:t>
      </w:r>
      <w:r w:rsidR="001E0F5F" w:rsidRPr="00110998">
        <w:rPr>
          <w:rFonts w:ascii="Book Antiqua" w:eastAsia="Book Antiqua" w:hAnsi="Book Antiqua" w:cs="Book Antiqua"/>
          <w:color w:val="000000"/>
        </w:rPr>
        <w:t>, B</w:t>
      </w:r>
    </w:p>
    <w:p w14:paraId="2B37DEF4"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C (Good): 0</w:t>
      </w:r>
    </w:p>
    <w:p w14:paraId="1970FBCD"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D (Fair): 0</w:t>
      </w:r>
    </w:p>
    <w:p w14:paraId="1E78B40D"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E (Poor): 0</w:t>
      </w:r>
    </w:p>
    <w:p w14:paraId="17A022A1" w14:textId="77777777" w:rsidR="008E7812" w:rsidRPr="00110998" w:rsidRDefault="008E7812">
      <w:pPr>
        <w:snapToGrid w:val="0"/>
        <w:spacing w:line="360" w:lineRule="auto"/>
        <w:jc w:val="both"/>
      </w:pPr>
    </w:p>
    <w:p w14:paraId="755D2E09" w14:textId="35F1E10C" w:rsidR="008E7812" w:rsidRPr="00110998" w:rsidRDefault="008E2E22">
      <w:pPr>
        <w:snapToGrid w:val="0"/>
        <w:spacing w:line="360" w:lineRule="auto"/>
        <w:jc w:val="both"/>
        <w:rPr>
          <w:rFonts w:ascii="Book Antiqua" w:eastAsia="Book Antiqua" w:hAnsi="Book Antiqua" w:cs="Book Antiqua"/>
          <w:b/>
          <w:color w:val="000000"/>
        </w:rPr>
      </w:pPr>
      <w:r w:rsidRPr="00110998">
        <w:rPr>
          <w:rFonts w:ascii="Book Antiqua" w:eastAsia="Book Antiqua" w:hAnsi="Book Antiqua" w:cs="Book Antiqua"/>
          <w:b/>
          <w:color w:val="000000"/>
        </w:rPr>
        <w:lastRenderedPageBreak/>
        <w:t xml:space="preserve">P-Reviewer: </w:t>
      </w:r>
      <w:r w:rsidRPr="00110998">
        <w:rPr>
          <w:rFonts w:ascii="Book Antiqua" w:eastAsia="Book Antiqua" w:hAnsi="Book Antiqua" w:cs="Book Antiqua"/>
          <w:color w:val="000000"/>
        </w:rPr>
        <w:t>Li SC</w:t>
      </w:r>
      <w:r w:rsidRPr="00110998">
        <w:rPr>
          <w:rFonts w:ascii="Book Antiqua" w:eastAsia="Book Antiqua" w:hAnsi="Book Antiqua" w:cs="Book Antiqua"/>
          <w:b/>
          <w:color w:val="000000"/>
        </w:rPr>
        <w:t xml:space="preserve"> S-Editor: </w:t>
      </w:r>
      <w:r w:rsidRPr="00110998">
        <w:rPr>
          <w:rFonts w:ascii="Book Antiqua" w:eastAsia="Book Antiqua" w:hAnsi="Book Antiqua" w:cs="Book Antiqua"/>
          <w:color w:val="000000"/>
        </w:rPr>
        <w:t>Gong ZM</w:t>
      </w:r>
      <w:r w:rsidRPr="00110998">
        <w:rPr>
          <w:rFonts w:ascii="Book Antiqua" w:eastAsia="Book Antiqua" w:hAnsi="Book Antiqua" w:cs="Book Antiqua"/>
          <w:b/>
          <w:color w:val="000000"/>
        </w:rPr>
        <w:t xml:space="preserve"> L-Editor:</w:t>
      </w:r>
      <w:r w:rsidR="00F179A9" w:rsidRPr="00110998">
        <w:rPr>
          <w:rFonts w:ascii="Book Antiqua" w:eastAsia="Book Antiqua" w:hAnsi="Book Antiqua" w:cs="Book Antiqua"/>
          <w:b/>
          <w:color w:val="000000"/>
        </w:rPr>
        <w:t xml:space="preserve"> </w:t>
      </w:r>
      <w:r w:rsidR="00996123" w:rsidRPr="00110998">
        <w:rPr>
          <w:rFonts w:ascii="Book Antiqua" w:eastAsia="Book Antiqua" w:hAnsi="Book Antiqua" w:cs="Book Antiqua"/>
          <w:bCs/>
          <w:color w:val="000000"/>
        </w:rPr>
        <w:t xml:space="preserve">Filipodia </w:t>
      </w:r>
      <w:r w:rsidRPr="00110998">
        <w:rPr>
          <w:rFonts w:ascii="Book Antiqua" w:eastAsia="Book Antiqua" w:hAnsi="Book Antiqua" w:cs="Book Antiqua"/>
          <w:b/>
          <w:color w:val="000000"/>
        </w:rPr>
        <w:t>P-Editor:</w:t>
      </w:r>
    </w:p>
    <w:p w14:paraId="12BC0E47" w14:textId="77777777" w:rsidR="00654547" w:rsidRPr="00110998" w:rsidRDefault="00654547">
      <w:pPr>
        <w:snapToGrid w:val="0"/>
        <w:spacing w:line="360" w:lineRule="auto"/>
        <w:jc w:val="both"/>
        <w:sectPr w:rsidR="00654547" w:rsidRPr="00110998" w:rsidSect="002A3988">
          <w:pgSz w:w="12240" w:h="15840"/>
          <w:pgMar w:top="1554" w:right="1497" w:bottom="1554" w:left="1497" w:header="720" w:footer="720" w:gutter="0"/>
          <w:cols w:space="720"/>
          <w:docGrid w:linePitch="360"/>
        </w:sectPr>
      </w:pPr>
    </w:p>
    <w:p w14:paraId="537C68C6" w14:textId="1B5347ED"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Table 1 Monoclonal antibod</w:t>
      </w:r>
      <w:r w:rsidR="00825823">
        <w:rPr>
          <w:rFonts w:ascii="Book Antiqua" w:hAnsi="Book Antiqua"/>
          <w:b/>
        </w:rPr>
        <w:t>y studies</w:t>
      </w:r>
    </w:p>
    <w:tbl>
      <w:tblPr>
        <w:tblStyle w:va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924"/>
        <w:gridCol w:w="1099"/>
        <w:gridCol w:w="1698"/>
        <w:gridCol w:w="870"/>
        <w:gridCol w:w="2411"/>
      </w:tblGrid>
      <w:tr w:rsidR="008E7812" w:rsidRPr="00110998" w14:paraId="30B0E7AE" w14:textId="77777777" w:rsidTr="00623F89">
        <w:trPr>
          <w:trHeight w:val="726"/>
        </w:trPr>
        <w:tc>
          <w:tcPr>
            <w:tcW w:w="2320" w:type="dxa"/>
            <w:tcBorders>
              <w:top w:val="single" w:sz="4" w:space="0" w:color="auto"/>
              <w:bottom w:val="single" w:sz="4" w:space="0" w:color="auto"/>
            </w:tcBorders>
          </w:tcPr>
          <w:p w14:paraId="66CC497F"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Drug (Ref</w:t>
            </w:r>
            <w:r w:rsidR="00B85D70" w:rsidRPr="00110998">
              <w:rPr>
                <w:rFonts w:ascii="Book Antiqua" w:hAnsi="Book Antiqua"/>
                <w:b/>
              </w:rPr>
              <w:t>.</w:t>
            </w:r>
            <w:r w:rsidRPr="00110998">
              <w:rPr>
                <w:rFonts w:ascii="Book Antiqua" w:hAnsi="Book Antiqua"/>
                <w:b/>
              </w:rPr>
              <w:t>)</w:t>
            </w:r>
          </w:p>
        </w:tc>
        <w:tc>
          <w:tcPr>
            <w:tcW w:w="924" w:type="dxa"/>
            <w:tcBorders>
              <w:top w:val="single" w:sz="4" w:space="0" w:color="auto"/>
              <w:bottom w:val="single" w:sz="4" w:space="0" w:color="auto"/>
            </w:tcBorders>
          </w:tcPr>
          <w:p w14:paraId="462C779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099" w:type="dxa"/>
            <w:tcBorders>
              <w:top w:val="single" w:sz="4" w:space="0" w:color="auto"/>
              <w:bottom w:val="single" w:sz="4" w:space="0" w:color="auto"/>
            </w:tcBorders>
          </w:tcPr>
          <w:p w14:paraId="32F579C8" w14:textId="77777777" w:rsidR="008E7812" w:rsidRPr="00110998" w:rsidRDefault="00B85D70" w:rsidP="00025A53">
            <w:pPr>
              <w:snapToGrid w:val="0"/>
              <w:spacing w:line="360" w:lineRule="auto"/>
              <w:jc w:val="both"/>
              <w:rPr>
                <w:rFonts w:ascii="Book Antiqua" w:hAnsi="Book Antiqua"/>
                <w:b/>
              </w:rPr>
            </w:pPr>
            <w:r w:rsidRPr="00110998">
              <w:rPr>
                <w:rFonts w:ascii="Book Antiqua" w:hAnsi="Book Antiqua"/>
                <w:b/>
              </w:rPr>
              <w:t>No. of patients</w:t>
            </w:r>
          </w:p>
        </w:tc>
        <w:tc>
          <w:tcPr>
            <w:tcW w:w="1698" w:type="dxa"/>
            <w:tcBorders>
              <w:top w:val="single" w:sz="4" w:space="0" w:color="auto"/>
              <w:bottom w:val="single" w:sz="4" w:space="0" w:color="auto"/>
            </w:tcBorders>
          </w:tcPr>
          <w:p w14:paraId="0E4DCCE5"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59BA1B7F"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411" w:type="dxa"/>
            <w:tcBorders>
              <w:top w:val="single" w:sz="4" w:space="0" w:color="auto"/>
              <w:bottom w:val="single" w:sz="4" w:space="0" w:color="auto"/>
            </w:tcBorders>
          </w:tcPr>
          <w:p w14:paraId="53BDBAB7"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B85829" w:rsidRPr="00110998" w14:paraId="550D0392" w14:textId="77777777" w:rsidTr="00623F89">
        <w:trPr>
          <w:trHeight w:val="138"/>
        </w:trPr>
        <w:tc>
          <w:tcPr>
            <w:tcW w:w="2320" w:type="dxa"/>
            <w:tcBorders>
              <w:top w:val="single" w:sz="4" w:space="0" w:color="auto"/>
            </w:tcBorders>
          </w:tcPr>
          <w:p w14:paraId="0DB4D8F4" w14:textId="77777777" w:rsidR="00B85829" w:rsidRPr="00110998" w:rsidRDefault="00B85829" w:rsidP="00025A53">
            <w:pPr>
              <w:snapToGrid w:val="0"/>
              <w:spacing w:line="360" w:lineRule="auto"/>
              <w:jc w:val="both"/>
              <w:rPr>
                <w:rFonts w:ascii="Book Antiqua" w:hAnsi="Book Antiqua"/>
                <w:b/>
              </w:rPr>
            </w:pPr>
            <w:r w:rsidRPr="00110998">
              <w:rPr>
                <w:rFonts w:ascii="Book Antiqua" w:hAnsi="Book Antiqua"/>
                <w:bCs/>
              </w:rPr>
              <w:t>Obinutuzumab</w:t>
            </w:r>
          </w:p>
        </w:tc>
        <w:tc>
          <w:tcPr>
            <w:tcW w:w="924" w:type="dxa"/>
            <w:tcBorders>
              <w:top w:val="single" w:sz="4" w:space="0" w:color="auto"/>
            </w:tcBorders>
          </w:tcPr>
          <w:p w14:paraId="6DF3BAD7" w14:textId="77777777" w:rsidR="00B85829" w:rsidRPr="00110998" w:rsidRDefault="00B85829" w:rsidP="00025A53">
            <w:pPr>
              <w:snapToGrid w:val="0"/>
              <w:spacing w:line="360" w:lineRule="auto"/>
              <w:jc w:val="both"/>
              <w:rPr>
                <w:rFonts w:ascii="Book Antiqua" w:hAnsi="Book Antiqua"/>
                <w:b/>
              </w:rPr>
            </w:pPr>
            <w:r w:rsidRPr="00110998">
              <w:rPr>
                <w:rFonts w:ascii="Book Antiqua" w:hAnsi="Book Antiqua"/>
                <w:bCs/>
              </w:rPr>
              <w:t>CD20</w:t>
            </w:r>
          </w:p>
        </w:tc>
        <w:tc>
          <w:tcPr>
            <w:tcW w:w="1099" w:type="dxa"/>
            <w:tcBorders>
              <w:top w:val="single" w:sz="4" w:space="0" w:color="auto"/>
            </w:tcBorders>
          </w:tcPr>
          <w:p w14:paraId="3A53BEC5" w14:textId="77777777" w:rsidR="00B85829" w:rsidRPr="00110998" w:rsidRDefault="00B85829" w:rsidP="00025A53">
            <w:pPr>
              <w:snapToGrid w:val="0"/>
              <w:spacing w:line="360" w:lineRule="auto"/>
              <w:jc w:val="both"/>
              <w:rPr>
                <w:rFonts w:ascii="Book Antiqua" w:hAnsi="Book Antiqua"/>
                <w:b/>
              </w:rPr>
            </w:pPr>
          </w:p>
        </w:tc>
        <w:tc>
          <w:tcPr>
            <w:tcW w:w="1698" w:type="dxa"/>
            <w:tcBorders>
              <w:top w:val="single" w:sz="4" w:space="0" w:color="auto"/>
            </w:tcBorders>
          </w:tcPr>
          <w:p w14:paraId="39CA5E5D" w14:textId="77777777" w:rsidR="00B85829" w:rsidRPr="00110998" w:rsidRDefault="00B85829" w:rsidP="00025A53">
            <w:pPr>
              <w:snapToGrid w:val="0"/>
              <w:spacing w:line="360" w:lineRule="auto"/>
              <w:jc w:val="both"/>
              <w:rPr>
                <w:rFonts w:ascii="Book Antiqua" w:hAnsi="Book Antiqua"/>
                <w:b/>
              </w:rPr>
            </w:pPr>
          </w:p>
        </w:tc>
        <w:tc>
          <w:tcPr>
            <w:tcW w:w="870" w:type="dxa"/>
            <w:tcBorders>
              <w:top w:val="single" w:sz="4" w:space="0" w:color="auto"/>
            </w:tcBorders>
          </w:tcPr>
          <w:p w14:paraId="2392E49D" w14:textId="77777777" w:rsidR="00B85829" w:rsidRPr="00110998" w:rsidRDefault="00B85829" w:rsidP="00025A53">
            <w:pPr>
              <w:snapToGrid w:val="0"/>
              <w:spacing w:line="360" w:lineRule="auto"/>
              <w:jc w:val="both"/>
              <w:rPr>
                <w:rFonts w:ascii="Book Antiqua" w:hAnsi="Book Antiqua"/>
                <w:b/>
              </w:rPr>
            </w:pPr>
          </w:p>
        </w:tc>
        <w:tc>
          <w:tcPr>
            <w:tcW w:w="2411" w:type="dxa"/>
            <w:tcBorders>
              <w:top w:val="single" w:sz="4" w:space="0" w:color="auto"/>
            </w:tcBorders>
          </w:tcPr>
          <w:p w14:paraId="555911CF" w14:textId="77777777" w:rsidR="00B85829" w:rsidRPr="00110998" w:rsidRDefault="00B85829" w:rsidP="00025A53">
            <w:pPr>
              <w:snapToGrid w:val="0"/>
              <w:spacing w:line="360" w:lineRule="auto"/>
              <w:jc w:val="both"/>
              <w:rPr>
                <w:rFonts w:ascii="Book Antiqua" w:hAnsi="Book Antiqua"/>
                <w:b/>
              </w:rPr>
            </w:pPr>
          </w:p>
        </w:tc>
      </w:tr>
      <w:tr w:rsidR="008E7812" w:rsidRPr="00110998" w14:paraId="57CDEBEA" w14:textId="77777777" w:rsidTr="00623F89">
        <w:tc>
          <w:tcPr>
            <w:tcW w:w="2320" w:type="dxa"/>
          </w:tcPr>
          <w:p w14:paraId="6F4EDBE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[42]</w:t>
            </w:r>
          </w:p>
        </w:tc>
        <w:tc>
          <w:tcPr>
            <w:tcW w:w="924" w:type="dxa"/>
          </w:tcPr>
          <w:p w14:paraId="3F57A515" w14:textId="77777777" w:rsidR="008E7812" w:rsidRPr="00110998" w:rsidRDefault="008E7812" w:rsidP="00025A53">
            <w:pPr>
              <w:snapToGrid w:val="0"/>
              <w:spacing w:line="360" w:lineRule="auto"/>
              <w:jc w:val="both"/>
              <w:rPr>
                <w:rFonts w:ascii="Book Antiqua" w:hAnsi="Book Antiqua"/>
                <w:bCs/>
              </w:rPr>
            </w:pPr>
          </w:p>
        </w:tc>
        <w:tc>
          <w:tcPr>
            <w:tcW w:w="1099" w:type="dxa"/>
          </w:tcPr>
          <w:p w14:paraId="2064E0E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781</w:t>
            </w:r>
          </w:p>
        </w:tc>
        <w:tc>
          <w:tcPr>
            <w:tcW w:w="1698" w:type="dxa"/>
          </w:tcPr>
          <w:p w14:paraId="5914182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CLL (CIRS </w:t>
            </w:r>
            <w:r w:rsidRPr="00110998">
              <w:rPr>
                <w:rFonts w:ascii="Book Antiqua" w:hAnsi="Book Antiqua" w:cstheme="minorHAnsi"/>
                <w:bCs/>
              </w:rPr>
              <w:t>≥</w:t>
            </w:r>
            <w:r w:rsidRPr="00110998">
              <w:rPr>
                <w:rFonts w:ascii="Book Antiqua" w:hAnsi="Book Antiqua" w:cstheme="minorHAnsi"/>
                <w:bCs/>
                <w:lang w:eastAsia="zh-CN"/>
              </w:rPr>
              <w:t xml:space="preserve"> </w:t>
            </w:r>
            <w:r w:rsidRPr="00110998">
              <w:rPr>
                <w:rFonts w:ascii="Book Antiqua" w:hAnsi="Book Antiqua"/>
                <w:bCs/>
              </w:rPr>
              <w:t xml:space="preserve">6) O + Clb </w:t>
            </w:r>
            <w:r w:rsidRPr="00110998">
              <w:rPr>
                <w:rFonts w:ascii="Book Antiqua" w:hAnsi="Book Antiqua"/>
                <w:bCs/>
                <w:i/>
                <w:lang w:eastAsia="zh-CN"/>
              </w:rPr>
              <w:t>vs</w:t>
            </w:r>
            <w:r w:rsidRPr="00110998">
              <w:rPr>
                <w:rFonts w:ascii="Book Antiqua" w:hAnsi="Book Antiqua"/>
                <w:bCs/>
              </w:rPr>
              <w:t xml:space="preserve"> R + Clb</w:t>
            </w:r>
          </w:p>
        </w:tc>
        <w:tc>
          <w:tcPr>
            <w:tcW w:w="870" w:type="dxa"/>
          </w:tcPr>
          <w:p w14:paraId="72EFE9D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78EA83C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28.9 </w:t>
            </w:r>
            <w:r w:rsidR="00AE5ED2" w:rsidRPr="00110998">
              <w:rPr>
                <w:rFonts w:ascii="Book Antiqua" w:hAnsi="Book Antiqua"/>
                <w:bCs/>
              </w:rPr>
              <w:t>mo</w:t>
            </w:r>
            <w:r w:rsidR="00AE5ED2" w:rsidRPr="00110998">
              <w:rPr>
                <w:rFonts w:ascii="Book Antiqua" w:hAnsi="Book Antiqua"/>
                <w:bCs/>
                <w:i/>
                <w:lang w:eastAsia="zh-CN"/>
              </w:rPr>
              <w:t xml:space="preserve"> </w:t>
            </w:r>
            <w:r w:rsidRPr="00110998">
              <w:rPr>
                <w:rFonts w:ascii="Book Antiqua" w:hAnsi="Book Antiqua"/>
                <w:bCs/>
                <w:i/>
                <w:lang w:eastAsia="zh-CN"/>
              </w:rPr>
              <w:t>vs</w:t>
            </w:r>
            <w:r w:rsidR="00594427" w:rsidRPr="00110998">
              <w:rPr>
                <w:rFonts w:ascii="Book Antiqua" w:hAnsi="Book Antiqua"/>
                <w:bCs/>
              </w:rPr>
              <w:t xml:space="preserve"> 15.7 mo</w:t>
            </w:r>
            <w:r w:rsidRPr="00110998">
              <w:rPr>
                <w:rFonts w:ascii="Book Antiqua" w:hAnsi="Book Antiqua"/>
                <w:bCs/>
              </w:rPr>
              <w:t xml:space="preserve"> (HR 0.49,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&lt;</w:t>
            </w:r>
            <w:r w:rsidRPr="00110998">
              <w:rPr>
                <w:rFonts w:ascii="Book Antiqua" w:hAnsi="Book Antiqua"/>
                <w:bCs/>
                <w:lang w:eastAsia="zh-CN"/>
              </w:rPr>
              <w:t xml:space="preserve"> </w:t>
            </w:r>
            <w:r w:rsidRPr="00110998">
              <w:rPr>
                <w:rFonts w:ascii="Book Antiqua" w:hAnsi="Book Antiqua"/>
                <w:bCs/>
              </w:rPr>
              <w:t xml:space="preserve">0.0001; OS: NR </w:t>
            </w:r>
            <w:r w:rsidRPr="00110998">
              <w:rPr>
                <w:rFonts w:ascii="Book Antiqua" w:hAnsi="Book Antiqua"/>
                <w:bCs/>
                <w:i/>
                <w:lang w:eastAsia="zh-CN"/>
              </w:rPr>
              <w:t>vs</w:t>
            </w:r>
            <w:r w:rsidR="00594427" w:rsidRPr="00110998">
              <w:rPr>
                <w:rFonts w:ascii="Book Antiqua" w:hAnsi="Book Antiqua"/>
                <w:bCs/>
              </w:rPr>
              <w:t xml:space="preserve"> 73.1 mo</w:t>
            </w:r>
            <w:r w:rsidRPr="00110998">
              <w:rPr>
                <w:rFonts w:ascii="Book Antiqua" w:hAnsi="Book Antiqua"/>
                <w:bCs/>
              </w:rPr>
              <w:t xml:space="preserve"> (HR 0.76,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0.0245) Grade ≥</w:t>
            </w:r>
            <w:r w:rsidRPr="00110998">
              <w:rPr>
                <w:rFonts w:ascii="Book Antiqua" w:hAnsi="Book Antiqua"/>
                <w:bCs/>
                <w:lang w:eastAsia="zh-CN"/>
              </w:rPr>
              <w:t xml:space="preserve"> </w:t>
            </w:r>
            <w:r w:rsidRPr="00110998">
              <w:rPr>
                <w:rFonts w:ascii="Book Antiqua" w:hAnsi="Book Antiqua"/>
                <w:bCs/>
              </w:rPr>
              <w:t xml:space="preserve">3 AEs: Infusion reactions 20% </w:t>
            </w:r>
            <w:r w:rsidRPr="00110998">
              <w:rPr>
                <w:rFonts w:ascii="Book Antiqua" w:hAnsi="Book Antiqua"/>
                <w:bCs/>
                <w:i/>
                <w:lang w:eastAsia="zh-CN"/>
              </w:rPr>
              <w:t>vs</w:t>
            </w:r>
            <w:r w:rsidRPr="00110998">
              <w:rPr>
                <w:rFonts w:ascii="Book Antiqua" w:hAnsi="Book Antiqua"/>
                <w:bCs/>
              </w:rPr>
              <w:t xml:space="preserve"> 4%, Neutropenia 33% </w:t>
            </w:r>
            <w:r w:rsidRPr="00110998">
              <w:rPr>
                <w:rFonts w:ascii="Book Antiqua" w:hAnsi="Book Antiqua"/>
                <w:bCs/>
                <w:i/>
                <w:lang w:eastAsia="zh-CN"/>
              </w:rPr>
              <w:t>vs</w:t>
            </w:r>
            <w:r w:rsidRPr="00110998">
              <w:rPr>
                <w:rFonts w:ascii="Book Antiqua" w:hAnsi="Book Antiqua"/>
                <w:bCs/>
              </w:rPr>
              <w:t xml:space="preserve"> 28%</w:t>
            </w:r>
          </w:p>
        </w:tc>
      </w:tr>
      <w:tr w:rsidR="008E7812" w:rsidRPr="00110998" w14:paraId="6761AADB" w14:textId="77777777" w:rsidTr="00623F89">
        <w:tc>
          <w:tcPr>
            <w:tcW w:w="2320" w:type="dxa"/>
          </w:tcPr>
          <w:p w14:paraId="11E057A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[44]</w:t>
            </w:r>
          </w:p>
        </w:tc>
        <w:tc>
          <w:tcPr>
            <w:tcW w:w="924" w:type="dxa"/>
          </w:tcPr>
          <w:p w14:paraId="668EC3B5" w14:textId="77777777" w:rsidR="008E7812" w:rsidRPr="00110998" w:rsidRDefault="008E7812" w:rsidP="00025A53">
            <w:pPr>
              <w:snapToGrid w:val="0"/>
              <w:spacing w:line="360" w:lineRule="auto"/>
              <w:jc w:val="both"/>
              <w:rPr>
                <w:rFonts w:ascii="Book Antiqua" w:hAnsi="Book Antiqua"/>
                <w:bCs/>
              </w:rPr>
            </w:pPr>
          </w:p>
        </w:tc>
        <w:tc>
          <w:tcPr>
            <w:tcW w:w="1099" w:type="dxa"/>
          </w:tcPr>
          <w:p w14:paraId="0DF6D92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1202</w:t>
            </w:r>
          </w:p>
        </w:tc>
        <w:tc>
          <w:tcPr>
            <w:tcW w:w="1698" w:type="dxa"/>
          </w:tcPr>
          <w:p w14:paraId="51F4DA2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FL (untreated) O + Chemo </w:t>
            </w:r>
            <w:r w:rsidRPr="00110998">
              <w:rPr>
                <w:rFonts w:ascii="Book Antiqua" w:hAnsi="Book Antiqua"/>
                <w:bCs/>
                <w:i/>
                <w:lang w:eastAsia="zh-CN"/>
              </w:rPr>
              <w:t>vs</w:t>
            </w:r>
            <w:r w:rsidRPr="00110998">
              <w:rPr>
                <w:rFonts w:ascii="Book Antiqua" w:hAnsi="Book Antiqua"/>
                <w:bCs/>
              </w:rPr>
              <w:t xml:space="preserve"> R + Chemo</w:t>
            </w:r>
          </w:p>
        </w:tc>
        <w:tc>
          <w:tcPr>
            <w:tcW w:w="870" w:type="dxa"/>
          </w:tcPr>
          <w:p w14:paraId="3961B3C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7439C5A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3-yr PFS rate: 80.0% </w:t>
            </w:r>
            <w:r w:rsidRPr="00110998">
              <w:rPr>
                <w:rFonts w:ascii="Book Antiqua" w:hAnsi="Book Antiqua"/>
                <w:bCs/>
                <w:i/>
                <w:lang w:eastAsia="zh-CN"/>
              </w:rPr>
              <w:t>vs</w:t>
            </w:r>
            <w:r w:rsidRPr="00110998">
              <w:rPr>
                <w:rFonts w:ascii="Book Antiqua" w:hAnsi="Book Antiqua"/>
                <w:bCs/>
              </w:rPr>
              <w:t xml:space="preserve"> 73.3% HR 0.66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 xml:space="preserve">0.001 ORR: 88.5% </w:t>
            </w:r>
            <w:r w:rsidRPr="00110998">
              <w:rPr>
                <w:rFonts w:ascii="Book Antiqua" w:hAnsi="Book Antiqua"/>
                <w:bCs/>
                <w:i/>
                <w:lang w:eastAsia="zh-CN"/>
              </w:rPr>
              <w:t>vs</w:t>
            </w:r>
            <w:r w:rsidRPr="00110998">
              <w:rPr>
                <w:rFonts w:ascii="Book Antiqua" w:hAnsi="Book Antiqua"/>
                <w:bCs/>
              </w:rPr>
              <w:t xml:space="preserve"> 86.9% 3-yr OS rate: 94.0% </w:t>
            </w:r>
            <w:r w:rsidRPr="00110998">
              <w:rPr>
                <w:rFonts w:ascii="Book Antiqua" w:hAnsi="Book Antiqua"/>
                <w:bCs/>
                <w:i/>
                <w:lang w:eastAsia="zh-CN"/>
              </w:rPr>
              <w:t>vs</w:t>
            </w:r>
            <w:r w:rsidRPr="00110998">
              <w:rPr>
                <w:rFonts w:ascii="Book Antiqua" w:hAnsi="Book Antiqua"/>
                <w:bCs/>
              </w:rPr>
              <w:t xml:space="preserve"> 92.1% (HR 0.75, </w:t>
            </w:r>
            <w:r w:rsidRPr="00110998">
              <w:rPr>
                <w:rFonts w:ascii="Book Antiqua" w:hAnsi="Book Antiqua"/>
                <w:bCs/>
                <w:i/>
                <w:iCs/>
              </w:rPr>
              <w:t>P</w:t>
            </w:r>
            <w:r w:rsidRPr="00110998">
              <w:rPr>
                <w:rFonts w:ascii="Book Antiqua" w:hAnsi="Book Antiqua"/>
                <w:bCs/>
              </w:rPr>
              <w:t xml:space="preserve"> = 0.21) Grade ≥ 3 AEs: 74.6% </w:t>
            </w:r>
            <w:r w:rsidRPr="00110998">
              <w:rPr>
                <w:rFonts w:ascii="Book Antiqua" w:hAnsi="Book Antiqua"/>
                <w:bCs/>
                <w:i/>
                <w:lang w:eastAsia="zh-CN"/>
              </w:rPr>
              <w:t>vs</w:t>
            </w:r>
            <w:r w:rsidRPr="00110998">
              <w:rPr>
                <w:rFonts w:ascii="Book Antiqua" w:hAnsi="Book Antiqua"/>
                <w:bCs/>
              </w:rPr>
              <w:t xml:space="preserve"> 67.8%</w:t>
            </w:r>
          </w:p>
        </w:tc>
      </w:tr>
      <w:tr w:rsidR="008E7812" w:rsidRPr="00110998" w14:paraId="580837A4" w14:textId="77777777" w:rsidTr="00623F89">
        <w:tc>
          <w:tcPr>
            <w:tcW w:w="2320" w:type="dxa"/>
          </w:tcPr>
          <w:p w14:paraId="28E47D2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[45]</w:t>
            </w:r>
          </w:p>
        </w:tc>
        <w:tc>
          <w:tcPr>
            <w:tcW w:w="924" w:type="dxa"/>
          </w:tcPr>
          <w:p w14:paraId="60A15891" w14:textId="77777777" w:rsidR="008E7812" w:rsidRPr="00110998" w:rsidRDefault="008E7812" w:rsidP="00025A53">
            <w:pPr>
              <w:snapToGrid w:val="0"/>
              <w:spacing w:line="360" w:lineRule="auto"/>
              <w:jc w:val="both"/>
              <w:rPr>
                <w:rFonts w:ascii="Book Antiqua" w:hAnsi="Book Antiqua"/>
                <w:bCs/>
              </w:rPr>
            </w:pPr>
          </w:p>
        </w:tc>
        <w:tc>
          <w:tcPr>
            <w:tcW w:w="1099" w:type="dxa"/>
          </w:tcPr>
          <w:p w14:paraId="28CF9D0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413</w:t>
            </w:r>
          </w:p>
        </w:tc>
        <w:tc>
          <w:tcPr>
            <w:tcW w:w="1698" w:type="dxa"/>
          </w:tcPr>
          <w:p w14:paraId="3FC6D92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FL (rituximab refractory) O + Benda </w:t>
            </w:r>
            <w:r w:rsidRPr="00110998">
              <w:rPr>
                <w:rFonts w:ascii="Book Antiqua" w:hAnsi="Book Antiqua"/>
                <w:bCs/>
                <w:i/>
                <w:lang w:eastAsia="zh-CN"/>
              </w:rPr>
              <w:t>vs</w:t>
            </w:r>
            <w:r w:rsidRPr="00110998">
              <w:rPr>
                <w:rFonts w:ascii="Book Antiqua" w:hAnsi="Book Antiqua"/>
                <w:bCs/>
              </w:rPr>
              <w:t xml:space="preserve"> Benda</w:t>
            </w:r>
          </w:p>
        </w:tc>
        <w:tc>
          <w:tcPr>
            <w:tcW w:w="870" w:type="dxa"/>
          </w:tcPr>
          <w:p w14:paraId="4A86547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1E6306C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NR </w:t>
            </w:r>
            <w:r w:rsidRPr="00110998">
              <w:rPr>
                <w:rFonts w:ascii="Book Antiqua" w:hAnsi="Book Antiqua"/>
                <w:bCs/>
                <w:i/>
                <w:lang w:eastAsia="zh-CN"/>
              </w:rPr>
              <w:t>vs</w:t>
            </w:r>
            <w:r w:rsidR="000F656A" w:rsidRPr="00110998">
              <w:rPr>
                <w:rFonts w:ascii="Book Antiqua" w:hAnsi="Book Antiqua"/>
                <w:bCs/>
              </w:rPr>
              <w:t xml:space="preserve"> 14.9 mo</w:t>
            </w:r>
            <w:r w:rsidRPr="00110998">
              <w:rPr>
                <w:rFonts w:ascii="Book Antiqua" w:hAnsi="Book Antiqua"/>
                <w:bCs/>
              </w:rPr>
              <w:t xml:space="preserve"> (HR 0.55, </w:t>
            </w:r>
            <w:r w:rsidRPr="00110998">
              <w:rPr>
                <w:rFonts w:ascii="Book Antiqua" w:hAnsi="Book Antiqua"/>
                <w:bCs/>
                <w:i/>
                <w:iCs/>
              </w:rPr>
              <w:t>P</w:t>
            </w:r>
            <w:r w:rsidRPr="00110998">
              <w:rPr>
                <w:rFonts w:ascii="Book Antiqua" w:hAnsi="Book Antiqua"/>
                <w:bCs/>
              </w:rPr>
              <w:t xml:space="preserve"> = 0.0001) OS: ND Grade ≥ 3 AEs: Neutropenia 33% </w:t>
            </w:r>
            <w:r w:rsidRPr="00110998">
              <w:rPr>
                <w:rFonts w:ascii="Book Antiqua" w:hAnsi="Book Antiqua"/>
                <w:bCs/>
                <w:i/>
                <w:lang w:eastAsia="zh-CN"/>
              </w:rPr>
              <w:t>vs</w:t>
            </w:r>
            <w:r w:rsidRPr="00110998">
              <w:rPr>
                <w:rFonts w:ascii="Book Antiqua" w:hAnsi="Book Antiqua"/>
                <w:bCs/>
              </w:rPr>
              <w:t xml:space="preserve"> 26%; Infusion reactions 11% </w:t>
            </w:r>
            <w:r w:rsidRPr="00110998">
              <w:rPr>
                <w:rFonts w:ascii="Book Antiqua" w:hAnsi="Book Antiqua"/>
                <w:bCs/>
                <w:i/>
                <w:lang w:eastAsia="zh-CN"/>
              </w:rPr>
              <w:t>vs</w:t>
            </w:r>
            <w:r w:rsidRPr="00110998">
              <w:rPr>
                <w:rFonts w:ascii="Book Antiqua" w:hAnsi="Book Antiqua"/>
                <w:bCs/>
              </w:rPr>
              <w:t xml:space="preserve"> 6%</w:t>
            </w:r>
          </w:p>
        </w:tc>
      </w:tr>
      <w:tr w:rsidR="008E7812" w:rsidRPr="00110998" w14:paraId="6E56500B" w14:textId="77777777" w:rsidTr="00623F89">
        <w:tc>
          <w:tcPr>
            <w:tcW w:w="2320" w:type="dxa"/>
          </w:tcPr>
          <w:p w14:paraId="4E4B7AA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Tafasitamab</w:t>
            </w:r>
            <w:r w:rsidRPr="00110998">
              <w:rPr>
                <w:rFonts w:ascii="Book Antiqua" w:hAnsi="Book Antiqua"/>
                <w:bCs/>
                <w:vertAlign w:val="superscript"/>
              </w:rPr>
              <w:t>[47]</w:t>
            </w:r>
          </w:p>
        </w:tc>
        <w:tc>
          <w:tcPr>
            <w:tcW w:w="924" w:type="dxa"/>
          </w:tcPr>
          <w:p w14:paraId="40AC231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w:t>
            </w:r>
          </w:p>
        </w:tc>
        <w:tc>
          <w:tcPr>
            <w:tcW w:w="1099" w:type="dxa"/>
          </w:tcPr>
          <w:p w14:paraId="26CC0B5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92</w:t>
            </w:r>
          </w:p>
        </w:tc>
        <w:tc>
          <w:tcPr>
            <w:tcW w:w="1698" w:type="dxa"/>
          </w:tcPr>
          <w:p w14:paraId="7CDAFEF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DLBCL R/RT </w:t>
            </w:r>
            <w:r w:rsidRPr="00110998">
              <w:rPr>
                <w:rFonts w:ascii="Book Antiqua" w:hAnsi="Book Antiqua"/>
                <w:bCs/>
              </w:rPr>
              <w:lastRenderedPageBreak/>
              <w:t>+ Lenalidomide</w:t>
            </w:r>
          </w:p>
        </w:tc>
        <w:tc>
          <w:tcPr>
            <w:tcW w:w="870" w:type="dxa"/>
          </w:tcPr>
          <w:p w14:paraId="787409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2</w:t>
            </w:r>
          </w:p>
        </w:tc>
        <w:tc>
          <w:tcPr>
            <w:tcW w:w="2411" w:type="dxa"/>
          </w:tcPr>
          <w:p w14:paraId="16A5B67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 43% CR: 18% </w:t>
            </w:r>
            <w:r w:rsidRPr="00110998">
              <w:rPr>
                <w:rFonts w:ascii="Book Antiqua" w:hAnsi="Book Antiqua"/>
                <w:bCs/>
              </w:rPr>
              <w:lastRenderedPageBreak/>
              <w:t>PFS:</w:t>
            </w:r>
            <w:r w:rsidR="000F0AC3" w:rsidRPr="00110998">
              <w:rPr>
                <w:rFonts w:ascii="Book Antiqua" w:hAnsi="Book Antiqua"/>
                <w:bCs/>
              </w:rPr>
              <w:t xml:space="preserve"> 12.1 mo</w:t>
            </w:r>
            <w:r w:rsidRPr="00110998">
              <w:rPr>
                <w:rFonts w:ascii="Book Antiqua" w:hAnsi="Book Antiqua"/>
                <w:bCs/>
              </w:rPr>
              <w:t xml:space="preserve"> Grade ≥ 3 AEs: Neutropenia 48%, Thrombocytopenia 17%, Febrile neutropenia 12%</w:t>
            </w:r>
          </w:p>
        </w:tc>
      </w:tr>
      <w:tr w:rsidR="008E7812" w:rsidRPr="00110998" w14:paraId="5D53F836" w14:textId="77777777" w:rsidTr="0073203B">
        <w:tc>
          <w:tcPr>
            <w:tcW w:w="2320" w:type="dxa"/>
          </w:tcPr>
          <w:p w14:paraId="00499B2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Magrolimab</w:t>
            </w:r>
            <w:r w:rsidRPr="00110998">
              <w:rPr>
                <w:rFonts w:ascii="Book Antiqua" w:hAnsi="Book Antiqua"/>
                <w:bCs/>
                <w:vertAlign w:val="superscript"/>
              </w:rPr>
              <w:t>[52]</w:t>
            </w:r>
          </w:p>
        </w:tc>
        <w:tc>
          <w:tcPr>
            <w:tcW w:w="924" w:type="dxa"/>
          </w:tcPr>
          <w:p w14:paraId="22D1E3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CD47</w:t>
            </w:r>
          </w:p>
        </w:tc>
        <w:tc>
          <w:tcPr>
            <w:tcW w:w="1099" w:type="dxa"/>
          </w:tcPr>
          <w:p w14:paraId="68FFAF2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22</w:t>
            </w:r>
          </w:p>
        </w:tc>
        <w:tc>
          <w:tcPr>
            <w:tcW w:w="1698" w:type="dxa"/>
          </w:tcPr>
          <w:p w14:paraId="33EE6B9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 or FL M + R</w:t>
            </w:r>
          </w:p>
        </w:tc>
        <w:tc>
          <w:tcPr>
            <w:tcW w:w="870" w:type="dxa"/>
          </w:tcPr>
          <w:p w14:paraId="5CA166B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1b</w:t>
            </w:r>
          </w:p>
        </w:tc>
        <w:tc>
          <w:tcPr>
            <w:tcW w:w="2411" w:type="dxa"/>
          </w:tcPr>
          <w:p w14:paraId="36EDD6B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DLBCL ORR/CR: 40%/33% FL ORR/CR: 71%/43% AEs: Anemia, Infusion reactions</w:t>
            </w:r>
          </w:p>
        </w:tc>
      </w:tr>
      <w:tr w:rsidR="008E7812" w:rsidRPr="00110998" w14:paraId="4F6486D5" w14:textId="77777777" w:rsidTr="0073203B">
        <w:tc>
          <w:tcPr>
            <w:tcW w:w="2320" w:type="dxa"/>
            <w:tcBorders>
              <w:bottom w:val="single" w:sz="4" w:space="0" w:color="auto"/>
            </w:tcBorders>
          </w:tcPr>
          <w:p w14:paraId="79660A8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Mogamulizumab</w:t>
            </w:r>
            <w:r w:rsidRPr="00110998">
              <w:rPr>
                <w:rFonts w:ascii="Book Antiqua" w:hAnsi="Book Antiqua"/>
                <w:bCs/>
                <w:vertAlign w:val="superscript"/>
              </w:rPr>
              <w:t>[53]</w:t>
            </w:r>
          </w:p>
        </w:tc>
        <w:tc>
          <w:tcPr>
            <w:tcW w:w="924" w:type="dxa"/>
            <w:tcBorders>
              <w:bottom w:val="single" w:sz="4" w:space="0" w:color="auto"/>
            </w:tcBorders>
          </w:tcPr>
          <w:p w14:paraId="5AADDD5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CCR4</w:t>
            </w:r>
          </w:p>
        </w:tc>
        <w:tc>
          <w:tcPr>
            <w:tcW w:w="1099" w:type="dxa"/>
            <w:tcBorders>
              <w:bottom w:val="single" w:sz="4" w:space="0" w:color="auto"/>
            </w:tcBorders>
          </w:tcPr>
          <w:p w14:paraId="5B12253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372</w:t>
            </w:r>
          </w:p>
        </w:tc>
        <w:tc>
          <w:tcPr>
            <w:tcW w:w="1698" w:type="dxa"/>
            <w:tcBorders>
              <w:bottom w:val="single" w:sz="4" w:space="0" w:color="auto"/>
            </w:tcBorders>
          </w:tcPr>
          <w:p w14:paraId="622A35B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CTCL R/R Mo </w:t>
            </w:r>
            <w:r w:rsidRPr="00110998">
              <w:rPr>
                <w:rFonts w:ascii="Book Antiqua" w:hAnsi="Book Antiqua"/>
                <w:bCs/>
                <w:i/>
                <w:lang w:eastAsia="zh-CN"/>
              </w:rPr>
              <w:t>vs</w:t>
            </w:r>
            <w:r w:rsidRPr="00110998">
              <w:rPr>
                <w:rFonts w:ascii="Book Antiqua" w:hAnsi="Book Antiqua"/>
                <w:bCs/>
              </w:rPr>
              <w:t xml:space="preserve"> Vorinostat</w:t>
            </w:r>
          </w:p>
        </w:tc>
        <w:tc>
          <w:tcPr>
            <w:tcW w:w="870" w:type="dxa"/>
            <w:tcBorders>
              <w:bottom w:val="single" w:sz="4" w:space="0" w:color="auto"/>
            </w:tcBorders>
          </w:tcPr>
          <w:p w14:paraId="085BE16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Borders>
              <w:bottom w:val="single" w:sz="4" w:space="0" w:color="auto"/>
            </w:tcBorders>
          </w:tcPr>
          <w:p w14:paraId="47E24B03" w14:textId="30FFD435"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7.7 </w:t>
            </w:r>
            <w:r w:rsidR="0016282E" w:rsidRPr="00110998">
              <w:rPr>
                <w:rFonts w:ascii="Book Antiqua" w:hAnsi="Book Antiqua"/>
                <w:bCs/>
              </w:rPr>
              <w:t>mo</w:t>
            </w:r>
            <w:r w:rsidR="0016282E" w:rsidRPr="00110998">
              <w:rPr>
                <w:rFonts w:ascii="Book Antiqua" w:hAnsi="Book Antiqua"/>
                <w:bCs/>
                <w:i/>
                <w:lang w:eastAsia="zh-CN"/>
              </w:rPr>
              <w:t xml:space="preserve"> </w:t>
            </w:r>
            <w:r w:rsidRPr="00110998">
              <w:rPr>
                <w:rFonts w:ascii="Book Antiqua" w:hAnsi="Book Antiqua"/>
                <w:bCs/>
                <w:i/>
                <w:lang w:eastAsia="zh-CN"/>
              </w:rPr>
              <w:t>vs</w:t>
            </w:r>
            <w:r w:rsidR="0016282E" w:rsidRPr="00110998">
              <w:rPr>
                <w:rFonts w:ascii="Book Antiqua" w:hAnsi="Book Antiqua"/>
                <w:bCs/>
              </w:rPr>
              <w:t xml:space="preserve"> 3.1 mo</w:t>
            </w:r>
            <w:r w:rsidRPr="00110998">
              <w:rPr>
                <w:rFonts w:ascii="Book Antiqua" w:hAnsi="Book Antiqua"/>
                <w:bCs/>
              </w:rPr>
              <w:t xml:space="preserve"> (HR 0.53, </w:t>
            </w:r>
            <w:r w:rsidRPr="00110998">
              <w:rPr>
                <w:rFonts w:ascii="Book Antiqua" w:hAnsi="Book Antiqua"/>
                <w:bCs/>
                <w:i/>
                <w:iCs/>
              </w:rPr>
              <w:t xml:space="preserve">P </w:t>
            </w:r>
            <w:r w:rsidRPr="00110998">
              <w:rPr>
                <w:rFonts w:ascii="Book Antiqua" w:hAnsi="Book Antiqua"/>
                <w:bCs/>
              </w:rPr>
              <w:t>&lt; 0.0001) Grade ≥ 3 AEs:</w:t>
            </w:r>
            <w:r w:rsidR="00110998">
              <w:rPr>
                <w:rFonts w:ascii="Book Antiqua" w:hAnsi="Book Antiqua"/>
                <w:bCs/>
              </w:rPr>
              <w:t xml:space="preserve"> </w:t>
            </w:r>
            <w:r w:rsidRPr="00110998">
              <w:rPr>
                <w:rFonts w:ascii="Book Antiqua" w:hAnsi="Book Antiqua"/>
                <w:bCs/>
              </w:rPr>
              <w:t>Mo: pyrexia 4%, cellulitis 3%; V: cellulitis 3%, PE 3%, sepsis 3%</w:t>
            </w:r>
          </w:p>
        </w:tc>
      </w:tr>
    </w:tbl>
    <w:p w14:paraId="17201FC6" w14:textId="64E8E464" w:rsidR="00304F53" w:rsidRPr="00110998" w:rsidRDefault="00044FAE"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044FAE">
        <w:rPr>
          <w:rFonts w:ascii="Book Antiqua" w:hAnsi="Book Antiqua"/>
        </w:rPr>
        <w:t>;</w:t>
      </w:r>
      <w:r w:rsidRPr="00110998">
        <w:rPr>
          <w:rFonts w:ascii="Book Antiqua" w:hAnsi="Book Antiqua"/>
        </w:rPr>
        <w:t xml:space="preserve"> Benda: Bendamustin</w:t>
      </w:r>
      <w:r w:rsidRPr="00110998" w:rsidDel="00044FAE">
        <w:rPr>
          <w:rFonts w:ascii="Book Antiqua" w:hAnsi="Book Antiqua"/>
        </w:rPr>
        <w:t>;</w:t>
      </w:r>
      <w:r w:rsidRPr="00110998">
        <w:rPr>
          <w:rFonts w:ascii="Book Antiqua" w:hAnsi="Book Antiqua"/>
        </w:rPr>
        <w:t xml:space="preserve"> CCR4: C</w:t>
      </w:r>
      <w:r w:rsidR="00B00F0D">
        <w:rPr>
          <w:rFonts w:ascii="Book Antiqua" w:hAnsi="Book Antiqua"/>
        </w:rPr>
        <w:t xml:space="preserve"> chemokine</w:t>
      </w:r>
      <w:r w:rsidRPr="00110998">
        <w:rPr>
          <w:rFonts w:ascii="Book Antiqua" w:hAnsi="Book Antiqua"/>
        </w:rPr>
        <w:t xml:space="preserve"> receptor 4</w:t>
      </w:r>
      <w:r w:rsidRPr="00110998" w:rsidDel="00044FAE">
        <w:rPr>
          <w:rFonts w:ascii="Book Antiqua" w:hAnsi="Book Antiqua"/>
        </w:rPr>
        <w:t>;</w:t>
      </w:r>
      <w:r w:rsidRPr="00110998">
        <w:rPr>
          <w:rFonts w:ascii="Book Antiqua" w:hAnsi="Book Antiqua"/>
        </w:rPr>
        <w:t xml:space="preserve"> Chemo: </w:t>
      </w:r>
      <w:r w:rsidRPr="00110998">
        <w:rPr>
          <w:rFonts w:ascii="Book Antiqua" w:hAnsi="Book Antiqua"/>
          <w:caps/>
        </w:rPr>
        <w:t>c</w:t>
      </w:r>
      <w:r w:rsidRPr="00110998">
        <w:rPr>
          <w:rFonts w:ascii="Book Antiqua" w:hAnsi="Book Antiqua"/>
        </w:rPr>
        <w:t>hemotherapy</w:t>
      </w:r>
      <w:r w:rsidRPr="00110998" w:rsidDel="00044FAE">
        <w:rPr>
          <w:rFonts w:ascii="Book Antiqua" w:hAnsi="Book Antiqua"/>
        </w:rPr>
        <w:t>;</w:t>
      </w:r>
      <w:r w:rsidRPr="00110998">
        <w:rPr>
          <w:rFonts w:ascii="Book Antiqua" w:hAnsi="Book Antiqua"/>
        </w:rPr>
        <w:t xml:space="preserve"> CIRS: </w:t>
      </w:r>
      <w:r w:rsidRPr="00110998">
        <w:rPr>
          <w:rFonts w:ascii="Book Antiqua" w:hAnsi="Book Antiqua"/>
          <w:caps/>
        </w:rPr>
        <w:t>c</w:t>
      </w:r>
      <w:r w:rsidRPr="00110998">
        <w:rPr>
          <w:rFonts w:ascii="Book Antiqua" w:hAnsi="Book Antiqua"/>
        </w:rPr>
        <w:t>umulative illness rating scale</w:t>
      </w:r>
      <w:r w:rsidRPr="00110998" w:rsidDel="00044FAE">
        <w:rPr>
          <w:rFonts w:ascii="Book Antiqua" w:hAnsi="Book Antiqua"/>
        </w:rPr>
        <w:t>;</w:t>
      </w:r>
      <w:r w:rsidRPr="00110998">
        <w:rPr>
          <w:rFonts w:ascii="Book Antiqua" w:hAnsi="Book Antiqua"/>
        </w:rPr>
        <w:t xml:space="preserve"> Clb: </w:t>
      </w:r>
      <w:r w:rsidR="00110998" w:rsidRPr="00110998">
        <w:rPr>
          <w:rFonts w:ascii="Book Antiqua" w:hAnsi="Book Antiqua"/>
          <w:caps/>
        </w:rPr>
        <w:t>C</w:t>
      </w:r>
      <w:r w:rsidR="00110998" w:rsidRPr="00110998">
        <w:rPr>
          <w:rFonts w:ascii="Book Antiqua" w:hAnsi="Book Antiqua"/>
        </w:rPr>
        <w:t>hlorambucil</w:t>
      </w:r>
      <w:r w:rsidR="00110998" w:rsidRPr="00110998" w:rsidDel="00044FAE">
        <w:rPr>
          <w:rFonts w:ascii="Book Antiqua" w:hAnsi="Book Antiqua"/>
        </w:rPr>
        <w:t>;</w:t>
      </w:r>
      <w:r w:rsidR="00110998" w:rsidRPr="00110998">
        <w:rPr>
          <w:rFonts w:ascii="Book Antiqua" w:hAnsi="Book Antiqua"/>
        </w:rPr>
        <w:t xml:space="preserve"> CLL</w:t>
      </w:r>
      <w:r w:rsidRPr="00110998">
        <w:rPr>
          <w:rFonts w:ascii="Book Antiqua" w:hAnsi="Book Antiqua"/>
        </w:rPr>
        <w:t xml:space="preserve">: </w:t>
      </w:r>
      <w:r w:rsidRPr="00110998">
        <w:rPr>
          <w:rFonts w:ascii="Book Antiqua" w:hAnsi="Book Antiqua"/>
          <w:caps/>
        </w:rPr>
        <w:t>c</w:t>
      </w:r>
      <w:r w:rsidRPr="00110998">
        <w:rPr>
          <w:rFonts w:ascii="Book Antiqua" w:hAnsi="Book Antiqua"/>
        </w:rPr>
        <w:t>hronic lymphocytic leukemia</w:t>
      </w:r>
      <w:r w:rsidRPr="00110998" w:rsidDel="00044FAE">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044FAE">
        <w:rPr>
          <w:rFonts w:ascii="Book Antiqua" w:hAnsi="Book Antiqua"/>
        </w:rPr>
        <w:t>;</w:t>
      </w:r>
      <w:r w:rsidRPr="00110998">
        <w:rPr>
          <w:rFonts w:ascii="Book Antiqua" w:hAnsi="Book Antiqua"/>
        </w:rPr>
        <w:t xml:space="preserve"> CTCL: </w:t>
      </w:r>
      <w:r w:rsidRPr="00110998">
        <w:rPr>
          <w:rFonts w:ascii="Book Antiqua" w:hAnsi="Book Antiqua"/>
          <w:caps/>
        </w:rPr>
        <w:t>c</w:t>
      </w:r>
      <w:r w:rsidRPr="00110998">
        <w:rPr>
          <w:rFonts w:ascii="Book Antiqua" w:hAnsi="Book Antiqua"/>
        </w:rPr>
        <w:t>utaneous T</w:t>
      </w:r>
      <w:r w:rsidR="00A75FA0">
        <w:rPr>
          <w:rFonts w:ascii="Book Antiqua" w:hAnsi="Book Antiqua"/>
        </w:rPr>
        <w:t>-cell</w:t>
      </w:r>
      <w:r w:rsidRPr="00110998">
        <w:rPr>
          <w:rFonts w:ascii="Book Antiqua" w:hAnsi="Book Antiqua"/>
        </w:rPr>
        <w:t xml:space="preserve"> lymphomas</w:t>
      </w:r>
      <w:r w:rsidRPr="00110998" w:rsidDel="00044FAE">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 lymphoma</w:t>
      </w:r>
      <w:r w:rsidRPr="00110998" w:rsidDel="00044FAE">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ollicular lymphoma</w:t>
      </w:r>
      <w:r w:rsidRPr="00110998" w:rsidDel="00044FAE">
        <w:rPr>
          <w:rFonts w:ascii="Book Antiqua" w:hAnsi="Book Antiqua"/>
        </w:rPr>
        <w:t>;</w:t>
      </w:r>
      <w:r w:rsidRPr="00110998">
        <w:rPr>
          <w:rFonts w:ascii="Book Antiqua" w:hAnsi="Book Antiqua"/>
        </w:rPr>
        <w:t xml:space="preserve"> M: Macrolimab</w:t>
      </w:r>
      <w:r w:rsidRPr="00110998" w:rsidDel="00044FAE">
        <w:rPr>
          <w:rFonts w:ascii="Book Antiqua" w:hAnsi="Book Antiqua"/>
        </w:rPr>
        <w:t>;</w:t>
      </w:r>
      <w:r w:rsidRPr="00110998">
        <w:rPr>
          <w:rFonts w:ascii="Book Antiqua" w:hAnsi="Book Antiqua"/>
        </w:rPr>
        <w:t xml:space="preserve"> </w:t>
      </w:r>
      <w:r w:rsidR="00D14340" w:rsidRPr="00110998">
        <w:rPr>
          <w:rFonts w:ascii="Book Antiqua" w:hAnsi="Book Antiqua"/>
        </w:rPr>
        <w:t xml:space="preserve">Мо: Mogalizumab; </w:t>
      </w:r>
      <w:r w:rsidRPr="00110998">
        <w:rPr>
          <w:rFonts w:ascii="Book Antiqua" w:hAnsi="Book Antiqua"/>
        </w:rPr>
        <w:t xml:space="preserve">NR: </w:t>
      </w:r>
      <w:r w:rsidRPr="00110998">
        <w:rPr>
          <w:rFonts w:ascii="Book Antiqua" w:hAnsi="Book Antiqua"/>
          <w:caps/>
        </w:rPr>
        <w:t>n</w:t>
      </w:r>
      <w:r w:rsidRPr="00110998">
        <w:rPr>
          <w:rFonts w:ascii="Book Antiqua" w:hAnsi="Book Antiqua"/>
        </w:rPr>
        <w:t>ot reached</w:t>
      </w:r>
      <w:r w:rsidRPr="00110998" w:rsidDel="00044FAE">
        <w:rPr>
          <w:rFonts w:ascii="Book Antiqua" w:hAnsi="Book Antiqua"/>
        </w:rPr>
        <w:t>;</w:t>
      </w:r>
      <w:r w:rsidRPr="00110998">
        <w:rPr>
          <w:rFonts w:ascii="Book Antiqua" w:hAnsi="Book Antiqua"/>
        </w:rPr>
        <w:t xml:space="preserve"> O: </w:t>
      </w:r>
      <w:r w:rsidRPr="00110998">
        <w:rPr>
          <w:rFonts w:ascii="Book Antiqua" w:hAnsi="Book Antiqua"/>
          <w:caps/>
        </w:rPr>
        <w:t>o</w:t>
      </w:r>
      <w:r w:rsidRPr="00110998">
        <w:rPr>
          <w:rFonts w:ascii="Book Antiqua" w:hAnsi="Book Antiqua"/>
        </w:rPr>
        <w:t>binutuzumab</w:t>
      </w:r>
      <w:r w:rsidRPr="00110998" w:rsidDel="00044FAE">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044FAE">
        <w:rPr>
          <w:rFonts w:ascii="Book Antiqua" w:hAnsi="Book Antiqua"/>
        </w:rPr>
        <w:t>;</w:t>
      </w:r>
      <w:r w:rsidRPr="00110998">
        <w:rPr>
          <w:rFonts w:ascii="Book Antiqua" w:hAnsi="Book Antiqua"/>
        </w:rPr>
        <w:t xml:space="preserve"> OS: </w:t>
      </w:r>
      <w:r w:rsidRPr="00110998">
        <w:rPr>
          <w:rFonts w:ascii="Book Antiqua" w:hAnsi="Book Antiqua"/>
          <w:caps/>
        </w:rPr>
        <w:t>o</w:t>
      </w:r>
      <w:r w:rsidRPr="00110998">
        <w:rPr>
          <w:rFonts w:ascii="Book Antiqua" w:hAnsi="Book Antiqua"/>
        </w:rPr>
        <w:t>verall survival</w:t>
      </w:r>
      <w:r w:rsidRPr="00110998" w:rsidDel="00044FAE">
        <w:rPr>
          <w:rFonts w:ascii="Book Antiqua" w:hAnsi="Book Antiqua"/>
        </w:rPr>
        <w:t>;</w:t>
      </w:r>
      <w:r w:rsidRPr="00110998">
        <w:rPr>
          <w:rFonts w:ascii="Book Antiqua" w:hAnsi="Book Antiqua"/>
        </w:rPr>
        <w:t xml:space="preserve"> PE: </w:t>
      </w:r>
      <w:r w:rsidRPr="00110998">
        <w:rPr>
          <w:rFonts w:ascii="Book Antiqua" w:hAnsi="Book Antiqua"/>
          <w:caps/>
        </w:rPr>
        <w:t>p</w:t>
      </w:r>
      <w:r w:rsidRPr="00110998">
        <w:rPr>
          <w:rFonts w:ascii="Book Antiqua" w:hAnsi="Book Antiqua"/>
        </w:rPr>
        <w:t xml:space="preserve">ulmonary embolism. PFS: </w:t>
      </w:r>
      <w:r w:rsidRPr="00110998">
        <w:rPr>
          <w:rFonts w:ascii="Book Antiqua" w:hAnsi="Book Antiqua"/>
          <w:caps/>
        </w:rPr>
        <w:t>p</w:t>
      </w:r>
      <w:r w:rsidRPr="00110998">
        <w:rPr>
          <w:rFonts w:ascii="Book Antiqua" w:hAnsi="Book Antiqua"/>
        </w:rPr>
        <w:t>rogression</w:t>
      </w:r>
      <w:r w:rsidR="007C2D85">
        <w:rPr>
          <w:rFonts w:ascii="Book Antiqua" w:hAnsi="Book Antiqua"/>
        </w:rPr>
        <w:t>-</w:t>
      </w:r>
      <w:r w:rsidRPr="00110998">
        <w:rPr>
          <w:rFonts w:ascii="Book Antiqua" w:hAnsi="Book Antiqua"/>
        </w:rPr>
        <w:t>free survival</w:t>
      </w:r>
      <w:r w:rsidRPr="00110998" w:rsidDel="00044FAE">
        <w:rPr>
          <w:rFonts w:ascii="Book Antiqua" w:hAnsi="Book Antiqua"/>
        </w:rPr>
        <w:t>;</w:t>
      </w:r>
      <w:r w:rsidRPr="00110998">
        <w:rPr>
          <w:rFonts w:ascii="Book Antiqua" w:hAnsi="Book Antiqua"/>
        </w:rPr>
        <w:t xml:space="preserve"> R: Rituximab</w:t>
      </w:r>
      <w:r w:rsidRPr="00110998" w:rsidDel="00044FAE">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Pr="00110998" w:rsidDel="00044FAE">
        <w:rPr>
          <w:rFonts w:ascii="Book Antiqua" w:hAnsi="Book Antiqua"/>
        </w:rPr>
        <w:t>;</w:t>
      </w:r>
      <w:r w:rsidRPr="00110998">
        <w:rPr>
          <w:rFonts w:ascii="Book Antiqua" w:hAnsi="Book Antiqua"/>
        </w:rPr>
        <w:t xml:space="preserve"> V: Vorinostat</w:t>
      </w:r>
      <w:r w:rsidR="00D14340" w:rsidRPr="00110998">
        <w:rPr>
          <w:rFonts w:ascii="Book Antiqua" w:hAnsi="Book Antiqua"/>
        </w:rPr>
        <w:t>.</w:t>
      </w:r>
    </w:p>
    <w:p w14:paraId="5E9583ED" w14:textId="5F566BF2" w:rsidR="008E7812" w:rsidRPr="00110998" w:rsidRDefault="00882207" w:rsidP="00025A53">
      <w:pPr>
        <w:snapToGrid w:val="0"/>
        <w:spacing w:line="360" w:lineRule="auto"/>
        <w:jc w:val="both"/>
        <w:rPr>
          <w:rFonts w:ascii="Book Antiqua" w:hAnsi="Book Antiqua"/>
        </w:rPr>
      </w:pPr>
      <w:r w:rsidRPr="00110998">
        <w:rPr>
          <w:rFonts w:ascii="Book Antiqua" w:hAnsi="Book Antiqua"/>
        </w:rPr>
        <w:br w:type="page"/>
      </w:r>
      <w:r w:rsidR="008E2E22" w:rsidRPr="00110998">
        <w:rPr>
          <w:rFonts w:ascii="Book Antiqua" w:hAnsi="Book Antiqua"/>
          <w:b/>
        </w:rPr>
        <w:lastRenderedPageBreak/>
        <w:t>Table 2 Antibody</w:t>
      </w:r>
      <w:r w:rsidR="00825823">
        <w:rPr>
          <w:rFonts w:ascii="Book Antiqua" w:hAnsi="Book Antiqua"/>
          <w:b/>
        </w:rPr>
        <w:t>-</w:t>
      </w:r>
      <w:r w:rsidR="008E2E22" w:rsidRPr="00110998">
        <w:rPr>
          <w:rFonts w:ascii="Book Antiqua" w:hAnsi="Book Antiqua"/>
          <w:b/>
        </w:rPr>
        <w:t>drug conjugate</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945"/>
        <w:gridCol w:w="1183"/>
        <w:gridCol w:w="1477"/>
        <w:gridCol w:w="870"/>
        <w:gridCol w:w="2733"/>
      </w:tblGrid>
      <w:tr w:rsidR="008E7812" w:rsidRPr="00110998" w14:paraId="3168A1DB" w14:textId="77777777" w:rsidTr="001E19C1">
        <w:trPr>
          <w:trHeight w:val="664"/>
        </w:trPr>
        <w:tc>
          <w:tcPr>
            <w:tcW w:w="1924" w:type="dxa"/>
            <w:tcBorders>
              <w:top w:val="single" w:sz="4" w:space="0" w:color="auto"/>
              <w:bottom w:val="single" w:sz="4" w:space="0" w:color="auto"/>
            </w:tcBorders>
          </w:tcPr>
          <w:p w14:paraId="28F3002D" w14:textId="42C68E2F"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Drug</w:t>
            </w:r>
            <w:r w:rsidR="001E0F5F" w:rsidRPr="00110998">
              <w:rPr>
                <w:rFonts w:ascii="Book Antiqua" w:hAnsi="Book Antiqua"/>
                <w:b/>
              </w:rPr>
              <w:t xml:space="preserve"> </w:t>
            </w:r>
            <w:r w:rsidR="00D14340" w:rsidRPr="00110998">
              <w:rPr>
                <w:rFonts w:ascii="Book Antiqua" w:hAnsi="Book Antiqua"/>
                <w:b/>
              </w:rPr>
              <w:t>[</w:t>
            </w:r>
            <w:r w:rsidR="001E0F5F" w:rsidRPr="00110998">
              <w:rPr>
                <w:rFonts w:ascii="Book Antiqua" w:hAnsi="Book Antiqua"/>
                <w:b/>
              </w:rPr>
              <w:t>Ref.</w:t>
            </w:r>
            <w:r w:rsidR="00D14340" w:rsidRPr="00110998">
              <w:rPr>
                <w:rFonts w:ascii="Book Antiqua" w:hAnsi="Book Antiqua"/>
                <w:b/>
              </w:rPr>
              <w:t>]</w:t>
            </w:r>
          </w:p>
        </w:tc>
        <w:tc>
          <w:tcPr>
            <w:tcW w:w="945" w:type="dxa"/>
            <w:tcBorders>
              <w:top w:val="single" w:sz="4" w:space="0" w:color="auto"/>
              <w:bottom w:val="single" w:sz="4" w:space="0" w:color="auto"/>
            </w:tcBorders>
          </w:tcPr>
          <w:p w14:paraId="0D5A9977"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188" w:type="dxa"/>
            <w:tcBorders>
              <w:top w:val="single" w:sz="4" w:space="0" w:color="auto"/>
              <w:bottom w:val="single" w:sz="4" w:space="0" w:color="auto"/>
            </w:tcBorders>
          </w:tcPr>
          <w:p w14:paraId="67BE18E9"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No</w:t>
            </w:r>
            <w:r w:rsidR="007A7A61" w:rsidRPr="00110998">
              <w:rPr>
                <w:rFonts w:ascii="Book Antiqua" w:hAnsi="Book Antiqua"/>
                <w:b/>
              </w:rPr>
              <w:t>.</w:t>
            </w:r>
            <w:r w:rsidRPr="00110998">
              <w:rPr>
                <w:rFonts w:ascii="Book Antiqua" w:hAnsi="Book Antiqua"/>
                <w:b/>
              </w:rPr>
              <w:t xml:space="preserve"> of </w:t>
            </w:r>
            <w:r w:rsidR="007A7A61" w:rsidRPr="00110998">
              <w:rPr>
                <w:rFonts w:ascii="Book Antiqua" w:hAnsi="Book Antiqua"/>
                <w:b/>
              </w:rPr>
              <w:t>patient</w:t>
            </w:r>
            <w:r w:rsidRPr="00110998">
              <w:rPr>
                <w:rFonts w:ascii="Book Antiqua" w:hAnsi="Book Antiqua"/>
                <w:b/>
              </w:rPr>
              <w:t>s</w:t>
            </w:r>
          </w:p>
        </w:tc>
        <w:tc>
          <w:tcPr>
            <w:tcW w:w="1489" w:type="dxa"/>
            <w:tcBorders>
              <w:top w:val="single" w:sz="4" w:space="0" w:color="auto"/>
              <w:bottom w:val="single" w:sz="4" w:space="0" w:color="auto"/>
            </w:tcBorders>
          </w:tcPr>
          <w:p w14:paraId="02CE82B5"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477907F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764" w:type="dxa"/>
            <w:tcBorders>
              <w:top w:val="single" w:sz="4" w:space="0" w:color="auto"/>
              <w:bottom w:val="single" w:sz="4" w:space="0" w:color="auto"/>
            </w:tcBorders>
          </w:tcPr>
          <w:p w14:paraId="09342B2A"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A026B3" w:rsidRPr="00110998" w14:paraId="4A904899" w14:textId="77777777" w:rsidTr="001E19C1">
        <w:trPr>
          <w:trHeight w:val="200"/>
        </w:trPr>
        <w:tc>
          <w:tcPr>
            <w:tcW w:w="1924" w:type="dxa"/>
            <w:tcBorders>
              <w:top w:val="single" w:sz="4" w:space="0" w:color="auto"/>
            </w:tcBorders>
          </w:tcPr>
          <w:p w14:paraId="16161FDC" w14:textId="77777777" w:rsidR="00A026B3" w:rsidRPr="00110998" w:rsidRDefault="00A026B3" w:rsidP="00025A53">
            <w:pPr>
              <w:snapToGrid w:val="0"/>
              <w:spacing w:line="360" w:lineRule="auto"/>
              <w:jc w:val="both"/>
              <w:rPr>
                <w:rFonts w:ascii="Book Antiqua" w:hAnsi="Book Antiqua"/>
                <w:b/>
              </w:rPr>
            </w:pPr>
            <w:r w:rsidRPr="00110998">
              <w:rPr>
                <w:rFonts w:ascii="Book Antiqua" w:hAnsi="Book Antiqua"/>
                <w:bCs/>
              </w:rPr>
              <w:t>Brentuximab-vedotin</w:t>
            </w:r>
          </w:p>
        </w:tc>
        <w:tc>
          <w:tcPr>
            <w:tcW w:w="945" w:type="dxa"/>
            <w:tcBorders>
              <w:top w:val="single" w:sz="4" w:space="0" w:color="auto"/>
            </w:tcBorders>
          </w:tcPr>
          <w:p w14:paraId="69D0F178" w14:textId="77777777" w:rsidR="00A026B3" w:rsidRPr="00110998" w:rsidRDefault="00854D19" w:rsidP="00025A53">
            <w:pPr>
              <w:snapToGrid w:val="0"/>
              <w:spacing w:line="360" w:lineRule="auto"/>
              <w:jc w:val="both"/>
              <w:rPr>
                <w:rFonts w:ascii="Book Antiqua" w:hAnsi="Book Antiqua"/>
                <w:b/>
              </w:rPr>
            </w:pPr>
            <w:r w:rsidRPr="00110998">
              <w:rPr>
                <w:rFonts w:ascii="Book Antiqua" w:hAnsi="Book Antiqua"/>
                <w:bCs/>
              </w:rPr>
              <w:t>CD30</w:t>
            </w:r>
          </w:p>
        </w:tc>
        <w:tc>
          <w:tcPr>
            <w:tcW w:w="1188" w:type="dxa"/>
            <w:tcBorders>
              <w:top w:val="single" w:sz="4" w:space="0" w:color="auto"/>
            </w:tcBorders>
          </w:tcPr>
          <w:p w14:paraId="0FCC6B6D" w14:textId="77777777" w:rsidR="00A026B3" w:rsidRPr="00110998" w:rsidRDefault="00A026B3" w:rsidP="00025A53">
            <w:pPr>
              <w:snapToGrid w:val="0"/>
              <w:spacing w:line="360" w:lineRule="auto"/>
              <w:jc w:val="both"/>
              <w:rPr>
                <w:rFonts w:ascii="Book Antiqua" w:hAnsi="Book Antiqua"/>
                <w:b/>
              </w:rPr>
            </w:pPr>
          </w:p>
        </w:tc>
        <w:tc>
          <w:tcPr>
            <w:tcW w:w="1489" w:type="dxa"/>
            <w:tcBorders>
              <w:top w:val="single" w:sz="4" w:space="0" w:color="auto"/>
            </w:tcBorders>
          </w:tcPr>
          <w:p w14:paraId="3041FE7A" w14:textId="77777777" w:rsidR="00A026B3" w:rsidRPr="00110998" w:rsidRDefault="00A026B3" w:rsidP="00025A53">
            <w:pPr>
              <w:snapToGrid w:val="0"/>
              <w:spacing w:line="360" w:lineRule="auto"/>
              <w:jc w:val="both"/>
              <w:rPr>
                <w:rFonts w:ascii="Book Antiqua" w:hAnsi="Book Antiqua"/>
                <w:b/>
              </w:rPr>
            </w:pPr>
          </w:p>
        </w:tc>
        <w:tc>
          <w:tcPr>
            <w:tcW w:w="870" w:type="dxa"/>
            <w:tcBorders>
              <w:top w:val="single" w:sz="4" w:space="0" w:color="auto"/>
            </w:tcBorders>
          </w:tcPr>
          <w:p w14:paraId="6ECC6BE7" w14:textId="77777777" w:rsidR="00A026B3" w:rsidRPr="00110998" w:rsidRDefault="00A026B3" w:rsidP="00025A53">
            <w:pPr>
              <w:snapToGrid w:val="0"/>
              <w:spacing w:line="360" w:lineRule="auto"/>
              <w:jc w:val="both"/>
              <w:rPr>
                <w:rFonts w:ascii="Book Antiqua" w:hAnsi="Book Antiqua"/>
                <w:b/>
              </w:rPr>
            </w:pPr>
          </w:p>
        </w:tc>
        <w:tc>
          <w:tcPr>
            <w:tcW w:w="2764" w:type="dxa"/>
            <w:tcBorders>
              <w:top w:val="single" w:sz="4" w:space="0" w:color="auto"/>
            </w:tcBorders>
          </w:tcPr>
          <w:p w14:paraId="3354781A" w14:textId="77777777" w:rsidR="00A026B3" w:rsidRPr="00110998" w:rsidRDefault="00A026B3" w:rsidP="00025A53">
            <w:pPr>
              <w:snapToGrid w:val="0"/>
              <w:spacing w:line="360" w:lineRule="auto"/>
              <w:jc w:val="both"/>
              <w:rPr>
                <w:rFonts w:ascii="Book Antiqua" w:hAnsi="Book Antiqua"/>
                <w:b/>
              </w:rPr>
            </w:pPr>
          </w:p>
        </w:tc>
      </w:tr>
      <w:tr w:rsidR="008E7812" w:rsidRPr="00110998" w14:paraId="60367877" w14:textId="77777777" w:rsidTr="001E19C1">
        <w:tc>
          <w:tcPr>
            <w:tcW w:w="1924" w:type="dxa"/>
          </w:tcPr>
          <w:p w14:paraId="1C3DF68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[10,58]</w:t>
            </w:r>
          </w:p>
        </w:tc>
        <w:tc>
          <w:tcPr>
            <w:tcW w:w="945" w:type="dxa"/>
          </w:tcPr>
          <w:p w14:paraId="1027E7A0" w14:textId="77777777" w:rsidR="008E7812" w:rsidRPr="00110998" w:rsidRDefault="008E7812" w:rsidP="00025A53">
            <w:pPr>
              <w:snapToGrid w:val="0"/>
              <w:spacing w:line="360" w:lineRule="auto"/>
              <w:jc w:val="both"/>
              <w:rPr>
                <w:rFonts w:ascii="Book Antiqua" w:hAnsi="Book Antiqua"/>
                <w:bCs/>
              </w:rPr>
            </w:pPr>
          </w:p>
        </w:tc>
        <w:tc>
          <w:tcPr>
            <w:tcW w:w="1188" w:type="dxa"/>
          </w:tcPr>
          <w:p w14:paraId="65ED90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102</w:t>
            </w:r>
          </w:p>
        </w:tc>
        <w:tc>
          <w:tcPr>
            <w:tcW w:w="1489" w:type="dxa"/>
          </w:tcPr>
          <w:p w14:paraId="65C50BF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cHL </w:t>
            </w:r>
          </w:p>
        </w:tc>
        <w:tc>
          <w:tcPr>
            <w:tcW w:w="870" w:type="dxa"/>
          </w:tcPr>
          <w:p w14:paraId="536925E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03E0C01B" w14:textId="77777777" w:rsidR="008E7812" w:rsidRPr="00110998" w:rsidRDefault="00300B36" w:rsidP="00025A53">
            <w:pPr>
              <w:snapToGrid w:val="0"/>
              <w:spacing w:line="360" w:lineRule="auto"/>
              <w:jc w:val="both"/>
              <w:rPr>
                <w:rFonts w:ascii="Book Antiqua" w:hAnsi="Book Antiqua"/>
                <w:bCs/>
              </w:rPr>
            </w:pPr>
            <w:r w:rsidRPr="00110998">
              <w:rPr>
                <w:rFonts w:ascii="Book Antiqua" w:hAnsi="Book Antiqua"/>
                <w:bCs/>
              </w:rPr>
              <w:t>ORR/CR: 72%/33% PFS 9.3 mo; OS 40.5 mo</w:t>
            </w:r>
            <w:r w:rsidR="008E2E22" w:rsidRPr="00110998">
              <w:rPr>
                <w:rFonts w:ascii="Book Antiqua" w:hAnsi="Book Antiqua"/>
                <w:bCs/>
              </w:rPr>
              <w:t>; AEs: PSN 42%, nausea 35%, fatigue 34%</w:t>
            </w:r>
          </w:p>
        </w:tc>
      </w:tr>
      <w:tr w:rsidR="008E7812" w:rsidRPr="00110998" w14:paraId="369DAD65" w14:textId="77777777" w:rsidTr="001E19C1">
        <w:tc>
          <w:tcPr>
            <w:tcW w:w="1924" w:type="dxa"/>
          </w:tcPr>
          <w:p w14:paraId="24B850F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[59,60]</w:t>
            </w:r>
          </w:p>
        </w:tc>
        <w:tc>
          <w:tcPr>
            <w:tcW w:w="945" w:type="dxa"/>
          </w:tcPr>
          <w:p w14:paraId="4E06BE24" w14:textId="77777777" w:rsidR="008E7812" w:rsidRPr="00110998" w:rsidRDefault="008E7812" w:rsidP="00025A53">
            <w:pPr>
              <w:snapToGrid w:val="0"/>
              <w:spacing w:line="360" w:lineRule="auto"/>
              <w:jc w:val="both"/>
              <w:rPr>
                <w:rFonts w:ascii="Book Antiqua" w:hAnsi="Book Antiqua"/>
                <w:bCs/>
              </w:rPr>
            </w:pPr>
          </w:p>
        </w:tc>
        <w:tc>
          <w:tcPr>
            <w:tcW w:w="1188" w:type="dxa"/>
          </w:tcPr>
          <w:p w14:paraId="73B93D9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329</w:t>
            </w:r>
          </w:p>
        </w:tc>
        <w:tc>
          <w:tcPr>
            <w:tcW w:w="1489" w:type="dxa"/>
          </w:tcPr>
          <w:p w14:paraId="247C09B8" w14:textId="56496D20"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high</w:t>
            </w:r>
            <w:r w:rsidR="00B00F0D">
              <w:rPr>
                <w:rFonts w:ascii="Book Antiqua" w:hAnsi="Book Antiqua"/>
                <w:bCs/>
              </w:rPr>
              <w:t>-</w:t>
            </w:r>
            <w:r w:rsidRPr="00110998">
              <w:rPr>
                <w:rFonts w:ascii="Book Antiqua" w:hAnsi="Book Antiqua"/>
                <w:bCs/>
              </w:rPr>
              <w:t xml:space="preserve">risk cHL maint BV </w:t>
            </w:r>
            <w:r w:rsidRPr="00110998">
              <w:rPr>
                <w:rFonts w:ascii="Book Antiqua" w:hAnsi="Book Antiqua"/>
                <w:bCs/>
                <w:i/>
                <w:lang w:eastAsia="zh-CN"/>
              </w:rPr>
              <w:t>vs</w:t>
            </w:r>
            <w:r w:rsidRPr="00110998">
              <w:rPr>
                <w:rFonts w:ascii="Book Antiqua" w:hAnsi="Book Antiqua"/>
                <w:bCs/>
              </w:rPr>
              <w:t xml:space="preserve"> Pbo</w:t>
            </w:r>
          </w:p>
        </w:tc>
        <w:tc>
          <w:tcPr>
            <w:tcW w:w="870" w:type="dxa"/>
          </w:tcPr>
          <w:p w14:paraId="458D9F1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651D7851" w14:textId="095A5194"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5-yr PFS rate 59% </w:t>
            </w:r>
            <w:r w:rsidRPr="00110998">
              <w:rPr>
                <w:rFonts w:ascii="Book Antiqua" w:hAnsi="Book Antiqua"/>
                <w:bCs/>
                <w:i/>
                <w:lang w:eastAsia="zh-CN"/>
              </w:rPr>
              <w:t>vs</w:t>
            </w:r>
            <w:r w:rsidRPr="00110998">
              <w:rPr>
                <w:rFonts w:ascii="Book Antiqua" w:hAnsi="Book Antiqua"/>
                <w:bCs/>
              </w:rPr>
              <w:t xml:space="preserve"> 41% (HR 0.52) OS: N</w:t>
            </w:r>
            <w:r w:rsidR="00550F16" w:rsidRPr="00110998">
              <w:rPr>
                <w:rFonts w:ascii="Book Antiqua" w:hAnsi="Book Antiqua"/>
                <w:bCs/>
              </w:rPr>
              <w:t>R</w:t>
            </w:r>
            <w:r w:rsidRPr="00110998">
              <w:rPr>
                <w:rFonts w:ascii="Book Antiqua" w:hAnsi="Book Antiqua"/>
                <w:bCs/>
              </w:rPr>
              <w:t xml:space="preserve"> AEs: PSN (90% resolved)</w:t>
            </w:r>
          </w:p>
        </w:tc>
      </w:tr>
      <w:tr w:rsidR="008E7812" w:rsidRPr="00110998" w14:paraId="6C3D89B4" w14:textId="77777777" w:rsidTr="001E19C1">
        <w:tc>
          <w:tcPr>
            <w:tcW w:w="1924" w:type="dxa"/>
          </w:tcPr>
          <w:p w14:paraId="5A11B9B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[61]</w:t>
            </w:r>
          </w:p>
        </w:tc>
        <w:tc>
          <w:tcPr>
            <w:tcW w:w="945" w:type="dxa"/>
          </w:tcPr>
          <w:p w14:paraId="750F240E" w14:textId="77777777" w:rsidR="008E7812" w:rsidRPr="00110998" w:rsidRDefault="008E7812" w:rsidP="00025A53">
            <w:pPr>
              <w:snapToGrid w:val="0"/>
              <w:spacing w:line="360" w:lineRule="auto"/>
              <w:jc w:val="both"/>
              <w:rPr>
                <w:rFonts w:ascii="Book Antiqua" w:hAnsi="Book Antiqua"/>
                <w:bCs/>
              </w:rPr>
            </w:pPr>
          </w:p>
        </w:tc>
        <w:tc>
          <w:tcPr>
            <w:tcW w:w="1188" w:type="dxa"/>
          </w:tcPr>
          <w:p w14:paraId="60E7273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1334</w:t>
            </w:r>
          </w:p>
        </w:tc>
        <w:tc>
          <w:tcPr>
            <w:tcW w:w="1489" w:type="dxa"/>
          </w:tcPr>
          <w:p w14:paraId="1ED86C2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Untreated cHL CS III/IV BV + AVD </w:t>
            </w:r>
            <w:r w:rsidRPr="00110998">
              <w:rPr>
                <w:rFonts w:ascii="Book Antiqua" w:hAnsi="Book Antiqua"/>
                <w:bCs/>
                <w:i/>
                <w:lang w:eastAsia="zh-CN"/>
              </w:rPr>
              <w:t>vs</w:t>
            </w:r>
            <w:r w:rsidRPr="00110998">
              <w:rPr>
                <w:rFonts w:ascii="Book Antiqua" w:hAnsi="Book Antiqua"/>
                <w:bCs/>
              </w:rPr>
              <w:t xml:space="preserve"> ABVD</w:t>
            </w:r>
          </w:p>
        </w:tc>
        <w:tc>
          <w:tcPr>
            <w:tcW w:w="870" w:type="dxa"/>
          </w:tcPr>
          <w:p w14:paraId="6FBAFC9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73786166" w14:textId="0FB2F1BA"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2-yr mPFS rate: 82.1% </w:t>
            </w:r>
            <w:r w:rsidRPr="00110998">
              <w:rPr>
                <w:rFonts w:ascii="Book Antiqua" w:hAnsi="Book Antiqua"/>
                <w:bCs/>
                <w:i/>
                <w:lang w:eastAsia="zh-CN"/>
              </w:rPr>
              <w:t>vs</w:t>
            </w:r>
            <w:r w:rsidRPr="00110998">
              <w:rPr>
                <w:rFonts w:ascii="Book Antiqua" w:hAnsi="Book Antiqua"/>
                <w:bCs/>
              </w:rPr>
              <w:t xml:space="preserve"> 77.2% (HR 0.77, </w:t>
            </w:r>
            <w:r w:rsidRPr="00110998">
              <w:rPr>
                <w:rFonts w:ascii="Book Antiqua" w:hAnsi="Book Antiqua"/>
                <w:bCs/>
                <w:i/>
                <w:iCs/>
              </w:rPr>
              <w:t xml:space="preserve">P </w:t>
            </w:r>
            <w:r w:rsidRPr="00110998">
              <w:rPr>
                <w:rFonts w:ascii="Book Antiqua" w:hAnsi="Book Antiqua"/>
                <w:bCs/>
              </w:rPr>
              <w:t xml:space="preserve">= 0.04) AEs: Neutropenia 58% </w:t>
            </w:r>
            <w:r w:rsidRPr="00110998">
              <w:rPr>
                <w:rFonts w:ascii="Book Antiqua" w:hAnsi="Book Antiqua"/>
                <w:bCs/>
                <w:i/>
                <w:lang w:eastAsia="zh-CN"/>
              </w:rPr>
              <w:t>vs</w:t>
            </w:r>
            <w:r w:rsidRPr="00110998">
              <w:rPr>
                <w:rFonts w:ascii="Book Antiqua" w:hAnsi="Book Antiqua"/>
                <w:bCs/>
              </w:rPr>
              <w:t xml:space="preserve"> 45%, PSN 67% </w:t>
            </w:r>
            <w:r w:rsidRPr="00110998">
              <w:rPr>
                <w:rFonts w:ascii="Book Antiqua" w:hAnsi="Book Antiqua"/>
                <w:bCs/>
                <w:i/>
                <w:lang w:eastAsia="zh-CN"/>
              </w:rPr>
              <w:t>vs</w:t>
            </w:r>
            <w:r w:rsidRPr="00110998">
              <w:rPr>
                <w:rFonts w:ascii="Book Antiqua" w:hAnsi="Book Antiqua"/>
                <w:bCs/>
              </w:rPr>
              <w:t xml:space="preserve"> 43%, P</w:t>
            </w:r>
            <w:r w:rsidR="00415AE1" w:rsidRPr="00110998">
              <w:rPr>
                <w:rFonts w:ascii="Book Antiqua" w:hAnsi="Book Antiqua"/>
                <w:bCs/>
              </w:rPr>
              <w:t>N</w:t>
            </w:r>
            <w:r w:rsidRPr="00110998">
              <w:rPr>
                <w:rFonts w:ascii="Book Antiqua" w:hAnsi="Book Antiqua"/>
                <w:bCs/>
              </w:rPr>
              <w:t xml:space="preserve"> 1% </w:t>
            </w:r>
            <w:r w:rsidRPr="00110998">
              <w:rPr>
                <w:rFonts w:ascii="Book Antiqua" w:hAnsi="Book Antiqua"/>
                <w:bCs/>
                <w:i/>
                <w:lang w:eastAsia="zh-CN"/>
              </w:rPr>
              <w:t>vs</w:t>
            </w:r>
            <w:r w:rsidRPr="00110998">
              <w:rPr>
                <w:rFonts w:ascii="Book Antiqua" w:hAnsi="Book Antiqua"/>
                <w:bCs/>
              </w:rPr>
              <w:t xml:space="preserve"> 3%</w:t>
            </w:r>
          </w:p>
        </w:tc>
      </w:tr>
      <w:tr w:rsidR="008E7812" w:rsidRPr="00110998" w14:paraId="2ABC6416" w14:textId="77777777" w:rsidTr="001E19C1">
        <w:tc>
          <w:tcPr>
            <w:tcW w:w="1924" w:type="dxa"/>
          </w:tcPr>
          <w:p w14:paraId="0FD89DC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[62]</w:t>
            </w:r>
          </w:p>
        </w:tc>
        <w:tc>
          <w:tcPr>
            <w:tcW w:w="945" w:type="dxa"/>
          </w:tcPr>
          <w:p w14:paraId="0429979D" w14:textId="77777777" w:rsidR="008E7812" w:rsidRPr="00110998" w:rsidRDefault="008E7812" w:rsidP="00025A53">
            <w:pPr>
              <w:snapToGrid w:val="0"/>
              <w:spacing w:line="360" w:lineRule="auto"/>
              <w:jc w:val="both"/>
              <w:rPr>
                <w:rFonts w:ascii="Book Antiqua" w:hAnsi="Book Antiqua"/>
                <w:bCs/>
              </w:rPr>
            </w:pPr>
          </w:p>
        </w:tc>
        <w:tc>
          <w:tcPr>
            <w:tcW w:w="1188" w:type="dxa"/>
          </w:tcPr>
          <w:p w14:paraId="4AAA1DF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131</w:t>
            </w:r>
          </w:p>
        </w:tc>
        <w:tc>
          <w:tcPr>
            <w:tcW w:w="1489" w:type="dxa"/>
          </w:tcPr>
          <w:p w14:paraId="7B4CE5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CTCL or cALCL; </w:t>
            </w:r>
            <w:r w:rsidRPr="00110998">
              <w:rPr>
                <w:rFonts w:ascii="Book Antiqua" w:hAnsi="Book Antiqua"/>
                <w:bCs/>
                <w:i/>
                <w:lang w:eastAsia="zh-CN"/>
              </w:rPr>
              <w:t>vs</w:t>
            </w:r>
            <w:r w:rsidRPr="00110998">
              <w:rPr>
                <w:rFonts w:ascii="Book Antiqua" w:hAnsi="Book Antiqua"/>
                <w:bCs/>
              </w:rPr>
              <w:t xml:space="preserve"> MTX or BV</w:t>
            </w:r>
          </w:p>
        </w:tc>
        <w:tc>
          <w:tcPr>
            <w:tcW w:w="870" w:type="dxa"/>
          </w:tcPr>
          <w:p w14:paraId="5012E56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7FF6663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ORR4: 56.3% </w:t>
            </w:r>
            <w:r w:rsidRPr="00110998">
              <w:rPr>
                <w:rFonts w:ascii="Book Antiqua" w:hAnsi="Book Antiqua"/>
                <w:bCs/>
                <w:i/>
                <w:lang w:eastAsia="zh-CN"/>
              </w:rPr>
              <w:t>vs</w:t>
            </w:r>
            <w:r w:rsidRPr="00110998">
              <w:rPr>
                <w:rFonts w:ascii="Book Antiqua" w:hAnsi="Book Antiqua"/>
                <w:bCs/>
              </w:rPr>
              <w:t xml:space="preserve"> 12.5% (</w:t>
            </w:r>
            <w:r w:rsidRPr="00110998">
              <w:rPr>
                <w:rFonts w:ascii="Book Antiqua" w:hAnsi="Book Antiqua"/>
                <w:bCs/>
                <w:i/>
                <w:iCs/>
              </w:rPr>
              <w:t>P</w:t>
            </w:r>
            <w:r w:rsidRPr="00110998">
              <w:rPr>
                <w:rFonts w:ascii="Book Antiqua" w:hAnsi="Book Antiqua"/>
                <w:bCs/>
              </w:rPr>
              <w:t xml:space="preserve"> &lt; 0.0001); EFS: 9.4 </w:t>
            </w:r>
            <w:r w:rsidR="00300B36" w:rsidRPr="00110998">
              <w:rPr>
                <w:rFonts w:ascii="Book Antiqua" w:hAnsi="Book Antiqua"/>
                <w:bCs/>
              </w:rPr>
              <w:t>mo</w:t>
            </w:r>
            <w:r w:rsidR="00300B36" w:rsidRPr="00110998">
              <w:rPr>
                <w:rFonts w:ascii="Book Antiqua" w:hAnsi="Book Antiqua"/>
                <w:bCs/>
                <w:i/>
                <w:lang w:eastAsia="zh-CN"/>
              </w:rPr>
              <w:t xml:space="preserve"> </w:t>
            </w:r>
            <w:r w:rsidRPr="00110998">
              <w:rPr>
                <w:rFonts w:ascii="Book Antiqua" w:hAnsi="Book Antiqua"/>
                <w:bCs/>
                <w:i/>
                <w:lang w:eastAsia="zh-CN"/>
              </w:rPr>
              <w:t>vs</w:t>
            </w:r>
            <w:r w:rsidR="00300B36" w:rsidRPr="00110998">
              <w:rPr>
                <w:rFonts w:ascii="Book Antiqua" w:hAnsi="Book Antiqua"/>
                <w:bCs/>
              </w:rPr>
              <w:t xml:space="preserve"> 2.3 mo</w:t>
            </w:r>
            <w:r w:rsidRPr="00110998">
              <w:rPr>
                <w:rFonts w:ascii="Book Antiqua" w:hAnsi="Book Antiqua"/>
                <w:bCs/>
              </w:rPr>
              <w:t xml:space="preserve"> (HR 0.28, </w:t>
            </w:r>
            <w:r w:rsidRPr="00110998">
              <w:rPr>
                <w:rFonts w:ascii="Book Antiqua" w:hAnsi="Book Antiqua"/>
                <w:bCs/>
                <w:i/>
                <w:iCs/>
              </w:rPr>
              <w:t xml:space="preserve">P </w:t>
            </w:r>
            <w:r w:rsidRPr="00110998">
              <w:rPr>
                <w:rFonts w:ascii="Book Antiqua" w:hAnsi="Book Antiqua"/>
                <w:bCs/>
              </w:rPr>
              <w:t xml:space="preserve">&lt; 0.0001) Grade ≥ 3 AEs: 41% </w:t>
            </w:r>
            <w:r w:rsidRPr="00110998">
              <w:rPr>
                <w:rFonts w:ascii="Book Antiqua" w:hAnsi="Book Antiqua"/>
                <w:bCs/>
                <w:i/>
                <w:lang w:eastAsia="zh-CN"/>
              </w:rPr>
              <w:t>vs</w:t>
            </w:r>
            <w:r w:rsidRPr="00110998">
              <w:rPr>
                <w:rFonts w:ascii="Book Antiqua" w:hAnsi="Book Antiqua"/>
                <w:bCs/>
              </w:rPr>
              <w:t xml:space="preserve"> 47%; PSN: 67% </w:t>
            </w:r>
            <w:r w:rsidRPr="00110998">
              <w:rPr>
                <w:rFonts w:ascii="Book Antiqua" w:hAnsi="Book Antiqua"/>
                <w:bCs/>
                <w:i/>
                <w:lang w:eastAsia="zh-CN"/>
              </w:rPr>
              <w:t>vs</w:t>
            </w:r>
            <w:r w:rsidRPr="00110998">
              <w:rPr>
                <w:rFonts w:ascii="Book Antiqua" w:hAnsi="Book Antiqua"/>
                <w:bCs/>
              </w:rPr>
              <w:t xml:space="preserve"> 6%</w:t>
            </w:r>
          </w:p>
        </w:tc>
      </w:tr>
      <w:tr w:rsidR="008E7812" w:rsidRPr="00110998" w14:paraId="1416E90B" w14:textId="77777777" w:rsidTr="001E19C1">
        <w:tc>
          <w:tcPr>
            <w:tcW w:w="1924" w:type="dxa"/>
          </w:tcPr>
          <w:p w14:paraId="18586F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[63]</w:t>
            </w:r>
          </w:p>
        </w:tc>
        <w:tc>
          <w:tcPr>
            <w:tcW w:w="945" w:type="dxa"/>
          </w:tcPr>
          <w:p w14:paraId="13BFC3A4" w14:textId="77777777" w:rsidR="008E7812" w:rsidRPr="00110998" w:rsidRDefault="008E7812" w:rsidP="00025A53">
            <w:pPr>
              <w:snapToGrid w:val="0"/>
              <w:spacing w:line="360" w:lineRule="auto"/>
              <w:jc w:val="both"/>
              <w:rPr>
                <w:rFonts w:ascii="Book Antiqua" w:hAnsi="Book Antiqua"/>
                <w:bCs/>
              </w:rPr>
            </w:pPr>
          </w:p>
        </w:tc>
        <w:tc>
          <w:tcPr>
            <w:tcW w:w="1188" w:type="dxa"/>
          </w:tcPr>
          <w:p w14:paraId="3EC134F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58</w:t>
            </w:r>
          </w:p>
        </w:tc>
        <w:tc>
          <w:tcPr>
            <w:tcW w:w="1489" w:type="dxa"/>
          </w:tcPr>
          <w:p w14:paraId="151A693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ALCL</w:t>
            </w:r>
          </w:p>
        </w:tc>
        <w:tc>
          <w:tcPr>
            <w:tcW w:w="870" w:type="dxa"/>
          </w:tcPr>
          <w:p w14:paraId="31420E6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4E2F9FE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86%/66%; 5-yr OS rate: 60%, 5-yr OS rate (in CR </w:t>
            </w:r>
            <w:r w:rsidRPr="00110998">
              <w:rPr>
                <w:rFonts w:ascii="Book Antiqua" w:hAnsi="Book Antiqua"/>
                <w:bCs/>
                <w:i/>
                <w:lang w:eastAsia="zh-CN"/>
              </w:rPr>
              <w:t>vs</w:t>
            </w:r>
            <w:r w:rsidRPr="00110998">
              <w:rPr>
                <w:rFonts w:ascii="Book Antiqua" w:hAnsi="Book Antiqua"/>
                <w:bCs/>
              </w:rPr>
              <w:t xml:space="preserve"> non-CR): 79% </w:t>
            </w:r>
            <w:r w:rsidRPr="00110998">
              <w:rPr>
                <w:rFonts w:ascii="Book Antiqua" w:hAnsi="Book Antiqua"/>
                <w:bCs/>
                <w:i/>
                <w:lang w:eastAsia="zh-CN"/>
              </w:rPr>
              <w:t>vs</w:t>
            </w:r>
            <w:r w:rsidRPr="00110998">
              <w:rPr>
                <w:rFonts w:ascii="Book Antiqua" w:hAnsi="Book Antiqua"/>
                <w:bCs/>
              </w:rPr>
              <w:t xml:space="preserve"> 25%</w:t>
            </w:r>
          </w:p>
        </w:tc>
      </w:tr>
      <w:tr w:rsidR="008E7812" w:rsidRPr="00110998" w14:paraId="4F520875" w14:textId="77777777" w:rsidTr="001E19C1">
        <w:tc>
          <w:tcPr>
            <w:tcW w:w="1924" w:type="dxa"/>
          </w:tcPr>
          <w:p w14:paraId="4DF7095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[64]</w:t>
            </w:r>
          </w:p>
        </w:tc>
        <w:tc>
          <w:tcPr>
            <w:tcW w:w="945" w:type="dxa"/>
          </w:tcPr>
          <w:p w14:paraId="192E06E1" w14:textId="77777777" w:rsidR="008E7812" w:rsidRPr="00110998" w:rsidRDefault="008E7812" w:rsidP="00025A53">
            <w:pPr>
              <w:snapToGrid w:val="0"/>
              <w:spacing w:line="360" w:lineRule="auto"/>
              <w:jc w:val="both"/>
              <w:rPr>
                <w:rFonts w:ascii="Book Antiqua" w:hAnsi="Book Antiqua"/>
                <w:bCs/>
              </w:rPr>
            </w:pPr>
          </w:p>
        </w:tc>
        <w:tc>
          <w:tcPr>
            <w:tcW w:w="1188" w:type="dxa"/>
          </w:tcPr>
          <w:p w14:paraId="15CAA90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601</w:t>
            </w:r>
          </w:p>
        </w:tc>
        <w:tc>
          <w:tcPr>
            <w:tcW w:w="1489" w:type="dxa"/>
          </w:tcPr>
          <w:p w14:paraId="1AC3295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Untreated </w:t>
            </w:r>
            <w:r w:rsidRPr="00110998">
              <w:rPr>
                <w:rFonts w:ascii="Book Antiqua" w:hAnsi="Book Antiqua"/>
                <w:bCs/>
              </w:rPr>
              <w:lastRenderedPageBreak/>
              <w:t xml:space="preserve">CD30+ sALCL; BV + CHP </w:t>
            </w:r>
            <w:r w:rsidRPr="00110998">
              <w:rPr>
                <w:rFonts w:ascii="Book Antiqua" w:hAnsi="Book Antiqua"/>
                <w:bCs/>
                <w:i/>
                <w:lang w:eastAsia="zh-CN"/>
              </w:rPr>
              <w:t>vs</w:t>
            </w:r>
            <w:r w:rsidRPr="00110998">
              <w:rPr>
                <w:rFonts w:ascii="Book Antiqua" w:hAnsi="Book Antiqua"/>
                <w:bCs/>
              </w:rPr>
              <w:t xml:space="preserve"> CHOP</w:t>
            </w:r>
          </w:p>
        </w:tc>
        <w:tc>
          <w:tcPr>
            <w:tcW w:w="870" w:type="dxa"/>
          </w:tcPr>
          <w:p w14:paraId="4C16BAF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3</w:t>
            </w:r>
          </w:p>
        </w:tc>
        <w:tc>
          <w:tcPr>
            <w:tcW w:w="2764" w:type="dxa"/>
          </w:tcPr>
          <w:p w14:paraId="1F104C7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48.2 </w:t>
            </w:r>
            <w:r w:rsidR="00DD0630" w:rsidRPr="00110998">
              <w:rPr>
                <w:rFonts w:ascii="Book Antiqua" w:hAnsi="Book Antiqua"/>
                <w:bCs/>
              </w:rPr>
              <w:t>mo</w:t>
            </w:r>
            <w:r w:rsidR="00DD0630" w:rsidRPr="00110998">
              <w:rPr>
                <w:rFonts w:ascii="Book Antiqua" w:hAnsi="Book Antiqua"/>
                <w:bCs/>
                <w:i/>
                <w:lang w:eastAsia="zh-CN"/>
              </w:rPr>
              <w:t xml:space="preserve"> </w:t>
            </w:r>
            <w:r w:rsidRPr="00110998">
              <w:rPr>
                <w:rFonts w:ascii="Book Antiqua" w:hAnsi="Book Antiqua"/>
                <w:bCs/>
                <w:i/>
                <w:lang w:eastAsia="zh-CN"/>
              </w:rPr>
              <w:t>vs</w:t>
            </w:r>
            <w:r w:rsidR="00DD0630" w:rsidRPr="00110998">
              <w:rPr>
                <w:rFonts w:ascii="Book Antiqua" w:hAnsi="Book Antiqua"/>
                <w:bCs/>
              </w:rPr>
              <w:t xml:space="preserve"> 20.8 mo</w:t>
            </w:r>
            <w:r w:rsidRPr="00110998">
              <w:rPr>
                <w:rFonts w:ascii="Book Antiqua" w:hAnsi="Book Antiqua"/>
                <w:bCs/>
              </w:rPr>
              <w:t xml:space="preserve"> </w:t>
            </w:r>
            <w:r w:rsidRPr="00110998">
              <w:rPr>
                <w:rFonts w:ascii="Book Antiqua" w:hAnsi="Book Antiqua"/>
                <w:bCs/>
              </w:rPr>
              <w:lastRenderedPageBreak/>
              <w:t xml:space="preserve">(HR 0.71, </w:t>
            </w:r>
            <w:r w:rsidRPr="00110998">
              <w:rPr>
                <w:rFonts w:ascii="Book Antiqua" w:hAnsi="Book Antiqua"/>
                <w:bCs/>
                <w:i/>
                <w:iCs/>
              </w:rPr>
              <w:t xml:space="preserve">P </w:t>
            </w:r>
            <w:r w:rsidRPr="00110998">
              <w:rPr>
                <w:rFonts w:ascii="Book Antiqua" w:hAnsi="Book Antiqua"/>
                <w:bCs/>
              </w:rPr>
              <w:t xml:space="preserve">= 0.011); OS: NR </w:t>
            </w:r>
            <w:r w:rsidRPr="00110998">
              <w:rPr>
                <w:rFonts w:ascii="Book Antiqua" w:hAnsi="Book Antiqua"/>
                <w:bCs/>
                <w:i/>
                <w:lang w:eastAsia="zh-CN"/>
              </w:rPr>
              <w:t>vs</w:t>
            </w:r>
            <w:r w:rsidRPr="00110998">
              <w:rPr>
                <w:rFonts w:ascii="Book Antiqua" w:hAnsi="Book Antiqua"/>
                <w:bCs/>
              </w:rPr>
              <w:t xml:space="preserve"> NR (HR 0.66, </w:t>
            </w:r>
            <w:r w:rsidRPr="00110998">
              <w:rPr>
                <w:rFonts w:ascii="Book Antiqua" w:hAnsi="Book Antiqua"/>
                <w:bCs/>
                <w:i/>
                <w:iCs/>
              </w:rPr>
              <w:t xml:space="preserve">P </w:t>
            </w:r>
            <w:r w:rsidRPr="00110998">
              <w:rPr>
                <w:rFonts w:ascii="Book Antiqua" w:hAnsi="Book Antiqua"/>
                <w:bCs/>
              </w:rPr>
              <w:t xml:space="preserve">= 0.024) AEs: febrile neutropenia 18% </w:t>
            </w:r>
            <w:r w:rsidRPr="00110998">
              <w:rPr>
                <w:rFonts w:ascii="Book Antiqua" w:hAnsi="Book Antiqua"/>
                <w:bCs/>
                <w:i/>
                <w:lang w:eastAsia="zh-CN"/>
              </w:rPr>
              <w:t>vs</w:t>
            </w:r>
            <w:r w:rsidRPr="00110998">
              <w:rPr>
                <w:rFonts w:ascii="Book Antiqua" w:hAnsi="Book Antiqua"/>
                <w:bCs/>
              </w:rPr>
              <w:t xml:space="preserve"> 15%, PSN 52% </w:t>
            </w:r>
            <w:r w:rsidRPr="00110998">
              <w:rPr>
                <w:rFonts w:ascii="Book Antiqua" w:hAnsi="Book Antiqua"/>
                <w:bCs/>
                <w:i/>
                <w:lang w:eastAsia="zh-CN"/>
              </w:rPr>
              <w:t>vs</w:t>
            </w:r>
            <w:r w:rsidRPr="00110998">
              <w:rPr>
                <w:rFonts w:ascii="Book Antiqua" w:hAnsi="Book Antiqua"/>
                <w:bCs/>
              </w:rPr>
              <w:t xml:space="preserve"> 55%</w:t>
            </w:r>
          </w:p>
        </w:tc>
      </w:tr>
      <w:tr w:rsidR="008E7812" w:rsidRPr="00110998" w14:paraId="5EF83706" w14:textId="77777777" w:rsidTr="001E19C1">
        <w:tc>
          <w:tcPr>
            <w:tcW w:w="1924" w:type="dxa"/>
          </w:tcPr>
          <w:p w14:paraId="191B562F" w14:textId="59EC4C79"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Polatuzumab</w:t>
            </w:r>
            <w:r w:rsidR="00825823">
              <w:rPr>
                <w:rFonts w:ascii="Book Antiqua" w:hAnsi="Book Antiqua"/>
                <w:bCs/>
              </w:rPr>
              <w:t xml:space="preserve"> </w:t>
            </w:r>
            <w:r w:rsidRPr="00110998">
              <w:rPr>
                <w:rFonts w:ascii="Book Antiqua" w:hAnsi="Book Antiqua"/>
                <w:bCs/>
              </w:rPr>
              <w:t>vedotin</w:t>
            </w:r>
            <w:r w:rsidRPr="00110998">
              <w:rPr>
                <w:rFonts w:ascii="Book Antiqua" w:hAnsi="Book Antiqua"/>
                <w:bCs/>
                <w:vertAlign w:val="superscript"/>
              </w:rPr>
              <w:t>[65]</w:t>
            </w:r>
          </w:p>
        </w:tc>
        <w:tc>
          <w:tcPr>
            <w:tcW w:w="945" w:type="dxa"/>
          </w:tcPr>
          <w:p w14:paraId="48C60F3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CD79b</w:t>
            </w:r>
          </w:p>
        </w:tc>
        <w:tc>
          <w:tcPr>
            <w:tcW w:w="1188" w:type="dxa"/>
          </w:tcPr>
          <w:p w14:paraId="71423E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80</w:t>
            </w:r>
          </w:p>
        </w:tc>
        <w:tc>
          <w:tcPr>
            <w:tcW w:w="1489" w:type="dxa"/>
          </w:tcPr>
          <w:p w14:paraId="156BEF5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DLBCL; PV + R + Benda </w:t>
            </w:r>
            <w:r w:rsidRPr="00110998">
              <w:rPr>
                <w:rFonts w:ascii="Book Antiqua" w:hAnsi="Book Antiqua"/>
                <w:bCs/>
                <w:i/>
                <w:lang w:eastAsia="zh-CN"/>
              </w:rPr>
              <w:t>vs</w:t>
            </w:r>
            <w:r w:rsidRPr="00110998">
              <w:rPr>
                <w:rFonts w:ascii="Book Antiqua" w:hAnsi="Book Antiqua"/>
                <w:bCs/>
              </w:rPr>
              <w:t xml:space="preserve"> R + Benda</w:t>
            </w:r>
          </w:p>
        </w:tc>
        <w:tc>
          <w:tcPr>
            <w:tcW w:w="870" w:type="dxa"/>
          </w:tcPr>
          <w:p w14:paraId="68CA54F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352B736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CR:</w:t>
            </w:r>
            <w:r w:rsidR="00F179A9" w:rsidRPr="00110998">
              <w:rPr>
                <w:rFonts w:ascii="Book Antiqua" w:hAnsi="Book Antiqua"/>
                <w:bCs/>
              </w:rPr>
              <w:t xml:space="preserve"> </w:t>
            </w:r>
            <w:r w:rsidRPr="00110998">
              <w:rPr>
                <w:rFonts w:ascii="Book Antiqua" w:hAnsi="Book Antiqua"/>
                <w:bCs/>
              </w:rPr>
              <w:t xml:space="preserve">40% </w:t>
            </w:r>
            <w:r w:rsidRPr="00110998">
              <w:rPr>
                <w:rFonts w:ascii="Book Antiqua" w:hAnsi="Book Antiqua"/>
                <w:bCs/>
                <w:i/>
                <w:lang w:eastAsia="zh-CN"/>
              </w:rPr>
              <w:t>vs</w:t>
            </w:r>
            <w:r w:rsidRPr="00110998">
              <w:rPr>
                <w:rFonts w:ascii="Book Antiqua" w:hAnsi="Book Antiqua"/>
                <w:bCs/>
              </w:rPr>
              <w:t xml:space="preserve"> 17.5% PFS: 9.5 </w:t>
            </w:r>
            <w:r w:rsidR="00F3530A" w:rsidRPr="00110998">
              <w:rPr>
                <w:rFonts w:ascii="Book Antiqua" w:hAnsi="Book Antiqua"/>
                <w:bCs/>
              </w:rPr>
              <w:t>mo</w:t>
            </w:r>
            <w:r w:rsidR="00F3530A" w:rsidRPr="00110998">
              <w:rPr>
                <w:rFonts w:ascii="Book Antiqua" w:hAnsi="Book Antiqua"/>
                <w:bCs/>
                <w:i/>
                <w:lang w:eastAsia="zh-CN"/>
              </w:rPr>
              <w:t xml:space="preserve"> </w:t>
            </w:r>
            <w:r w:rsidRPr="00110998">
              <w:rPr>
                <w:rFonts w:ascii="Book Antiqua" w:hAnsi="Book Antiqua"/>
                <w:bCs/>
                <w:i/>
                <w:lang w:eastAsia="zh-CN"/>
              </w:rPr>
              <w:t>vs</w:t>
            </w:r>
            <w:r w:rsidR="00F3530A" w:rsidRPr="00110998">
              <w:rPr>
                <w:rFonts w:ascii="Book Antiqua" w:hAnsi="Book Antiqua"/>
                <w:bCs/>
              </w:rPr>
              <w:t xml:space="preserve"> 3.7 mo</w:t>
            </w:r>
            <w:r w:rsidRPr="00110998">
              <w:rPr>
                <w:rFonts w:ascii="Book Antiqua" w:hAnsi="Book Antiqua"/>
                <w:bCs/>
              </w:rPr>
              <w:t xml:space="preserve"> (HR 0.63, </w:t>
            </w:r>
            <w:r w:rsidRPr="00110998">
              <w:rPr>
                <w:rFonts w:ascii="Book Antiqua" w:hAnsi="Book Antiqua"/>
                <w:bCs/>
                <w:i/>
                <w:iCs/>
              </w:rPr>
              <w:t>P</w:t>
            </w:r>
            <w:r w:rsidRPr="00110998">
              <w:rPr>
                <w:rFonts w:ascii="Book Antiqua" w:hAnsi="Book Antiqua"/>
                <w:bCs/>
              </w:rPr>
              <w:t xml:space="preserve"> &lt; 0.001) Grade ≥ 3 AEs: Anemia 28.2% </w:t>
            </w:r>
            <w:r w:rsidRPr="00110998">
              <w:rPr>
                <w:rFonts w:ascii="Book Antiqua" w:hAnsi="Book Antiqua"/>
                <w:bCs/>
                <w:i/>
                <w:lang w:eastAsia="zh-CN"/>
              </w:rPr>
              <w:t>vs</w:t>
            </w:r>
            <w:r w:rsidRPr="00110998">
              <w:rPr>
                <w:rFonts w:ascii="Book Antiqua" w:hAnsi="Book Antiqua"/>
                <w:bCs/>
              </w:rPr>
              <w:t xml:space="preserve"> 17.9%, Neutropenia 46.2% </w:t>
            </w:r>
            <w:r w:rsidRPr="00110998">
              <w:rPr>
                <w:rFonts w:ascii="Book Antiqua" w:hAnsi="Book Antiqua"/>
                <w:bCs/>
                <w:i/>
                <w:lang w:eastAsia="zh-CN"/>
              </w:rPr>
              <w:t>vs</w:t>
            </w:r>
            <w:r w:rsidRPr="00110998">
              <w:rPr>
                <w:rFonts w:ascii="Book Antiqua" w:hAnsi="Book Antiqua"/>
                <w:bCs/>
              </w:rPr>
              <w:t xml:space="preserve"> 33.3% Thrombocytopenia 41.0% </w:t>
            </w:r>
            <w:r w:rsidRPr="00110998">
              <w:rPr>
                <w:rFonts w:ascii="Book Antiqua" w:hAnsi="Book Antiqua"/>
                <w:bCs/>
                <w:i/>
                <w:lang w:eastAsia="zh-CN"/>
              </w:rPr>
              <w:t>vs</w:t>
            </w:r>
            <w:r w:rsidRPr="00110998">
              <w:rPr>
                <w:rFonts w:ascii="Book Antiqua" w:hAnsi="Book Antiqua"/>
                <w:bCs/>
              </w:rPr>
              <w:t xml:space="preserve"> 23.1%</w:t>
            </w:r>
          </w:p>
        </w:tc>
      </w:tr>
      <w:tr w:rsidR="008E7812" w:rsidRPr="00110998" w14:paraId="16BD0FAE" w14:textId="77777777" w:rsidTr="001E19C1">
        <w:tc>
          <w:tcPr>
            <w:tcW w:w="1924" w:type="dxa"/>
            <w:tcBorders>
              <w:bottom w:val="single" w:sz="4" w:space="0" w:color="auto"/>
            </w:tcBorders>
          </w:tcPr>
          <w:p w14:paraId="7363C8E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Moxetumomab-pasudotox</w:t>
            </w:r>
            <w:r w:rsidRPr="00110998">
              <w:rPr>
                <w:rFonts w:ascii="Book Antiqua" w:hAnsi="Book Antiqua"/>
                <w:bCs/>
                <w:vertAlign w:val="superscript"/>
              </w:rPr>
              <w:t>[68]</w:t>
            </w:r>
          </w:p>
        </w:tc>
        <w:tc>
          <w:tcPr>
            <w:tcW w:w="945" w:type="dxa"/>
            <w:tcBorders>
              <w:bottom w:val="single" w:sz="4" w:space="0" w:color="auto"/>
            </w:tcBorders>
          </w:tcPr>
          <w:p w14:paraId="561E489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CD22</w:t>
            </w:r>
          </w:p>
        </w:tc>
        <w:tc>
          <w:tcPr>
            <w:tcW w:w="1188" w:type="dxa"/>
            <w:tcBorders>
              <w:bottom w:val="single" w:sz="4" w:space="0" w:color="auto"/>
            </w:tcBorders>
          </w:tcPr>
          <w:p w14:paraId="62D29A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80</w:t>
            </w:r>
          </w:p>
        </w:tc>
        <w:tc>
          <w:tcPr>
            <w:tcW w:w="1489" w:type="dxa"/>
            <w:tcBorders>
              <w:bottom w:val="single" w:sz="4" w:space="0" w:color="auto"/>
            </w:tcBorders>
          </w:tcPr>
          <w:p w14:paraId="4483A01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HCL</w:t>
            </w:r>
          </w:p>
        </w:tc>
        <w:tc>
          <w:tcPr>
            <w:tcW w:w="870" w:type="dxa"/>
            <w:tcBorders>
              <w:bottom w:val="single" w:sz="4" w:space="0" w:color="auto"/>
            </w:tcBorders>
          </w:tcPr>
          <w:p w14:paraId="08A10DF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Borders>
              <w:bottom w:val="single" w:sz="4" w:space="0" w:color="auto"/>
            </w:tcBorders>
          </w:tcPr>
          <w:p w14:paraId="25A06E8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75% CR:</w:t>
            </w:r>
            <w:r w:rsidR="00F179A9" w:rsidRPr="00110998">
              <w:rPr>
                <w:rFonts w:ascii="Book Antiqua" w:hAnsi="Book Antiqua"/>
                <w:bCs/>
              </w:rPr>
              <w:t xml:space="preserve"> </w:t>
            </w:r>
            <w:r w:rsidRPr="00110998">
              <w:rPr>
                <w:rFonts w:ascii="Book Antiqua" w:hAnsi="Book Antiqua"/>
                <w:bCs/>
              </w:rPr>
              <w:t>30% (85% MRD-); AEs: Edema 39%, nausea 35%, fatigue 34%, headache 33%</w:t>
            </w:r>
          </w:p>
        </w:tc>
      </w:tr>
    </w:tbl>
    <w:p w14:paraId="44E6F3BF" w14:textId="53A7681D" w:rsidR="00304F53" w:rsidRPr="00110998" w:rsidRDefault="00D14340" w:rsidP="00304F53">
      <w:pPr>
        <w:snapToGrid w:val="0"/>
        <w:spacing w:line="360" w:lineRule="auto"/>
        <w:jc w:val="both"/>
        <w:rPr>
          <w:rFonts w:ascii="Book Antiqua" w:hAnsi="Book Antiqua"/>
        </w:rPr>
      </w:pPr>
      <w:bookmarkStart w:id="1" w:name="_Hlk70538910"/>
      <w:r w:rsidRPr="00110998">
        <w:rPr>
          <w:rFonts w:ascii="Book Antiqua" w:hAnsi="Book Antiqua"/>
        </w:rPr>
        <w:t>ABVD</w:t>
      </w:r>
      <w:bookmarkStart w:id="2" w:name="_Hlk70538574"/>
      <w:r w:rsidRPr="00110998">
        <w:rPr>
          <w:rFonts w:ascii="Book Antiqua" w:hAnsi="Book Antiqua"/>
        </w:rPr>
        <w:t xml:space="preserve">: </w:t>
      </w:r>
      <w:r w:rsidR="00304F53">
        <w:rPr>
          <w:rFonts w:ascii="Book Antiqua" w:hAnsi="Book Antiqua"/>
        </w:rPr>
        <w:t>D</w:t>
      </w:r>
      <w:r w:rsidRPr="00110998">
        <w:rPr>
          <w:rFonts w:ascii="Book Antiqua" w:hAnsi="Book Antiqua"/>
        </w:rPr>
        <w:t>oxorubicin, bleomycin, vinblastine, dacarbazine</w:t>
      </w:r>
      <w:bookmarkEnd w:id="2"/>
      <w:r w:rsidRPr="00110998" w:rsidDel="00D14340">
        <w:rPr>
          <w:rFonts w:ascii="Book Antiqua" w:hAnsi="Book Antiqua"/>
        </w:rPr>
        <w:t>;</w:t>
      </w:r>
      <w:r w:rsidRPr="00110998">
        <w:rPr>
          <w:rFonts w:ascii="Book Antiqua" w:hAnsi="Book Antiqua"/>
        </w:rPr>
        <w:t xml:space="preserve"> 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ALCL: </w:t>
      </w:r>
      <w:r w:rsidRPr="00110998">
        <w:rPr>
          <w:rFonts w:ascii="Book Antiqua" w:hAnsi="Book Antiqua"/>
          <w:caps/>
        </w:rPr>
        <w:t>a</w:t>
      </w:r>
      <w:r w:rsidRPr="00110998">
        <w:rPr>
          <w:rFonts w:ascii="Book Antiqua" w:hAnsi="Book Antiqua"/>
        </w:rPr>
        <w:t>naplastic large</w:t>
      </w:r>
      <w:r w:rsidR="00B00F0D">
        <w:rPr>
          <w:rFonts w:ascii="Book Antiqua" w:hAnsi="Book Antiqua"/>
        </w:rPr>
        <w:t>-cell</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AVD: </w:t>
      </w:r>
      <w:r w:rsidRPr="00110998">
        <w:rPr>
          <w:rFonts w:ascii="Book Antiqua" w:hAnsi="Book Antiqua"/>
          <w:caps/>
        </w:rPr>
        <w:t>d</w:t>
      </w:r>
      <w:r w:rsidRPr="00110998">
        <w:rPr>
          <w:rFonts w:ascii="Book Antiqua" w:hAnsi="Book Antiqua"/>
        </w:rPr>
        <w:t>oxorubicin, bleomycin, vinblastine, dacarbazine</w:t>
      </w:r>
      <w:r w:rsidRPr="00110998" w:rsidDel="00D14340">
        <w:rPr>
          <w:rFonts w:ascii="Book Antiqua" w:hAnsi="Book Antiqua"/>
        </w:rPr>
        <w:t>;</w:t>
      </w:r>
      <w:r w:rsidRPr="00110998">
        <w:rPr>
          <w:rFonts w:ascii="Book Antiqua" w:hAnsi="Book Antiqua"/>
        </w:rPr>
        <w:t xml:space="preserve"> Benda: Bendamustin</w:t>
      </w:r>
      <w:r w:rsidRPr="00110998" w:rsidDel="00D14340">
        <w:rPr>
          <w:rFonts w:ascii="Book Antiqua" w:hAnsi="Book Antiqua"/>
        </w:rPr>
        <w:t>;</w:t>
      </w:r>
      <w:r w:rsidRPr="00110998">
        <w:rPr>
          <w:rFonts w:ascii="Book Antiqua" w:hAnsi="Book Antiqua"/>
        </w:rPr>
        <w:t xml:space="preserve"> BV: Brentuximab</w:t>
      </w:r>
      <w:r w:rsidR="008E7F8A">
        <w:rPr>
          <w:rFonts w:ascii="Book Antiqua" w:hAnsi="Book Antiqua"/>
        </w:rPr>
        <w:t xml:space="preserve"> </w:t>
      </w:r>
      <w:r w:rsidR="00B00F0D">
        <w:rPr>
          <w:rFonts w:ascii="Book Antiqua" w:hAnsi="Book Antiqua"/>
        </w:rPr>
        <w:t>vedotin</w:t>
      </w:r>
      <w:r w:rsidRPr="00110998" w:rsidDel="00D14340">
        <w:rPr>
          <w:rFonts w:ascii="Book Antiqua" w:hAnsi="Book Antiqua"/>
        </w:rPr>
        <w:t>;</w:t>
      </w:r>
      <w:r w:rsidRPr="00110998">
        <w:rPr>
          <w:rFonts w:ascii="Book Antiqua" w:hAnsi="Book Antiqua"/>
        </w:rPr>
        <w:t xml:space="preserve"> cHL: </w:t>
      </w:r>
      <w:r w:rsidRPr="00110998">
        <w:rPr>
          <w:rFonts w:ascii="Book Antiqua" w:hAnsi="Book Antiqua"/>
          <w:caps/>
        </w:rPr>
        <w:t>c</w:t>
      </w:r>
      <w:r w:rsidRPr="00110998">
        <w:rPr>
          <w:rFonts w:ascii="Book Antiqua" w:hAnsi="Book Antiqua"/>
        </w:rPr>
        <w:t>lassic Hodgkin lymphoma</w:t>
      </w:r>
      <w:r w:rsidRPr="00110998" w:rsidDel="00D14340">
        <w:rPr>
          <w:rFonts w:ascii="Book Antiqua" w:hAnsi="Book Antiqua"/>
        </w:rPr>
        <w:t>;</w:t>
      </w:r>
      <w:r w:rsidRPr="00110998">
        <w:rPr>
          <w:rFonts w:ascii="Book Antiqua" w:hAnsi="Book Antiqua"/>
        </w:rPr>
        <w:t xml:space="preserve"> CHOP</w:t>
      </w:r>
      <w:bookmarkStart w:id="3" w:name="_Hlk70538231"/>
      <w:r w:rsidRPr="00110998">
        <w:rPr>
          <w:rFonts w:ascii="Book Antiqua" w:hAnsi="Book Antiqua"/>
        </w:rPr>
        <w:t xml:space="preserve">: </w:t>
      </w:r>
      <w:r w:rsidRPr="00110998">
        <w:rPr>
          <w:rFonts w:ascii="Book Antiqua" w:hAnsi="Book Antiqua"/>
          <w:caps/>
        </w:rPr>
        <w:t>c</w:t>
      </w:r>
      <w:r w:rsidRPr="00110998">
        <w:rPr>
          <w:rFonts w:ascii="Book Antiqua" w:hAnsi="Book Antiqua"/>
        </w:rPr>
        <w:t>yclophosphamide, adriamycin, oncovin, prednisone</w:t>
      </w:r>
      <w:bookmarkEnd w:id="3"/>
      <w:r w:rsidRPr="00110998" w:rsidDel="00D14340">
        <w:rPr>
          <w:rFonts w:ascii="Book Antiqua" w:hAnsi="Book Antiqua"/>
        </w:rPr>
        <w:t>;</w:t>
      </w:r>
      <w:r w:rsidRPr="00110998">
        <w:rPr>
          <w:rFonts w:ascii="Book Antiqua" w:hAnsi="Book Antiqua"/>
        </w:rPr>
        <w:t xml:space="preserve"> CHP: </w:t>
      </w:r>
      <w:r w:rsidRPr="00110998">
        <w:rPr>
          <w:rFonts w:ascii="Book Antiqua" w:hAnsi="Book Antiqua"/>
          <w:caps/>
        </w:rPr>
        <w:t>c</w:t>
      </w:r>
      <w:r w:rsidRPr="00110998">
        <w:rPr>
          <w:rFonts w:ascii="Book Antiqua" w:hAnsi="Book Antiqua"/>
        </w:rPr>
        <w:t>yclophosphamide, adriamycin, prednisone</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CS: </w:t>
      </w:r>
      <w:r w:rsidRPr="00110998">
        <w:rPr>
          <w:rFonts w:ascii="Book Antiqua" w:hAnsi="Book Antiqua"/>
          <w:caps/>
        </w:rPr>
        <w:t>c</w:t>
      </w:r>
      <w:r w:rsidRPr="00110998">
        <w:rPr>
          <w:rFonts w:ascii="Book Antiqua" w:hAnsi="Book Antiqua"/>
        </w:rPr>
        <w:t>linical stage</w:t>
      </w:r>
      <w:r w:rsidRPr="00110998" w:rsidDel="00D14340">
        <w:rPr>
          <w:rFonts w:ascii="Book Antiqua" w:hAnsi="Book Antiqua"/>
        </w:rPr>
        <w:t>;</w:t>
      </w:r>
      <w:r w:rsidRPr="00110998">
        <w:rPr>
          <w:rFonts w:ascii="Book Antiqua" w:hAnsi="Book Antiqua"/>
        </w:rPr>
        <w:t xml:space="preserve"> CTCL: </w:t>
      </w:r>
      <w:r w:rsidRPr="00110998">
        <w:rPr>
          <w:rFonts w:ascii="Book Antiqua" w:hAnsi="Book Antiqua"/>
          <w:caps/>
        </w:rPr>
        <w:t>c</w:t>
      </w:r>
      <w:r w:rsidRPr="00110998">
        <w:rPr>
          <w:rFonts w:ascii="Book Antiqua" w:hAnsi="Book Antiqua"/>
        </w:rPr>
        <w:t>utaneous large</w:t>
      </w:r>
      <w:r w:rsidR="00B00F0D">
        <w:rPr>
          <w:rFonts w:ascii="Book Antiqua" w:hAnsi="Book Antiqua"/>
        </w:rPr>
        <w:t>-cell</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 lymphoma</w:t>
      </w:r>
      <w:r w:rsidRPr="00110998" w:rsidDel="00D14340">
        <w:rPr>
          <w:rFonts w:ascii="Book Antiqua" w:hAnsi="Book Antiqua"/>
        </w:rPr>
        <w:t>;</w:t>
      </w:r>
      <w:r w:rsidRPr="00110998">
        <w:rPr>
          <w:rFonts w:ascii="Book Antiqua" w:hAnsi="Book Antiqua"/>
        </w:rPr>
        <w:t xml:space="preserve"> EFS: </w:t>
      </w:r>
      <w:r w:rsidRPr="00110998">
        <w:rPr>
          <w:rFonts w:ascii="Book Antiqua" w:hAnsi="Book Antiqua"/>
          <w:caps/>
        </w:rPr>
        <w:t>e</w:t>
      </w:r>
      <w:r w:rsidRPr="00110998">
        <w:rPr>
          <w:rFonts w:ascii="Book Antiqua" w:hAnsi="Book Antiqua"/>
        </w:rPr>
        <w:t>vent</w:t>
      </w:r>
      <w:r w:rsidR="00304F53">
        <w:rPr>
          <w:rFonts w:ascii="Book Antiqua" w:hAnsi="Book Antiqua"/>
        </w:rPr>
        <w:t>-</w:t>
      </w:r>
      <w:r w:rsidRPr="00110998">
        <w:rPr>
          <w:rFonts w:ascii="Book Antiqua" w:hAnsi="Book Antiqua"/>
        </w:rPr>
        <w:t>free survival</w:t>
      </w:r>
      <w:r w:rsidRPr="00110998" w:rsidDel="00D14340">
        <w:rPr>
          <w:rFonts w:ascii="Book Antiqua" w:hAnsi="Book Antiqua"/>
        </w:rPr>
        <w:t>;</w:t>
      </w:r>
      <w:r w:rsidRPr="00110998">
        <w:rPr>
          <w:rFonts w:ascii="Book Antiqua" w:hAnsi="Book Antiqua"/>
        </w:rPr>
        <w:t xml:space="preserve"> HCL: </w:t>
      </w:r>
      <w:r w:rsidRPr="00110998">
        <w:rPr>
          <w:rFonts w:ascii="Book Antiqua" w:hAnsi="Book Antiqua"/>
          <w:caps/>
        </w:rPr>
        <w:t>h</w:t>
      </w:r>
      <w:r w:rsidRPr="00110998">
        <w:rPr>
          <w:rFonts w:ascii="Book Antiqua" w:hAnsi="Book Antiqua"/>
        </w:rPr>
        <w:t>airy cell leukemia</w:t>
      </w:r>
      <w:r w:rsidRPr="00110998" w:rsidDel="00D14340">
        <w:rPr>
          <w:rFonts w:ascii="Book Antiqua" w:hAnsi="Book Antiqua"/>
        </w:rPr>
        <w:t>;</w:t>
      </w:r>
      <w:r w:rsidRPr="00110998">
        <w:rPr>
          <w:rFonts w:ascii="Book Antiqua" w:hAnsi="Book Antiqua"/>
        </w:rPr>
        <w:t xml:space="preserve"> maint: </w:t>
      </w:r>
      <w:r w:rsidRPr="00110998">
        <w:rPr>
          <w:rFonts w:ascii="Book Antiqua" w:hAnsi="Book Antiqua"/>
          <w:caps/>
        </w:rPr>
        <w:t>maintenance</w:t>
      </w:r>
      <w:r w:rsidRPr="00110998" w:rsidDel="00D14340">
        <w:rPr>
          <w:rFonts w:ascii="Book Antiqua" w:hAnsi="Book Antiqua"/>
        </w:rPr>
        <w:t>;</w:t>
      </w:r>
      <w:r w:rsidRPr="00110998">
        <w:rPr>
          <w:rFonts w:ascii="Book Antiqua" w:hAnsi="Book Antiqua"/>
        </w:rPr>
        <w:t xml:space="preserve"> MRD: </w:t>
      </w:r>
      <w:r w:rsidRPr="00110998">
        <w:rPr>
          <w:rFonts w:ascii="Book Antiqua" w:hAnsi="Book Antiqua"/>
          <w:caps/>
        </w:rPr>
        <w:t>m</w:t>
      </w:r>
      <w:r w:rsidRPr="00110998">
        <w:rPr>
          <w:rFonts w:ascii="Book Antiqua" w:hAnsi="Book Antiqua"/>
        </w:rPr>
        <w:t>inimal residual disease. MTX: Methotrexate</w:t>
      </w:r>
      <w:r w:rsidRPr="00110998" w:rsidDel="00D14340">
        <w:rPr>
          <w:rFonts w:ascii="Book Antiqua" w:hAnsi="Book Antiqua"/>
        </w:rPr>
        <w:t>;</w:t>
      </w:r>
      <w:r w:rsidRPr="00110998">
        <w:rPr>
          <w:rFonts w:ascii="Book Antiqua" w:hAnsi="Book Antiqua"/>
        </w:rPr>
        <w:t xml:space="preserve"> NR: </w:t>
      </w:r>
      <w:r w:rsidRPr="00110998">
        <w:rPr>
          <w:rFonts w:ascii="Book Antiqua" w:hAnsi="Book Antiqua"/>
          <w:caps/>
        </w:rPr>
        <w:t>n</w:t>
      </w:r>
      <w:r w:rsidRPr="00110998">
        <w:rPr>
          <w:rFonts w:ascii="Book Antiqua" w:hAnsi="Book Antiqua"/>
        </w:rPr>
        <w:t>ot reached</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OS: </w:t>
      </w:r>
      <w:r w:rsidR="00110998" w:rsidRPr="00110998">
        <w:rPr>
          <w:rFonts w:ascii="Book Antiqua" w:hAnsi="Book Antiqua"/>
          <w:caps/>
        </w:rPr>
        <w:t>O</w:t>
      </w:r>
      <w:r w:rsidR="00110998" w:rsidRPr="00110998">
        <w:rPr>
          <w:rFonts w:ascii="Book Antiqua" w:hAnsi="Book Antiqua"/>
        </w:rPr>
        <w:t>verall</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Pbo: Placebo</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PNS: </w:t>
      </w:r>
      <w:r w:rsidRPr="00110998">
        <w:rPr>
          <w:rFonts w:ascii="Book Antiqua" w:hAnsi="Book Antiqua"/>
          <w:caps/>
        </w:rPr>
        <w:t>p</w:t>
      </w:r>
      <w:r w:rsidRPr="00110998">
        <w:rPr>
          <w:rFonts w:ascii="Book Antiqua" w:hAnsi="Book Antiqua"/>
        </w:rPr>
        <w:t>eripheral neuropathy syndrome</w:t>
      </w:r>
      <w:r w:rsidRPr="00110998" w:rsidDel="00D14340">
        <w:rPr>
          <w:rFonts w:ascii="Book Antiqua" w:hAnsi="Book Antiqua"/>
        </w:rPr>
        <w:t>;</w:t>
      </w:r>
      <w:r w:rsidRPr="00110998">
        <w:rPr>
          <w:rFonts w:ascii="Book Antiqua" w:hAnsi="Book Antiqua"/>
        </w:rPr>
        <w:t xml:space="preserve"> PV: Polatuzumab vedotin</w:t>
      </w:r>
      <w:r w:rsidRPr="00110998" w:rsidDel="00D14340">
        <w:rPr>
          <w:rFonts w:ascii="Book Antiqua" w:hAnsi="Book Antiqua"/>
        </w:rPr>
        <w:t>;</w:t>
      </w:r>
      <w:r w:rsidRPr="00110998">
        <w:rPr>
          <w:rFonts w:ascii="Book Antiqua" w:hAnsi="Book Antiqua"/>
        </w:rPr>
        <w:t xml:space="preserve"> R: Rituximab</w:t>
      </w:r>
      <w:r w:rsidRPr="00110998" w:rsidDel="00D14340">
        <w:rPr>
          <w:rFonts w:ascii="Book Antiqua" w:hAnsi="Book Antiqua"/>
        </w:rPr>
        <w:t>;</w:t>
      </w:r>
      <w:r w:rsidR="00110998">
        <w:rPr>
          <w:rFonts w:ascii="Book Antiqua" w:hAnsi="Book Antiqua"/>
        </w:rPr>
        <w:t xml:space="preserve"> </w:t>
      </w:r>
      <w:r w:rsidRPr="00110998">
        <w:rPr>
          <w:rFonts w:ascii="Book Antiqua" w:hAnsi="Book Antiqua"/>
        </w:rPr>
        <w:t>R/R:</w:t>
      </w:r>
      <w:r w:rsidRPr="00110998">
        <w:rPr>
          <w:rFonts w:ascii="Book Antiqua" w:hAnsi="Book Antiqua"/>
          <w:caps/>
        </w:rPr>
        <w:t xml:space="preserve"> r</w:t>
      </w:r>
      <w:r w:rsidRPr="00110998">
        <w:rPr>
          <w:rFonts w:ascii="Book Antiqua" w:hAnsi="Book Antiqua"/>
        </w:rPr>
        <w:t>elapsed/refractory.</w:t>
      </w:r>
    </w:p>
    <w:bookmarkEnd w:id="1"/>
    <w:p w14:paraId="5B836B52" w14:textId="2C8174BA" w:rsidR="008E7812" w:rsidRPr="00110998" w:rsidRDefault="00654547" w:rsidP="00025A53">
      <w:pPr>
        <w:snapToGrid w:val="0"/>
        <w:spacing w:line="360" w:lineRule="auto"/>
        <w:jc w:val="both"/>
        <w:rPr>
          <w:rFonts w:ascii="Book Antiqua" w:hAnsi="Book Antiqua"/>
          <w:b/>
        </w:rPr>
      </w:pPr>
      <w:r w:rsidRPr="00110998">
        <w:rPr>
          <w:rFonts w:ascii="Book Antiqua" w:hAnsi="Book Antiqua"/>
          <w:b/>
        </w:rPr>
        <w:br w:type="page"/>
      </w:r>
      <w:r w:rsidR="008E2E22" w:rsidRPr="00110998">
        <w:rPr>
          <w:rFonts w:ascii="Book Antiqua" w:hAnsi="Book Antiqua"/>
          <w:b/>
        </w:rPr>
        <w:lastRenderedPageBreak/>
        <w:t>Table 3 Bi</w:t>
      </w:r>
      <w:r w:rsidR="008E7F8A">
        <w:rPr>
          <w:rFonts w:ascii="Book Antiqua" w:hAnsi="Book Antiqua"/>
          <w:b/>
        </w:rPr>
        <w:t>specific</w:t>
      </w:r>
      <w:r w:rsidR="008E2E22" w:rsidRPr="00110998">
        <w:rPr>
          <w:rFonts w:ascii="Book Antiqua" w:hAnsi="Book Antiqua"/>
          <w:b/>
        </w:rPr>
        <w:t xml:space="preserve"> antibod</w:t>
      </w:r>
      <w:r w:rsidR="00825823">
        <w:rPr>
          <w:rFonts w:ascii="Book Antiqua" w:hAnsi="Book Antiqua"/>
          <w:b/>
        </w:rPr>
        <w:t>y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434"/>
        <w:gridCol w:w="1164"/>
        <w:gridCol w:w="1193"/>
        <w:gridCol w:w="883"/>
        <w:gridCol w:w="2163"/>
      </w:tblGrid>
      <w:tr w:rsidR="008E7812" w:rsidRPr="00110998" w14:paraId="6C20B39B" w14:textId="77777777" w:rsidTr="00A972EF">
        <w:tc>
          <w:tcPr>
            <w:tcW w:w="1865" w:type="dxa"/>
            <w:tcBorders>
              <w:top w:val="single" w:sz="4" w:space="0" w:color="auto"/>
              <w:bottom w:val="single" w:sz="4" w:space="0" w:color="auto"/>
            </w:tcBorders>
            <w:vAlign w:val="center"/>
          </w:tcPr>
          <w:p w14:paraId="5BB90F1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Drug</w:t>
            </w:r>
          </w:p>
        </w:tc>
        <w:tc>
          <w:tcPr>
            <w:tcW w:w="1141" w:type="dxa"/>
            <w:tcBorders>
              <w:top w:val="single" w:sz="4" w:space="0" w:color="auto"/>
              <w:bottom w:val="single" w:sz="4" w:space="0" w:color="auto"/>
            </w:tcBorders>
            <w:vAlign w:val="center"/>
          </w:tcPr>
          <w:p w14:paraId="6583D6B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272" w:type="dxa"/>
            <w:tcBorders>
              <w:top w:val="single" w:sz="4" w:space="0" w:color="auto"/>
              <w:bottom w:val="single" w:sz="4" w:space="0" w:color="auto"/>
            </w:tcBorders>
            <w:vAlign w:val="center"/>
          </w:tcPr>
          <w:p w14:paraId="0DD02423" w14:textId="77777777" w:rsidR="008E7812" w:rsidRPr="00110998" w:rsidRDefault="001F263A" w:rsidP="00025A53">
            <w:pPr>
              <w:snapToGrid w:val="0"/>
              <w:spacing w:line="360" w:lineRule="auto"/>
              <w:jc w:val="both"/>
              <w:rPr>
                <w:rFonts w:ascii="Book Antiqua" w:hAnsi="Book Antiqua"/>
                <w:b/>
              </w:rPr>
            </w:pPr>
            <w:r w:rsidRPr="00110998">
              <w:rPr>
                <w:rFonts w:ascii="Book Antiqua" w:hAnsi="Book Antiqua"/>
                <w:b/>
              </w:rPr>
              <w:t>No. of patients</w:t>
            </w:r>
          </w:p>
        </w:tc>
        <w:tc>
          <w:tcPr>
            <w:tcW w:w="1482" w:type="dxa"/>
            <w:tcBorders>
              <w:top w:val="single" w:sz="4" w:space="0" w:color="auto"/>
              <w:bottom w:val="single" w:sz="4" w:space="0" w:color="auto"/>
            </w:tcBorders>
            <w:vAlign w:val="center"/>
          </w:tcPr>
          <w:p w14:paraId="05071268"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904" w:type="dxa"/>
            <w:tcBorders>
              <w:top w:val="single" w:sz="4" w:space="0" w:color="auto"/>
              <w:bottom w:val="single" w:sz="4" w:space="0" w:color="auto"/>
            </w:tcBorders>
            <w:vAlign w:val="center"/>
          </w:tcPr>
          <w:p w14:paraId="7B59E26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58" w:type="dxa"/>
            <w:tcBorders>
              <w:top w:val="single" w:sz="4" w:space="0" w:color="auto"/>
              <w:bottom w:val="single" w:sz="4" w:space="0" w:color="auto"/>
            </w:tcBorders>
            <w:vAlign w:val="center"/>
          </w:tcPr>
          <w:p w14:paraId="424F0286"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8E7812" w:rsidRPr="00110998" w14:paraId="5ABBB559" w14:textId="77777777" w:rsidTr="00A026B3">
        <w:tc>
          <w:tcPr>
            <w:tcW w:w="1865" w:type="dxa"/>
            <w:tcBorders>
              <w:top w:val="single" w:sz="4" w:space="0" w:color="auto"/>
            </w:tcBorders>
            <w:vAlign w:val="center"/>
          </w:tcPr>
          <w:p w14:paraId="3D9734D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Blinatumomab</w:t>
            </w:r>
            <w:r w:rsidRPr="00110998">
              <w:rPr>
                <w:rFonts w:ascii="Book Antiqua" w:hAnsi="Book Antiqua"/>
                <w:bCs/>
                <w:vertAlign w:val="superscript"/>
              </w:rPr>
              <w:t>[71]</w:t>
            </w:r>
          </w:p>
        </w:tc>
        <w:tc>
          <w:tcPr>
            <w:tcW w:w="1141" w:type="dxa"/>
            <w:tcBorders>
              <w:top w:val="single" w:sz="4" w:space="0" w:color="auto"/>
            </w:tcBorders>
            <w:vAlign w:val="center"/>
          </w:tcPr>
          <w:p w14:paraId="6CD3464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CD3/CD19</w:t>
            </w:r>
          </w:p>
        </w:tc>
        <w:tc>
          <w:tcPr>
            <w:tcW w:w="1272" w:type="dxa"/>
            <w:tcBorders>
              <w:top w:val="single" w:sz="4" w:space="0" w:color="auto"/>
            </w:tcBorders>
            <w:vAlign w:val="center"/>
          </w:tcPr>
          <w:p w14:paraId="003B8BF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38</w:t>
            </w:r>
          </w:p>
        </w:tc>
        <w:tc>
          <w:tcPr>
            <w:tcW w:w="1482" w:type="dxa"/>
            <w:tcBorders>
              <w:top w:val="single" w:sz="4" w:space="0" w:color="auto"/>
            </w:tcBorders>
            <w:vAlign w:val="center"/>
          </w:tcPr>
          <w:p w14:paraId="0774BCD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FL, MCL, DLBCL</w:t>
            </w:r>
          </w:p>
        </w:tc>
        <w:tc>
          <w:tcPr>
            <w:tcW w:w="904" w:type="dxa"/>
            <w:tcBorders>
              <w:top w:val="single" w:sz="4" w:space="0" w:color="auto"/>
            </w:tcBorders>
            <w:vAlign w:val="center"/>
          </w:tcPr>
          <w:p w14:paraId="247CB27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tcBorders>
              <w:top w:val="single" w:sz="4" w:space="0" w:color="auto"/>
            </w:tcBorders>
            <w:vAlign w:val="center"/>
          </w:tcPr>
          <w:p w14:paraId="5ED634FD" w14:textId="77777777" w:rsidR="008E7812" w:rsidRPr="00110998" w:rsidRDefault="00F3530A" w:rsidP="00025A53">
            <w:pPr>
              <w:snapToGrid w:val="0"/>
              <w:spacing w:line="360" w:lineRule="auto"/>
              <w:jc w:val="both"/>
              <w:rPr>
                <w:rFonts w:ascii="Book Antiqua" w:hAnsi="Book Antiqua"/>
                <w:bCs/>
              </w:rPr>
            </w:pPr>
            <w:r w:rsidRPr="00110998">
              <w:rPr>
                <w:rFonts w:ascii="Book Antiqua" w:hAnsi="Book Antiqua"/>
                <w:bCs/>
              </w:rPr>
              <w:t>ORR/CR: 64%/38%; PFS 6.7 mo</w:t>
            </w:r>
            <w:r w:rsidR="008E2E22" w:rsidRPr="00110998">
              <w:rPr>
                <w:rFonts w:ascii="Book Antiqua" w:hAnsi="Book Antiqua"/>
                <w:bCs/>
              </w:rPr>
              <w:t>; OS 4</w:t>
            </w:r>
            <w:r w:rsidRPr="00110998">
              <w:rPr>
                <w:rFonts w:ascii="Book Antiqua" w:hAnsi="Book Antiqua"/>
                <w:bCs/>
              </w:rPr>
              <w:t>.6 yr; OS ( for CR/PR): 7.7 yr</w:t>
            </w:r>
            <w:r w:rsidR="008E2E22" w:rsidRPr="00110998">
              <w:rPr>
                <w:rFonts w:ascii="Book Antiqua" w:hAnsi="Book Antiqua"/>
                <w:bCs/>
              </w:rPr>
              <w:t>; AEs: Infections (pneumonia, diarrhea, sepsis)</w:t>
            </w:r>
          </w:p>
        </w:tc>
      </w:tr>
      <w:tr w:rsidR="008E7812" w:rsidRPr="00110998" w14:paraId="0FE18C9D" w14:textId="77777777" w:rsidTr="00AF7970">
        <w:tc>
          <w:tcPr>
            <w:tcW w:w="1865" w:type="dxa"/>
            <w:vAlign w:val="center"/>
          </w:tcPr>
          <w:p w14:paraId="6E28FAF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Mosunetuzumab</w:t>
            </w:r>
            <w:r w:rsidRPr="00110998">
              <w:rPr>
                <w:rFonts w:ascii="Book Antiqua" w:hAnsi="Book Antiqua"/>
                <w:bCs/>
                <w:vertAlign w:val="superscript"/>
              </w:rPr>
              <w:t>[72]</w:t>
            </w:r>
          </w:p>
        </w:tc>
        <w:tc>
          <w:tcPr>
            <w:tcW w:w="1141" w:type="dxa"/>
            <w:vAlign w:val="center"/>
          </w:tcPr>
          <w:p w14:paraId="353185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CD3/CD20</w:t>
            </w:r>
          </w:p>
        </w:tc>
        <w:tc>
          <w:tcPr>
            <w:tcW w:w="1272" w:type="dxa"/>
            <w:vAlign w:val="center"/>
          </w:tcPr>
          <w:p w14:paraId="47E3942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218</w:t>
            </w:r>
          </w:p>
        </w:tc>
        <w:tc>
          <w:tcPr>
            <w:tcW w:w="1482" w:type="dxa"/>
            <w:vAlign w:val="center"/>
          </w:tcPr>
          <w:p w14:paraId="00B83BE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B-NHL</w:t>
            </w:r>
          </w:p>
        </w:tc>
        <w:tc>
          <w:tcPr>
            <w:tcW w:w="904" w:type="dxa"/>
            <w:vAlign w:val="center"/>
          </w:tcPr>
          <w:p w14:paraId="36DE86D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vAlign w:val="center"/>
          </w:tcPr>
          <w:p w14:paraId="11E817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NHL ORR/CR: 64.1%/42.2%; DLBCL ORR/CR: 34.7%/16.6% AEs: CRS 28.4%, NAEs: 44%</w:t>
            </w:r>
          </w:p>
        </w:tc>
      </w:tr>
      <w:tr w:rsidR="008E7812" w:rsidRPr="00110998" w14:paraId="6DBAFDE4" w14:textId="77777777" w:rsidTr="00AF7970">
        <w:tc>
          <w:tcPr>
            <w:tcW w:w="1865" w:type="dxa"/>
            <w:tcBorders>
              <w:bottom w:val="single" w:sz="4" w:space="0" w:color="auto"/>
            </w:tcBorders>
            <w:vAlign w:val="center"/>
          </w:tcPr>
          <w:p w14:paraId="5ADC160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CD20-TCB</w:t>
            </w:r>
            <w:r w:rsidRPr="00110998">
              <w:rPr>
                <w:rFonts w:ascii="Book Antiqua" w:hAnsi="Book Antiqua"/>
                <w:bCs/>
                <w:vertAlign w:val="superscript"/>
              </w:rPr>
              <w:t>[73]</w:t>
            </w:r>
          </w:p>
        </w:tc>
        <w:tc>
          <w:tcPr>
            <w:tcW w:w="1141" w:type="dxa"/>
            <w:tcBorders>
              <w:bottom w:val="single" w:sz="4" w:space="0" w:color="auto"/>
            </w:tcBorders>
            <w:vAlign w:val="center"/>
          </w:tcPr>
          <w:p w14:paraId="484732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CD3/CD20</w:t>
            </w:r>
          </w:p>
        </w:tc>
        <w:tc>
          <w:tcPr>
            <w:tcW w:w="1272" w:type="dxa"/>
            <w:tcBorders>
              <w:bottom w:val="single" w:sz="4" w:space="0" w:color="auto"/>
            </w:tcBorders>
            <w:vAlign w:val="center"/>
          </w:tcPr>
          <w:p w14:paraId="6E57756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38</w:t>
            </w:r>
          </w:p>
        </w:tc>
        <w:tc>
          <w:tcPr>
            <w:tcW w:w="1482" w:type="dxa"/>
            <w:tcBorders>
              <w:bottom w:val="single" w:sz="4" w:space="0" w:color="auto"/>
            </w:tcBorders>
            <w:vAlign w:val="center"/>
          </w:tcPr>
          <w:p w14:paraId="2C3F22F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904" w:type="dxa"/>
            <w:tcBorders>
              <w:bottom w:val="single" w:sz="4" w:space="0" w:color="auto"/>
            </w:tcBorders>
            <w:vAlign w:val="center"/>
          </w:tcPr>
          <w:p w14:paraId="0D2C589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tcBorders>
              <w:bottom w:val="single" w:sz="4" w:space="0" w:color="auto"/>
            </w:tcBorders>
            <w:vAlign w:val="center"/>
          </w:tcPr>
          <w:p w14:paraId="794F2E9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47%/34% AEs: CRS 55.1%, Neutropenia 34.7%</w:t>
            </w:r>
          </w:p>
        </w:tc>
      </w:tr>
    </w:tbl>
    <w:p w14:paraId="46D20EA4" w14:textId="0D6DD9D2" w:rsidR="0048286D" w:rsidRPr="00110998" w:rsidRDefault="00D14340"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CRS: </w:t>
      </w:r>
      <w:r w:rsidRPr="00110998">
        <w:rPr>
          <w:rFonts w:ascii="Book Antiqua" w:hAnsi="Book Antiqua"/>
          <w:caps/>
        </w:rPr>
        <w:t>c</w:t>
      </w:r>
      <w:r w:rsidRPr="00110998">
        <w:rPr>
          <w:rFonts w:ascii="Book Antiqua" w:hAnsi="Book Antiqua"/>
        </w:rPr>
        <w:t xml:space="preserve">ytokine releasing syndrome; DLBCL: </w:t>
      </w:r>
      <w:r w:rsidRPr="00110998">
        <w:rPr>
          <w:rFonts w:ascii="Book Antiqua" w:hAnsi="Book Antiqua"/>
          <w:caps/>
        </w:rPr>
        <w:t>d</w:t>
      </w:r>
      <w:r w:rsidRPr="00110998">
        <w:rPr>
          <w:rFonts w:ascii="Book Antiqua" w:hAnsi="Book Antiqua"/>
        </w:rPr>
        <w:t>iffuse large B-Cell lymphoma</w:t>
      </w:r>
      <w:r w:rsidRPr="00110998" w:rsidDel="00D14340">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ollicular lymphoma</w:t>
      </w:r>
      <w:r w:rsidRPr="00110998" w:rsidDel="00D14340">
        <w:rPr>
          <w:rFonts w:ascii="Book Antiqua" w:hAnsi="Book Antiqua"/>
        </w:rPr>
        <w:t>;</w:t>
      </w:r>
      <w:r w:rsidRPr="00110998">
        <w:rPr>
          <w:rFonts w:ascii="Book Antiqua" w:hAnsi="Book Antiqua"/>
        </w:rPr>
        <w:t xml:space="preserve"> MCL: </w:t>
      </w:r>
      <w:r w:rsidRPr="00110998">
        <w:rPr>
          <w:rFonts w:ascii="Book Antiqua" w:hAnsi="Book Antiqua"/>
          <w:caps/>
        </w:rPr>
        <w:t>m</w:t>
      </w:r>
      <w:r w:rsidRPr="00110998">
        <w:rPr>
          <w:rFonts w:ascii="Book Antiqua" w:hAnsi="Book Antiqua"/>
        </w:rPr>
        <w:t>antle cell lymphoma</w:t>
      </w:r>
      <w:r w:rsidRPr="00110998" w:rsidDel="00D14340">
        <w:rPr>
          <w:rFonts w:ascii="Book Antiqua" w:hAnsi="Book Antiqua"/>
        </w:rPr>
        <w:t>;</w:t>
      </w:r>
      <w:r w:rsidRPr="00110998">
        <w:rPr>
          <w:rFonts w:ascii="Book Antiqua" w:hAnsi="Book Antiqua"/>
        </w:rPr>
        <w:t xml:space="preserve"> NHL: </w:t>
      </w:r>
      <w:r w:rsidRPr="00110998">
        <w:rPr>
          <w:rFonts w:ascii="Book Antiqua" w:hAnsi="Book Antiqua"/>
          <w:caps/>
        </w:rPr>
        <w:t>n</w:t>
      </w:r>
      <w:r w:rsidRPr="00110998">
        <w:rPr>
          <w:rFonts w:ascii="Book Antiqua" w:hAnsi="Book Antiqua"/>
        </w:rPr>
        <w:t>on-Hodgkin lymphoma</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OS:</w:t>
      </w:r>
      <w:r w:rsidRPr="00110998">
        <w:rPr>
          <w:rFonts w:ascii="Book Antiqua" w:hAnsi="Book Antiqua"/>
          <w:caps/>
        </w:rPr>
        <w:t xml:space="preserve"> </w:t>
      </w:r>
      <w:r w:rsidR="00110998" w:rsidRPr="00110998">
        <w:rPr>
          <w:rFonts w:ascii="Book Antiqua" w:hAnsi="Book Antiqua"/>
          <w:caps/>
        </w:rPr>
        <w:t>O</w:t>
      </w:r>
      <w:r w:rsidR="00110998" w:rsidRPr="00110998">
        <w:rPr>
          <w:rFonts w:ascii="Book Antiqua" w:hAnsi="Book Antiqua"/>
        </w:rPr>
        <w:t>verall</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00AF7970" w:rsidRPr="00110998">
        <w:rPr>
          <w:rFonts w:ascii="Book Antiqua" w:hAnsi="Book Antiqua"/>
        </w:rPr>
        <w:t>.</w:t>
      </w:r>
    </w:p>
    <w:p w14:paraId="7857BAAB" w14:textId="77777777" w:rsidR="0048286D" w:rsidRPr="00110998" w:rsidRDefault="0048286D" w:rsidP="00025A53">
      <w:pPr>
        <w:snapToGrid w:val="0"/>
        <w:spacing w:line="360" w:lineRule="auto"/>
        <w:jc w:val="both"/>
        <w:rPr>
          <w:rFonts w:ascii="Book Antiqua" w:hAnsi="Book Antiqua"/>
          <w:b/>
        </w:rPr>
      </w:pPr>
      <w:r w:rsidRPr="00110998">
        <w:rPr>
          <w:rFonts w:ascii="Book Antiqua" w:hAnsi="Book Antiqua"/>
          <w:b/>
        </w:rPr>
        <w:br w:type="page"/>
      </w:r>
    </w:p>
    <w:p w14:paraId="39AB0618" w14:textId="12826299"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 xml:space="preserve">Table 4 Checkpoint </w:t>
      </w:r>
      <w:r w:rsidR="00825823">
        <w:rPr>
          <w:rFonts w:ascii="Book Antiqua" w:hAnsi="Book Antiqua"/>
          <w:b/>
        </w:rPr>
        <w:t>i</w:t>
      </w:r>
      <w:r w:rsidRPr="00110998">
        <w:rPr>
          <w:rFonts w:ascii="Book Antiqua" w:hAnsi="Book Antiqua"/>
          <w:b/>
        </w:rPr>
        <w:t>nhibitor</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937"/>
        <w:gridCol w:w="1136"/>
        <w:gridCol w:w="1339"/>
        <w:gridCol w:w="870"/>
        <w:gridCol w:w="2720"/>
      </w:tblGrid>
      <w:tr w:rsidR="008E7812" w:rsidRPr="00110998" w14:paraId="1DD87210" w14:textId="77777777" w:rsidTr="00A972EF">
        <w:trPr>
          <w:trHeight w:val="751"/>
        </w:trPr>
        <w:tc>
          <w:tcPr>
            <w:tcW w:w="2183" w:type="dxa"/>
            <w:tcBorders>
              <w:top w:val="single" w:sz="4" w:space="0" w:color="auto"/>
              <w:bottom w:val="single" w:sz="4" w:space="0" w:color="auto"/>
            </w:tcBorders>
          </w:tcPr>
          <w:p w14:paraId="7115A0B4" w14:textId="27ED73A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 xml:space="preserve">Drug </w:t>
            </w:r>
            <w:r w:rsidR="00D14340" w:rsidRPr="00110998">
              <w:rPr>
                <w:rFonts w:ascii="Book Antiqua" w:hAnsi="Book Antiqua"/>
                <w:b/>
              </w:rPr>
              <w:t>[</w:t>
            </w:r>
            <w:r w:rsidRPr="00110998">
              <w:rPr>
                <w:rFonts w:ascii="Book Antiqua" w:hAnsi="Book Antiqua"/>
                <w:b/>
              </w:rPr>
              <w:t>Ref</w:t>
            </w:r>
            <w:r w:rsidR="00F16F50" w:rsidRPr="00110998">
              <w:rPr>
                <w:rFonts w:ascii="Book Antiqua" w:hAnsi="Book Antiqua"/>
                <w:b/>
              </w:rPr>
              <w:t>.</w:t>
            </w:r>
            <w:r w:rsidR="00D14340" w:rsidRPr="00110998">
              <w:rPr>
                <w:rFonts w:ascii="Book Antiqua" w:hAnsi="Book Antiqua"/>
                <w:b/>
              </w:rPr>
              <w:t>]</w:t>
            </w:r>
          </w:p>
        </w:tc>
        <w:tc>
          <w:tcPr>
            <w:tcW w:w="941" w:type="dxa"/>
            <w:tcBorders>
              <w:top w:val="single" w:sz="4" w:space="0" w:color="auto"/>
              <w:bottom w:val="single" w:sz="4" w:space="0" w:color="auto"/>
            </w:tcBorders>
          </w:tcPr>
          <w:p w14:paraId="65C31F5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146" w:type="dxa"/>
            <w:tcBorders>
              <w:top w:val="single" w:sz="4" w:space="0" w:color="auto"/>
              <w:bottom w:val="single" w:sz="4" w:space="0" w:color="auto"/>
            </w:tcBorders>
          </w:tcPr>
          <w:p w14:paraId="099703F0" w14:textId="77777777" w:rsidR="008E7812" w:rsidRPr="00110998" w:rsidRDefault="002C2CDD" w:rsidP="00025A53">
            <w:pPr>
              <w:snapToGrid w:val="0"/>
              <w:spacing w:line="360" w:lineRule="auto"/>
              <w:jc w:val="both"/>
              <w:rPr>
                <w:rFonts w:ascii="Book Antiqua" w:hAnsi="Book Antiqua"/>
                <w:b/>
              </w:rPr>
            </w:pPr>
            <w:r w:rsidRPr="00110998">
              <w:rPr>
                <w:rFonts w:ascii="Book Antiqua" w:hAnsi="Book Antiqua"/>
                <w:b/>
              </w:rPr>
              <w:t>No. of patients</w:t>
            </w:r>
          </w:p>
        </w:tc>
        <w:tc>
          <w:tcPr>
            <w:tcW w:w="1410" w:type="dxa"/>
            <w:tcBorders>
              <w:top w:val="single" w:sz="4" w:space="0" w:color="auto"/>
              <w:bottom w:val="single" w:sz="4" w:space="0" w:color="auto"/>
            </w:tcBorders>
          </w:tcPr>
          <w:p w14:paraId="017EB6CE"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75379B2E"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12" w:type="dxa"/>
            <w:tcBorders>
              <w:top w:val="single" w:sz="4" w:space="0" w:color="auto"/>
              <w:bottom w:val="single" w:sz="4" w:space="0" w:color="auto"/>
            </w:tcBorders>
          </w:tcPr>
          <w:p w14:paraId="7149233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FF42D0" w:rsidRPr="00110998" w14:paraId="401EC430" w14:textId="77777777" w:rsidTr="00993DFF">
        <w:trPr>
          <w:trHeight w:val="113"/>
        </w:trPr>
        <w:tc>
          <w:tcPr>
            <w:tcW w:w="2183" w:type="dxa"/>
            <w:tcBorders>
              <w:top w:val="single" w:sz="4" w:space="0" w:color="auto"/>
            </w:tcBorders>
          </w:tcPr>
          <w:p w14:paraId="139C8025" w14:textId="77777777" w:rsidR="00FF42D0" w:rsidRPr="00110998" w:rsidRDefault="00FF42D0" w:rsidP="00025A53">
            <w:pPr>
              <w:snapToGrid w:val="0"/>
              <w:spacing w:line="360" w:lineRule="auto"/>
              <w:jc w:val="both"/>
              <w:rPr>
                <w:rFonts w:ascii="Book Antiqua" w:hAnsi="Book Antiqua"/>
              </w:rPr>
            </w:pPr>
            <w:r w:rsidRPr="00110998">
              <w:rPr>
                <w:rFonts w:ascii="Book Antiqua" w:hAnsi="Book Antiqua"/>
                <w:bCs/>
              </w:rPr>
              <w:t>Nivolumab</w:t>
            </w:r>
          </w:p>
        </w:tc>
        <w:tc>
          <w:tcPr>
            <w:tcW w:w="941" w:type="dxa"/>
            <w:tcBorders>
              <w:top w:val="single" w:sz="4" w:space="0" w:color="auto"/>
            </w:tcBorders>
          </w:tcPr>
          <w:p w14:paraId="75ECC4FC" w14:textId="77777777" w:rsidR="00FF42D0" w:rsidRPr="00110998" w:rsidRDefault="00993DFF" w:rsidP="00025A53">
            <w:pPr>
              <w:snapToGrid w:val="0"/>
              <w:spacing w:line="360" w:lineRule="auto"/>
              <w:jc w:val="both"/>
              <w:rPr>
                <w:rFonts w:ascii="Book Antiqua" w:hAnsi="Book Antiqua"/>
                <w:bCs/>
              </w:rPr>
            </w:pPr>
            <w:r w:rsidRPr="00110998">
              <w:rPr>
                <w:rFonts w:ascii="Book Antiqua" w:hAnsi="Book Antiqua"/>
                <w:bCs/>
              </w:rPr>
              <w:t>PD-1</w:t>
            </w:r>
          </w:p>
        </w:tc>
        <w:tc>
          <w:tcPr>
            <w:tcW w:w="1146" w:type="dxa"/>
            <w:tcBorders>
              <w:top w:val="single" w:sz="4" w:space="0" w:color="auto"/>
            </w:tcBorders>
          </w:tcPr>
          <w:p w14:paraId="174DE492" w14:textId="77777777" w:rsidR="00FF42D0" w:rsidRPr="00110998" w:rsidRDefault="00FF42D0" w:rsidP="00025A53">
            <w:pPr>
              <w:snapToGrid w:val="0"/>
              <w:spacing w:line="360" w:lineRule="auto"/>
              <w:jc w:val="both"/>
              <w:rPr>
                <w:rFonts w:ascii="Book Antiqua" w:hAnsi="Book Antiqua"/>
                <w:b/>
              </w:rPr>
            </w:pPr>
          </w:p>
        </w:tc>
        <w:tc>
          <w:tcPr>
            <w:tcW w:w="1410" w:type="dxa"/>
            <w:tcBorders>
              <w:top w:val="single" w:sz="4" w:space="0" w:color="auto"/>
            </w:tcBorders>
          </w:tcPr>
          <w:p w14:paraId="2246739B" w14:textId="77777777" w:rsidR="00FF42D0" w:rsidRPr="00110998" w:rsidRDefault="00FF42D0" w:rsidP="00025A53">
            <w:pPr>
              <w:snapToGrid w:val="0"/>
              <w:spacing w:line="360" w:lineRule="auto"/>
              <w:jc w:val="both"/>
              <w:rPr>
                <w:rFonts w:ascii="Book Antiqua" w:hAnsi="Book Antiqua"/>
                <w:b/>
              </w:rPr>
            </w:pPr>
          </w:p>
        </w:tc>
        <w:tc>
          <w:tcPr>
            <w:tcW w:w="870" w:type="dxa"/>
            <w:tcBorders>
              <w:top w:val="single" w:sz="4" w:space="0" w:color="auto"/>
            </w:tcBorders>
          </w:tcPr>
          <w:p w14:paraId="03CDCE7D" w14:textId="77777777" w:rsidR="00FF42D0" w:rsidRPr="00110998" w:rsidRDefault="00FF42D0" w:rsidP="00025A53">
            <w:pPr>
              <w:snapToGrid w:val="0"/>
              <w:spacing w:line="360" w:lineRule="auto"/>
              <w:jc w:val="both"/>
              <w:rPr>
                <w:rFonts w:ascii="Book Antiqua" w:hAnsi="Book Antiqua"/>
                <w:b/>
              </w:rPr>
            </w:pPr>
          </w:p>
        </w:tc>
        <w:tc>
          <w:tcPr>
            <w:tcW w:w="2912" w:type="dxa"/>
            <w:tcBorders>
              <w:top w:val="single" w:sz="4" w:space="0" w:color="auto"/>
            </w:tcBorders>
          </w:tcPr>
          <w:p w14:paraId="09774856" w14:textId="77777777" w:rsidR="00FF42D0" w:rsidRPr="00110998" w:rsidRDefault="00FF42D0" w:rsidP="00025A53">
            <w:pPr>
              <w:snapToGrid w:val="0"/>
              <w:spacing w:line="360" w:lineRule="auto"/>
              <w:jc w:val="both"/>
              <w:rPr>
                <w:rFonts w:ascii="Book Antiqua" w:hAnsi="Book Antiqua"/>
                <w:b/>
              </w:rPr>
            </w:pPr>
          </w:p>
        </w:tc>
      </w:tr>
      <w:tr w:rsidR="008E7812" w:rsidRPr="00110998" w14:paraId="620A989F" w14:textId="77777777" w:rsidTr="00993DFF">
        <w:tc>
          <w:tcPr>
            <w:tcW w:w="2183" w:type="dxa"/>
          </w:tcPr>
          <w:p w14:paraId="77594112" w14:textId="486C1A92"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[84]</w:t>
            </w:r>
          </w:p>
        </w:tc>
        <w:tc>
          <w:tcPr>
            <w:tcW w:w="941" w:type="dxa"/>
          </w:tcPr>
          <w:p w14:paraId="3622555D" w14:textId="77777777" w:rsidR="008E7812" w:rsidRPr="00110998" w:rsidRDefault="008E7812" w:rsidP="00025A53">
            <w:pPr>
              <w:snapToGrid w:val="0"/>
              <w:spacing w:line="360" w:lineRule="auto"/>
              <w:jc w:val="both"/>
              <w:rPr>
                <w:rFonts w:ascii="Book Antiqua" w:hAnsi="Book Antiqua"/>
                <w:bCs/>
              </w:rPr>
            </w:pPr>
          </w:p>
        </w:tc>
        <w:tc>
          <w:tcPr>
            <w:tcW w:w="1146" w:type="dxa"/>
          </w:tcPr>
          <w:p w14:paraId="5E31942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243</w:t>
            </w:r>
          </w:p>
        </w:tc>
        <w:tc>
          <w:tcPr>
            <w:tcW w:w="1410" w:type="dxa"/>
          </w:tcPr>
          <w:p w14:paraId="2F0D34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(after ASCT)</w:t>
            </w:r>
          </w:p>
        </w:tc>
        <w:tc>
          <w:tcPr>
            <w:tcW w:w="870" w:type="dxa"/>
          </w:tcPr>
          <w:p w14:paraId="28A78D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Pr>
          <w:p w14:paraId="3EE493E5" w14:textId="77777777" w:rsidR="008E7812" w:rsidRPr="00110998" w:rsidRDefault="00F3530A" w:rsidP="00025A53">
            <w:pPr>
              <w:snapToGrid w:val="0"/>
              <w:spacing w:line="360" w:lineRule="auto"/>
              <w:jc w:val="both"/>
              <w:rPr>
                <w:rFonts w:ascii="Book Antiqua" w:hAnsi="Book Antiqua"/>
                <w:bCs/>
              </w:rPr>
            </w:pPr>
            <w:r w:rsidRPr="00110998">
              <w:rPr>
                <w:rFonts w:ascii="Book Antiqua" w:hAnsi="Book Antiqua"/>
                <w:bCs/>
              </w:rPr>
              <w:t>ORR/CR: 69%/40%; PFS: 14.7 mo</w:t>
            </w:r>
            <w:r w:rsidR="008E2E22" w:rsidRPr="00110998">
              <w:rPr>
                <w:rFonts w:ascii="Book Antiqua" w:hAnsi="Book Antiqua"/>
                <w:bCs/>
              </w:rPr>
              <w:t xml:space="preserve">, Grade </w:t>
            </w:r>
            <w:r w:rsidR="008E2E22" w:rsidRPr="00110998">
              <w:rPr>
                <w:rFonts w:ascii="Book Antiqua" w:hAnsi="Book Antiqua" w:cstheme="minorHAnsi"/>
                <w:bCs/>
              </w:rPr>
              <w:t>≥</w:t>
            </w:r>
            <w:r w:rsidR="008E2E22" w:rsidRPr="00110998">
              <w:rPr>
                <w:rFonts w:ascii="Book Antiqua" w:hAnsi="Book Antiqua" w:cstheme="minorHAnsi"/>
                <w:bCs/>
                <w:lang w:eastAsia="zh-CN"/>
              </w:rPr>
              <w:t xml:space="preserve"> </w:t>
            </w:r>
            <w:r w:rsidR="008E2E22" w:rsidRPr="00110998">
              <w:rPr>
                <w:rFonts w:ascii="Book Antiqua" w:hAnsi="Book Antiqua"/>
                <w:bCs/>
              </w:rPr>
              <w:t>3 AEs: lipase increases 5%, neutropenia 3%, ALT increases 3%</w:t>
            </w:r>
          </w:p>
        </w:tc>
      </w:tr>
      <w:tr w:rsidR="008E7812" w:rsidRPr="00110998" w14:paraId="4142114C" w14:textId="77777777" w:rsidTr="00993DFF">
        <w:tc>
          <w:tcPr>
            <w:tcW w:w="2183" w:type="dxa"/>
          </w:tcPr>
          <w:p w14:paraId="4B8E033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[88]</w:t>
            </w:r>
          </w:p>
        </w:tc>
        <w:tc>
          <w:tcPr>
            <w:tcW w:w="941" w:type="dxa"/>
          </w:tcPr>
          <w:p w14:paraId="221D8389" w14:textId="77777777" w:rsidR="008E7812" w:rsidRPr="00110998" w:rsidRDefault="008E7812" w:rsidP="00025A53">
            <w:pPr>
              <w:snapToGrid w:val="0"/>
              <w:spacing w:line="360" w:lineRule="auto"/>
              <w:jc w:val="both"/>
              <w:rPr>
                <w:rFonts w:ascii="Book Antiqua" w:hAnsi="Book Antiqua"/>
                <w:bCs/>
              </w:rPr>
            </w:pPr>
          </w:p>
        </w:tc>
        <w:tc>
          <w:tcPr>
            <w:tcW w:w="1146" w:type="dxa"/>
          </w:tcPr>
          <w:p w14:paraId="614BE7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61</w:t>
            </w:r>
          </w:p>
        </w:tc>
        <w:tc>
          <w:tcPr>
            <w:tcW w:w="1410" w:type="dxa"/>
          </w:tcPr>
          <w:p w14:paraId="3800C7B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with BV</w:t>
            </w:r>
          </w:p>
        </w:tc>
        <w:tc>
          <w:tcPr>
            <w:tcW w:w="870" w:type="dxa"/>
          </w:tcPr>
          <w:p w14:paraId="10FA062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12" w:type="dxa"/>
          </w:tcPr>
          <w:p w14:paraId="62CBD89E" w14:textId="06ECCC4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82%/61%; AEs: Infusion reactions 44% (BV), </w:t>
            </w:r>
            <w:r w:rsidR="00110998" w:rsidRPr="00110998">
              <w:rPr>
                <w:rFonts w:ascii="Book Antiqua" w:hAnsi="Book Antiqua"/>
                <w:bCs/>
              </w:rPr>
              <w:t>corticosteroid</w:t>
            </w:r>
            <w:r w:rsidRPr="00110998">
              <w:rPr>
                <w:rFonts w:ascii="Book Antiqua" w:hAnsi="Book Antiqua"/>
                <w:bCs/>
              </w:rPr>
              <w:t xml:space="preserve"> therapy 8%</w:t>
            </w:r>
          </w:p>
        </w:tc>
      </w:tr>
      <w:tr w:rsidR="008E7812" w:rsidRPr="00110998" w14:paraId="22D2332D" w14:textId="77777777" w:rsidTr="00993DFF">
        <w:trPr>
          <w:trHeight w:val="2078"/>
        </w:trPr>
        <w:tc>
          <w:tcPr>
            <w:tcW w:w="2183" w:type="dxa"/>
          </w:tcPr>
          <w:p w14:paraId="1E9E59AB" w14:textId="77777777" w:rsidR="008E7812" w:rsidRPr="00110998" w:rsidRDefault="008E2E22" w:rsidP="00025A53">
            <w:pPr>
              <w:snapToGrid w:val="0"/>
              <w:spacing w:line="360" w:lineRule="auto"/>
              <w:jc w:val="both"/>
              <w:rPr>
                <w:rFonts w:ascii="Book Antiqua" w:hAnsi="Book Antiqua"/>
                <w:bCs/>
                <w:lang w:eastAsia="zh-CN"/>
              </w:rPr>
            </w:pPr>
            <w:r w:rsidRPr="00110998">
              <w:rPr>
                <w:rFonts w:ascii="Book Antiqua" w:hAnsi="Book Antiqua"/>
                <w:bCs/>
              </w:rPr>
              <w:t>[89]</w:t>
            </w:r>
          </w:p>
        </w:tc>
        <w:tc>
          <w:tcPr>
            <w:tcW w:w="941" w:type="dxa"/>
          </w:tcPr>
          <w:p w14:paraId="3BE2AC6B" w14:textId="77777777" w:rsidR="008E7812" w:rsidRPr="00110998" w:rsidRDefault="008E7812" w:rsidP="00025A53">
            <w:pPr>
              <w:snapToGrid w:val="0"/>
              <w:spacing w:line="360" w:lineRule="auto"/>
              <w:jc w:val="both"/>
              <w:rPr>
                <w:rFonts w:ascii="Book Antiqua" w:hAnsi="Book Antiqua"/>
                <w:bCs/>
              </w:rPr>
            </w:pPr>
          </w:p>
        </w:tc>
        <w:tc>
          <w:tcPr>
            <w:tcW w:w="1146" w:type="dxa"/>
          </w:tcPr>
          <w:p w14:paraId="01FD60A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64</w:t>
            </w:r>
          </w:p>
        </w:tc>
        <w:tc>
          <w:tcPr>
            <w:tcW w:w="1410" w:type="dxa"/>
          </w:tcPr>
          <w:p w14:paraId="7071FA6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Nivo + BV, Ipi + BV, Nivo + Ipi + BV</w:t>
            </w:r>
          </w:p>
        </w:tc>
        <w:tc>
          <w:tcPr>
            <w:tcW w:w="870" w:type="dxa"/>
          </w:tcPr>
          <w:p w14:paraId="5FA108E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12" w:type="dxa"/>
          </w:tcPr>
          <w:p w14:paraId="3FE0816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89%, 76%, 82% Grade ≥</w:t>
            </w:r>
            <w:r w:rsidRPr="00110998">
              <w:rPr>
                <w:rFonts w:ascii="Book Antiqua" w:hAnsi="Book Antiqua"/>
                <w:bCs/>
                <w:lang w:eastAsia="zh-CN"/>
              </w:rPr>
              <w:t xml:space="preserve"> </w:t>
            </w:r>
            <w:r w:rsidRPr="00110998">
              <w:rPr>
                <w:rFonts w:ascii="Book Antiqua" w:hAnsi="Book Antiqua"/>
                <w:bCs/>
              </w:rPr>
              <w:t>3 AEs:</w:t>
            </w:r>
            <w:r w:rsidRPr="00110998">
              <w:rPr>
                <w:rFonts w:ascii="Book Antiqua" w:hAnsi="Book Antiqua"/>
                <w:bCs/>
                <w:lang w:eastAsia="zh-CN"/>
              </w:rPr>
              <w:t xml:space="preserve"> </w:t>
            </w:r>
            <w:r w:rsidRPr="00110998">
              <w:rPr>
                <w:rFonts w:ascii="Book Antiqua" w:hAnsi="Book Antiqua"/>
                <w:bCs/>
              </w:rPr>
              <w:t>16%, 42%, 50%</w:t>
            </w:r>
          </w:p>
        </w:tc>
      </w:tr>
      <w:tr w:rsidR="00FF42D0" w:rsidRPr="00110998" w14:paraId="5637FAC7" w14:textId="77777777" w:rsidTr="00993DFF">
        <w:trPr>
          <w:trHeight w:val="163"/>
        </w:trPr>
        <w:tc>
          <w:tcPr>
            <w:tcW w:w="2183" w:type="dxa"/>
          </w:tcPr>
          <w:p w14:paraId="7502137F" w14:textId="77777777" w:rsidR="00FF42D0" w:rsidRPr="00110998" w:rsidRDefault="00FF42D0" w:rsidP="00025A53">
            <w:pPr>
              <w:snapToGrid w:val="0"/>
              <w:spacing w:line="360" w:lineRule="auto"/>
              <w:jc w:val="both"/>
              <w:rPr>
                <w:rFonts w:ascii="Book Antiqua" w:hAnsi="Book Antiqua"/>
                <w:bCs/>
              </w:rPr>
            </w:pPr>
            <w:r w:rsidRPr="00110998">
              <w:rPr>
                <w:rFonts w:ascii="Book Antiqua" w:hAnsi="Book Antiqua"/>
                <w:bCs/>
              </w:rPr>
              <w:t>Pembrolizumab</w:t>
            </w:r>
          </w:p>
        </w:tc>
        <w:tc>
          <w:tcPr>
            <w:tcW w:w="941" w:type="dxa"/>
          </w:tcPr>
          <w:p w14:paraId="6BB2DA48" w14:textId="77777777" w:rsidR="00FF42D0" w:rsidRPr="00110998" w:rsidRDefault="00993DFF" w:rsidP="00025A53">
            <w:pPr>
              <w:snapToGrid w:val="0"/>
              <w:spacing w:line="360" w:lineRule="auto"/>
              <w:jc w:val="both"/>
              <w:rPr>
                <w:rFonts w:ascii="Book Antiqua" w:hAnsi="Book Antiqua"/>
                <w:bCs/>
              </w:rPr>
            </w:pPr>
            <w:r w:rsidRPr="00110998">
              <w:rPr>
                <w:rFonts w:ascii="Book Antiqua" w:hAnsi="Book Antiqua"/>
                <w:bCs/>
              </w:rPr>
              <w:t>PD-1</w:t>
            </w:r>
          </w:p>
        </w:tc>
        <w:tc>
          <w:tcPr>
            <w:tcW w:w="1146" w:type="dxa"/>
          </w:tcPr>
          <w:p w14:paraId="476CF2C5" w14:textId="77777777" w:rsidR="00FF42D0" w:rsidRPr="00110998" w:rsidRDefault="00FF42D0" w:rsidP="00025A53">
            <w:pPr>
              <w:snapToGrid w:val="0"/>
              <w:spacing w:line="360" w:lineRule="auto"/>
              <w:jc w:val="both"/>
              <w:rPr>
                <w:rFonts w:ascii="Book Antiqua" w:hAnsi="Book Antiqua"/>
                <w:bCs/>
              </w:rPr>
            </w:pPr>
          </w:p>
        </w:tc>
        <w:tc>
          <w:tcPr>
            <w:tcW w:w="1410" w:type="dxa"/>
          </w:tcPr>
          <w:p w14:paraId="39AA37B9" w14:textId="77777777" w:rsidR="00FF42D0" w:rsidRPr="00110998" w:rsidRDefault="00FF42D0" w:rsidP="00025A53">
            <w:pPr>
              <w:snapToGrid w:val="0"/>
              <w:spacing w:line="360" w:lineRule="auto"/>
              <w:jc w:val="both"/>
              <w:rPr>
                <w:rFonts w:ascii="Book Antiqua" w:hAnsi="Book Antiqua"/>
                <w:bCs/>
              </w:rPr>
            </w:pPr>
          </w:p>
        </w:tc>
        <w:tc>
          <w:tcPr>
            <w:tcW w:w="870" w:type="dxa"/>
          </w:tcPr>
          <w:p w14:paraId="52288AF9" w14:textId="77777777" w:rsidR="00FF42D0" w:rsidRPr="00110998" w:rsidRDefault="00FF42D0" w:rsidP="00025A53">
            <w:pPr>
              <w:snapToGrid w:val="0"/>
              <w:spacing w:line="360" w:lineRule="auto"/>
              <w:jc w:val="both"/>
              <w:rPr>
                <w:rFonts w:ascii="Book Antiqua" w:hAnsi="Book Antiqua"/>
                <w:bCs/>
              </w:rPr>
            </w:pPr>
          </w:p>
        </w:tc>
        <w:tc>
          <w:tcPr>
            <w:tcW w:w="2912" w:type="dxa"/>
          </w:tcPr>
          <w:p w14:paraId="78685955" w14:textId="77777777" w:rsidR="00FF42D0" w:rsidRPr="00110998" w:rsidRDefault="00FF42D0" w:rsidP="00025A53">
            <w:pPr>
              <w:snapToGrid w:val="0"/>
              <w:spacing w:line="360" w:lineRule="auto"/>
              <w:jc w:val="both"/>
              <w:rPr>
                <w:rFonts w:ascii="Book Antiqua" w:hAnsi="Book Antiqua"/>
                <w:bCs/>
              </w:rPr>
            </w:pPr>
          </w:p>
        </w:tc>
      </w:tr>
      <w:tr w:rsidR="008E7812" w:rsidRPr="00110998" w14:paraId="7193110A" w14:textId="77777777" w:rsidTr="00993DFF">
        <w:tc>
          <w:tcPr>
            <w:tcW w:w="2183" w:type="dxa"/>
          </w:tcPr>
          <w:p w14:paraId="3C9C8986" w14:textId="77777777" w:rsidR="008E7812" w:rsidRPr="00110998" w:rsidRDefault="00FF42D0" w:rsidP="00025A53">
            <w:pPr>
              <w:snapToGrid w:val="0"/>
              <w:spacing w:line="360" w:lineRule="auto"/>
              <w:jc w:val="both"/>
              <w:rPr>
                <w:rFonts w:ascii="Book Antiqua" w:hAnsi="Book Antiqua"/>
                <w:bCs/>
              </w:rPr>
            </w:pPr>
            <w:r w:rsidRPr="00110998">
              <w:rPr>
                <w:rFonts w:ascii="Book Antiqua" w:hAnsi="Book Antiqua"/>
                <w:bCs/>
              </w:rPr>
              <w:t xml:space="preserve"> </w:t>
            </w:r>
            <w:r w:rsidR="008E2E22" w:rsidRPr="00110998">
              <w:rPr>
                <w:rFonts w:ascii="Book Antiqua" w:hAnsi="Book Antiqua"/>
                <w:bCs/>
              </w:rPr>
              <w:t>[85]</w:t>
            </w:r>
          </w:p>
        </w:tc>
        <w:tc>
          <w:tcPr>
            <w:tcW w:w="941" w:type="dxa"/>
          </w:tcPr>
          <w:p w14:paraId="5C549C5D" w14:textId="77777777" w:rsidR="008E7812" w:rsidRPr="00110998" w:rsidRDefault="008E7812" w:rsidP="00025A53">
            <w:pPr>
              <w:snapToGrid w:val="0"/>
              <w:spacing w:line="360" w:lineRule="auto"/>
              <w:jc w:val="both"/>
              <w:rPr>
                <w:rFonts w:ascii="Book Antiqua" w:hAnsi="Book Antiqua"/>
                <w:bCs/>
              </w:rPr>
            </w:pPr>
          </w:p>
        </w:tc>
        <w:tc>
          <w:tcPr>
            <w:tcW w:w="1146" w:type="dxa"/>
          </w:tcPr>
          <w:p w14:paraId="34FF8EF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210</w:t>
            </w:r>
          </w:p>
        </w:tc>
        <w:tc>
          <w:tcPr>
            <w:tcW w:w="1410" w:type="dxa"/>
          </w:tcPr>
          <w:p w14:paraId="4B1BE11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w:t>
            </w:r>
          </w:p>
        </w:tc>
        <w:tc>
          <w:tcPr>
            <w:tcW w:w="870" w:type="dxa"/>
          </w:tcPr>
          <w:p w14:paraId="0796D68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Pr>
          <w:p w14:paraId="40B16C4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69%/22.4% 6-mos DoR rate: 75.6% TRAEs: hypothyroidism 12.4%, pyrexia 10.5%</w:t>
            </w:r>
          </w:p>
        </w:tc>
      </w:tr>
      <w:tr w:rsidR="008E7812" w:rsidRPr="00110998" w14:paraId="4C9190C9" w14:textId="77777777" w:rsidTr="00E177DD">
        <w:tc>
          <w:tcPr>
            <w:tcW w:w="2183" w:type="dxa"/>
          </w:tcPr>
          <w:p w14:paraId="3201B08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[86]</w:t>
            </w:r>
          </w:p>
        </w:tc>
        <w:tc>
          <w:tcPr>
            <w:tcW w:w="941" w:type="dxa"/>
          </w:tcPr>
          <w:p w14:paraId="05DD3915" w14:textId="77777777" w:rsidR="008E7812" w:rsidRPr="00110998" w:rsidRDefault="008E7812" w:rsidP="00025A53">
            <w:pPr>
              <w:snapToGrid w:val="0"/>
              <w:spacing w:line="360" w:lineRule="auto"/>
              <w:jc w:val="both"/>
              <w:rPr>
                <w:rFonts w:ascii="Book Antiqua" w:hAnsi="Book Antiqua"/>
                <w:bCs/>
              </w:rPr>
            </w:pPr>
          </w:p>
        </w:tc>
        <w:tc>
          <w:tcPr>
            <w:tcW w:w="1146" w:type="dxa"/>
          </w:tcPr>
          <w:p w14:paraId="12E3838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304</w:t>
            </w:r>
          </w:p>
        </w:tc>
        <w:tc>
          <w:tcPr>
            <w:tcW w:w="1410" w:type="dxa"/>
          </w:tcPr>
          <w:p w14:paraId="3D3A25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cHL </w:t>
            </w:r>
            <w:r w:rsidRPr="00110998">
              <w:rPr>
                <w:rFonts w:ascii="Book Antiqua" w:hAnsi="Book Antiqua"/>
                <w:bCs/>
                <w:i/>
                <w:lang w:eastAsia="zh-CN"/>
              </w:rPr>
              <w:t>vs</w:t>
            </w:r>
            <w:r w:rsidRPr="00110998">
              <w:rPr>
                <w:rFonts w:ascii="Book Antiqua" w:hAnsi="Book Antiqua"/>
                <w:bCs/>
              </w:rPr>
              <w:t xml:space="preserve"> BV</w:t>
            </w:r>
          </w:p>
        </w:tc>
        <w:tc>
          <w:tcPr>
            <w:tcW w:w="870" w:type="dxa"/>
          </w:tcPr>
          <w:p w14:paraId="7AC5BC7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912" w:type="dxa"/>
          </w:tcPr>
          <w:p w14:paraId="0EDCED8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13.2 </w:t>
            </w:r>
            <w:r w:rsidR="00B0341B" w:rsidRPr="00110998">
              <w:rPr>
                <w:rFonts w:ascii="Book Antiqua" w:hAnsi="Book Antiqua"/>
                <w:bCs/>
              </w:rPr>
              <w:t>mo</w:t>
            </w:r>
            <w:r w:rsidR="00B0341B" w:rsidRPr="00110998">
              <w:rPr>
                <w:rFonts w:ascii="Book Antiqua" w:hAnsi="Book Antiqua"/>
                <w:bCs/>
                <w:i/>
                <w:lang w:eastAsia="zh-CN"/>
              </w:rPr>
              <w:t xml:space="preserve"> </w:t>
            </w:r>
            <w:r w:rsidRPr="00110998">
              <w:rPr>
                <w:rFonts w:ascii="Book Antiqua" w:hAnsi="Book Antiqua"/>
                <w:bCs/>
                <w:i/>
                <w:lang w:eastAsia="zh-CN"/>
              </w:rPr>
              <w:t>vs</w:t>
            </w:r>
            <w:r w:rsidR="00B0341B" w:rsidRPr="00110998">
              <w:rPr>
                <w:rFonts w:ascii="Book Antiqua" w:hAnsi="Book Antiqua"/>
                <w:bCs/>
              </w:rPr>
              <w:t xml:space="preserve"> 8.3 mo</w:t>
            </w:r>
            <w:r w:rsidRPr="00110998">
              <w:rPr>
                <w:rFonts w:ascii="Book Antiqua" w:hAnsi="Book Antiqua"/>
                <w:bCs/>
              </w:rPr>
              <w:t xml:space="preserve"> (HR 0.65, </w:t>
            </w:r>
            <w:r w:rsidRPr="00110998">
              <w:rPr>
                <w:rFonts w:ascii="Book Antiqua" w:hAnsi="Book Antiqua"/>
                <w:bCs/>
                <w:i/>
                <w:iCs/>
              </w:rPr>
              <w:t>P</w:t>
            </w:r>
            <w:r w:rsidRPr="00110998">
              <w:rPr>
                <w:rFonts w:ascii="Book Antiqua" w:hAnsi="Book Antiqua"/>
                <w:bCs/>
                <w:i/>
                <w:i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 xml:space="preserve">0.00271), ORR/CR: 65.6%/24.5% </w:t>
            </w:r>
            <w:r w:rsidRPr="00110998">
              <w:rPr>
                <w:rFonts w:ascii="Book Antiqua" w:hAnsi="Book Antiqua"/>
                <w:bCs/>
                <w:i/>
                <w:lang w:eastAsia="zh-CN"/>
              </w:rPr>
              <w:t>vs</w:t>
            </w:r>
            <w:r w:rsidRPr="00110998">
              <w:rPr>
                <w:rFonts w:ascii="Book Antiqua" w:hAnsi="Book Antiqua"/>
                <w:bCs/>
              </w:rPr>
              <w:t xml:space="preserve"> 54.2%/24.2% TRAEs: 19.6% </w:t>
            </w:r>
            <w:r w:rsidRPr="00110998">
              <w:rPr>
                <w:rFonts w:ascii="Book Antiqua" w:hAnsi="Book Antiqua"/>
                <w:bCs/>
                <w:i/>
                <w:lang w:eastAsia="zh-CN"/>
              </w:rPr>
              <w:t>vs</w:t>
            </w:r>
            <w:r w:rsidRPr="00110998">
              <w:rPr>
                <w:rFonts w:ascii="Book Antiqua" w:hAnsi="Book Antiqua"/>
                <w:bCs/>
              </w:rPr>
              <w:t xml:space="preserve"> 25% </w:t>
            </w:r>
          </w:p>
        </w:tc>
      </w:tr>
      <w:tr w:rsidR="008E7812" w:rsidRPr="00110998" w14:paraId="1AD55172" w14:textId="77777777" w:rsidTr="00517526">
        <w:tc>
          <w:tcPr>
            <w:tcW w:w="2183" w:type="dxa"/>
          </w:tcPr>
          <w:p w14:paraId="076C5E1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[91]</w:t>
            </w:r>
          </w:p>
        </w:tc>
        <w:tc>
          <w:tcPr>
            <w:tcW w:w="941" w:type="dxa"/>
          </w:tcPr>
          <w:p w14:paraId="63616CFE" w14:textId="77777777" w:rsidR="008E7812" w:rsidRPr="00110998" w:rsidRDefault="008E7812" w:rsidP="00025A53">
            <w:pPr>
              <w:snapToGrid w:val="0"/>
              <w:spacing w:line="360" w:lineRule="auto"/>
              <w:jc w:val="both"/>
              <w:rPr>
                <w:rFonts w:ascii="Book Antiqua" w:hAnsi="Book Antiqua"/>
                <w:bCs/>
              </w:rPr>
            </w:pPr>
          </w:p>
        </w:tc>
        <w:tc>
          <w:tcPr>
            <w:tcW w:w="1146" w:type="dxa"/>
          </w:tcPr>
          <w:p w14:paraId="2B9F3CA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74</w:t>
            </w:r>
          </w:p>
        </w:tc>
        <w:tc>
          <w:tcPr>
            <w:tcW w:w="1410" w:type="dxa"/>
          </w:tcPr>
          <w:p w14:paraId="16E731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w:t>
            </w:r>
            <w:r w:rsidRPr="00110998">
              <w:rPr>
                <w:rFonts w:ascii="Book Antiqua" w:hAnsi="Book Antiqua"/>
                <w:bCs/>
              </w:rPr>
              <w:lastRenderedPageBreak/>
              <w:t>PMBCL</w:t>
            </w:r>
          </w:p>
        </w:tc>
        <w:tc>
          <w:tcPr>
            <w:tcW w:w="870" w:type="dxa"/>
          </w:tcPr>
          <w:p w14:paraId="3E5A63B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2</w:t>
            </w:r>
          </w:p>
        </w:tc>
        <w:tc>
          <w:tcPr>
            <w:tcW w:w="2912" w:type="dxa"/>
          </w:tcPr>
          <w:p w14:paraId="2CB0EF3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w:t>
            </w:r>
            <w:r w:rsidR="00B0341B" w:rsidRPr="00110998">
              <w:rPr>
                <w:rFonts w:ascii="Book Antiqua" w:hAnsi="Book Antiqua"/>
                <w:bCs/>
              </w:rPr>
              <w:t xml:space="preserve">RR/CR: 45%/13% </w:t>
            </w:r>
            <w:r w:rsidR="00B0341B" w:rsidRPr="00110998">
              <w:rPr>
                <w:rFonts w:ascii="Book Antiqua" w:hAnsi="Book Antiqua"/>
                <w:bCs/>
              </w:rPr>
              <w:lastRenderedPageBreak/>
              <w:t>DoR: NR (12.5 mo</w:t>
            </w:r>
            <w:r w:rsidRPr="00110998">
              <w:rPr>
                <w:rFonts w:ascii="Book Antiqua" w:hAnsi="Book Antiqua"/>
                <w:bCs/>
              </w:rPr>
              <w:t xml:space="preserve"> FU); Grade ≥</w:t>
            </w:r>
            <w:r w:rsidRPr="00110998">
              <w:rPr>
                <w:rFonts w:ascii="Book Antiqua" w:hAnsi="Book Antiqua"/>
                <w:bCs/>
                <w:lang w:eastAsia="zh-CN"/>
              </w:rPr>
              <w:t xml:space="preserve"> </w:t>
            </w:r>
            <w:r w:rsidRPr="00110998">
              <w:rPr>
                <w:rFonts w:ascii="Book Antiqua" w:hAnsi="Book Antiqua"/>
                <w:bCs/>
              </w:rPr>
              <w:t>3 TRAEs: 23%</w:t>
            </w:r>
          </w:p>
        </w:tc>
      </w:tr>
      <w:tr w:rsidR="008E7812" w:rsidRPr="00110998" w14:paraId="699B890A" w14:textId="77777777" w:rsidTr="00517526">
        <w:tc>
          <w:tcPr>
            <w:tcW w:w="2183" w:type="dxa"/>
            <w:tcBorders>
              <w:bottom w:val="single" w:sz="4" w:space="0" w:color="auto"/>
            </w:tcBorders>
          </w:tcPr>
          <w:p w14:paraId="04A234B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[92]</w:t>
            </w:r>
          </w:p>
        </w:tc>
        <w:tc>
          <w:tcPr>
            <w:tcW w:w="941" w:type="dxa"/>
            <w:tcBorders>
              <w:bottom w:val="single" w:sz="4" w:space="0" w:color="auto"/>
            </w:tcBorders>
          </w:tcPr>
          <w:p w14:paraId="5DCC3F91" w14:textId="77777777" w:rsidR="008E7812" w:rsidRPr="00110998" w:rsidRDefault="008E7812" w:rsidP="00025A53">
            <w:pPr>
              <w:snapToGrid w:val="0"/>
              <w:spacing w:line="360" w:lineRule="auto"/>
              <w:jc w:val="both"/>
              <w:rPr>
                <w:rFonts w:ascii="Book Antiqua" w:hAnsi="Book Antiqua"/>
                <w:bCs/>
              </w:rPr>
            </w:pPr>
          </w:p>
        </w:tc>
        <w:tc>
          <w:tcPr>
            <w:tcW w:w="1146" w:type="dxa"/>
            <w:tcBorders>
              <w:bottom w:val="single" w:sz="4" w:space="0" w:color="auto"/>
            </w:tcBorders>
          </w:tcPr>
          <w:p w14:paraId="7FAF92A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24</w:t>
            </w:r>
          </w:p>
        </w:tc>
        <w:tc>
          <w:tcPr>
            <w:tcW w:w="1410" w:type="dxa"/>
            <w:tcBorders>
              <w:bottom w:val="single" w:sz="4" w:space="0" w:color="auto"/>
            </w:tcBorders>
          </w:tcPr>
          <w:p w14:paraId="0D9965D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CTCL</w:t>
            </w:r>
          </w:p>
        </w:tc>
        <w:tc>
          <w:tcPr>
            <w:tcW w:w="870" w:type="dxa"/>
            <w:tcBorders>
              <w:bottom w:val="single" w:sz="4" w:space="0" w:color="auto"/>
            </w:tcBorders>
          </w:tcPr>
          <w:p w14:paraId="50E393E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Borders>
              <w:bottom w:val="single" w:sz="4" w:space="0" w:color="auto"/>
            </w:tcBorders>
          </w:tcPr>
          <w:p w14:paraId="45AF1A9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38%; IRAEs: 17%</w:t>
            </w:r>
          </w:p>
        </w:tc>
      </w:tr>
    </w:tbl>
    <w:p w14:paraId="7B5FF636" w14:textId="1F6BAF23" w:rsidR="00D14340" w:rsidRPr="00110998" w:rsidRDefault="00D14340"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ALT: </w:t>
      </w:r>
      <w:r w:rsidRPr="00110998">
        <w:rPr>
          <w:rFonts w:ascii="Book Antiqua" w:hAnsi="Book Antiqua"/>
          <w:caps/>
        </w:rPr>
        <w:t>a</w:t>
      </w:r>
      <w:r w:rsidRPr="00110998">
        <w:rPr>
          <w:rFonts w:ascii="Book Antiqua" w:hAnsi="Book Antiqua"/>
        </w:rPr>
        <w:t>lanine amino transferase</w:t>
      </w:r>
      <w:r w:rsidRPr="00110998" w:rsidDel="00D14340">
        <w:rPr>
          <w:rFonts w:ascii="Book Antiqua" w:hAnsi="Book Antiqua"/>
        </w:rPr>
        <w:t>;</w:t>
      </w:r>
      <w:r w:rsidRPr="00110998">
        <w:rPr>
          <w:rFonts w:ascii="Book Antiqua" w:hAnsi="Book Antiqua"/>
        </w:rPr>
        <w:t xml:space="preserve"> ASCT: </w:t>
      </w:r>
      <w:r w:rsidRPr="00110998">
        <w:rPr>
          <w:rFonts w:ascii="Book Antiqua" w:hAnsi="Book Antiqua"/>
          <w:caps/>
        </w:rPr>
        <w:t>a</w:t>
      </w:r>
      <w:r w:rsidRPr="00110998">
        <w:rPr>
          <w:rFonts w:ascii="Book Antiqua" w:hAnsi="Book Antiqua"/>
        </w:rPr>
        <w:t>utologous stem cell transplantation</w:t>
      </w:r>
      <w:r w:rsidRPr="00110998" w:rsidDel="00D14340">
        <w:rPr>
          <w:rFonts w:ascii="Book Antiqua" w:hAnsi="Book Antiqua"/>
        </w:rPr>
        <w:t>;</w:t>
      </w:r>
      <w:r w:rsidRPr="00110998">
        <w:rPr>
          <w:rFonts w:ascii="Book Antiqua" w:hAnsi="Book Antiqua"/>
        </w:rPr>
        <w:t xml:space="preserve"> BV: </w:t>
      </w:r>
      <w:r w:rsidRPr="00110998">
        <w:rPr>
          <w:rFonts w:ascii="Book Antiqua" w:hAnsi="Book Antiqua"/>
          <w:caps/>
        </w:rPr>
        <w:t>b</w:t>
      </w:r>
      <w:r w:rsidRPr="00110998">
        <w:rPr>
          <w:rFonts w:ascii="Book Antiqua" w:hAnsi="Book Antiqua"/>
        </w:rPr>
        <w:t>rentuximab</w:t>
      </w:r>
      <w:r w:rsidR="008E7F8A">
        <w:rPr>
          <w:rFonts w:ascii="Book Antiqua" w:hAnsi="Book Antiqua"/>
        </w:rPr>
        <w:t xml:space="preserve"> </w:t>
      </w:r>
      <w:r w:rsidR="00B00F0D">
        <w:rPr>
          <w:rFonts w:ascii="Book Antiqua" w:hAnsi="Book Antiqua"/>
        </w:rPr>
        <w:t>vedotin</w:t>
      </w:r>
      <w:r w:rsidRPr="00110998" w:rsidDel="00D14340">
        <w:rPr>
          <w:rFonts w:ascii="Book Antiqua" w:hAnsi="Book Antiqua"/>
        </w:rPr>
        <w:t>;</w:t>
      </w:r>
      <w:r w:rsidR="00110998">
        <w:rPr>
          <w:rFonts w:ascii="Book Antiqua" w:hAnsi="Book Antiqua"/>
        </w:rPr>
        <w:t xml:space="preserve"> </w:t>
      </w:r>
      <w:r w:rsidRPr="00110998">
        <w:rPr>
          <w:rFonts w:ascii="Book Antiqua" w:hAnsi="Book Antiqua"/>
        </w:rPr>
        <w:t xml:space="preserve">cHL: </w:t>
      </w:r>
      <w:r w:rsidRPr="00110998">
        <w:rPr>
          <w:rFonts w:ascii="Book Antiqua" w:hAnsi="Book Antiqua"/>
          <w:caps/>
        </w:rPr>
        <w:t>c</w:t>
      </w:r>
      <w:r w:rsidRPr="00110998">
        <w:rPr>
          <w:rFonts w:ascii="Book Antiqua" w:hAnsi="Book Antiqua"/>
        </w:rPr>
        <w:t xml:space="preserve">lassic </w:t>
      </w:r>
      <w:r w:rsidR="00110998" w:rsidRPr="00110998">
        <w:rPr>
          <w:rFonts w:ascii="Book Antiqua" w:hAnsi="Book Antiqua"/>
        </w:rPr>
        <w:t>Hodgkin</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CTCL: </w:t>
      </w:r>
      <w:r w:rsidR="00110998" w:rsidRPr="00110998">
        <w:rPr>
          <w:rFonts w:ascii="Book Antiqua" w:hAnsi="Book Antiqua"/>
          <w:caps/>
        </w:rPr>
        <w:t>C</w:t>
      </w:r>
      <w:r w:rsidR="00110998" w:rsidRPr="00110998">
        <w:rPr>
          <w:rFonts w:ascii="Book Antiqua" w:hAnsi="Book Antiqua"/>
        </w:rPr>
        <w:t>utaneous</w:t>
      </w:r>
      <w:r w:rsidRPr="00110998">
        <w:rPr>
          <w:rFonts w:ascii="Book Antiqua" w:hAnsi="Book Antiqua"/>
        </w:rPr>
        <w:t xml:space="preserve"> T-cell lymphoma</w:t>
      </w:r>
      <w:r w:rsidRPr="00110998" w:rsidDel="00D14340">
        <w:rPr>
          <w:rFonts w:ascii="Book Antiqua" w:hAnsi="Book Antiqua"/>
        </w:rPr>
        <w:t>;</w:t>
      </w:r>
      <w:r w:rsidRPr="00110998">
        <w:rPr>
          <w:rFonts w:ascii="Book Antiqua" w:hAnsi="Book Antiqua"/>
        </w:rPr>
        <w:t xml:space="preserve"> DoR: </w:t>
      </w:r>
      <w:r w:rsidRPr="00110998">
        <w:rPr>
          <w:rFonts w:ascii="Book Antiqua" w:hAnsi="Book Antiqua"/>
          <w:caps/>
        </w:rPr>
        <w:t>d</w:t>
      </w:r>
      <w:r w:rsidRPr="00110998">
        <w:rPr>
          <w:rFonts w:ascii="Book Antiqua" w:hAnsi="Book Antiqua"/>
        </w:rPr>
        <w:t>uration of response</w:t>
      </w:r>
      <w:r w:rsidRPr="00110998" w:rsidDel="00D14340">
        <w:rPr>
          <w:rFonts w:ascii="Book Antiqua" w:hAnsi="Book Antiqua"/>
        </w:rPr>
        <w:t>;</w:t>
      </w:r>
      <w:r w:rsidRPr="00110998">
        <w:rPr>
          <w:rFonts w:ascii="Book Antiqua" w:hAnsi="Book Antiqua"/>
        </w:rPr>
        <w:t xml:space="preserve"> Ipi: Ipilimumab</w:t>
      </w:r>
      <w:r w:rsidRPr="00110998" w:rsidDel="00D14340">
        <w:rPr>
          <w:rFonts w:ascii="Book Antiqua" w:hAnsi="Book Antiqua"/>
        </w:rPr>
        <w:t>;</w:t>
      </w:r>
      <w:r w:rsidRPr="00110998">
        <w:rPr>
          <w:rFonts w:ascii="Book Antiqua" w:hAnsi="Book Antiqua"/>
        </w:rPr>
        <w:t xml:space="preserve"> IRAEs: </w:t>
      </w:r>
      <w:r w:rsidRPr="00110998">
        <w:rPr>
          <w:rFonts w:ascii="Book Antiqua" w:hAnsi="Book Antiqua"/>
          <w:caps/>
        </w:rPr>
        <w:t>i</w:t>
      </w:r>
      <w:r w:rsidRPr="00110998">
        <w:rPr>
          <w:rFonts w:ascii="Book Antiqua" w:hAnsi="Book Antiqua"/>
        </w:rPr>
        <w:t>mmune related adverse event</w:t>
      </w:r>
      <w:r w:rsidRPr="00110998" w:rsidDel="00D14340">
        <w:rPr>
          <w:rFonts w:ascii="Book Antiqua" w:hAnsi="Book Antiqua"/>
        </w:rPr>
        <w:t>;</w:t>
      </w:r>
      <w:r w:rsidRPr="00110998">
        <w:rPr>
          <w:rFonts w:ascii="Book Antiqua" w:hAnsi="Book Antiqua"/>
        </w:rPr>
        <w:t xml:space="preserve"> Nivo: Nivolumab</w:t>
      </w:r>
      <w:r w:rsidRPr="00110998" w:rsidDel="00D14340">
        <w:rPr>
          <w:rFonts w:ascii="Book Antiqua" w:hAnsi="Book Antiqua"/>
        </w:rPr>
        <w:t>;</w:t>
      </w:r>
      <w:r w:rsidRPr="00110998">
        <w:rPr>
          <w:rFonts w:ascii="Book Antiqua" w:hAnsi="Book Antiqua"/>
        </w:rPr>
        <w:t xml:space="preserve"> NR: </w:t>
      </w:r>
      <w:r w:rsidRPr="00110998">
        <w:rPr>
          <w:rFonts w:ascii="Book Antiqua" w:hAnsi="Book Antiqua"/>
          <w:caps/>
        </w:rPr>
        <w:t>n</w:t>
      </w:r>
      <w:r w:rsidRPr="00110998">
        <w:rPr>
          <w:rFonts w:ascii="Book Antiqua" w:hAnsi="Book Antiqua"/>
        </w:rPr>
        <w:t xml:space="preserve">ot reached.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PMBCL: </w:t>
      </w:r>
      <w:r w:rsidRPr="00110998">
        <w:rPr>
          <w:rFonts w:ascii="Book Antiqua" w:hAnsi="Book Antiqua"/>
          <w:caps/>
        </w:rPr>
        <w:t>p</w:t>
      </w:r>
      <w:r w:rsidRPr="00110998">
        <w:rPr>
          <w:rFonts w:ascii="Book Antiqua" w:hAnsi="Book Antiqua"/>
        </w:rPr>
        <w:t>rimary mediastinal B-cell lymphoma</w:t>
      </w:r>
      <w:r w:rsidRPr="00110998" w:rsidDel="00D14340">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Pr="00110998" w:rsidDel="00D14340">
        <w:rPr>
          <w:rFonts w:ascii="Book Antiqua" w:hAnsi="Book Antiqua"/>
        </w:rPr>
        <w:t>;</w:t>
      </w:r>
      <w:r w:rsidRPr="00110998">
        <w:rPr>
          <w:rFonts w:ascii="Book Antiqua" w:hAnsi="Book Antiqua"/>
        </w:rPr>
        <w:t xml:space="preserve"> TRAEs: </w:t>
      </w:r>
      <w:r w:rsidRPr="00110998">
        <w:rPr>
          <w:rFonts w:ascii="Book Antiqua" w:hAnsi="Book Antiqua"/>
          <w:caps/>
        </w:rPr>
        <w:t>t</w:t>
      </w:r>
      <w:r w:rsidRPr="00110998">
        <w:rPr>
          <w:rFonts w:ascii="Book Antiqua" w:hAnsi="Book Antiqua"/>
        </w:rPr>
        <w:t>reatment</w:t>
      </w:r>
      <w:r w:rsidR="008E7F8A">
        <w:rPr>
          <w:rFonts w:ascii="Book Antiqua" w:hAnsi="Book Antiqua"/>
        </w:rPr>
        <w:t>-related</w:t>
      </w:r>
      <w:r w:rsidRPr="00110998">
        <w:rPr>
          <w:rFonts w:ascii="Book Antiqua" w:hAnsi="Book Antiqua"/>
        </w:rPr>
        <w:t xml:space="preserve"> adverse event.</w:t>
      </w:r>
    </w:p>
    <w:p w14:paraId="241E20AB" w14:textId="77777777" w:rsidR="0048286D" w:rsidRPr="00110998" w:rsidRDefault="0048286D" w:rsidP="00025A53">
      <w:pPr>
        <w:snapToGrid w:val="0"/>
        <w:spacing w:line="360" w:lineRule="auto"/>
        <w:jc w:val="both"/>
        <w:rPr>
          <w:rFonts w:ascii="Book Antiqua" w:hAnsi="Book Antiqua"/>
          <w:b/>
        </w:rPr>
      </w:pPr>
      <w:r w:rsidRPr="00110998">
        <w:rPr>
          <w:rFonts w:ascii="Book Antiqua" w:hAnsi="Book Antiqua"/>
          <w:b/>
        </w:rPr>
        <w:br w:type="page"/>
      </w:r>
    </w:p>
    <w:p w14:paraId="07FCAC0E" w14:textId="3AF7558A"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Table 5 Chimeric antigen receptor T</w:t>
      </w:r>
      <w:r w:rsidR="00D14340" w:rsidRPr="00110998">
        <w:rPr>
          <w:rFonts w:ascii="Book Antiqua" w:hAnsi="Book Antiqua"/>
          <w:b/>
        </w:rPr>
        <w:t xml:space="preserve"> </w:t>
      </w:r>
      <w:r w:rsidRPr="00110998">
        <w:rPr>
          <w:rFonts w:ascii="Book Antiqua" w:hAnsi="Book Antiqua"/>
          <w:b/>
        </w:rPr>
        <w:t>cell</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505"/>
        <w:gridCol w:w="1064"/>
        <w:gridCol w:w="1387"/>
        <w:gridCol w:w="846"/>
        <w:gridCol w:w="2103"/>
      </w:tblGrid>
      <w:tr w:rsidR="008E7812" w:rsidRPr="00110998" w14:paraId="5B04474B" w14:textId="77777777" w:rsidTr="00A972EF">
        <w:tc>
          <w:tcPr>
            <w:tcW w:w="1857" w:type="dxa"/>
            <w:tcBorders>
              <w:top w:val="single" w:sz="4" w:space="0" w:color="auto"/>
              <w:bottom w:val="single" w:sz="4" w:space="0" w:color="auto"/>
            </w:tcBorders>
          </w:tcPr>
          <w:p w14:paraId="03613D67" w14:textId="3FE73AF1"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 xml:space="preserve">Drug </w:t>
            </w:r>
            <w:r w:rsidR="00D14340" w:rsidRPr="00110998">
              <w:rPr>
                <w:rFonts w:ascii="Book Antiqua" w:hAnsi="Book Antiqua"/>
                <w:b/>
              </w:rPr>
              <w:t>[</w:t>
            </w:r>
            <w:r w:rsidRPr="00110998">
              <w:rPr>
                <w:rFonts w:ascii="Book Antiqua" w:hAnsi="Book Antiqua"/>
                <w:b/>
              </w:rPr>
              <w:t>Ref</w:t>
            </w:r>
            <w:r w:rsidR="000F210D" w:rsidRPr="00110998">
              <w:rPr>
                <w:rFonts w:ascii="Book Antiqua" w:hAnsi="Book Antiqua"/>
                <w:b/>
              </w:rPr>
              <w:t>.</w:t>
            </w:r>
            <w:r w:rsidR="00D14340" w:rsidRPr="00110998">
              <w:rPr>
                <w:rFonts w:ascii="Book Antiqua" w:hAnsi="Book Antiqua"/>
                <w:b/>
              </w:rPr>
              <w:t>]</w:t>
            </w:r>
          </w:p>
        </w:tc>
        <w:tc>
          <w:tcPr>
            <w:tcW w:w="1246" w:type="dxa"/>
            <w:tcBorders>
              <w:top w:val="single" w:sz="4" w:space="0" w:color="auto"/>
              <w:bottom w:val="single" w:sz="4" w:space="0" w:color="auto"/>
            </w:tcBorders>
          </w:tcPr>
          <w:p w14:paraId="447D414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Target/co-stimulator</w:t>
            </w:r>
          </w:p>
        </w:tc>
        <w:tc>
          <w:tcPr>
            <w:tcW w:w="1167" w:type="dxa"/>
            <w:tcBorders>
              <w:top w:val="single" w:sz="4" w:space="0" w:color="auto"/>
              <w:bottom w:val="single" w:sz="4" w:space="0" w:color="auto"/>
            </w:tcBorders>
          </w:tcPr>
          <w:p w14:paraId="143D343B" w14:textId="77777777" w:rsidR="008E7812" w:rsidRPr="00110998" w:rsidRDefault="00C8505E" w:rsidP="00025A53">
            <w:pPr>
              <w:snapToGrid w:val="0"/>
              <w:spacing w:line="360" w:lineRule="auto"/>
              <w:jc w:val="both"/>
              <w:rPr>
                <w:rFonts w:ascii="Book Antiqua" w:hAnsi="Book Antiqua"/>
                <w:b/>
              </w:rPr>
            </w:pPr>
            <w:r w:rsidRPr="00110998">
              <w:rPr>
                <w:rFonts w:ascii="Book Antiqua" w:hAnsi="Book Antiqua"/>
                <w:b/>
              </w:rPr>
              <w:t>No. of patients</w:t>
            </w:r>
          </w:p>
        </w:tc>
        <w:tc>
          <w:tcPr>
            <w:tcW w:w="1596" w:type="dxa"/>
            <w:tcBorders>
              <w:top w:val="single" w:sz="4" w:space="0" w:color="auto"/>
              <w:bottom w:val="single" w:sz="4" w:space="0" w:color="auto"/>
            </w:tcBorders>
          </w:tcPr>
          <w:p w14:paraId="0B09783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12" w:type="dxa"/>
            <w:tcBorders>
              <w:top w:val="single" w:sz="4" w:space="0" w:color="auto"/>
              <w:bottom w:val="single" w:sz="4" w:space="0" w:color="auto"/>
            </w:tcBorders>
          </w:tcPr>
          <w:p w14:paraId="05552249"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44" w:type="dxa"/>
            <w:tcBorders>
              <w:top w:val="single" w:sz="4" w:space="0" w:color="auto"/>
              <w:bottom w:val="single" w:sz="4" w:space="0" w:color="auto"/>
            </w:tcBorders>
          </w:tcPr>
          <w:p w14:paraId="2E10F142"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8E7812" w:rsidRPr="00110998" w14:paraId="3E00102A" w14:textId="77777777" w:rsidTr="0086376B">
        <w:tc>
          <w:tcPr>
            <w:tcW w:w="1857" w:type="dxa"/>
            <w:tcBorders>
              <w:top w:val="single" w:sz="4" w:space="0" w:color="auto"/>
            </w:tcBorders>
          </w:tcPr>
          <w:p w14:paraId="4E2FEBA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Axicabtagene-ciloleucel</w:t>
            </w:r>
            <w:r w:rsidRPr="00110998">
              <w:rPr>
                <w:rFonts w:ascii="Book Antiqua" w:hAnsi="Book Antiqua"/>
                <w:bCs/>
                <w:vertAlign w:val="superscript"/>
              </w:rPr>
              <w:t>[96]</w:t>
            </w:r>
          </w:p>
        </w:tc>
        <w:tc>
          <w:tcPr>
            <w:tcW w:w="1246" w:type="dxa"/>
            <w:tcBorders>
              <w:top w:val="single" w:sz="4" w:space="0" w:color="auto"/>
            </w:tcBorders>
          </w:tcPr>
          <w:p w14:paraId="1F71271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Borders>
              <w:top w:val="single" w:sz="4" w:space="0" w:color="auto"/>
            </w:tcBorders>
          </w:tcPr>
          <w:p w14:paraId="52F6402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111</w:t>
            </w:r>
          </w:p>
        </w:tc>
        <w:tc>
          <w:tcPr>
            <w:tcW w:w="1596" w:type="dxa"/>
            <w:tcBorders>
              <w:top w:val="single" w:sz="4" w:space="0" w:color="auto"/>
            </w:tcBorders>
          </w:tcPr>
          <w:p w14:paraId="4C07EFF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DLBCL </w:t>
            </w:r>
          </w:p>
        </w:tc>
        <w:tc>
          <w:tcPr>
            <w:tcW w:w="812" w:type="dxa"/>
            <w:tcBorders>
              <w:top w:val="single" w:sz="4" w:space="0" w:color="auto"/>
            </w:tcBorders>
          </w:tcPr>
          <w:p w14:paraId="678E6BE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Borders>
              <w:top w:val="single" w:sz="4" w:space="0" w:color="auto"/>
            </w:tcBorders>
          </w:tcPr>
          <w:p w14:paraId="5DCDDF6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w:t>
            </w:r>
            <w:r w:rsidR="00B0341B" w:rsidRPr="00110998">
              <w:rPr>
                <w:rFonts w:ascii="Book Antiqua" w:hAnsi="Book Antiqua"/>
                <w:bCs/>
              </w:rPr>
              <w:t>RR/CR: 82%/54%; DoR (FU 15.4 mo</w:t>
            </w:r>
            <w:r w:rsidRPr="00110998">
              <w:rPr>
                <w:rFonts w:ascii="Book Antiqua" w:hAnsi="Book Antiqua"/>
                <w:bCs/>
              </w:rPr>
              <w:t xml:space="preserve">): 42%, 40% CR; 18-mos OS rate: 52% Grade </w:t>
            </w:r>
            <w:r w:rsidRPr="00110998">
              <w:rPr>
                <w:rFonts w:ascii="Book Antiqua" w:hAnsi="Book Antiqua" w:cstheme="minorHAnsi"/>
                <w:bCs/>
              </w:rPr>
              <w:t xml:space="preserve">≥ </w:t>
            </w:r>
            <w:r w:rsidRPr="00110998">
              <w:rPr>
                <w:rFonts w:ascii="Book Antiqua" w:hAnsi="Book Antiqua"/>
                <w:bCs/>
              </w:rPr>
              <w:t xml:space="preserve">3 AEs: neutropenia 78%, CRS 13%, ICANS 28% </w:t>
            </w:r>
          </w:p>
        </w:tc>
      </w:tr>
      <w:tr w:rsidR="008E7812" w:rsidRPr="00110998" w14:paraId="1A0170A4" w14:textId="77777777">
        <w:tc>
          <w:tcPr>
            <w:tcW w:w="1857" w:type="dxa"/>
          </w:tcPr>
          <w:p w14:paraId="2378F95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Tisagenlecleucel</w:t>
            </w:r>
            <w:r w:rsidRPr="00110998">
              <w:rPr>
                <w:rFonts w:ascii="Book Antiqua" w:hAnsi="Book Antiqua"/>
                <w:bCs/>
                <w:vertAlign w:val="superscript"/>
              </w:rPr>
              <w:t>[97]</w:t>
            </w:r>
          </w:p>
        </w:tc>
        <w:tc>
          <w:tcPr>
            <w:tcW w:w="1246" w:type="dxa"/>
          </w:tcPr>
          <w:p w14:paraId="73036A6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6515064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93</w:t>
            </w:r>
          </w:p>
        </w:tc>
        <w:tc>
          <w:tcPr>
            <w:tcW w:w="1596" w:type="dxa"/>
          </w:tcPr>
          <w:p w14:paraId="729E68C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812" w:type="dxa"/>
          </w:tcPr>
          <w:p w14:paraId="42272AE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73A4F2BF" w14:textId="77777777" w:rsidR="008E7812" w:rsidRPr="00110998" w:rsidRDefault="00B0341B" w:rsidP="00025A53">
            <w:pPr>
              <w:snapToGrid w:val="0"/>
              <w:spacing w:line="360" w:lineRule="auto"/>
              <w:jc w:val="both"/>
              <w:rPr>
                <w:rFonts w:ascii="Book Antiqua" w:hAnsi="Book Antiqua"/>
                <w:bCs/>
              </w:rPr>
            </w:pPr>
            <w:r w:rsidRPr="00110998">
              <w:rPr>
                <w:rFonts w:ascii="Book Antiqua" w:hAnsi="Book Antiqua"/>
                <w:bCs/>
              </w:rPr>
              <w:t>ORR/CR: 52%/40%; DoR (FU 12 mo</w:t>
            </w:r>
            <w:r w:rsidR="008E2E22" w:rsidRPr="00110998">
              <w:rPr>
                <w:rFonts w:ascii="Book Antiqua" w:hAnsi="Book Antiqua"/>
                <w:bCs/>
              </w:rPr>
              <w:t>): 65%, 79% CR; Grade ≥ 3 AEs: CRS 22%, ICANS 12%, cytopenias 28%, infections 20%</w:t>
            </w:r>
          </w:p>
        </w:tc>
      </w:tr>
      <w:tr w:rsidR="008E7812" w:rsidRPr="00110998" w14:paraId="42CBA0B5" w14:textId="77777777">
        <w:tc>
          <w:tcPr>
            <w:tcW w:w="1857" w:type="dxa"/>
          </w:tcPr>
          <w:p w14:paraId="444B02B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Lisocabtagene-maraleucel</w:t>
            </w:r>
            <w:r w:rsidRPr="00110998">
              <w:rPr>
                <w:rFonts w:ascii="Book Antiqua" w:hAnsi="Book Antiqua"/>
                <w:bCs/>
                <w:vertAlign w:val="superscript"/>
              </w:rPr>
              <w:t>[98]</w:t>
            </w:r>
          </w:p>
        </w:tc>
        <w:tc>
          <w:tcPr>
            <w:tcW w:w="1246" w:type="dxa"/>
          </w:tcPr>
          <w:p w14:paraId="0CB5119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197063D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344</w:t>
            </w:r>
          </w:p>
        </w:tc>
        <w:tc>
          <w:tcPr>
            <w:tcW w:w="1596" w:type="dxa"/>
          </w:tcPr>
          <w:p w14:paraId="07B1DE8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812" w:type="dxa"/>
          </w:tcPr>
          <w:p w14:paraId="4DB1E0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3C05BA5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73%/53%; Grade ≥ 3 AEs: CRS 2%, ICANS 10%</w:t>
            </w:r>
          </w:p>
        </w:tc>
      </w:tr>
      <w:tr w:rsidR="008E7812" w:rsidRPr="00110998" w14:paraId="5C59DCA1" w14:textId="77777777">
        <w:tc>
          <w:tcPr>
            <w:tcW w:w="1857" w:type="dxa"/>
          </w:tcPr>
          <w:p w14:paraId="18E1239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Brexucabtagene-autoleucel (KTE-X19)</w:t>
            </w:r>
            <w:r w:rsidRPr="00110998">
              <w:rPr>
                <w:rFonts w:ascii="Book Antiqua" w:hAnsi="Book Antiqua"/>
                <w:bCs/>
                <w:vertAlign w:val="superscript"/>
              </w:rPr>
              <w:t>[99]</w:t>
            </w:r>
          </w:p>
        </w:tc>
        <w:tc>
          <w:tcPr>
            <w:tcW w:w="1246" w:type="dxa"/>
          </w:tcPr>
          <w:p w14:paraId="101DFCB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Pr>
          <w:p w14:paraId="6973E0A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74</w:t>
            </w:r>
          </w:p>
        </w:tc>
        <w:tc>
          <w:tcPr>
            <w:tcW w:w="1596" w:type="dxa"/>
          </w:tcPr>
          <w:p w14:paraId="1D7F268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MCL</w:t>
            </w:r>
          </w:p>
        </w:tc>
        <w:tc>
          <w:tcPr>
            <w:tcW w:w="812" w:type="dxa"/>
          </w:tcPr>
          <w:p w14:paraId="31F63FD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4EFD09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93%/67%; 1-yr PFS/ OS rate: 61%/83%; Grade </w:t>
            </w:r>
            <w:r w:rsidRPr="00110998">
              <w:rPr>
                <w:rFonts w:ascii="Book Antiqua" w:hAnsi="Book Antiqua"/>
                <w:bCs/>
              </w:rPr>
              <w:lastRenderedPageBreak/>
              <w:t>≥ 3 AEs: cytopenias 94%, infections 32%, CRS 15%, ICANS 31%</w:t>
            </w:r>
          </w:p>
        </w:tc>
      </w:tr>
      <w:tr w:rsidR="008E7812" w:rsidRPr="00110998" w14:paraId="24EE96F5" w14:textId="77777777">
        <w:tc>
          <w:tcPr>
            <w:tcW w:w="1857" w:type="dxa"/>
          </w:tcPr>
          <w:p w14:paraId="7E7205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Tisagenlecleucel</w:t>
            </w:r>
            <w:r w:rsidRPr="00110998">
              <w:rPr>
                <w:rFonts w:ascii="Book Antiqua" w:hAnsi="Book Antiqua"/>
                <w:bCs/>
                <w:vertAlign w:val="superscript"/>
              </w:rPr>
              <w:t>[100]</w:t>
            </w:r>
          </w:p>
        </w:tc>
        <w:tc>
          <w:tcPr>
            <w:tcW w:w="1246" w:type="dxa"/>
          </w:tcPr>
          <w:p w14:paraId="774F802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3FF34F2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14</w:t>
            </w:r>
          </w:p>
        </w:tc>
        <w:tc>
          <w:tcPr>
            <w:tcW w:w="1596" w:type="dxa"/>
          </w:tcPr>
          <w:p w14:paraId="742F501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CLL</w:t>
            </w:r>
          </w:p>
        </w:tc>
        <w:tc>
          <w:tcPr>
            <w:tcW w:w="812" w:type="dxa"/>
          </w:tcPr>
          <w:p w14:paraId="561FAD6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44" w:type="dxa"/>
          </w:tcPr>
          <w:p w14:paraId="184B89B5" w14:textId="26687002"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57%/28%; No relapses in CR patients (</w:t>
            </w:r>
            <w:r w:rsidRPr="00110998">
              <w:rPr>
                <w:rFonts w:ascii="Book Antiqua" w:hAnsi="Book Antiqua"/>
                <w:bCs/>
                <w:i/>
                <w:iCs/>
              </w:rPr>
              <w:t>n</w:t>
            </w:r>
            <w:r w:rsidRPr="00110998">
              <w:rPr>
                <w:rFonts w:ascii="Book Antiqua" w:hAnsi="Book Antiqua"/>
                <w:bCs/>
              </w:rPr>
              <w:t xml:space="preserve"> = 4). A</w:t>
            </w:r>
            <w:r w:rsidR="00FA2AEC" w:rsidRPr="00110998">
              <w:rPr>
                <w:rFonts w:ascii="Book Antiqua" w:hAnsi="Book Antiqua"/>
                <w:bCs/>
              </w:rPr>
              <w:t>ll</w:t>
            </w:r>
            <w:r w:rsidRPr="00110998">
              <w:rPr>
                <w:rFonts w:ascii="Book Antiqua" w:hAnsi="Book Antiqua"/>
                <w:bCs/>
              </w:rPr>
              <w:t xml:space="preserve"> CR patients developed CRS</w:t>
            </w:r>
          </w:p>
        </w:tc>
      </w:tr>
      <w:tr w:rsidR="008E7812" w:rsidRPr="00110998" w14:paraId="737F4E56" w14:textId="77777777" w:rsidTr="008E1D3B">
        <w:tc>
          <w:tcPr>
            <w:tcW w:w="1857" w:type="dxa"/>
          </w:tcPr>
          <w:p w14:paraId="702203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Lisocabtagene-maraleucel</w:t>
            </w:r>
            <w:r w:rsidRPr="00110998">
              <w:rPr>
                <w:rFonts w:ascii="Book Antiqua" w:hAnsi="Book Antiqua"/>
                <w:bCs/>
                <w:vertAlign w:val="superscript"/>
              </w:rPr>
              <w:t>[101]</w:t>
            </w:r>
          </w:p>
        </w:tc>
        <w:tc>
          <w:tcPr>
            <w:tcW w:w="1246" w:type="dxa"/>
          </w:tcPr>
          <w:p w14:paraId="63E59A0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7A53F9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23</w:t>
            </w:r>
          </w:p>
        </w:tc>
        <w:tc>
          <w:tcPr>
            <w:tcW w:w="1596" w:type="dxa"/>
          </w:tcPr>
          <w:p w14:paraId="029006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CLL (56.5% progressed after ibrutinib and venetoclax)</w:t>
            </w:r>
          </w:p>
        </w:tc>
        <w:tc>
          <w:tcPr>
            <w:tcW w:w="812" w:type="dxa"/>
          </w:tcPr>
          <w:p w14:paraId="6A59C65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44" w:type="dxa"/>
          </w:tcPr>
          <w:p w14:paraId="111BD32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82%/45.5%; Grade ≥ 3 AEs: anemia 96%, thrombocytopenia 70%, CRS 9%, ICANS 22%</w:t>
            </w:r>
          </w:p>
        </w:tc>
      </w:tr>
      <w:tr w:rsidR="008E7812" w:rsidRPr="00110998" w14:paraId="6695FD73" w14:textId="77777777" w:rsidTr="008E1D3B">
        <w:tc>
          <w:tcPr>
            <w:tcW w:w="1857" w:type="dxa"/>
            <w:tcBorders>
              <w:bottom w:val="single" w:sz="4" w:space="0" w:color="auto"/>
            </w:tcBorders>
          </w:tcPr>
          <w:p w14:paraId="75ED1FA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Axicabtagene-ciloleucel</w:t>
            </w:r>
            <w:r w:rsidRPr="00110998">
              <w:rPr>
                <w:rFonts w:ascii="Book Antiqua" w:hAnsi="Book Antiqua"/>
                <w:bCs/>
                <w:vertAlign w:val="superscript"/>
              </w:rPr>
              <w:t>[102]</w:t>
            </w:r>
          </w:p>
        </w:tc>
        <w:tc>
          <w:tcPr>
            <w:tcW w:w="1246" w:type="dxa"/>
            <w:tcBorders>
              <w:bottom w:val="single" w:sz="4" w:space="0" w:color="auto"/>
            </w:tcBorders>
          </w:tcPr>
          <w:p w14:paraId="24E4C8A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Borders>
              <w:bottom w:val="single" w:sz="4" w:space="0" w:color="auto"/>
            </w:tcBorders>
          </w:tcPr>
          <w:p w14:paraId="77F266F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94</w:t>
            </w:r>
          </w:p>
        </w:tc>
        <w:tc>
          <w:tcPr>
            <w:tcW w:w="1596" w:type="dxa"/>
            <w:tcBorders>
              <w:bottom w:val="single" w:sz="4" w:space="0" w:color="auto"/>
            </w:tcBorders>
          </w:tcPr>
          <w:p w14:paraId="2963EED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FL, MZL</w:t>
            </w:r>
          </w:p>
        </w:tc>
        <w:tc>
          <w:tcPr>
            <w:tcW w:w="812" w:type="dxa"/>
            <w:tcBorders>
              <w:bottom w:val="single" w:sz="4" w:space="0" w:color="auto"/>
            </w:tcBorders>
          </w:tcPr>
          <w:p w14:paraId="79CE661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Borders>
              <w:bottom w:val="single" w:sz="4" w:space="0" w:color="auto"/>
            </w:tcBorders>
          </w:tcPr>
          <w:p w14:paraId="7E2EDB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FL 95%/80% MZL 86%/71%; Grade ≥ 3 AEs: neutropenia 33%, anemia 28%, CRS 11%, ICANS 19%</w:t>
            </w:r>
          </w:p>
        </w:tc>
      </w:tr>
    </w:tbl>
    <w:p w14:paraId="5F6A06B4" w14:textId="4FDF580E" w:rsidR="00BE3C4F" w:rsidRPr="00110998" w:rsidRDefault="00D14340"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CLL: </w:t>
      </w:r>
      <w:r w:rsidRPr="00110998">
        <w:rPr>
          <w:rFonts w:ascii="Book Antiqua" w:hAnsi="Book Antiqua"/>
          <w:caps/>
        </w:rPr>
        <w:t>c</w:t>
      </w:r>
      <w:r w:rsidRPr="00110998">
        <w:rPr>
          <w:rFonts w:ascii="Book Antiqua" w:hAnsi="Book Antiqua"/>
        </w:rPr>
        <w:t xml:space="preserve">hronic </w:t>
      </w:r>
      <w:r w:rsidR="00110998" w:rsidRPr="00110998">
        <w:rPr>
          <w:rFonts w:ascii="Book Antiqua" w:hAnsi="Book Antiqua"/>
        </w:rPr>
        <w:t>lymphocytic</w:t>
      </w:r>
      <w:r w:rsidRPr="00110998">
        <w:rPr>
          <w:rFonts w:ascii="Book Antiqua" w:hAnsi="Book Antiqua"/>
        </w:rPr>
        <w:t xml:space="preserve"> leu</w:t>
      </w:r>
      <w:r w:rsidR="00304F53">
        <w:rPr>
          <w:rFonts w:ascii="Book Antiqua" w:hAnsi="Book Antiqua"/>
        </w:rPr>
        <w:t>k</w:t>
      </w:r>
      <w:r w:rsidRPr="00110998">
        <w:rPr>
          <w:rFonts w:ascii="Book Antiqua" w:hAnsi="Book Antiqua"/>
        </w:rPr>
        <w:t>emia</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CRS: </w:t>
      </w:r>
      <w:r w:rsidRPr="00110998">
        <w:rPr>
          <w:rFonts w:ascii="Book Antiqua" w:hAnsi="Book Antiqua"/>
          <w:caps/>
        </w:rPr>
        <w:t>c</w:t>
      </w:r>
      <w:r w:rsidRPr="00110998">
        <w:rPr>
          <w:rFonts w:ascii="Book Antiqua" w:hAnsi="Book Antiqua"/>
        </w:rPr>
        <w:t>ytokine releasing syndrome</w:t>
      </w:r>
      <w:r w:rsidRPr="00110998" w:rsidDel="00D14340">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w:t>
      </w:r>
      <w:r w:rsidR="00B00F0D">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DoR: </w:t>
      </w:r>
      <w:r w:rsidRPr="00110998">
        <w:rPr>
          <w:rFonts w:ascii="Book Antiqua" w:hAnsi="Book Antiqua"/>
          <w:caps/>
        </w:rPr>
        <w:t>d</w:t>
      </w:r>
      <w:r w:rsidRPr="00110998">
        <w:rPr>
          <w:rFonts w:ascii="Book Antiqua" w:hAnsi="Book Antiqua"/>
        </w:rPr>
        <w:t>uration of response</w:t>
      </w:r>
      <w:r w:rsidRPr="00110998" w:rsidDel="00D14340">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 xml:space="preserve">ollicular lymphoma. FU: </w:t>
      </w:r>
      <w:r w:rsidRPr="00110998">
        <w:rPr>
          <w:rFonts w:ascii="Book Antiqua" w:hAnsi="Book Antiqua"/>
          <w:caps/>
        </w:rPr>
        <w:t>f</w:t>
      </w:r>
      <w:r w:rsidRPr="00110998">
        <w:rPr>
          <w:rFonts w:ascii="Book Antiqua" w:hAnsi="Book Antiqua"/>
        </w:rPr>
        <w:t>ollow-up</w:t>
      </w:r>
      <w:r w:rsidRPr="00110998" w:rsidDel="00D14340">
        <w:rPr>
          <w:rFonts w:ascii="Book Antiqua" w:hAnsi="Book Antiqua"/>
        </w:rPr>
        <w:t>;</w:t>
      </w:r>
      <w:r w:rsidRPr="00110998">
        <w:rPr>
          <w:rFonts w:ascii="Book Antiqua" w:hAnsi="Book Antiqua"/>
        </w:rPr>
        <w:t xml:space="preserve"> ICANS: Immune </w:t>
      </w:r>
      <w:r w:rsidRPr="00110998">
        <w:rPr>
          <w:rFonts w:ascii="Book Antiqua" w:hAnsi="Book Antiqua"/>
        </w:rPr>
        <w:lastRenderedPageBreak/>
        <w:t>effector cell</w:t>
      </w:r>
      <w:r w:rsidR="00B00F0D">
        <w:rPr>
          <w:rFonts w:ascii="Book Antiqua" w:hAnsi="Book Antiqua"/>
        </w:rPr>
        <w:t>-associated</w:t>
      </w:r>
      <w:r w:rsidRPr="00110998">
        <w:rPr>
          <w:rFonts w:ascii="Book Antiqua" w:hAnsi="Book Antiqua"/>
        </w:rPr>
        <w:t xml:space="preserve"> neurotoxicity syndrome</w:t>
      </w:r>
      <w:r w:rsidRPr="00110998" w:rsidDel="00D14340">
        <w:rPr>
          <w:rFonts w:ascii="Book Antiqua" w:hAnsi="Book Antiqua"/>
        </w:rPr>
        <w:t>;</w:t>
      </w:r>
      <w:r w:rsidRPr="00110998">
        <w:rPr>
          <w:rFonts w:ascii="Book Antiqua" w:hAnsi="Book Antiqua"/>
        </w:rPr>
        <w:t xml:space="preserve"> MCL: </w:t>
      </w:r>
      <w:r w:rsidRPr="00110998">
        <w:rPr>
          <w:rFonts w:ascii="Book Antiqua" w:hAnsi="Book Antiqua"/>
          <w:caps/>
        </w:rPr>
        <w:t>m</w:t>
      </w:r>
      <w:r w:rsidRPr="00110998">
        <w:rPr>
          <w:rFonts w:ascii="Book Antiqua" w:hAnsi="Book Antiqua"/>
        </w:rPr>
        <w:t>antle cell lymphoma</w:t>
      </w:r>
      <w:r w:rsidRPr="00110998" w:rsidDel="00D14340">
        <w:rPr>
          <w:rFonts w:ascii="Book Antiqua" w:hAnsi="Book Antiqua"/>
        </w:rPr>
        <w:t>;</w:t>
      </w:r>
      <w:r w:rsidRPr="00110998">
        <w:rPr>
          <w:rFonts w:ascii="Book Antiqua" w:hAnsi="Book Antiqua"/>
        </w:rPr>
        <w:t xml:space="preserve"> MZL: </w:t>
      </w:r>
      <w:r w:rsidRPr="00110998">
        <w:rPr>
          <w:rFonts w:ascii="Book Antiqua" w:hAnsi="Book Antiqua"/>
          <w:caps/>
        </w:rPr>
        <w:t>m</w:t>
      </w:r>
      <w:r w:rsidRPr="00110998">
        <w:rPr>
          <w:rFonts w:ascii="Book Antiqua" w:hAnsi="Book Antiqua"/>
        </w:rPr>
        <w:t>arginal zone lymphoma</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w:t>
      </w:r>
      <w:r w:rsidRPr="00110998" w:rsidDel="00D14340">
        <w:rPr>
          <w:rFonts w:ascii="Book Antiqua" w:hAnsi="Book Antiqua"/>
        </w:rPr>
        <w:t>;</w:t>
      </w:r>
      <w:r w:rsidRPr="00110998">
        <w:rPr>
          <w:rFonts w:ascii="Book Antiqua" w:hAnsi="Book Antiqua"/>
        </w:rPr>
        <w:t xml:space="preserve"> OS: </w:t>
      </w:r>
      <w:r w:rsidRPr="00110998">
        <w:rPr>
          <w:rFonts w:ascii="Book Antiqua" w:hAnsi="Book Antiqua"/>
          <w:caps/>
        </w:rPr>
        <w:t>o</w:t>
      </w:r>
      <w:r w:rsidRPr="00110998">
        <w:rPr>
          <w:rFonts w:ascii="Book Antiqua" w:hAnsi="Book Antiqua"/>
        </w:rPr>
        <w:t>verall survival</w:t>
      </w:r>
      <w:r w:rsidRPr="00110998" w:rsidDel="00D14340">
        <w:rPr>
          <w:rFonts w:ascii="Book Antiqua" w:hAnsi="Book Antiqua"/>
        </w:rPr>
        <w:t>;</w:t>
      </w:r>
      <w:r w:rsidRPr="00110998">
        <w:rPr>
          <w:rFonts w:ascii="Book Antiqua" w:hAnsi="Book Antiqua"/>
        </w:rPr>
        <w:t xml:space="preserve"> PFS: </w:t>
      </w:r>
      <w:r w:rsidR="00110998" w:rsidRPr="00110998">
        <w:rPr>
          <w:rFonts w:ascii="Book Antiqua" w:hAnsi="Book Antiqua"/>
          <w:caps/>
        </w:rPr>
        <w:t>P</w:t>
      </w:r>
      <w:r w:rsidR="00110998"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00304F53">
        <w:rPr>
          <w:rFonts w:ascii="Book Antiqua" w:hAnsi="Book Antiqua"/>
        </w:rPr>
        <w:t xml:space="preserve"> </w:t>
      </w:r>
      <w:r w:rsidRPr="00110998">
        <w:rPr>
          <w:rFonts w:ascii="Book Antiqua" w:hAnsi="Book Antiqua"/>
        </w:rPr>
        <w:t xml:space="preserve">R/R: </w:t>
      </w:r>
      <w:r w:rsidRPr="00110998">
        <w:rPr>
          <w:rFonts w:ascii="Book Antiqua" w:hAnsi="Book Antiqua"/>
          <w:caps/>
        </w:rPr>
        <w:t>r</w:t>
      </w:r>
      <w:r w:rsidRPr="00110998">
        <w:rPr>
          <w:rFonts w:ascii="Book Antiqua" w:hAnsi="Book Antiqua"/>
        </w:rPr>
        <w:t>elapsed/refractory</w:t>
      </w:r>
      <w:r w:rsidR="00304F53">
        <w:rPr>
          <w:rFonts w:ascii="Book Antiqua" w:hAnsi="Book Antiqua"/>
        </w:rPr>
        <w:t>.</w:t>
      </w:r>
    </w:p>
    <w:sectPr w:rsidR="00BE3C4F" w:rsidRPr="00110998" w:rsidSect="00BF5F8A">
      <w:pgSz w:w="12240" w:h="15840"/>
      <w:pgMar w:top="1554" w:right="1554" w:bottom="1554" w:left="15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7C7C" w14:textId="77777777" w:rsidR="008C305D" w:rsidRDefault="008C305D" w:rsidP="009C5B47">
      <w:r>
        <w:separator/>
      </w:r>
    </w:p>
  </w:endnote>
  <w:endnote w:type="continuationSeparator" w:id="0">
    <w:p w14:paraId="29946C89" w14:textId="77777777" w:rsidR="008C305D" w:rsidRDefault="008C305D" w:rsidP="009C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04490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4818A16" w14:textId="77777777" w:rsidR="00F558E8" w:rsidRPr="00025A53" w:rsidRDefault="00F558E8" w:rsidP="00654547">
            <w:pPr>
              <w:pStyle w:val="Footer"/>
              <w:jc w:val="right"/>
              <w:rPr>
                <w:rFonts w:ascii="Book Antiqua" w:hAnsi="Book Antiqua"/>
                <w:sz w:val="24"/>
                <w:szCs w:val="24"/>
              </w:rPr>
            </w:pPr>
            <w:r w:rsidRPr="00654547">
              <w:rPr>
                <w:sz w:val="21"/>
                <w:szCs w:val="21"/>
                <w:lang w:val="zh-CN" w:eastAsia="zh-CN"/>
              </w:rPr>
              <w:t xml:space="preserve"> </w:t>
            </w:r>
            <w:r w:rsidRPr="00025A53">
              <w:rPr>
                <w:rFonts w:ascii="Book Antiqua" w:hAnsi="Book Antiqua"/>
                <w:sz w:val="24"/>
                <w:szCs w:val="24"/>
              </w:rPr>
              <w:fldChar w:fldCharType="begin"/>
            </w:r>
            <w:r w:rsidRPr="00025A53">
              <w:rPr>
                <w:rFonts w:ascii="Book Antiqua" w:hAnsi="Book Antiqua"/>
                <w:sz w:val="24"/>
                <w:szCs w:val="24"/>
              </w:rPr>
              <w:instrText>PAGE</w:instrText>
            </w:r>
            <w:r w:rsidRPr="00025A53">
              <w:rPr>
                <w:rFonts w:ascii="Book Antiqua" w:hAnsi="Book Antiqua"/>
                <w:sz w:val="24"/>
                <w:szCs w:val="24"/>
              </w:rPr>
              <w:fldChar w:fldCharType="separate"/>
            </w:r>
            <w:r w:rsidR="005A2D7A" w:rsidRPr="00025A53">
              <w:rPr>
                <w:rFonts w:ascii="Book Antiqua" w:hAnsi="Book Antiqua"/>
                <w:noProof/>
                <w:sz w:val="24"/>
                <w:szCs w:val="24"/>
              </w:rPr>
              <w:t>22</w:t>
            </w:r>
            <w:r w:rsidRPr="00025A53">
              <w:rPr>
                <w:rFonts w:ascii="Book Antiqua" w:hAnsi="Book Antiqua"/>
                <w:sz w:val="24"/>
                <w:szCs w:val="24"/>
              </w:rPr>
              <w:fldChar w:fldCharType="end"/>
            </w:r>
            <w:r w:rsidRPr="00025A53">
              <w:rPr>
                <w:rFonts w:ascii="Book Antiqua" w:hAnsi="Book Antiqua"/>
                <w:sz w:val="24"/>
                <w:szCs w:val="24"/>
                <w:lang w:val="zh-CN" w:eastAsia="zh-CN"/>
              </w:rPr>
              <w:t xml:space="preserve"> / </w:t>
            </w:r>
            <w:r w:rsidRPr="00025A53">
              <w:rPr>
                <w:rFonts w:ascii="Book Antiqua" w:hAnsi="Book Antiqua"/>
                <w:sz w:val="24"/>
                <w:szCs w:val="24"/>
              </w:rPr>
              <w:fldChar w:fldCharType="begin"/>
            </w:r>
            <w:r w:rsidRPr="00025A53">
              <w:rPr>
                <w:rFonts w:ascii="Book Antiqua" w:hAnsi="Book Antiqua"/>
                <w:sz w:val="24"/>
                <w:szCs w:val="24"/>
              </w:rPr>
              <w:instrText>NUMPAGES</w:instrText>
            </w:r>
            <w:r w:rsidRPr="00025A53">
              <w:rPr>
                <w:rFonts w:ascii="Book Antiqua" w:hAnsi="Book Antiqua"/>
                <w:sz w:val="24"/>
                <w:szCs w:val="24"/>
              </w:rPr>
              <w:fldChar w:fldCharType="separate"/>
            </w:r>
            <w:r w:rsidR="005A2D7A" w:rsidRPr="00025A53">
              <w:rPr>
                <w:rFonts w:ascii="Book Antiqua" w:hAnsi="Book Antiqua"/>
                <w:noProof/>
                <w:sz w:val="24"/>
                <w:szCs w:val="24"/>
              </w:rPr>
              <w:t>52</w:t>
            </w:r>
            <w:r w:rsidRPr="00025A53">
              <w:rPr>
                <w:rFonts w:ascii="Book Antiqua" w:hAnsi="Book Antiqua"/>
                <w:sz w:val="24"/>
                <w:szCs w:val="24"/>
              </w:rPr>
              <w:fldChar w:fldCharType="end"/>
            </w:r>
          </w:p>
        </w:sdtContent>
      </w:sdt>
    </w:sdtContent>
  </w:sdt>
  <w:p w14:paraId="189B3268" w14:textId="77777777" w:rsidR="00F558E8" w:rsidRDefault="00F5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D6EB" w14:textId="77777777" w:rsidR="008C305D" w:rsidRDefault="008C305D" w:rsidP="009C5B47">
      <w:r>
        <w:separator/>
      </w:r>
    </w:p>
  </w:footnote>
  <w:footnote w:type="continuationSeparator" w:id="0">
    <w:p w14:paraId="2AB8ED9F" w14:textId="77777777" w:rsidR="008C305D" w:rsidRDefault="008C305D" w:rsidP="009C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56793"/>
    <w:multiLevelType w:val="multilevel"/>
    <w:tmpl w:val="964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A53"/>
    <w:rsid w:val="00044FAE"/>
    <w:rsid w:val="00061C38"/>
    <w:rsid w:val="000634CE"/>
    <w:rsid w:val="000825E8"/>
    <w:rsid w:val="000A3445"/>
    <w:rsid w:val="000D358E"/>
    <w:rsid w:val="000D7C66"/>
    <w:rsid w:val="000F0AC3"/>
    <w:rsid w:val="000F210D"/>
    <w:rsid w:val="000F3475"/>
    <w:rsid w:val="000F656A"/>
    <w:rsid w:val="00101311"/>
    <w:rsid w:val="00110998"/>
    <w:rsid w:val="00130992"/>
    <w:rsid w:val="00130B60"/>
    <w:rsid w:val="001516BB"/>
    <w:rsid w:val="00156B79"/>
    <w:rsid w:val="00157B89"/>
    <w:rsid w:val="0016282E"/>
    <w:rsid w:val="00167A9C"/>
    <w:rsid w:val="00184A12"/>
    <w:rsid w:val="001A05D7"/>
    <w:rsid w:val="001B360C"/>
    <w:rsid w:val="001C4C21"/>
    <w:rsid w:val="001D0D1A"/>
    <w:rsid w:val="001D1ADB"/>
    <w:rsid w:val="001D24B7"/>
    <w:rsid w:val="001D7F36"/>
    <w:rsid w:val="001E0F5F"/>
    <w:rsid w:val="001E19C1"/>
    <w:rsid w:val="001E4CFD"/>
    <w:rsid w:val="001F263A"/>
    <w:rsid w:val="001F46D8"/>
    <w:rsid w:val="002018AA"/>
    <w:rsid w:val="002144BD"/>
    <w:rsid w:val="00224DAB"/>
    <w:rsid w:val="00242E24"/>
    <w:rsid w:val="00243294"/>
    <w:rsid w:val="00296CA8"/>
    <w:rsid w:val="002A3988"/>
    <w:rsid w:val="002C2CDD"/>
    <w:rsid w:val="002C3196"/>
    <w:rsid w:val="002E207B"/>
    <w:rsid w:val="002E287F"/>
    <w:rsid w:val="00300B36"/>
    <w:rsid w:val="00304F53"/>
    <w:rsid w:val="00306A67"/>
    <w:rsid w:val="00307F51"/>
    <w:rsid w:val="00316033"/>
    <w:rsid w:val="00321D2F"/>
    <w:rsid w:val="0034133A"/>
    <w:rsid w:val="00365076"/>
    <w:rsid w:val="0038252C"/>
    <w:rsid w:val="003939DD"/>
    <w:rsid w:val="003B0950"/>
    <w:rsid w:val="003C290C"/>
    <w:rsid w:val="003C68FD"/>
    <w:rsid w:val="004060F3"/>
    <w:rsid w:val="00415AE1"/>
    <w:rsid w:val="00420EC8"/>
    <w:rsid w:val="0043131A"/>
    <w:rsid w:val="00433001"/>
    <w:rsid w:val="004332CB"/>
    <w:rsid w:val="0044610B"/>
    <w:rsid w:val="0048286D"/>
    <w:rsid w:val="00486756"/>
    <w:rsid w:val="004A05F2"/>
    <w:rsid w:val="004C01DB"/>
    <w:rsid w:val="004C16DD"/>
    <w:rsid w:val="004D0F74"/>
    <w:rsid w:val="004E3539"/>
    <w:rsid w:val="005002C1"/>
    <w:rsid w:val="0050069D"/>
    <w:rsid w:val="0051559E"/>
    <w:rsid w:val="00517526"/>
    <w:rsid w:val="00540CA4"/>
    <w:rsid w:val="00550F16"/>
    <w:rsid w:val="00594427"/>
    <w:rsid w:val="005A2D7A"/>
    <w:rsid w:val="005A57E5"/>
    <w:rsid w:val="005C78ED"/>
    <w:rsid w:val="005D07F4"/>
    <w:rsid w:val="005F6752"/>
    <w:rsid w:val="00615C05"/>
    <w:rsid w:val="00623F89"/>
    <w:rsid w:val="00654547"/>
    <w:rsid w:val="0065589D"/>
    <w:rsid w:val="006562A4"/>
    <w:rsid w:val="006618A1"/>
    <w:rsid w:val="006723B2"/>
    <w:rsid w:val="006758D7"/>
    <w:rsid w:val="0068662D"/>
    <w:rsid w:val="006A213F"/>
    <w:rsid w:val="006D316C"/>
    <w:rsid w:val="006E5B4C"/>
    <w:rsid w:val="006E64EA"/>
    <w:rsid w:val="006E7357"/>
    <w:rsid w:val="00706FED"/>
    <w:rsid w:val="00707F65"/>
    <w:rsid w:val="00714E73"/>
    <w:rsid w:val="00714F6D"/>
    <w:rsid w:val="0073203B"/>
    <w:rsid w:val="00735E2C"/>
    <w:rsid w:val="00741701"/>
    <w:rsid w:val="00752B99"/>
    <w:rsid w:val="00752F57"/>
    <w:rsid w:val="007531C0"/>
    <w:rsid w:val="00786C61"/>
    <w:rsid w:val="00797563"/>
    <w:rsid w:val="007A7A61"/>
    <w:rsid w:val="007B06A9"/>
    <w:rsid w:val="007B1573"/>
    <w:rsid w:val="007B4B79"/>
    <w:rsid w:val="007C00EE"/>
    <w:rsid w:val="007C2D85"/>
    <w:rsid w:val="007C2DF9"/>
    <w:rsid w:val="007C6852"/>
    <w:rsid w:val="007F4A81"/>
    <w:rsid w:val="00825823"/>
    <w:rsid w:val="00826329"/>
    <w:rsid w:val="00845720"/>
    <w:rsid w:val="00854D19"/>
    <w:rsid w:val="0086376B"/>
    <w:rsid w:val="00865F4E"/>
    <w:rsid w:val="0087157E"/>
    <w:rsid w:val="008808E1"/>
    <w:rsid w:val="00882207"/>
    <w:rsid w:val="00882468"/>
    <w:rsid w:val="00891943"/>
    <w:rsid w:val="008970D4"/>
    <w:rsid w:val="008B0F21"/>
    <w:rsid w:val="008B1CE0"/>
    <w:rsid w:val="008C305D"/>
    <w:rsid w:val="008D0FEB"/>
    <w:rsid w:val="008D5F32"/>
    <w:rsid w:val="008E1D3B"/>
    <w:rsid w:val="008E2E22"/>
    <w:rsid w:val="008E5C92"/>
    <w:rsid w:val="008E7812"/>
    <w:rsid w:val="008E7F8A"/>
    <w:rsid w:val="008F1693"/>
    <w:rsid w:val="008F33EB"/>
    <w:rsid w:val="008F4681"/>
    <w:rsid w:val="00931686"/>
    <w:rsid w:val="00932670"/>
    <w:rsid w:val="00946600"/>
    <w:rsid w:val="00950D36"/>
    <w:rsid w:val="00952180"/>
    <w:rsid w:val="009805A7"/>
    <w:rsid w:val="00993DFF"/>
    <w:rsid w:val="00995E6A"/>
    <w:rsid w:val="00996123"/>
    <w:rsid w:val="009A0912"/>
    <w:rsid w:val="009A316A"/>
    <w:rsid w:val="009C07D1"/>
    <w:rsid w:val="009C54DA"/>
    <w:rsid w:val="009C597B"/>
    <w:rsid w:val="009C5B47"/>
    <w:rsid w:val="009D198A"/>
    <w:rsid w:val="009D69F4"/>
    <w:rsid w:val="009F1186"/>
    <w:rsid w:val="009F2974"/>
    <w:rsid w:val="009F465D"/>
    <w:rsid w:val="00A026B3"/>
    <w:rsid w:val="00A02843"/>
    <w:rsid w:val="00A11C05"/>
    <w:rsid w:val="00A33D32"/>
    <w:rsid w:val="00A33E1D"/>
    <w:rsid w:val="00A42F12"/>
    <w:rsid w:val="00A75FA0"/>
    <w:rsid w:val="00A77B3E"/>
    <w:rsid w:val="00A831D6"/>
    <w:rsid w:val="00A972EF"/>
    <w:rsid w:val="00AA1689"/>
    <w:rsid w:val="00AC26F1"/>
    <w:rsid w:val="00AD044C"/>
    <w:rsid w:val="00AE018C"/>
    <w:rsid w:val="00AE5ED2"/>
    <w:rsid w:val="00AF7970"/>
    <w:rsid w:val="00B00F0D"/>
    <w:rsid w:val="00B0341B"/>
    <w:rsid w:val="00B11C95"/>
    <w:rsid w:val="00B13765"/>
    <w:rsid w:val="00B13901"/>
    <w:rsid w:val="00B17388"/>
    <w:rsid w:val="00B30ADD"/>
    <w:rsid w:val="00B311AB"/>
    <w:rsid w:val="00B65CCE"/>
    <w:rsid w:val="00B6777D"/>
    <w:rsid w:val="00B85829"/>
    <w:rsid w:val="00B85D70"/>
    <w:rsid w:val="00B95571"/>
    <w:rsid w:val="00BC158F"/>
    <w:rsid w:val="00BD3762"/>
    <w:rsid w:val="00BD68B9"/>
    <w:rsid w:val="00BE2D67"/>
    <w:rsid w:val="00BE3C4F"/>
    <w:rsid w:val="00BF4840"/>
    <w:rsid w:val="00BF5F8A"/>
    <w:rsid w:val="00BF6F26"/>
    <w:rsid w:val="00C30F70"/>
    <w:rsid w:val="00C33871"/>
    <w:rsid w:val="00C36A35"/>
    <w:rsid w:val="00C47B41"/>
    <w:rsid w:val="00C56068"/>
    <w:rsid w:val="00C76481"/>
    <w:rsid w:val="00C8505E"/>
    <w:rsid w:val="00C85AC0"/>
    <w:rsid w:val="00CA2A55"/>
    <w:rsid w:val="00CB7CB8"/>
    <w:rsid w:val="00CC3D3D"/>
    <w:rsid w:val="00CE2866"/>
    <w:rsid w:val="00CF0AB1"/>
    <w:rsid w:val="00CF3F71"/>
    <w:rsid w:val="00D14340"/>
    <w:rsid w:val="00D34B88"/>
    <w:rsid w:val="00D46F8E"/>
    <w:rsid w:val="00D51B4A"/>
    <w:rsid w:val="00D718FC"/>
    <w:rsid w:val="00D74A14"/>
    <w:rsid w:val="00DA6E77"/>
    <w:rsid w:val="00DC44FA"/>
    <w:rsid w:val="00DC6884"/>
    <w:rsid w:val="00DC7F57"/>
    <w:rsid w:val="00DD0630"/>
    <w:rsid w:val="00DE0AA9"/>
    <w:rsid w:val="00DF44BC"/>
    <w:rsid w:val="00DF6FF9"/>
    <w:rsid w:val="00E177DD"/>
    <w:rsid w:val="00E34410"/>
    <w:rsid w:val="00E61396"/>
    <w:rsid w:val="00E6584C"/>
    <w:rsid w:val="00E74944"/>
    <w:rsid w:val="00E80313"/>
    <w:rsid w:val="00E87A2F"/>
    <w:rsid w:val="00EA7F87"/>
    <w:rsid w:val="00EB0456"/>
    <w:rsid w:val="00EB2F4D"/>
    <w:rsid w:val="00EB4900"/>
    <w:rsid w:val="00EF41E0"/>
    <w:rsid w:val="00EF65D0"/>
    <w:rsid w:val="00F06FFC"/>
    <w:rsid w:val="00F16F50"/>
    <w:rsid w:val="00F179A9"/>
    <w:rsid w:val="00F3530A"/>
    <w:rsid w:val="00F3572F"/>
    <w:rsid w:val="00F558E8"/>
    <w:rsid w:val="00F60F10"/>
    <w:rsid w:val="00F86FF2"/>
    <w:rsid w:val="00FA2AEC"/>
    <w:rsid w:val="00FB07A8"/>
    <w:rsid w:val="00FE648F"/>
    <w:rsid w:val="00FF42D0"/>
    <w:rsid w:val="15D23FDB"/>
    <w:rsid w:val="72D7753C"/>
    <w:rsid w:val="7CD9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92EF33"/>
  <w15:docId w15:val="{82D0C537-D330-4887-9AFF-96425919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9C5B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5B47"/>
    <w:rPr>
      <w:sz w:val="18"/>
      <w:szCs w:val="18"/>
      <w:lang w:eastAsia="en-US"/>
    </w:rPr>
  </w:style>
  <w:style w:type="paragraph" w:styleId="Footer">
    <w:name w:val="footer"/>
    <w:basedOn w:val="Normal"/>
    <w:link w:val="FooterChar"/>
    <w:uiPriority w:val="99"/>
    <w:unhideWhenUsed/>
    <w:rsid w:val="009C5B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5B47"/>
    <w:rPr>
      <w:sz w:val="18"/>
      <w:szCs w:val="18"/>
      <w:lang w:eastAsia="en-US"/>
    </w:rPr>
  </w:style>
  <w:style w:type="character" w:styleId="CommentReference">
    <w:name w:val="annotation reference"/>
    <w:basedOn w:val="DefaultParagraphFont"/>
    <w:semiHidden/>
    <w:unhideWhenUsed/>
    <w:rsid w:val="008F4681"/>
    <w:rPr>
      <w:sz w:val="21"/>
      <w:szCs w:val="21"/>
    </w:rPr>
  </w:style>
  <w:style w:type="paragraph" w:styleId="CommentText">
    <w:name w:val="annotation text"/>
    <w:basedOn w:val="Normal"/>
    <w:link w:val="CommentTextChar"/>
    <w:semiHidden/>
    <w:unhideWhenUsed/>
    <w:rsid w:val="008F4681"/>
  </w:style>
  <w:style w:type="character" w:customStyle="1" w:styleId="CommentTextChar">
    <w:name w:val="Comment Text Char"/>
    <w:basedOn w:val="DefaultParagraphFont"/>
    <w:link w:val="CommentText"/>
    <w:semiHidden/>
    <w:rsid w:val="008F4681"/>
    <w:rPr>
      <w:sz w:val="24"/>
      <w:szCs w:val="24"/>
      <w:lang w:eastAsia="en-US"/>
    </w:rPr>
  </w:style>
  <w:style w:type="paragraph" w:styleId="CommentSubject">
    <w:name w:val="annotation subject"/>
    <w:basedOn w:val="CommentText"/>
    <w:next w:val="CommentText"/>
    <w:link w:val="CommentSubjectChar"/>
    <w:semiHidden/>
    <w:unhideWhenUsed/>
    <w:rsid w:val="008F4681"/>
    <w:rPr>
      <w:b/>
      <w:bCs/>
    </w:rPr>
  </w:style>
  <w:style w:type="character" w:customStyle="1" w:styleId="CommentSubjectChar">
    <w:name w:val="Comment Subject Char"/>
    <w:basedOn w:val="CommentTextChar"/>
    <w:link w:val="CommentSubject"/>
    <w:semiHidden/>
    <w:rsid w:val="008F4681"/>
    <w:rPr>
      <w:b/>
      <w:bCs/>
      <w:sz w:val="24"/>
      <w:szCs w:val="24"/>
      <w:lang w:eastAsia="en-US"/>
    </w:rPr>
  </w:style>
  <w:style w:type="paragraph" w:styleId="BalloonText">
    <w:name w:val="Balloon Text"/>
    <w:basedOn w:val="Normal"/>
    <w:link w:val="BalloonTextChar"/>
    <w:semiHidden/>
    <w:unhideWhenUsed/>
    <w:rsid w:val="008F4681"/>
    <w:rPr>
      <w:sz w:val="18"/>
      <w:szCs w:val="18"/>
    </w:rPr>
  </w:style>
  <w:style w:type="character" w:customStyle="1" w:styleId="BalloonTextChar">
    <w:name w:val="Balloon Text Char"/>
    <w:basedOn w:val="DefaultParagraphFont"/>
    <w:link w:val="BalloonText"/>
    <w:semiHidden/>
    <w:rsid w:val="008F4681"/>
    <w:rPr>
      <w:sz w:val="18"/>
      <w:szCs w:val="18"/>
      <w:lang w:eastAsia="en-US"/>
    </w:rPr>
  </w:style>
  <w:style w:type="character" w:styleId="Hyperlink">
    <w:name w:val="Hyperlink"/>
    <w:basedOn w:val="DefaultParagraphFont"/>
    <w:uiPriority w:val="99"/>
    <w:unhideWhenUsed/>
    <w:rsid w:val="00243294"/>
    <w:rPr>
      <w:color w:val="0000FF" w:themeColor="hyperlink"/>
      <w:u w:val="single"/>
    </w:rPr>
  </w:style>
  <w:style w:type="character" w:customStyle="1" w:styleId="10">
    <w:name w:val="未处理的提及1"/>
    <w:basedOn w:val="DefaultParagraphFont"/>
    <w:uiPriority w:val="99"/>
    <w:semiHidden/>
    <w:unhideWhenUsed/>
    <w:rsid w:val="00243294"/>
    <w:rPr>
      <w:color w:val="605E5C"/>
      <w:shd w:val="clear" w:color="auto" w:fill="E1DFDD"/>
    </w:rPr>
  </w:style>
  <w:style w:type="character" w:styleId="FollowedHyperlink">
    <w:name w:val="FollowedHyperlink"/>
    <w:basedOn w:val="DefaultParagraphFont"/>
    <w:semiHidden/>
    <w:unhideWhenUsed/>
    <w:rsid w:val="00296CA8"/>
    <w:rPr>
      <w:color w:val="800080" w:themeColor="followedHyperlink"/>
      <w:u w:val="single"/>
    </w:rPr>
  </w:style>
  <w:style w:type="character" w:customStyle="1" w:styleId="id-label">
    <w:name w:val="id-label"/>
    <w:basedOn w:val="DefaultParagraphFont"/>
    <w:rsid w:val="009C07D1"/>
  </w:style>
  <w:style w:type="character" w:styleId="Strong">
    <w:name w:val="Strong"/>
    <w:basedOn w:val="DefaultParagraphFont"/>
    <w:uiPriority w:val="22"/>
    <w:qFormat/>
    <w:rsid w:val="009C07D1"/>
    <w:rPr>
      <w:b/>
      <w:bCs/>
    </w:rPr>
  </w:style>
  <w:style w:type="character" w:styleId="HTMLCite">
    <w:name w:val="HTML Cite"/>
    <w:basedOn w:val="DefaultParagraphFont"/>
    <w:uiPriority w:val="99"/>
    <w:semiHidden/>
    <w:unhideWhenUsed/>
    <w:rsid w:val="00865F4E"/>
    <w:rPr>
      <w:i/>
      <w:iCs/>
    </w:rPr>
  </w:style>
  <w:style w:type="character" w:styleId="UnresolvedMention">
    <w:name w:val="Unresolved Mention"/>
    <w:basedOn w:val="DefaultParagraphFont"/>
    <w:uiPriority w:val="99"/>
    <w:semiHidden/>
    <w:unhideWhenUsed/>
    <w:rsid w:val="001E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599432">
      <w:bodyDiv w:val="1"/>
      <w:marLeft w:val="0"/>
      <w:marRight w:val="0"/>
      <w:marTop w:val="0"/>
      <w:marBottom w:val="0"/>
      <w:divBdr>
        <w:top w:val="none" w:sz="0" w:space="0" w:color="auto"/>
        <w:left w:val="none" w:sz="0" w:space="0" w:color="auto"/>
        <w:bottom w:val="none" w:sz="0" w:space="0" w:color="auto"/>
        <w:right w:val="none" w:sz="0" w:space="0" w:color="auto"/>
      </w:divBdr>
      <w:divsChild>
        <w:div w:id="850533975">
          <w:marLeft w:val="0"/>
          <w:marRight w:val="0"/>
          <w:marTop w:val="0"/>
          <w:marBottom w:val="0"/>
          <w:divBdr>
            <w:top w:val="none" w:sz="0" w:space="0" w:color="auto"/>
            <w:left w:val="none" w:sz="0" w:space="0" w:color="auto"/>
            <w:bottom w:val="none" w:sz="0" w:space="0" w:color="auto"/>
            <w:right w:val="none" w:sz="0" w:space="0" w:color="auto"/>
          </w:divBdr>
          <w:divsChild>
            <w:div w:id="1182478027">
              <w:marLeft w:val="0"/>
              <w:marRight w:val="0"/>
              <w:marTop w:val="0"/>
              <w:marBottom w:val="0"/>
              <w:divBdr>
                <w:top w:val="none" w:sz="0" w:space="0" w:color="auto"/>
                <w:left w:val="none" w:sz="0" w:space="0" w:color="auto"/>
                <w:bottom w:val="none" w:sz="0" w:space="0" w:color="auto"/>
                <w:right w:val="none" w:sz="0" w:space="0" w:color="auto"/>
              </w:divBdr>
              <w:divsChild>
                <w:div w:id="1663654169">
                  <w:marLeft w:val="0"/>
                  <w:marRight w:val="0"/>
                  <w:marTop w:val="0"/>
                  <w:marBottom w:val="0"/>
                  <w:divBdr>
                    <w:top w:val="none" w:sz="0" w:space="0" w:color="auto"/>
                    <w:left w:val="none" w:sz="0" w:space="0" w:color="auto"/>
                    <w:bottom w:val="none" w:sz="0" w:space="0" w:color="auto"/>
                    <w:right w:val="none" w:sz="0" w:space="0" w:color="auto"/>
                  </w:divBdr>
                  <w:divsChild>
                    <w:div w:id="4002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ct2/show/NCT039074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NCT032744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inicaltrials.gov/ct2/show/NCT03575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134936" TargetMode="External"/><Relationship Id="rId5" Type="http://schemas.openxmlformats.org/officeDocument/2006/relationships/webSettings" Target="webSettings.xml"/><Relationship Id="rId15" Type="http://schemas.openxmlformats.org/officeDocument/2006/relationships/hyperlink" Target="https://clinicaltrials.gov/ct2/show/NCT03570892" TargetMode="External"/><Relationship Id="rId10" Type="http://schemas.openxmlformats.org/officeDocument/2006/relationships/hyperlink" Target="https://clinicaltrials.gov/ct2/show/NCT02763319" TargetMode="External"/><Relationship Id="rId4" Type="http://schemas.openxmlformats.org/officeDocument/2006/relationships/settings" Target="settings.xml"/><Relationship Id="rId9" Type="http://schemas.openxmlformats.org/officeDocument/2006/relationships/hyperlink" Target="https://library.ehaweb.org/eha/2018/stockholm/215923/valentin.goede.overall.survival.benefit.of.obinutuzumab.over.rituximab.when.html?f=menu%3D14%2Abrowseby%3D8%2Asortby%3D2%2Amedia%3D3%2Aspeaker%3D664514" TargetMode="External"/><Relationship Id="rId14" Type="http://schemas.openxmlformats.org/officeDocument/2006/relationships/hyperlink" Target="https://clinicaltrials.gov/ct2/show/NCT03391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12739</Words>
  <Characters>72615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Donna Fox</cp:lastModifiedBy>
  <cp:revision>2</cp:revision>
  <dcterms:created xsi:type="dcterms:W3CDTF">2021-05-27T17:57:00Z</dcterms:created>
  <dcterms:modified xsi:type="dcterms:W3CDTF">2021-05-27T17:57:00Z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D5B966107CA246EDB98E802E1EF1F49E</vt:lpwstr>
  </property>
</Properties>
</file>