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B9F2" w14:textId="6517027D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0708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0708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0708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4D6A312F" w14:textId="15AFE77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64264</w:t>
      </w:r>
    </w:p>
    <w:p w14:paraId="7DEDC1B8" w14:textId="060E1882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252DB465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656E469A" w14:textId="4E838CE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D070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2977FD3" w14:textId="672273D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Prediction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hepatic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inflammation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chronic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hepatitis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random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forest-backward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feature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elimination</w:t>
      </w:r>
      <w:r w:rsidR="007852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algorithm</w:t>
      </w:r>
    </w:p>
    <w:p w14:paraId="190FA17D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07B2F81A" w14:textId="0224418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Zhou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JY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i/>
          <w:color w:val="000000"/>
        </w:rPr>
        <w:t>et</w:t>
      </w:r>
      <w:r w:rsidR="00D0708C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i/>
          <w:color w:val="000000"/>
        </w:rPr>
        <w:t>al</w:t>
      </w:r>
      <w:r>
        <w:rPr>
          <w:rFonts w:ascii="Book Antiqua" w:eastAsia="Book Antiqua" w:hAnsi="Book Antiqua" w:cs="Book Antiqua"/>
          <w:bCs/>
          <w:color w:val="000000"/>
        </w:rPr>
        <w:t>.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machine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learning-based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algorithm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for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hepatic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inflammation</w:t>
      </w:r>
    </w:p>
    <w:p w14:paraId="77E4C00E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1DA8C549" w14:textId="6B7EB86A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Ji-Yuan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Liu-Wei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</w:t>
      </w:r>
      <w:r>
        <w:rPr>
          <w:rFonts w:ascii="Book Antiqua" w:eastAsia="Book Antiqua" w:hAnsi="Book Antiqua" w:cs="Book Antiqua"/>
          <w:cap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Gui-Qiang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</w:p>
    <w:p w14:paraId="6EA54015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5498592B" w14:textId="3E3590C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Ji-Yuan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Afﬁliated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Guangzhou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Guangzhou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510260,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3A1A40E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1B1F9A55" w14:textId="21E53DD5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Liu-Wei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Xiamen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Xiamen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361005,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670826D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45485761" w14:textId="4412550E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Rong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Yuan,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Xiao-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518036,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34CFE88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3BCD5629" w14:textId="1F491E96" w:rsidR="00250BD1" w:rsidRDefault="001C262F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Gui-Qiang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100034,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F6F49EC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7B73CA35" w14:textId="3EEEC4E4" w:rsidR="00250BD1" w:rsidRDefault="001C26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aps/>
          <w:color w:val="000000"/>
        </w:rPr>
        <w:t>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7852B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data,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aps/>
          <w:color w:val="000000"/>
        </w:rPr>
        <w:t>w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discussions;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aps/>
          <w:color w:val="000000"/>
        </w:rPr>
        <w:t>q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accountable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</w:p>
    <w:p w14:paraId="24214D8A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2CA86B65" w14:textId="2C0C0564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0708C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Mega-Project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2017ZX10203202;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2019A1515110060</w:t>
      </w:r>
      <w:r w:rsidR="00B4504B"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542CC760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54E984DE" w14:textId="203E2A7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Gui-Qiang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Chairman,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Xishiku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Xicheng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100034,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john131212@126.com</w:t>
      </w:r>
    </w:p>
    <w:p w14:paraId="1D9B0E12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60777EB6" w14:textId="720642B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344F278" w14:textId="3AFE59D2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716C414" w14:textId="1A264E31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4532A" w:rsidRPr="00D4532A">
        <w:rPr>
          <w:rFonts w:ascii="Book Antiqua" w:eastAsia="Book Antiqua" w:hAnsi="Book Antiqua" w:cs="Book Antiqua"/>
          <w:color w:val="000000"/>
        </w:rPr>
        <w:t>April 20, 2021</w:t>
      </w:r>
    </w:p>
    <w:p w14:paraId="6F6D0EFA" w14:textId="3D164B2A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7C90" w:rsidRPr="001811FF">
        <w:rPr>
          <w:rFonts w:ascii="Book Antiqua" w:hAnsi="Book Antiqua" w:cs="Book Antiqua" w:hint="eastAsia"/>
          <w:bCs/>
          <w:color w:val="000000"/>
          <w:lang w:eastAsia="zh-CN"/>
        </w:rPr>
        <w:t>June 7, 2021</w:t>
      </w:r>
    </w:p>
    <w:p w14:paraId="45E4733F" w14:textId="77777777" w:rsidR="00250BD1" w:rsidRDefault="00250BD1">
      <w:pPr>
        <w:spacing w:line="360" w:lineRule="auto"/>
        <w:jc w:val="both"/>
        <w:rPr>
          <w:rFonts w:ascii="Book Antiqua" w:hAnsi="Book Antiqua"/>
        </w:rPr>
        <w:sectPr w:rsidR="00250BD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261D6A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9434A12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57D50DB" w14:textId="69043EA9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Persistent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7852B7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(CHB)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7393C3DD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06CDDB1E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25BBBAF" w14:textId="05205431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ap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343BDB60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775BD18E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8833311" w14:textId="187862EE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treatment-naïve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Ishak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chemiluminescent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microparticle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immunoassay.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backward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(BFE)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</w:p>
    <w:p w14:paraId="7C4ADE07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5F349DFD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09DDF09" w14:textId="321CE9B4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Four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7852B7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Spearman’s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7852B7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7852B7">
        <w:rPr>
          <w:rFonts w:ascii="Book Antiqua" w:eastAsia="Book Antiqua" w:hAnsi="Book Antiqua" w:cs="Book Antiqua"/>
          <w:color w:val="000000"/>
        </w:rPr>
        <w:t xml:space="preserve">levels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(HAI)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[0.822;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0.790-0.851]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(0.760,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0.724-0.792,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69.17%,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81.44%,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73.8%.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(0.829,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0.789-0.865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0.755-0.857,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438213DE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7040FCF2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834B84B" w14:textId="0DA122EB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698EC9C5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25DF7112" w14:textId="174BCB7B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achine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BE6A70">
        <w:rPr>
          <w:rFonts w:ascii="Book Antiqua" w:eastAsia="Book Antiqua" w:hAnsi="Book Antiqua" w:cs="Book Antiqua"/>
          <w:color w:val="000000"/>
        </w:rPr>
        <w:t>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</w:p>
    <w:p w14:paraId="0801859A" w14:textId="77777777" w:rsidR="00250BD1" w:rsidRDefault="00250BD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AD54976" w14:textId="77777777" w:rsidR="00FF163C" w:rsidRPr="00026CB8" w:rsidRDefault="00FF163C" w:rsidP="00FF16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D308E70" w14:textId="77777777" w:rsidR="00FF163C" w:rsidRPr="00FF163C" w:rsidRDefault="00FF163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0BD381C" w14:textId="3BCDF22A" w:rsidR="001A291C" w:rsidRDefault="001A291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0" w:name="_GoBack"/>
      <w:r w:rsidRPr="001A291C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Zhou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JY,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Song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LW,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Yuan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Lu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XP,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Wang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GQ.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Prediction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random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forest-backward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elimination</w:t>
      </w:r>
      <w:r w:rsidR="007852B7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algorithm.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1C262F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2021;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617C90" w:rsidRPr="002E5F7B">
        <w:rPr>
          <w:rFonts w:ascii="Book Antiqua" w:eastAsia="Book Antiqua" w:hAnsi="Book Antiqua" w:cs="Book Antiqua"/>
          <w:color w:val="000000"/>
        </w:rPr>
        <w:t>2</w:t>
      </w:r>
      <w:r w:rsidR="00617C90" w:rsidRPr="002E5F7B">
        <w:rPr>
          <w:rFonts w:ascii="Book Antiqua" w:eastAsia="Book Antiqua" w:hAnsi="Book Antiqua" w:cs="Book Antiqua" w:hint="eastAsia"/>
          <w:color w:val="000000"/>
        </w:rPr>
        <w:t>7</w:t>
      </w:r>
      <w:r w:rsidR="00617C90" w:rsidRPr="002E5F7B">
        <w:rPr>
          <w:rFonts w:ascii="Book Antiqua" w:eastAsia="Book Antiqua" w:hAnsi="Book Antiqua" w:cs="Book Antiqua"/>
          <w:color w:val="000000"/>
        </w:rPr>
        <w:t>(</w:t>
      </w:r>
      <w:r w:rsidR="00617C90">
        <w:rPr>
          <w:rFonts w:ascii="Book Antiqua" w:eastAsia="Book Antiqua" w:hAnsi="Book Antiqua" w:cs="Book Antiqua" w:hint="eastAsia"/>
          <w:color w:val="000000"/>
        </w:rPr>
        <w:t>21</w:t>
      </w:r>
      <w:r w:rsidR="00617C90" w:rsidRPr="002E5F7B">
        <w:rPr>
          <w:rFonts w:ascii="Book Antiqua" w:eastAsia="Book Antiqua" w:hAnsi="Book Antiqua" w:cs="Book Antiqua"/>
          <w:color w:val="000000"/>
        </w:rPr>
        <w:t xml:space="preserve">): </w:t>
      </w:r>
      <w:r w:rsidR="001D2C96">
        <w:rPr>
          <w:rFonts w:ascii="Book Antiqua" w:hAnsi="Book Antiqua" w:hint="eastAsia"/>
        </w:rPr>
        <w:t>2910-2920</w:t>
      </w:r>
    </w:p>
    <w:p w14:paraId="01AB756C" w14:textId="41CD996F" w:rsidR="001A291C" w:rsidRDefault="00617C9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A291C">
        <w:rPr>
          <w:rFonts w:ascii="Book Antiqua" w:eastAsia="Book Antiqua" w:hAnsi="Book Antiqua" w:cs="Book Antiqua"/>
          <w:b/>
          <w:color w:val="000000"/>
        </w:rPr>
        <w:t>URL:</w:t>
      </w:r>
      <w:r w:rsidRPr="002E5F7B">
        <w:rPr>
          <w:rFonts w:ascii="Book Antiqua" w:eastAsia="Book Antiqua" w:hAnsi="Book Antiqua" w:cs="Book Antiqua"/>
          <w:color w:val="000000"/>
        </w:rPr>
        <w:t xml:space="preserve"> </w:t>
      </w:r>
      <w:hyperlink r:id="rId9" w:history="1">
        <w:r w:rsidR="001D2C96" w:rsidRPr="004E3338">
          <w:rPr>
            <w:rStyle w:val="a7"/>
            <w:rFonts w:ascii="Book Antiqua" w:eastAsia="Book Antiqua" w:hAnsi="Book Antiqua" w:cs="Book Antiqua"/>
          </w:rPr>
          <w:t>https://www.wjgnet.com/1007-9327/full/v2</w:t>
        </w:r>
        <w:r w:rsidR="001D2C96" w:rsidRPr="004E3338">
          <w:rPr>
            <w:rStyle w:val="a7"/>
            <w:rFonts w:ascii="Book Antiqua" w:eastAsia="Book Antiqua" w:hAnsi="Book Antiqua" w:cs="Book Antiqua" w:hint="eastAsia"/>
          </w:rPr>
          <w:t>7</w:t>
        </w:r>
        <w:r w:rsidR="001D2C96" w:rsidRPr="004E3338">
          <w:rPr>
            <w:rStyle w:val="a7"/>
            <w:rFonts w:ascii="Book Antiqua" w:eastAsia="Book Antiqua" w:hAnsi="Book Antiqua" w:cs="Book Antiqua"/>
          </w:rPr>
          <w:t>/i</w:t>
        </w:r>
        <w:r w:rsidR="001D2C96" w:rsidRPr="004E3338">
          <w:rPr>
            <w:rStyle w:val="a7"/>
            <w:rFonts w:ascii="Book Antiqua" w:eastAsia="Book Antiqua" w:hAnsi="Book Antiqua" w:cs="Book Antiqua" w:hint="eastAsia"/>
          </w:rPr>
          <w:t>21</w:t>
        </w:r>
        <w:r w:rsidR="001D2C96" w:rsidRPr="004E3338">
          <w:rPr>
            <w:rStyle w:val="a7"/>
            <w:rFonts w:ascii="Book Antiqua" w:eastAsia="Book Antiqua" w:hAnsi="Book Antiqua" w:cs="Book Antiqua"/>
          </w:rPr>
          <w:t>/</w:t>
        </w:r>
        <w:r w:rsidR="001D2C96" w:rsidRPr="004E3338">
          <w:rPr>
            <w:rStyle w:val="a7"/>
            <w:rFonts w:ascii="Book Antiqua" w:hAnsi="Book Antiqua" w:cs="Book Antiqua" w:hint="eastAsia"/>
            <w:lang w:eastAsia="zh-CN"/>
          </w:rPr>
          <w:t>2910</w:t>
        </w:r>
        <w:r w:rsidR="001D2C96" w:rsidRPr="004E3338">
          <w:rPr>
            <w:rStyle w:val="a7"/>
            <w:rFonts w:ascii="Book Antiqua" w:eastAsia="Book Antiqua" w:hAnsi="Book Antiqua" w:cs="Book Antiqua"/>
          </w:rPr>
          <w:t>.htm</w:t>
        </w:r>
      </w:hyperlink>
      <w:r w:rsidRPr="002E5F7B">
        <w:rPr>
          <w:rFonts w:ascii="Book Antiqua" w:eastAsia="Book Antiqua" w:hAnsi="Book Antiqua" w:cs="Book Antiqua"/>
          <w:color w:val="000000"/>
        </w:rPr>
        <w:t xml:space="preserve"> </w:t>
      </w:r>
    </w:p>
    <w:p w14:paraId="3D6F120D" w14:textId="530A4CF3" w:rsidR="00250BD1" w:rsidRPr="00773B3F" w:rsidRDefault="00617C90">
      <w:pPr>
        <w:spacing w:line="360" w:lineRule="auto"/>
        <w:jc w:val="both"/>
        <w:rPr>
          <w:rFonts w:ascii="Book Antiqua" w:hAnsi="Book Antiqua"/>
          <w:lang w:eastAsia="zh-CN"/>
        </w:rPr>
      </w:pPr>
      <w:r w:rsidRPr="001A291C">
        <w:rPr>
          <w:rFonts w:ascii="Book Antiqua" w:eastAsia="Book Antiqua" w:hAnsi="Book Antiqua" w:cs="Book Antiqua"/>
          <w:b/>
          <w:color w:val="000000"/>
        </w:rPr>
        <w:t>DOI:</w:t>
      </w:r>
      <w:r w:rsidRPr="002E5F7B">
        <w:rPr>
          <w:rFonts w:ascii="Book Antiqua" w:eastAsia="Book Antiqua" w:hAnsi="Book Antiqua" w:cs="Book Antiqua"/>
          <w:color w:val="000000"/>
        </w:rPr>
        <w:t xml:space="preserve"> https://dx.doi.org/10.3748/wjg.v2</w:t>
      </w:r>
      <w:r w:rsidRPr="002E5F7B">
        <w:rPr>
          <w:rFonts w:ascii="Book Antiqua" w:eastAsia="Book Antiqua" w:hAnsi="Book Antiqua" w:cs="Book Antiqua" w:hint="eastAsia"/>
          <w:color w:val="000000"/>
        </w:rPr>
        <w:t>7</w:t>
      </w:r>
      <w:r w:rsidRPr="002E5F7B"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eastAsia="Book Antiqua" w:hAnsi="Book Antiqua" w:cs="Book Antiqua" w:hint="eastAsia"/>
          <w:color w:val="000000"/>
        </w:rPr>
        <w:t>21</w:t>
      </w:r>
      <w:r w:rsidRPr="002E5F7B">
        <w:rPr>
          <w:rFonts w:ascii="Book Antiqua" w:eastAsia="Book Antiqua" w:hAnsi="Book Antiqua" w:cs="Book Antiqua"/>
          <w:color w:val="000000"/>
        </w:rPr>
        <w:t>.</w:t>
      </w:r>
      <w:r w:rsidR="001D2C96">
        <w:rPr>
          <w:rFonts w:ascii="Book Antiqua" w:hAnsi="Book Antiqua" w:cs="Book Antiqua" w:hint="eastAsia"/>
          <w:color w:val="000000"/>
          <w:lang w:eastAsia="zh-CN"/>
        </w:rPr>
        <w:t>2910</w:t>
      </w:r>
    </w:p>
    <w:bookmarkEnd w:id="0"/>
    <w:p w14:paraId="691463E6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4E494CF7" w14:textId="168F4D25" w:rsidR="00250BD1" w:rsidRDefault="001C26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backward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128F5465" w14:textId="1FA552E7" w:rsidR="007632E7" w:rsidRDefault="007632E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46A21D7" w14:textId="16A0F83E" w:rsidR="007632E7" w:rsidRDefault="007632E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86032C6" w14:textId="5D889E02" w:rsidR="007632E7" w:rsidRDefault="007632E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D22A8E3" w14:textId="77777777" w:rsidR="007632E7" w:rsidRDefault="007632E7">
      <w:pPr>
        <w:spacing w:line="360" w:lineRule="auto"/>
        <w:jc w:val="both"/>
        <w:rPr>
          <w:rFonts w:ascii="Book Antiqua" w:hAnsi="Book Antiqua"/>
        </w:rPr>
      </w:pPr>
    </w:p>
    <w:p w14:paraId="2AF33082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E98AA17" w14:textId="566548D5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chronically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(HBV),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880000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37D6">
        <w:fldChar w:fldCharType="begin"/>
      </w:r>
      <w:r w:rsidR="00F337D6">
        <w:instrText xml:space="preserve"> HYPERLINK \l "_ENREF_1" \o "Collaborators, 2018 #16405" </w:instrText>
      </w:r>
      <w:r w:rsidR="00F337D6"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337D6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body's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clear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"_ENREF_2" \o "Berasain, 2009 #16214"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(CHB)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51C21D67" w14:textId="66321C01" w:rsidR="00250BD1" w:rsidRDefault="001C26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(anti-HBc)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nonprotective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HBcAg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HBV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"_ENREF_3" \o "Wu, 2017 #16328"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"_ENREF_4" \o "Fan, 2016 #11860"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4-7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(HAI)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"_ENREF_8" \o "Zhou, 2017 #16274"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1EEEEB96" w14:textId="769AF488" w:rsidR="00250BD1" w:rsidRDefault="001C26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</w:p>
    <w:p w14:paraId="4ED093F0" w14:textId="77777777" w:rsidR="00250BD1" w:rsidRDefault="00250BD1" w:rsidP="00D0708C">
      <w:pPr>
        <w:spacing w:line="360" w:lineRule="auto"/>
        <w:jc w:val="both"/>
        <w:rPr>
          <w:rFonts w:ascii="Book Antiqua" w:hAnsi="Book Antiqua"/>
        </w:rPr>
      </w:pPr>
    </w:p>
    <w:p w14:paraId="32C82BBD" w14:textId="0C221349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0708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0708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442CB6D" w14:textId="77777777" w:rsidR="00250BD1" w:rsidRDefault="001C262F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</w:p>
    <w:p w14:paraId="5182DF4D" w14:textId="3C05DB6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D0708C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>ge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18-75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hepatitis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(HBsAg)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being treatment </w:t>
      </w:r>
      <w:r>
        <w:rPr>
          <w:rFonts w:ascii="Book Antiqua" w:eastAsia="Book Antiqua" w:hAnsi="Book Antiqua" w:cs="Book Antiqua"/>
          <w:color w:val="000000"/>
        </w:rPr>
        <w:t>naïve;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serum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Avirus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(HAV)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anti-HCV,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(HEV)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IgM/IgG,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anti-Epstein–Barr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(EBV)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anti-cytomegalovirus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(CMV)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D0708C">
        <w:rPr>
          <w:rFonts w:ascii="Book Antiqua" w:eastAsia="Book Antiqua" w:hAnsi="Book Antiqua" w:cs="Book Antiqua"/>
          <w:color w:val="000000"/>
        </w:rPr>
        <w:t xml:space="preserve">; and </w:t>
      </w:r>
      <w:r>
        <w:rPr>
          <w:rFonts w:ascii="Book Antiqua" w:eastAsia="Book Antiqua" w:hAnsi="Book Antiqua" w:cs="Book Antiqua"/>
          <w:color w:val="000000"/>
        </w:rPr>
        <w:t>(5)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withdrawal </w:t>
      </w:r>
      <w:r>
        <w:rPr>
          <w:rFonts w:ascii="Book Antiqua" w:eastAsia="Book Antiqua" w:hAnsi="Book Antiqua" w:cs="Book Antiqua"/>
          <w:color w:val="000000"/>
        </w:rPr>
        <w:t>from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transaminase-lowering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bicyclol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biochemistry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24BD6A7C" w14:textId="668DCCC0" w:rsidR="00250BD1" w:rsidRDefault="00F337D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The exclusion </w:t>
      </w:r>
      <w:r w:rsidR="001C262F">
        <w:rPr>
          <w:rFonts w:ascii="Book Antiqua" w:eastAsia="Book Antiqua" w:hAnsi="Book Antiqua" w:cs="Book Antiqua"/>
          <w:color w:val="000000"/>
        </w:rPr>
        <w:t>criteria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included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overlapping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etiologies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hepatitis,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including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HCV,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HIV,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alcoholism,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autoimmune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disease,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genetic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disease,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drug-induced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causes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nonalcoholic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fatty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liver.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decompensated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cirrhosis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HCC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also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excluded.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patents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provided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written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informed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consent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scientific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use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their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data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samples.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complete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protocol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trial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has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been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registered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clinicaltrials.gov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(NCT01962155)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chictr.org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1C262F">
        <w:rPr>
          <w:rFonts w:ascii="Book Antiqua" w:eastAsia="Book Antiqua" w:hAnsi="Book Antiqua" w:cs="Book Antiqua"/>
          <w:color w:val="000000"/>
        </w:rPr>
        <w:t>(ChiCTR-DDT-13003724).</w:t>
      </w:r>
    </w:p>
    <w:p w14:paraId="11AAE4E7" w14:textId="77777777" w:rsidR="00250BD1" w:rsidRDefault="00250BD1">
      <w:pPr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641C1AD4" w14:textId="7859137C" w:rsidR="00250BD1" w:rsidRDefault="001C262F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Data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acquisition</w:t>
      </w:r>
    </w:p>
    <w:p w14:paraId="253E179A" w14:textId="1518CA6D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ultrasonographic</w:t>
      </w:r>
      <w:proofErr w:type="spellEnd"/>
      <w:r>
        <w:rPr>
          <w:rFonts w:ascii="Book Antiqua" w:eastAsia="Book Antiqua" w:hAnsi="Book Antiqua" w:cs="Book Antiqua"/>
          <w:color w:val="000000"/>
        </w:rPr>
        <w:t>-guided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biopsy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of </w:t>
      </w:r>
      <w:proofErr w:type="spellStart"/>
      <w:r>
        <w:rPr>
          <w:rFonts w:ascii="Book Antiqua" w:eastAsia="Book Antiqua" w:hAnsi="Book Antiqua" w:cs="Book Antiqua"/>
          <w:color w:val="000000"/>
        </w:rPr>
        <w:t>Youan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Capital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two </w:t>
      </w:r>
      <w:r>
        <w:rPr>
          <w:rFonts w:ascii="Book Antiqua" w:eastAsia="Book Antiqua" w:hAnsi="Book Antiqua" w:cs="Book Antiqua"/>
          <w:color w:val="000000"/>
        </w:rPr>
        <w:t>pathologists.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occurred,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reassessing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"_ENREF_9" \o "Wai, 2003 #16223"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0" w:tooltip="Hui, 2005 #16224" w:history="1">
        <w:r>
          <w:rPr>
            <w:rFonts w:ascii="Book Antiqua" w:eastAsia="Book Antiqua" w:hAnsi="Book Antiqua" w:cs="Book Antiqua"/>
            <w:color w:val="000000"/>
            <w:vertAlign w:val="superscript"/>
          </w:rPr>
          <w:t>10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5A1C2797" w14:textId="79917F3C" w:rsidR="00250BD1" w:rsidRDefault="001C26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analyzers.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HBsAg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immunoassays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(Roche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Penzberg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</w:rPr>
        <w:t>-1.7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via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COBAS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AmpliPrep</w:t>
      </w:r>
      <w:proofErr w:type="spellEnd"/>
      <w:r>
        <w:rPr>
          <w:rFonts w:ascii="Book Antiqua" w:eastAsia="Book Antiqua" w:hAnsi="Book Antiqua" w:cs="Book Antiqua"/>
          <w:color w:val="000000"/>
        </w:rPr>
        <w:t>/COBAS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TaqMan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double-sandwich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enzyme-linked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immunosorbent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Wantai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Xiamen,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0527B1FD" w14:textId="0F9111E5" w:rsidR="00250BD1" w:rsidRDefault="001C262F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Six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(CXCL9,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IL-33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IL-34)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Luminex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(LXSAHM-6,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R&amp;D,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Minneapolis</w:t>
      </w:r>
      <w:proofErr w:type="gram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15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(IL-1β,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IL-13,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CCL2,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CCL3,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p70,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TGF-α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granulocyte-monocyte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with human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(Cat.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HCYTOMAG-60K,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Millipore,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Billerica,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Luminex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Millipore,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Billerica,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manufacturer’s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duplicate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0.999.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5EE3DA20" w14:textId="77777777" w:rsidR="00250BD1" w:rsidRDefault="00250BD1">
      <w:pPr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6633E5B3" w14:textId="7751BE46" w:rsidR="00250BD1" w:rsidRDefault="001C262F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S</w:t>
      </w:r>
      <w:r w:rsidR="00F337D6">
        <w:rPr>
          <w:rFonts w:ascii="Book Antiqua" w:eastAsia="Book Antiqua" w:hAnsi="Book Antiqua" w:cs="Book Antiqua"/>
          <w:b/>
          <w:bCs/>
          <w:i/>
          <w:color w:val="000000"/>
        </w:rPr>
        <w:t>election of s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ignificant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features</w:t>
      </w:r>
    </w:p>
    <w:p w14:paraId="6FFFE954" w14:textId="1EB4A51A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(RF)-backward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(BFE)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Figure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shuffled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shrinkage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(LASSO)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regularization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penalizes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penalty,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shrinking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zero.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regularization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interpretability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iterations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gathered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6B88ABB8" w14:textId="77777777" w:rsidR="00D4468A" w:rsidRDefault="001C262F" w:rsidP="00D4468A">
      <w:pPr>
        <w:spacing w:line="360" w:lineRule="auto"/>
        <w:ind w:firstLine="48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scheme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Figure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retrain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D4468A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68CD8E55" w14:textId="753097E5" w:rsidR="00D4468A" w:rsidRDefault="00AE7004" w:rsidP="006C25BC">
      <w:pPr>
        <w:spacing w:line="360" w:lineRule="auto"/>
        <w:ind w:firstLine="480"/>
        <w:jc w:val="both"/>
        <w:rPr>
          <w:rFonts w:ascii="Book Antiqua" w:hAnsi="Book Antiqua" w:cs="Book Antiqua"/>
          <w:iCs/>
          <w:color w:val="000000"/>
          <w:lang w:eastAsia="zh-CN"/>
        </w:rPr>
      </w:pPr>
      <w:r>
        <w:rPr>
          <w:rFonts w:ascii="Book Antiqua" w:eastAsia="Book Antiqua" w:hAnsi="Book Antiqua" w:cs="Book Antiqua"/>
          <w:i/>
          <w:iCs/>
          <w:color w:val="000000"/>
        </w:rPr>
        <w:t>Sensitivity = TP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/(</w:t>
      </w:r>
      <w:proofErr w:type="gramEnd"/>
      <w:r>
        <w:rPr>
          <w:rFonts w:ascii="Book Antiqua" w:eastAsia="Book Antiqua" w:hAnsi="Book Antiqua" w:cs="Book Antiqua"/>
          <w:i/>
          <w:iCs/>
          <w:color w:val="000000"/>
        </w:rPr>
        <w:t>TP + FN)</w:t>
      </w:r>
    </w:p>
    <w:p w14:paraId="1133A425" w14:textId="77777777" w:rsidR="00D4468A" w:rsidRDefault="00AE7004" w:rsidP="006C25BC">
      <w:pPr>
        <w:spacing w:line="360" w:lineRule="auto"/>
        <w:ind w:firstLine="480"/>
        <w:jc w:val="both"/>
        <w:rPr>
          <w:rFonts w:ascii="Book Antiqua" w:hAnsi="Book Antiqua" w:cs="Book Antiqua"/>
          <w:iCs/>
          <w:color w:val="000000"/>
          <w:lang w:eastAsia="zh-CN"/>
        </w:rPr>
      </w:pPr>
      <w:r>
        <w:rPr>
          <w:rFonts w:ascii="Book Antiqua" w:eastAsia="Book Antiqua" w:hAnsi="Book Antiqua" w:cs="Book Antiqua"/>
          <w:i/>
          <w:iCs/>
          <w:color w:val="000000"/>
        </w:rPr>
        <w:t>Specificity = TN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/(</w:t>
      </w:r>
      <w:proofErr w:type="gramEnd"/>
      <w:r>
        <w:rPr>
          <w:rFonts w:ascii="Book Antiqua" w:eastAsia="Book Antiqua" w:hAnsi="Book Antiqua" w:cs="Book Antiqua"/>
          <w:i/>
          <w:iCs/>
          <w:color w:val="000000"/>
        </w:rPr>
        <w:t>TN + FP)</w:t>
      </w:r>
    </w:p>
    <w:p w14:paraId="43F993C2" w14:textId="052CD671" w:rsidR="00AE7004" w:rsidRPr="00AE7004" w:rsidRDefault="00AE7004" w:rsidP="006C25BC">
      <w:pPr>
        <w:spacing w:line="360" w:lineRule="auto"/>
        <w:ind w:firstLine="480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i/>
          <w:iCs/>
          <w:color w:val="000000"/>
        </w:rPr>
        <w:t xml:space="preserve">Accuracy = (Sensitivity + Specificity)/2    </w:t>
      </w:r>
      <w:r>
        <w:rPr>
          <w:rFonts w:ascii="Book Antiqua" w:eastAsia="Book Antiqua" w:hAnsi="Book Antiqua" w:cs="Book Antiqua"/>
          <w:color w:val="000000"/>
        </w:rPr>
        <w:t>(1)</w:t>
      </w:r>
    </w:p>
    <w:p w14:paraId="677F7028" w14:textId="04ADAAA6" w:rsidR="00250BD1" w:rsidRDefault="001C262F" w:rsidP="006901F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gramStart"/>
      <w:r>
        <w:rPr>
          <w:rFonts w:ascii="Book Antiqua" w:eastAsia="Book Antiqua" w:hAnsi="Book Antiqua" w:cs="Book Antiqua"/>
          <w:color w:val="000000"/>
        </w:rPr>
        <w:t>where</w:t>
      </w:r>
      <w:proofErr w:type="gram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FP,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1EFE95B6" w14:textId="7A3579B4" w:rsidR="00250BD1" w:rsidRDefault="001C262F">
      <w:pPr>
        <w:spacing w:line="360" w:lineRule="auto"/>
        <w:ind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iterations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gathered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</w:p>
    <w:p w14:paraId="27C21F2A" w14:textId="6D2EF27D" w:rsidR="00250BD1" w:rsidRDefault="001C262F" w:rsidP="006C25BC">
      <w:pPr>
        <w:spacing w:line="360" w:lineRule="auto"/>
        <w:ind w:firstLine="3328"/>
        <w:rPr>
          <w:rFonts w:ascii="Book Antiqua" w:hAnsi="Book Antiqua"/>
        </w:rPr>
      </w:pP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Fs</w:t>
      </w:r>
      <w:proofErr w:type="spellEnd"/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=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Fsub</w:t>
      </w:r>
      <w:proofErr w:type="spellEnd"/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:</w:t>
      </w:r>
      <w:proofErr w:type="gramStart"/>
      <w:r>
        <w:rPr>
          <w:rFonts w:ascii="Book Antiqua" w:eastAsia="Book Antiqua" w:hAnsi="Book Antiqua" w:cs="Book Antiqua"/>
          <w:color w:val="000000"/>
        </w:rPr>
        <w:t>{</w:t>
      </w:r>
      <w:r>
        <w:rPr>
          <w:rFonts w:ascii="Book Antiqua" w:eastAsia="Book Antiqua" w:hAnsi="Book Antiqua" w:cs="Book Antiqua"/>
          <w:i/>
          <w:iCs/>
          <w:color w:val="000000"/>
        </w:rPr>
        <w:t>f</w:t>
      </w:r>
      <w:r>
        <w:rPr>
          <w:rFonts w:ascii="Book Antiqua" w:eastAsia="Book Antiqua" w:hAnsi="Book Antiqua" w:cs="Book Antiqua"/>
          <w:color w:val="000000"/>
          <w:vertAlign w:val="subscript"/>
        </w:rPr>
        <w:t>1</w:t>
      </w:r>
      <w:proofErr w:type="gram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</w:t>
      </w:r>
      <w:r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Calibri" w:hAnsi="Book Antiqua" w:cs="Calibri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6FAC4306" wp14:editId="3E943E5B">
            <wp:simplePos x="0" y="0"/>
            <wp:positionH relativeFrom="column">
              <wp:posOffset>3388360</wp:posOffset>
            </wp:positionH>
            <wp:positionV relativeFrom="paragraph">
              <wp:posOffset>76200</wp:posOffset>
            </wp:positionV>
            <wp:extent cx="180975" cy="76200"/>
            <wp:effectExtent l="0" t="0" r="0" b="0"/>
            <wp:wrapNone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...,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k</w:t>
      </w:r>
      <w:proofErr w:type="spellEnd"/>
      <w:r>
        <w:rPr>
          <w:rFonts w:ascii="Book Antiqua" w:eastAsia="Book Antiqua" w:hAnsi="Book Antiqua" w:cs="Book Antiqua"/>
          <w:color w:val="000000"/>
        </w:rPr>
        <w:t>}|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f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&gt;v</w:t>
      </w:r>
      <w:r>
        <w:rPr>
          <w:rFonts w:ascii="Book Antiqua" w:eastAsia="Book Antiqua" w:hAnsi="Book Antiqua" w:cs="Book Antiqua"/>
          <w:color w:val="000000"/>
          <w:vertAlign w:val="subscript"/>
        </w:rPr>
        <w:t>0</w:t>
      </w:r>
    </w:p>
    <w:p w14:paraId="5D326300" w14:textId="632309B4" w:rsidR="00250BD1" w:rsidRDefault="001C262F" w:rsidP="006C25BC">
      <w:pPr>
        <w:spacing w:line="360" w:lineRule="auto"/>
        <w:ind w:firstLine="3300"/>
        <w:rPr>
          <w:rFonts w:ascii="Book Antiqua" w:hAnsi="Book Antiqua"/>
        </w:rPr>
      </w:pPr>
      <w:proofErr w:type="spellStart"/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v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f</w:t>
      </w:r>
      <w:proofErr w:type="spellEnd"/>
      <w:proofErr w:type="gramEnd"/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,v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0</w:t>
      </w:r>
      <w:r w:rsidRPr="009D6CD5">
        <w:rPr>
          <w:rFonts w:asciiTheme="minorEastAsia" w:hAnsiTheme="minorEastAsia" w:cs="Book Antiqua"/>
        </w:rPr>
        <w:t>∈</w:t>
      </w:r>
      <w:r>
        <w:rPr>
          <w:rFonts w:ascii="Book Antiqua" w:eastAsia="Book Antiqua" w:hAnsi="Book Antiqua" w:cs="Book Antiqua"/>
          <w:color w:val="000000"/>
        </w:rPr>
        <w:t>(0,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)</w:t>
      </w:r>
      <w:r w:rsidR="00D0708C">
        <w:rPr>
          <w:rFonts w:ascii="Book Antiqua" w:eastAsia="Book Antiqua" w:hAnsi="Book Antiqua" w:cs="Book Antiqua"/>
          <w:color w:val="000000"/>
        </w:rPr>
        <w:t xml:space="preserve">    </w:t>
      </w:r>
      <w:r>
        <w:rPr>
          <w:rFonts w:ascii="Book Antiqua" w:eastAsia="Book Antiqua" w:hAnsi="Book Antiqua" w:cs="Book Antiqua"/>
          <w:color w:val="000000"/>
        </w:rPr>
        <w:t>(2)</w:t>
      </w:r>
    </w:p>
    <w:p w14:paraId="710CE18C" w14:textId="04B0E81B" w:rsidR="00250BD1" w:rsidRDefault="001C262F">
      <w:pPr>
        <w:spacing w:line="360" w:lineRule="auto"/>
        <w:ind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where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sub</w:t>
      </w:r>
      <w:proofErr w:type="spellEnd"/>
      <w:r w:rsidR="00D0708C">
        <w:rPr>
          <w:rFonts w:ascii="Book Antiqua" w:eastAsia="Book Antiqua" w:hAnsi="Book Antiqua" w:cs="Book Antiqua"/>
          <w:i/>
          <w:iCs/>
          <w:color w:val="00000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f</w:t>
      </w:r>
      <w:proofErr w:type="spellEnd"/>
      <w:r w:rsidR="00D0708C">
        <w:rPr>
          <w:rFonts w:ascii="Book Antiqua" w:eastAsia="Book Antiqua" w:hAnsi="Book Antiqua" w:cs="Book Antiqua"/>
          <w:i/>
          <w:iCs/>
          <w:color w:val="00000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0</w:t>
      </w:r>
      <w:r w:rsidR="00D0708C">
        <w:rPr>
          <w:rFonts w:ascii="Book Antiqua" w:eastAsia="Book Antiqua" w:hAnsi="Book Antiqua" w:cs="Book Antiqua"/>
          <w:i/>
          <w:iCs/>
          <w:color w:val="00000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iterations,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f</w:t>
      </w:r>
      <w:proofErr w:type="spellEnd"/>
      <w:r w:rsidR="00D0708C">
        <w:rPr>
          <w:rFonts w:ascii="Book Antiqua" w:eastAsia="Book Antiqua" w:hAnsi="Book Antiqua" w:cs="Book Antiqua"/>
          <w:i/>
          <w:iCs/>
          <w:color w:val="00000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</w:t>
      </w:r>
      <w:r>
        <w:rPr>
          <w:rFonts w:ascii="Book Antiqua" w:eastAsia="Book Antiqua" w:hAnsi="Book Antiqua" w:cs="Book Antiqua"/>
          <w:i/>
          <w:iCs/>
          <w:color w:val="000000"/>
          <w:vertAlign w:val="subscript"/>
        </w:rPr>
        <w:t>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100.</w:t>
      </w:r>
    </w:p>
    <w:p w14:paraId="16359CF1" w14:textId="77777777" w:rsidR="00250BD1" w:rsidRDefault="00250B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1D27E61" w14:textId="5127F0FF" w:rsidR="00250BD1" w:rsidRDefault="001C262F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234704E4" w14:textId="1C2F90A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Statistical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analyses were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(version16.0)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Python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0708C">
        <w:rPr>
          <w:rFonts w:ascii="Book Antiqua" w:eastAsia="Book Antiqua" w:hAnsi="Book Antiqua" w:cs="Book Antiqua"/>
          <w:color w:val="000000"/>
        </w:rPr>
        <w:t xml:space="preserve"> SD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Student’s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Spearman’s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proofErr w:type="spellStart"/>
      <w:r>
        <w:rPr>
          <w:rFonts w:ascii="Book Antiqua" w:eastAsia="Book Antiqua" w:hAnsi="Book Antiqua" w:cs="Book Antiqua"/>
          <w:color w:val="000000"/>
        </w:rPr>
        <w:t>glmnet</w:t>
      </w:r>
      <w:proofErr w:type="spellEnd"/>
      <w:r>
        <w:rPr>
          <w:rFonts w:ascii="Book Antiqua" w:eastAsia="Book Antiqua" w:hAnsi="Book Antiqua" w:cs="Book Antiqua"/>
          <w:color w:val="000000"/>
        </w:rPr>
        <w:t>”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MedCalc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15.6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(Ostend,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Belgium).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(PPV)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(NPV)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(two-tailed).</w:t>
      </w:r>
    </w:p>
    <w:p w14:paraId="76935466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0D19C864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1295735" w14:textId="2E3C107F" w:rsidR="00250BD1" w:rsidRDefault="001C262F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Clinical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population</w:t>
      </w:r>
    </w:p>
    <w:p w14:paraId="1A034C8C" w14:textId="1F4EF699" w:rsidR="00250BD1" w:rsidRDefault="001C26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F337D6" w:rsidRPr="00F337D6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337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CHB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(61.69%)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(61.49%)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(55.64%)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(40.73%)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Table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(IL-2, IL-4, IL-12 p70, and CXCL9)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F337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detected.</w:t>
      </w:r>
    </w:p>
    <w:p w14:paraId="0B9C447F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04FC6101" w14:textId="2F902532" w:rsidR="00250BD1" w:rsidRDefault="001C262F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Features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selection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model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building</w:t>
      </w:r>
    </w:p>
    <w:p w14:paraId="612224ED" w14:textId="5D920341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v0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bCs/>
          <w:color w:val="000000"/>
        </w:rPr>
        <w:t>Figure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3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and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Table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Spearman’s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F337D6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further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0.55,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0.45,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0.51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0.34</w:t>
      </w:r>
      <w:r w:rsidR="00F337D6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0.49,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0.44,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0.49</w:t>
      </w:r>
      <w:r w:rsidR="00F337D6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0.33</w:t>
      </w:r>
      <w:r w:rsidR="00F337D6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bCs/>
          <w:color w:val="000000"/>
        </w:rPr>
        <w:t>Table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ALT’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</w:t>
      </w:r>
      <w:r w:rsidR="00D0708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100.1)/130.25;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AST’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(AST</w:t>
      </w:r>
      <w:r w:rsidR="00D0708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64.28)/78.33;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Log(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)’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[log(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0708C">
        <w:rPr>
          <w:rFonts w:ascii="Book Antiqua" w:eastAsia="Book Antiqua" w:hAnsi="Book Antiqua" w:cs="Book Antiqua"/>
          <w:color w:val="000000"/>
        </w:rPr>
        <w:t xml:space="preserve"> - </w:t>
      </w:r>
      <w:r>
        <w:rPr>
          <w:rFonts w:ascii="Book Antiqua" w:eastAsia="Book Antiqua" w:hAnsi="Book Antiqua" w:cs="Book Antiqua"/>
          <w:color w:val="000000"/>
        </w:rPr>
        <w:t>4.408]/0.7835;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CXCL11’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(CXCL11</w:t>
      </w:r>
      <w:r w:rsidR="00D0708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55.02)/68.80.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</w:p>
    <w:p w14:paraId="75EF6F76" w14:textId="09C702C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Logit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proofErr w:type="gramStart"/>
      <w:r>
        <w:rPr>
          <w:rFonts w:ascii="Book Antiqua" w:eastAsia="Book Antiqua" w:hAnsi="Book Antiqua" w:cs="Book Antiqua"/>
          <w:color w:val="000000"/>
        </w:rPr>
        <w:t>/[</w:t>
      </w:r>
      <w:proofErr w:type="gramEnd"/>
      <w:r>
        <w:rPr>
          <w:rFonts w:ascii="Book Antiqua" w:eastAsia="Book Antiqua" w:hAnsi="Book Antiqua" w:cs="Book Antiqua"/>
          <w:color w:val="000000"/>
        </w:rPr>
        <w:t>1+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exp(0.4986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ALT’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1.190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AST’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0.9154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log(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)’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0.5333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CXCL11’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0.8099)].</w:t>
      </w:r>
      <w:r w:rsidR="00D0708C">
        <w:rPr>
          <w:rFonts w:ascii="Book Antiqua" w:eastAsia="Book Antiqua" w:hAnsi="Book Antiqua" w:cs="Book Antiqua"/>
          <w:color w:val="000000"/>
        </w:rPr>
        <w:t xml:space="preserve">   </w:t>
      </w:r>
      <w:r>
        <w:rPr>
          <w:rFonts w:ascii="Book Antiqua" w:eastAsia="Book Antiqua" w:hAnsi="Book Antiqua" w:cs="Book Antiqua"/>
          <w:color w:val="000000"/>
        </w:rPr>
        <w:t>(3)</w:t>
      </w:r>
    </w:p>
    <w:p w14:paraId="7D93FA20" w14:textId="77777777" w:rsidR="00250BD1" w:rsidRDefault="00250BD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0EF8BFF" w14:textId="65A367FD" w:rsidR="00250BD1" w:rsidRDefault="001C262F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Predictive</w:t>
      </w:r>
      <w:r w:rsidR="00D0708C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performance</w:t>
      </w:r>
    </w:p>
    <w:p w14:paraId="70DA7E8A" w14:textId="0A9BE19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Figure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4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and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Table</w:t>
      </w:r>
      <w:r w:rsidR="00D0708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0.822</w:t>
      </w:r>
      <w:r w:rsidR="00D0708C">
        <w:rPr>
          <w:rFonts w:ascii="Book Antiqua" w:eastAsia="Book Antiqua" w:hAnsi="Book Antiqua" w:cs="Book Antiqua"/>
          <w:color w:val="000000"/>
        </w:rPr>
        <w:t xml:space="preserve"> [</w:t>
      </w:r>
      <w:r>
        <w:rPr>
          <w:rFonts w:ascii="Book Antiqua" w:eastAsia="Book Antiqua" w:hAnsi="Book Antiqua" w:cs="Book Antiqua"/>
          <w:color w:val="000000"/>
        </w:rPr>
        <w:t>95%</w:t>
      </w:r>
      <w:r w:rsidR="00D0708C">
        <w:rPr>
          <w:rFonts w:ascii="Book Antiqua" w:eastAsia="Book Antiqua" w:hAnsi="Book Antiqua" w:cs="Book Antiqua"/>
          <w:color w:val="000000"/>
        </w:rPr>
        <w:t xml:space="preserve"> confidence interval (</w:t>
      </w:r>
      <w:r>
        <w:rPr>
          <w:rFonts w:ascii="Book Antiqua" w:eastAsia="Book Antiqua" w:hAnsi="Book Antiqua" w:cs="Book Antiqua"/>
          <w:color w:val="000000"/>
        </w:rPr>
        <w:t>CI</w:t>
      </w:r>
      <w:r w:rsidR="00D0708C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0.790-0.851</w:t>
      </w:r>
      <w:r w:rsidR="00D0708C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240173">
        <w:rPr>
          <w:rFonts w:ascii="Book Antiqua" w:eastAsia="Book Antiqua" w:hAnsi="Book Antiqua" w:cs="Book Antiqua"/>
          <w:color w:val="000000"/>
        </w:rPr>
        <w:t xml:space="preserve">showing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D0708C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0.724-0.792)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0.41)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69.17%,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81.44%,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73.8%.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4.20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vertAlign w:val="subscript"/>
        </w:rPr>
        <w:t>10</w:t>
      </w:r>
      <w:r>
        <w:rPr>
          <w:rFonts w:ascii="Book Antiqua" w:eastAsia="Book Antiqua" w:hAnsi="Book Antiqua" w:cs="Book Antiqua"/>
          <w:color w:val="000000"/>
        </w:rPr>
        <w:t>IU/mL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83.94%,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55.68%,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72.13%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09356A39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6138CA5F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AB88B28" w14:textId="192A42A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dimensionality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vector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(SVM).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unbiased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estimator,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employed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"_ENREF_11" \o "Breiman, 2001 #16417"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0.829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74BF65E7" w14:textId="70BF1FAE" w:rsidR="00250BD1" w:rsidRDefault="001C26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Histological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2" w:tooltip="Cadranel, 2000 #16419" w:history="1">
        <w:r>
          <w:rPr>
            <w:rFonts w:ascii="Book Antiqua" w:eastAsia="Book Antiqua" w:hAnsi="Book Antiqua" w:cs="Book Antiqua"/>
            <w:color w:val="000000"/>
            <w:vertAlign w:val="superscript"/>
          </w:rPr>
          <w:t>12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3" w:tooltip="Regev, 2002 #16420" w:history="1">
        <w:r>
          <w:rPr>
            <w:rFonts w:ascii="Book Antiqua" w:eastAsia="Book Antiqua" w:hAnsi="Book Antiqua" w:cs="Book Antiqua"/>
            <w:color w:val="000000"/>
            <w:vertAlign w:val="superscript"/>
          </w:rPr>
          <w:t>13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practice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"_ENREF_14" \o "Kim, 2008 #16418"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"_ENREF_15" \o "Chao, 2014 #16222"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6" w:tooltip="Sarin, 2016 #16404" w:history="1">
        <w:r>
          <w:rPr>
            <w:rFonts w:ascii="Book Antiqua" w:eastAsia="Book Antiqua" w:hAnsi="Book Antiqua" w:cs="Book Antiqua"/>
            <w:color w:val="000000"/>
            <w:vertAlign w:val="superscript"/>
          </w:rPr>
          <w:t>16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"_ENREF_8" \o "Zhou, 2017 #16274"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"_ENREF_8" \o "Zhou, 2017 #16274"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"_ENREF_17" \o "Chen, 2019 #16403"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"_ENREF_18" \o "Li, 2017 #16275"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"_ENREF_18" \o "Li, 2017 #16275"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index)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0.810.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240173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0.822,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240173">
        <w:rPr>
          <w:rFonts w:ascii="Book Antiqua" w:eastAsia="Book Antiqua" w:hAnsi="Book Antiqua" w:cs="Book Antiqua"/>
          <w:color w:val="000000"/>
        </w:rPr>
        <w:t xml:space="preserve">showing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LeLong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8" w:tooltip="Li, 2017 #16275" w:history="1">
        <w:r>
          <w:rPr>
            <w:rFonts w:ascii="Book Antiqua" w:eastAsia="Book Antiqua" w:hAnsi="Book Antiqua" w:cs="Book Antiqua"/>
            <w:color w:val="000000"/>
            <w:vertAlign w:val="superscript"/>
          </w:rPr>
          <w:t>18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(0.822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vs</w:t>
      </w:r>
      <w:r w:rsidR="00D0708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0.810,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0708C">
        <w:rPr>
          <w:rFonts w:ascii="Book Antiqua" w:eastAsia="Book Antiqua" w:hAnsi="Book Antiqua" w:cs="Book Antiqua"/>
          <w:cap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=0.041).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6DB55018" w14:textId="01A66537" w:rsidR="00250BD1" w:rsidRDefault="001C26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interferon-inducible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(I-TAC),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angiogenic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9" w:tooltip="S, 2009 #16414" w:history="1">
        <w:r>
          <w:rPr>
            <w:rFonts w:ascii="Book Antiqua" w:eastAsia="Book Antiqua" w:hAnsi="Book Antiqua" w:cs="Book Antiqua"/>
            <w:color w:val="000000"/>
            <w:vertAlign w:val="superscript"/>
          </w:rPr>
          <w:t>19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240173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damage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"_ENREF_21" \o "KJ, 2004 #16415"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240173">
        <w:rPr>
          <w:rFonts w:ascii="Book Antiqua" w:eastAsia="Book Antiqua" w:hAnsi="Book Antiqua" w:cs="Book Antiqua"/>
          <w:color w:val="000000"/>
        </w:rPr>
        <w:t xml:space="preserve">levels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"_ENREF_22" \o "Zeremski, 2008 #16421"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23" w:tooltip="A, 2019 #16411" w:history="1">
        <w:r>
          <w:rPr>
            <w:rFonts w:ascii="Book Antiqua" w:eastAsia="Book Antiqua" w:hAnsi="Book Antiqua" w:cs="Book Antiqua"/>
            <w:color w:val="000000"/>
            <w:vertAlign w:val="superscript"/>
          </w:rPr>
          <w:t>22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CXCR3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(CD183)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CXCR3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begin"/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instrText xml:space="preserve"> HYPERLINK \l "_ENREF_22" \o "Zeremski, 2008 #16421" </w:instrTex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separate"/>
      </w:r>
      <w:r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38394D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24" w:tooltip="Butera, 2005 #16422" w:history="1">
        <w:r>
          <w:rPr>
            <w:rFonts w:ascii="Book Antiqua" w:eastAsia="Book Antiqua" w:hAnsi="Book Antiqua" w:cs="Book Antiqua"/>
            <w:color w:val="000000"/>
            <w:vertAlign w:val="superscript"/>
          </w:rPr>
          <w:t>23</w:t>
        </w:r>
      </w:hyperlink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(data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HBc</w:t>
      </w:r>
      <w:proofErr w:type="spellEnd"/>
      <w:r w:rsidR="00240173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5FCE8840" w14:textId="09D0958C" w:rsidR="00250BD1" w:rsidRDefault="001C26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240173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high-throughput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accuracy.</w:t>
      </w:r>
    </w:p>
    <w:p w14:paraId="114DEFDF" w14:textId="77777777" w:rsidR="00250BD1" w:rsidRDefault="00250BD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75F7F1B6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400B9B2" w14:textId="3C17F77E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AE0AEC3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489D6B85" w14:textId="51A538B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0708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A32B0BF" w14:textId="5753AF35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70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5B36AA6" w14:textId="11DA7481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240173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0708C">
        <w:rPr>
          <w:rFonts w:ascii="Book Antiqua" w:eastAsia="Book Antiqua" w:hAnsi="Book Antiqua" w:cs="Book Antiqua"/>
          <w:color w:val="000000"/>
        </w:rPr>
        <w:t xml:space="preserve"> hepatocellular carcinoma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(CHB)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2F0F4549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77E1D955" w14:textId="3A45CC2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70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E5B8D96" w14:textId="04B445AB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Recent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 w:rsidR="00240173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value.</w:t>
      </w:r>
    </w:p>
    <w:p w14:paraId="09538924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64C0CECB" w14:textId="2DEC1549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D070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3CA1BBC" w14:textId="60A9225A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0B96DAE9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3558C76E" w14:textId="007B657E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70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9E795F0" w14:textId="2205CF6A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treatment-naïve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backward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(BFE)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</w:p>
    <w:p w14:paraId="346FDCE6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427A2CAF" w14:textId="6BE6F072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70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4111A33" w14:textId="2B75666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Four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240173"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2401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qAnti-HBc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7F27148E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194C795C" w14:textId="6ECD79A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70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5D875F2" w14:textId="402295A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RF-BFE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</w:p>
    <w:p w14:paraId="7C318F3D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14511E8F" w14:textId="2125F99F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0708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70E101F" w14:textId="6743DAB2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I-3A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</w:t>
      </w:r>
      <w:r w:rsidR="00D0708C">
        <w:rPr>
          <w:rFonts w:ascii="Book Antiqua" w:eastAsia="Book Antiqua" w:hAnsi="Book Antiqua" w:cs="Book Antiqua"/>
          <w:color w:val="000000"/>
        </w:rPr>
        <w:t xml:space="preserve">y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efficiency.</w:t>
      </w:r>
    </w:p>
    <w:p w14:paraId="418D2345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5E8ED5C5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28ABE040" w14:textId="6A97F58E" w:rsidR="00250BD1" w:rsidRDefault="001C262F">
      <w:pPr>
        <w:spacing w:line="360" w:lineRule="auto"/>
        <w:jc w:val="both"/>
        <w:rPr>
          <w:rFonts w:ascii="Book Antiqua" w:hAnsi="Book Antiqua"/>
        </w:rPr>
      </w:pPr>
      <w:bookmarkStart w:id="1" w:name="OLE_LINK2844"/>
      <w:bookmarkStart w:id="2" w:name="OLE_LINK2845"/>
      <w:r>
        <w:rPr>
          <w:rFonts w:ascii="Book Antiqua" w:eastAsia="Book Antiqua" w:hAnsi="Book Antiqua" w:cs="Book Antiqua"/>
          <w:color w:val="000000"/>
        </w:rPr>
        <w:t>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Polaris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Observatory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Collaborators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modelling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383-403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29599078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10.1016/S2468-1253(18)30056-6]</w:t>
      </w:r>
    </w:p>
    <w:p w14:paraId="64C6D07D" w14:textId="2534253D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Berasain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Castillo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Perugorria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Latasa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Prieto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Avila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links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Y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1155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206-221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19250206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10.1111/j.1749-6632.2009.03704.x]</w:t>
      </w:r>
    </w:p>
    <w:p w14:paraId="3A393210" w14:textId="39F5B6EF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anti-HBc: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112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1780-1788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29087395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10.1038/ajg.2017.397]</w:t>
      </w:r>
    </w:p>
    <w:p w14:paraId="3F4263CF" w14:textId="57DECAF9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Bai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titre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peginterferon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nucleos</w:t>
      </w:r>
      <w:proofErr w:type="spellEnd"/>
      <w:r>
        <w:rPr>
          <w:rFonts w:ascii="Book Antiqua" w:eastAsia="Book Antiqua" w:hAnsi="Book Antiqua" w:cs="Book Antiqua"/>
          <w:color w:val="000000"/>
        </w:rPr>
        <w:t>(t)ide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analogues.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313-320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25586058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10.1136/gutjnl-2014-308546]</w:t>
      </w:r>
    </w:p>
    <w:p w14:paraId="70FBC76D" w14:textId="7D68838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LW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XK,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197-203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25658546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10.1016/j.cmi.2014.10.002]</w:t>
      </w:r>
    </w:p>
    <w:p w14:paraId="061E8887" w14:textId="4E8ECE5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HC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286-292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29551710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10.1016/j.jhep.2018.02.033]</w:t>
      </w:r>
    </w:p>
    <w:p w14:paraId="5C68541F" w14:textId="1E580DD4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Janssen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Nucleos</w:t>
      </w:r>
      <w:proofErr w:type="spellEnd"/>
      <w:r>
        <w:rPr>
          <w:rFonts w:ascii="Book Antiqua" w:eastAsia="Book Antiqua" w:hAnsi="Book Antiqua" w:cs="Book Antiqua"/>
          <w:color w:val="000000"/>
        </w:rPr>
        <w:t>(t)ide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Analogue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182-191.e1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29902645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10.1016/j.cgh.2018.05.047]</w:t>
      </w:r>
    </w:p>
    <w:p w14:paraId="29700221" w14:textId="0C0A91D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28584279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10.1038/s41598-017-03102-3]</w:t>
      </w:r>
    </w:p>
    <w:p w14:paraId="490E6FCC" w14:textId="636F9E2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Wai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CT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Greenson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Fontana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Kalbfleisch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Marrero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Conjeevaram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Lok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518-526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12883497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10.1053/jhep.2003.50346]</w:t>
      </w:r>
    </w:p>
    <w:p w14:paraId="49E3CDB6" w14:textId="305597F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Hui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AY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VW,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Liew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Chim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616-623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15743360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10.1111/j.1572-0241.2005.41289.x]</w:t>
      </w:r>
    </w:p>
    <w:p w14:paraId="43578879" w14:textId="057F173C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Breiman</w:t>
      </w:r>
      <w:proofErr w:type="spellEnd"/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Mach</w:t>
      </w:r>
      <w:r w:rsidR="00D0708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Learn</w:t>
      </w:r>
      <w:r w:rsidR="00D0708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5-32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10.1023/A:1010933404324]</w:t>
      </w:r>
    </w:p>
    <w:p w14:paraId="101B5D21" w14:textId="586EC1FA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Cadranel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JF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Rufat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Degos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(AFEF).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477-481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10960438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10.1053/jhep.2000.16602]</w:t>
      </w:r>
    </w:p>
    <w:p w14:paraId="04D0864C" w14:textId="532959DC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Regev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Berho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Jeffers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Milikowski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Molina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Pyrsopoulos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Feng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ZZ,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Schiff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intraobserver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97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2614-2618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12385448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10.1111/j.1572-0241.2002.06038.x]</w:t>
      </w:r>
    </w:p>
    <w:p w14:paraId="4EBCB3C7" w14:textId="6F00288C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14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WR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Flamm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Bisceglie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Bodenheimer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1363-1370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18366115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10.1002/hep.22109]</w:t>
      </w:r>
    </w:p>
    <w:p w14:paraId="3849AC8A" w14:textId="10A8E77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Chao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DT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Ayoub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transaminase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349-358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24387289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10.1111/apt.12590]</w:t>
      </w:r>
    </w:p>
    <w:p w14:paraId="7D6CFC67" w14:textId="03C1A1E4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Sarin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SK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Dokmeci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Hou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Jafri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Locarnini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Mahtab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Omata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Piratvisuth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Sollano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Asian-Pacific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1-98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26563120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10.1007/s12072-015-9675-4]</w:t>
      </w:r>
    </w:p>
    <w:p w14:paraId="591BE631" w14:textId="3B1C5D6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HBeAg</w:t>
      </w:r>
      <w:proofErr w:type="spellEnd"/>
      <w:r>
        <w:rPr>
          <w:rFonts w:ascii="Book Antiqua" w:eastAsia="Book Antiqua" w:hAnsi="Book Antiqua" w:cs="Book Antiqua"/>
          <w:color w:val="000000"/>
        </w:rPr>
        <w:t>-Positive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1903-1912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31121067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10.1002/hep.30788]</w:t>
      </w:r>
    </w:p>
    <w:p w14:paraId="1E5AB980" w14:textId="6EDDD37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LW,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XP,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HX,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near-normal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E133-E145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28707778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10.1111/hepr.12937]</w:t>
      </w:r>
    </w:p>
    <w:p w14:paraId="198B12DB" w14:textId="544751CA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Lacotte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Brun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Muller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Dumortier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CXCR3,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Y</w:t>
      </w:r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D070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1173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310-317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19758167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10.1111/j.1749-6632.2009.04813.x]</w:t>
      </w:r>
    </w:p>
    <w:p w14:paraId="075F2D9C" w14:textId="0359E7DA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Helbig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KJ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Ruszkiewicz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Semendric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Harley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McColl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CXCR3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I-TAC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1220-1229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15122750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10.1002/hep.20167]</w:t>
      </w:r>
    </w:p>
    <w:p w14:paraId="6965692D" w14:textId="3A1C17E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Zeremski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Petrovic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Chiriboga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QB,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Kinkhabwala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Jacobson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Dimova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Markatou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CXCR3-associated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1440-1450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18798334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10.1002/hep.22500]</w:t>
      </w:r>
    </w:p>
    <w:p w14:paraId="7280C354" w14:textId="6939C0F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22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Chalin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Lefevre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Devisme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Barget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Amiot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Samson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CXCL11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117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72-78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30826602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10.1016/j.cyto.2019.02.006]</w:t>
      </w:r>
    </w:p>
    <w:p w14:paraId="50D26181" w14:textId="3666C989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23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Butera</w:t>
      </w:r>
      <w:proofErr w:type="spellEnd"/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Marukian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Iwamaye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Hembrador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Bisceglie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Jacobson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Dustin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106</w:t>
      </w:r>
      <w:r>
        <w:rPr>
          <w:rFonts w:ascii="Book Antiqua" w:eastAsia="Book Antiqua" w:hAnsi="Book Antiqua" w:cs="Book Antiqua"/>
          <w:color w:val="000000"/>
        </w:rPr>
        <w:t>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1175-1182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15860662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10.1182/blood-2005-01-0126]</w:t>
      </w:r>
    </w:p>
    <w:bookmarkEnd w:id="1"/>
    <w:bookmarkEnd w:id="2"/>
    <w:p w14:paraId="31F37299" w14:textId="77777777" w:rsidR="00250BD1" w:rsidRDefault="00250BD1">
      <w:pPr>
        <w:spacing w:line="360" w:lineRule="auto"/>
        <w:jc w:val="both"/>
        <w:rPr>
          <w:rFonts w:ascii="Book Antiqua" w:hAnsi="Book Antiqua"/>
        </w:rPr>
        <w:sectPr w:rsidR="00250B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801E2A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5120F25" w14:textId="44E5D0A6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</w:p>
    <w:p w14:paraId="60DBC8C5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6AB20E99" w14:textId="4840888E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</w:p>
    <w:p w14:paraId="4BE6E60A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7413DB08" w14:textId="3292C1A0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38C6B419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39F7F607" w14:textId="661747DF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78A6474D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1E0A503B" w14:textId="020A8864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BE6A70">
        <w:rPr>
          <w:rFonts w:ascii="Book Antiqua" w:eastAsia="Book Antiqua" w:hAnsi="Book Antiqua" w:cs="Book Antiqua"/>
          <w:color w:val="000000"/>
        </w:rPr>
        <w:t>.</w:t>
      </w:r>
    </w:p>
    <w:p w14:paraId="0CB4B9A2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0C42394C" w14:textId="185B5CEF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070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39CC9FC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10FDBD4A" w14:textId="64EB836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</w:p>
    <w:p w14:paraId="71537335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2977A25B" w14:textId="4C5A7C8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D9C3853" w14:textId="76F49FE3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D29BBFE" w14:textId="3A33309B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7C90" w:rsidRPr="00D4532A">
        <w:rPr>
          <w:rFonts w:ascii="Book Antiqua" w:eastAsia="Book Antiqua" w:hAnsi="Book Antiqua" w:cs="Book Antiqua"/>
          <w:color w:val="000000"/>
        </w:rPr>
        <w:t>April 20, 2021</w:t>
      </w:r>
    </w:p>
    <w:p w14:paraId="651DD238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44168B1B" w14:textId="04A85F72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</w:p>
    <w:p w14:paraId="2FE35FB4" w14:textId="1C212980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0DB4E83" w14:textId="0B3B2A3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85FD46D" w14:textId="15360074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F653576" w14:textId="38CA190C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8C0BDDD" w14:textId="318ACBDB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1540CADD" w14:textId="5FE31A0B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1B33242" w14:textId="20451778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29C141A" w14:textId="77777777" w:rsidR="00250BD1" w:rsidRDefault="00250BD1">
      <w:pPr>
        <w:spacing w:line="360" w:lineRule="auto"/>
        <w:jc w:val="both"/>
        <w:rPr>
          <w:rFonts w:ascii="Book Antiqua" w:hAnsi="Book Antiqua"/>
        </w:rPr>
      </w:pPr>
    </w:p>
    <w:p w14:paraId="38BBE251" w14:textId="7B46BD99" w:rsidR="00250BD1" w:rsidRPr="00D770A6" w:rsidRDefault="001C262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Sujatha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D070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40173" w:rsidRPr="00F00FF2">
        <w:rPr>
          <w:rFonts w:ascii="Book Antiqua" w:eastAsia="Book Antiqua" w:hAnsi="Book Antiqua" w:cs="Book Antiqua"/>
          <w:color w:val="000000"/>
        </w:rPr>
        <w:t>Wang TQ</w:t>
      </w:r>
      <w:r w:rsidR="0024017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0708C" w:rsidRPr="00D770A6">
        <w:rPr>
          <w:rFonts w:ascii="Book Antiqua" w:eastAsia="Book Antiqua" w:hAnsi="Book Antiqua" w:cs="Book Antiqua"/>
          <w:color w:val="000000"/>
        </w:rPr>
        <w:t xml:space="preserve"> </w:t>
      </w:r>
      <w:r w:rsidR="00D770A6" w:rsidRPr="00D770A6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0F60D6D6" w14:textId="77777777" w:rsidR="00D0708C" w:rsidRDefault="00D0708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FDEB834" w14:textId="77777777" w:rsidR="00D770A6" w:rsidRPr="00D770A6" w:rsidRDefault="00D770A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D770A6" w:rsidRPr="00D770A6" w:rsidSect="00D0708C">
          <w:pgSz w:w="12240" w:h="15840"/>
          <w:pgMar w:top="1797" w:right="1440" w:bottom="1797" w:left="1440" w:header="720" w:footer="720" w:gutter="0"/>
          <w:cols w:space="720"/>
          <w:docGrid w:linePitch="360"/>
        </w:sectPr>
      </w:pPr>
    </w:p>
    <w:p w14:paraId="1AE6121A" w14:textId="111E96C7" w:rsidR="00250BD1" w:rsidRDefault="001C262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0708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7511D4E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8290897" wp14:editId="393B7966">
            <wp:extent cx="6832600" cy="3967480"/>
            <wp:effectExtent l="0" t="0" r="0" b="0"/>
            <wp:docPr id="5" name="图片 4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Fig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4964" cy="39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CD3B5" w14:textId="77777777" w:rsidR="0089528A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Figure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1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The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main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procedure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of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the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random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forest-backward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feature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elimination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algorithm.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BFE: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b</w:t>
      </w:r>
      <w:r>
        <w:rPr>
          <w:rFonts w:ascii="Book Antiqua" w:hAnsi="Book Antiqua"/>
        </w:rPr>
        <w:t>ackward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feature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elimination;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LASSO: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l</w:t>
      </w:r>
      <w:r>
        <w:rPr>
          <w:rFonts w:ascii="Book Antiqua" w:hAnsi="Book Antiqua"/>
        </w:rPr>
        <w:t>east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absolute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shrinkage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selection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operator.</w:t>
      </w:r>
    </w:p>
    <w:p w14:paraId="7B90BCDE" w14:textId="3017B94F" w:rsidR="0089528A" w:rsidRDefault="0089528A">
      <w:pPr>
        <w:spacing w:line="360" w:lineRule="auto"/>
        <w:jc w:val="both"/>
        <w:rPr>
          <w:rFonts w:ascii="Book Antiqua" w:hAnsi="Book Antiqua"/>
        </w:rPr>
        <w:sectPr w:rsidR="0089528A" w:rsidSect="00D0708C">
          <w:headerReference w:type="default" r:id="rId12"/>
          <w:pgSz w:w="15840" w:h="12240" w:orient="landscape"/>
          <w:pgMar w:top="1440" w:right="1797" w:bottom="1440" w:left="1797" w:header="720" w:footer="720" w:gutter="0"/>
          <w:cols w:space="720"/>
          <w:docGrid w:linePitch="360"/>
        </w:sectPr>
      </w:pPr>
    </w:p>
    <w:p w14:paraId="4DDDF31B" w14:textId="0F467561" w:rsidR="00250BD1" w:rsidRDefault="0089528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D11C416" wp14:editId="4D9C3C29">
            <wp:extent cx="3438525" cy="4333240"/>
            <wp:effectExtent l="0" t="0" r="0" b="0"/>
            <wp:docPr id="1" name="图片 4" descr="Figure 2  21-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Figure 2  21-2-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41122" cy="433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3CB01" w14:textId="4174125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Figure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Feature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selection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scheme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iteration.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LASSO: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l</w:t>
      </w:r>
      <w:r>
        <w:rPr>
          <w:rFonts w:ascii="Book Antiqua" w:hAnsi="Book Antiqua"/>
        </w:rPr>
        <w:t>east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absolute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shrinkage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selection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operator.</w:t>
      </w:r>
    </w:p>
    <w:p w14:paraId="40FFACB2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17A2683" wp14:editId="54DD4B0E">
            <wp:extent cx="6125474" cy="3740727"/>
            <wp:effectExtent l="0" t="0" r="0" b="0"/>
            <wp:docPr id="6" name="图片 5" descr="Dat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Data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0514" cy="374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0FF82" w14:textId="49B5AE60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Figure</w:t>
      </w:r>
      <w:r w:rsidR="00D0708C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3</w:t>
      </w:r>
      <w:r w:rsidR="00240173">
        <w:rPr>
          <w:rFonts w:ascii="Book Antiqua" w:hAnsi="Book Antiqua"/>
          <w:b/>
        </w:rPr>
        <w:t>H</w:t>
      </w:r>
      <w:r>
        <w:rPr>
          <w:rFonts w:ascii="Book Antiqua" w:hAnsi="Book Antiqua"/>
          <w:b/>
        </w:rPr>
        <w:t>istogram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of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the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votes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the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feature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counter.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BMI: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b</w:t>
      </w:r>
      <w:r>
        <w:rPr>
          <w:rFonts w:ascii="Book Antiqua" w:hAnsi="Book Antiqua"/>
        </w:rPr>
        <w:t>ody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mass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index;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HBsAg: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h</w:t>
      </w:r>
      <w:r>
        <w:rPr>
          <w:rFonts w:ascii="Book Antiqua" w:hAnsi="Book Antiqua"/>
        </w:rPr>
        <w:t>epatitis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surface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antigen;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ALT: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a</w:t>
      </w:r>
      <w:r>
        <w:rPr>
          <w:rFonts w:ascii="Book Antiqua" w:hAnsi="Book Antiqua"/>
        </w:rPr>
        <w:t>lanine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AST: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a</w:t>
      </w:r>
      <w:r>
        <w:rPr>
          <w:rFonts w:ascii="Book Antiqua" w:hAnsi="Book Antiqua"/>
        </w:rPr>
        <w:t>spartate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TC: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t</w:t>
      </w:r>
      <w:r>
        <w:rPr>
          <w:rFonts w:ascii="Book Antiqua" w:hAnsi="Book Antiqua"/>
        </w:rPr>
        <w:t>otal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cholesterol;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TBil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t</w:t>
      </w:r>
      <w:r>
        <w:rPr>
          <w:rFonts w:ascii="Book Antiqua" w:hAnsi="Book Antiqua"/>
        </w:rPr>
        <w:t>otal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bilirubin;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DBil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d</w:t>
      </w:r>
      <w:r>
        <w:rPr>
          <w:rFonts w:ascii="Book Antiqua" w:hAnsi="Book Antiqua"/>
        </w:rPr>
        <w:t>irect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bilirubin;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PT: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p</w:t>
      </w:r>
      <w:r>
        <w:rPr>
          <w:rFonts w:ascii="Book Antiqua" w:hAnsi="Book Antiqua"/>
        </w:rPr>
        <w:t>rothrombin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time;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c</w:t>
      </w:r>
      <w:r>
        <w:rPr>
          <w:rFonts w:ascii="Book Antiqua" w:hAnsi="Book Antiqua"/>
        </w:rPr>
        <w:t>reatinine;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BUN: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b</w:t>
      </w:r>
      <w:r>
        <w:rPr>
          <w:rFonts w:ascii="Book Antiqua" w:hAnsi="Book Antiqua"/>
        </w:rPr>
        <w:t>lood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urea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nitrogen;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qAnti-HBc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q</w:t>
      </w:r>
      <w:r>
        <w:rPr>
          <w:rFonts w:ascii="Book Antiqua" w:hAnsi="Book Antiqua"/>
        </w:rPr>
        <w:t>uantitative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hepatitis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core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antibody;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IL: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i</w:t>
      </w:r>
      <w:r>
        <w:rPr>
          <w:rFonts w:ascii="Book Antiqua" w:hAnsi="Book Antiqua"/>
        </w:rPr>
        <w:t>nterleukin,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IFN: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i</w:t>
      </w:r>
      <w:r>
        <w:rPr>
          <w:rFonts w:ascii="Book Antiqua" w:hAnsi="Book Antiqua"/>
        </w:rPr>
        <w:t>nterferon;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TNF: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t</w:t>
      </w:r>
      <w:r>
        <w:rPr>
          <w:rFonts w:ascii="Book Antiqua" w:hAnsi="Book Antiqua"/>
        </w:rPr>
        <w:t>umor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necrosis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factor;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TGF: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t</w:t>
      </w:r>
      <w:r>
        <w:rPr>
          <w:rFonts w:ascii="Book Antiqua" w:hAnsi="Book Antiqua"/>
        </w:rPr>
        <w:t>ransforming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growth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factor.</w:t>
      </w:r>
    </w:p>
    <w:p w14:paraId="74A6E5B5" w14:textId="77777777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DD63C98" wp14:editId="4EDF7A3F">
            <wp:extent cx="7780020" cy="2615565"/>
            <wp:effectExtent l="0" t="0" r="0" b="0"/>
            <wp:docPr id="4" name="图片 3" descr="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Figure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88815" cy="261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73588" w14:textId="305EB49D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Figure</w:t>
      </w:r>
      <w:r w:rsidR="00D0708C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4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Receiver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operating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characteristic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curve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analysis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for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predicting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moderate-to-severe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inflammation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all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patients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with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chronic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hepatitis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B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virus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infection,</w:t>
      </w:r>
      <w:r w:rsidR="00D0708C"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HBeAg</w:t>
      </w:r>
      <w:proofErr w:type="spellEnd"/>
      <w:r>
        <w:rPr>
          <w:rFonts w:ascii="Book Antiqua" w:hAnsi="Book Antiqua"/>
          <w:b/>
        </w:rPr>
        <w:t>-positive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patients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with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chronic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hepatitis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B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virus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infection</w:t>
      </w:r>
      <w:r w:rsidR="00240173">
        <w:rPr>
          <w:rFonts w:ascii="Book Antiqua" w:hAnsi="Book Antiqua"/>
          <w:b/>
        </w:rPr>
        <w:t>,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and</w:t>
      </w:r>
      <w:r w:rsidR="00D0708C"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HBeAg</w:t>
      </w:r>
      <w:proofErr w:type="spellEnd"/>
      <w:r>
        <w:rPr>
          <w:rFonts w:ascii="Book Antiqua" w:hAnsi="Book Antiqua"/>
          <w:b/>
        </w:rPr>
        <w:t>-negative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patients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with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chronic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hepatitis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B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virus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infection.</w:t>
      </w:r>
      <w:r w:rsidR="00D0708C">
        <w:rPr>
          <w:rFonts w:ascii="Book Antiqua" w:hAnsi="Book Antiqua"/>
          <w:b/>
        </w:rPr>
        <w:t xml:space="preserve"> </w:t>
      </w:r>
      <w:r w:rsidR="0089528A" w:rsidRPr="0089528A">
        <w:rPr>
          <w:rFonts w:ascii="Book Antiqua" w:hAnsi="Book Antiqua"/>
          <w:bCs/>
        </w:rPr>
        <w:t xml:space="preserve">A: All patients with </w:t>
      </w:r>
      <w:r w:rsidR="0089528A">
        <w:rPr>
          <w:rFonts w:ascii="Book Antiqua" w:hAnsi="Book Antiqua"/>
          <w:bCs/>
        </w:rPr>
        <w:t>c</w:t>
      </w:r>
      <w:r w:rsidR="0089528A" w:rsidRPr="0089528A">
        <w:rPr>
          <w:rFonts w:ascii="Book Antiqua" w:hAnsi="Book Antiqua"/>
          <w:bCs/>
        </w:rPr>
        <w:t xml:space="preserve">hronic hepatitis B virus infection; B: </w:t>
      </w:r>
      <w:proofErr w:type="spellStart"/>
      <w:r w:rsidR="0089528A" w:rsidRPr="0089528A">
        <w:rPr>
          <w:rFonts w:ascii="Book Antiqua" w:hAnsi="Book Antiqua"/>
          <w:bCs/>
        </w:rPr>
        <w:t>HBeAg</w:t>
      </w:r>
      <w:proofErr w:type="spellEnd"/>
      <w:r w:rsidR="0089528A" w:rsidRPr="0089528A">
        <w:rPr>
          <w:rFonts w:ascii="Book Antiqua" w:hAnsi="Book Antiqua"/>
          <w:bCs/>
        </w:rPr>
        <w:t xml:space="preserve">-positive patients with chronic hepatitis B virus infection; C: </w:t>
      </w:r>
      <w:proofErr w:type="spellStart"/>
      <w:r w:rsidR="0089528A" w:rsidRPr="0089528A">
        <w:rPr>
          <w:rFonts w:ascii="Book Antiqua" w:hAnsi="Book Antiqua"/>
          <w:bCs/>
        </w:rPr>
        <w:t>HBeAg</w:t>
      </w:r>
      <w:proofErr w:type="spellEnd"/>
      <w:r w:rsidR="0089528A" w:rsidRPr="0089528A">
        <w:rPr>
          <w:rFonts w:ascii="Book Antiqua" w:hAnsi="Book Antiqua"/>
          <w:bCs/>
        </w:rPr>
        <w:t xml:space="preserve">-negative patients with chronic hepatitis B virus infection. </w:t>
      </w:r>
      <w:r>
        <w:rPr>
          <w:rFonts w:ascii="Book Antiqua" w:hAnsi="Book Antiqua"/>
        </w:rPr>
        <w:t>AUROC: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a</w:t>
      </w:r>
      <w:r>
        <w:rPr>
          <w:rFonts w:ascii="Book Antiqua" w:hAnsi="Book Antiqua"/>
        </w:rPr>
        <w:t>rea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under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receiver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operating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characteristics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curve;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CI: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c</w:t>
      </w:r>
      <w:r>
        <w:rPr>
          <w:rFonts w:ascii="Book Antiqua" w:hAnsi="Book Antiqua"/>
        </w:rPr>
        <w:t>onfidence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interval;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qAnti-HBc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q</w:t>
      </w:r>
      <w:r>
        <w:rPr>
          <w:rFonts w:ascii="Book Antiqua" w:hAnsi="Book Antiqua"/>
        </w:rPr>
        <w:t>uantitative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hepatitis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core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antibody.</w:t>
      </w:r>
    </w:p>
    <w:p w14:paraId="125D8816" w14:textId="4493A3C4" w:rsidR="00250BD1" w:rsidRDefault="001C262F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  <w:bCs/>
        </w:rPr>
        <w:lastRenderedPageBreak/>
        <w:t>Table</w:t>
      </w:r>
      <w:r w:rsidR="00D0708C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D0708C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</w:rPr>
        <w:t>Clinical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characteristics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of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patients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with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chronic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hepatitis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B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virus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infection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69"/>
        <w:gridCol w:w="3052"/>
        <w:gridCol w:w="3088"/>
        <w:gridCol w:w="967"/>
      </w:tblGrid>
      <w:tr w:rsidR="00250BD1" w14:paraId="26158A8C" w14:textId="77777777" w:rsidTr="007769CF">
        <w:trPr>
          <w:trHeight w:val="429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3A7A20" w14:textId="59EF760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6BF810" w14:textId="5EC9E9BD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HBeAg</w:t>
            </w:r>
            <w:proofErr w:type="spellEnd"/>
            <w:r>
              <w:rPr>
                <w:rFonts w:ascii="Book Antiqua" w:hAnsi="Book Antiqua"/>
                <w:b/>
                <w:bCs/>
              </w:rPr>
              <w:t>-positive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patients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(</w:t>
            </w:r>
            <w:r>
              <w:rPr>
                <w:rFonts w:ascii="Book Antiqua" w:hAnsi="Book Antiqua"/>
                <w:b/>
                <w:bCs/>
                <w:i/>
              </w:rPr>
              <w:t>n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=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402)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1860DF" w14:textId="26E4C50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HBeAg</w:t>
            </w:r>
            <w:proofErr w:type="spellEnd"/>
            <w:r>
              <w:rPr>
                <w:rFonts w:ascii="Book Antiqua" w:hAnsi="Book Antiqua"/>
                <w:b/>
                <w:bCs/>
              </w:rPr>
              <w:t>-negative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patients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(</w:t>
            </w:r>
            <w:r>
              <w:rPr>
                <w:rFonts w:ascii="Book Antiqua" w:hAnsi="Book Antiqua"/>
                <w:b/>
                <w:bCs/>
                <w:i/>
              </w:rPr>
              <w:t>n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=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248)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49036E" w14:textId="65034E5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250BD1" w14:paraId="2203FCA6" w14:textId="77777777" w:rsidTr="007769CF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370F2CE" w14:textId="528F2276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Gender,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male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F1F896D" w14:textId="29D64DF1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79.4.4%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(319/402)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7E7E41A" w14:textId="3F91CD34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76.2%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(189/248)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6269A8D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0.38</w:t>
            </w:r>
          </w:p>
        </w:tc>
      </w:tr>
      <w:tr w:rsidR="00250BD1" w14:paraId="410C895B" w14:textId="77777777" w:rsidTr="007769C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E003597" w14:textId="03F5B38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Age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proofErr w:type="spellStart"/>
            <w:r>
              <w:rPr>
                <w:rFonts w:ascii="Book Antiqua" w:hAnsi="Book Antiqua"/>
              </w:rPr>
              <w:t>yr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91487B2" w14:textId="47B134AD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36.35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3A68716" w14:textId="42696CD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41.67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9.65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6994584" w14:textId="6736F59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1580E78D" w14:textId="77777777" w:rsidTr="007769C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8FE4EF0" w14:textId="56C39B36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BMI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(kg/m</w:t>
            </w:r>
            <w:r>
              <w:rPr>
                <w:rFonts w:ascii="Book Antiqua" w:hAnsi="Book Antiqua"/>
                <w:vertAlign w:val="superscript"/>
              </w:rPr>
              <w:t>2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F270FB9" w14:textId="61D5D8FB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23.12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893116F" w14:textId="62E5CAA0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23.62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D10B873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0.01</w:t>
            </w:r>
          </w:p>
        </w:tc>
      </w:tr>
      <w:tr w:rsidR="00250BD1" w14:paraId="2B40CCDC" w14:textId="77777777" w:rsidTr="007769C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3FC28D" w14:textId="3E388F4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HBsAg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(log</w:t>
            </w:r>
            <w:r>
              <w:rPr>
                <w:rFonts w:ascii="Book Antiqua" w:hAnsi="Book Antiqua"/>
                <w:vertAlign w:val="subscript"/>
              </w:rPr>
              <w:t>10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IU/mL)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21742C8" w14:textId="419D99C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3.83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169EF43" w14:textId="51CD54A0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3.16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80CB9CD" w14:textId="6D7860E1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1EE8FB09" w14:textId="77777777" w:rsidTr="007769C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FFFD029" w14:textId="26828F5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HBV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DNA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(log</w:t>
            </w:r>
            <w:r>
              <w:rPr>
                <w:rFonts w:ascii="Book Antiqua" w:hAnsi="Book Antiqua"/>
                <w:vertAlign w:val="subscript"/>
              </w:rPr>
              <w:t>10</w:t>
            </w:r>
            <w:r>
              <w:rPr>
                <w:rFonts w:ascii="Book Antiqua" w:hAnsi="Book Antiqua"/>
              </w:rPr>
              <w:t>IU/mL)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3E1B698" w14:textId="0233996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6.93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526CF3E" w14:textId="4DA00216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4.82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CE9582F" w14:textId="6692AC56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456E3965" w14:textId="77777777" w:rsidTr="007769CF">
        <w:trPr>
          <w:trHeight w:val="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AF35AC3" w14:textId="6CB93F7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ALT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(U/L)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4EDEA85" w14:textId="3FF0192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106.74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64AB794" w14:textId="180A9ED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80.58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B715246" w14:textId="6E0B2D2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3DE66D47" w14:textId="77777777" w:rsidTr="007769C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09CBC2C" w14:textId="0511B959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AST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(U/L)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7EBADB8" w14:textId="43AD7C30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65.48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78.67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7741520" w14:textId="3EBFA0F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56.69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70.06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B5B700D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0.029</w:t>
            </w:r>
          </w:p>
        </w:tc>
      </w:tr>
      <w:tr w:rsidR="00250BD1" w14:paraId="7799B566" w14:textId="77777777" w:rsidTr="007769C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BFB0C5E" w14:textId="634E6D8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TC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916483D" w14:textId="13CD45A0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4.61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6DE410C" w14:textId="128FB2D8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4.44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77250FB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0.691</w:t>
            </w:r>
          </w:p>
        </w:tc>
      </w:tr>
      <w:tr w:rsidR="00250BD1" w14:paraId="418C2396" w14:textId="77777777" w:rsidTr="007769C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ED112F2" w14:textId="21B7CB9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TBil</w:t>
            </w:r>
            <w:proofErr w:type="spellEnd"/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proofErr w:type="spellStart"/>
            <w:r>
              <w:rPr>
                <w:rFonts w:ascii="Book Antiqua" w:hAnsi="Book Antiqua"/>
              </w:rPr>
              <w:t>μmol</w:t>
            </w:r>
            <w:proofErr w:type="spellEnd"/>
            <w:r>
              <w:rPr>
                <w:rFonts w:ascii="Book Antiqua" w:hAnsi="Book Antiqua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5D0C8B9" w14:textId="08D58F19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16.54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5B12FE3" w14:textId="7536A82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18.49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27.32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986C04C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0.009</w:t>
            </w:r>
          </w:p>
        </w:tc>
      </w:tr>
      <w:tr w:rsidR="00250BD1" w14:paraId="449313D9" w14:textId="77777777" w:rsidTr="007769C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83E14A0" w14:textId="07CD2C46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DBil</w:t>
            </w:r>
            <w:proofErr w:type="spellEnd"/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proofErr w:type="spellStart"/>
            <w:r>
              <w:rPr>
                <w:rFonts w:ascii="Book Antiqua" w:hAnsi="Book Antiqua"/>
              </w:rPr>
              <w:t>μmol</w:t>
            </w:r>
            <w:proofErr w:type="spellEnd"/>
            <w:r>
              <w:rPr>
                <w:rFonts w:ascii="Book Antiqua" w:hAnsi="Book Antiqua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0A9FD84" w14:textId="54ED4FF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5.61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46F7E0E" w14:textId="3A4149F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5.77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443B567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0.527</w:t>
            </w:r>
          </w:p>
        </w:tc>
      </w:tr>
      <w:tr w:rsidR="00250BD1" w14:paraId="43026021" w14:textId="77777777" w:rsidTr="007769C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96D4718" w14:textId="5AAE2EFD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Albumin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(g/L)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04D46B3" w14:textId="6277261E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43.72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F9E18D8" w14:textId="491330B8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44.91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F2BEBD0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0.011</w:t>
            </w:r>
          </w:p>
        </w:tc>
      </w:tr>
      <w:tr w:rsidR="00250BD1" w14:paraId="6E8BA6B1" w14:textId="77777777" w:rsidTr="007769C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2EBC76" w14:textId="5627D72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PT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500D8FB" w14:textId="014B02D3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12.81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C90CE0E" w14:textId="54CCFDE5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12.55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A3DC3C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0.035</w:t>
            </w:r>
          </w:p>
        </w:tc>
      </w:tr>
      <w:tr w:rsidR="00250BD1" w14:paraId="0FEBD6A0" w14:textId="77777777" w:rsidTr="007769C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86BD7F" w14:textId="2C0BD489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proofErr w:type="spellStart"/>
            <w:r>
              <w:rPr>
                <w:rFonts w:ascii="Book Antiqua" w:hAnsi="Book Antiqua"/>
              </w:rPr>
              <w:t>μmol</w:t>
            </w:r>
            <w:proofErr w:type="spellEnd"/>
            <w:r>
              <w:rPr>
                <w:rFonts w:ascii="Book Antiqua" w:hAnsi="Book Antiqua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220B23E" w14:textId="0F8FE2E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70.21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B62A6CE" w14:textId="2AA6FA7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69.19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2A5DBBD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0.818</w:t>
            </w:r>
          </w:p>
        </w:tc>
      </w:tr>
      <w:tr w:rsidR="00250BD1" w14:paraId="09E526A4" w14:textId="77777777" w:rsidTr="007769C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95805B" w14:textId="59800F9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BUN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36A00CC" w14:textId="3AC9F35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5.28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4AD4E81" w14:textId="1FE82985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4.90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7A96DC7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0.681</w:t>
            </w:r>
          </w:p>
        </w:tc>
      </w:tr>
      <w:tr w:rsidR="00250BD1" w14:paraId="69E98E8F" w14:textId="77777777" w:rsidTr="007769CF">
        <w:trPr>
          <w:trHeight w:val="4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080FA9" w14:textId="60F36F25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Platelet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counts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(×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vertAlign w:val="superscript"/>
              </w:rPr>
              <w:t>9</w:t>
            </w:r>
            <w:r>
              <w:rPr>
                <w:rFonts w:ascii="Book Antiqua" w:hAnsi="Book Antiqua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B4D9512" w14:textId="54AD892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178.6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A5CA2BC" w14:textId="5223F5AE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158.5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EDC0646" w14:textId="12EACC81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13D96A49" w14:textId="77777777" w:rsidTr="007769CF">
        <w:trPr>
          <w:trHeight w:val="3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0EE9B4" w14:textId="6FF74C23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Histology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r>
              <w:rPr>
                <w:rFonts w:ascii="Book Antiqua" w:hAnsi="Book Antiqua"/>
                <w:i/>
              </w:rPr>
              <w:t>n</w:t>
            </w:r>
            <w:r>
              <w:rPr>
                <w:rFonts w:ascii="Book Antiqua" w:hAnsi="Book Antiqua"/>
              </w:rPr>
              <w:t>,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7286B7F" w14:textId="528B2650" w:rsidR="00250BD1" w:rsidRDefault="00D070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4B09718" w14:textId="0792C03B" w:rsidR="00250BD1" w:rsidRDefault="00D070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5A130CA" w14:textId="2F971163" w:rsidR="00250BD1" w:rsidRDefault="00D070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</w:tr>
      <w:tr w:rsidR="00250BD1" w14:paraId="67C28FE6" w14:textId="77777777" w:rsidTr="007769C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CF2F24" w14:textId="20080E6E" w:rsidR="00250BD1" w:rsidRDefault="001C262F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HAI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5502988" w14:textId="56F58D5B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38.31%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(154/402)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F561BC1" w14:textId="25828593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44.35%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(110/248)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5736A5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0.14</w:t>
            </w:r>
          </w:p>
        </w:tc>
      </w:tr>
      <w:tr w:rsidR="00250BD1" w14:paraId="5568938E" w14:textId="77777777" w:rsidTr="007769C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1748BE" w14:textId="22DAAB91" w:rsidR="00250BD1" w:rsidRDefault="001C262F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HAI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≥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E4E60DD" w14:textId="7B416480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61.69%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(248/402)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FE6CED6" w14:textId="670E772B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55.64%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(138/248)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499A555" w14:textId="77777777" w:rsidR="00250BD1" w:rsidRDefault="00250BD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50BD1" w14:paraId="58FFC54E" w14:textId="77777777" w:rsidTr="007769C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F19B15" w14:textId="3F3336E9" w:rsidR="00250BD1" w:rsidRDefault="001C262F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aps/>
              </w:rPr>
              <w:t>f</w:t>
            </w:r>
            <w:r>
              <w:rPr>
                <w:rFonts w:ascii="Book Antiqua" w:hAnsi="Book Antiqua"/>
              </w:rPr>
              <w:t>ibrosis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score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AD74F10" w14:textId="4A2F2605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38.06%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(153/402)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101223B" w14:textId="5E212FB5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59.27%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(147/248)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38B105F" w14:textId="62A77AA3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62710C95" w14:textId="77777777" w:rsidTr="007769CF">
        <w:trPr>
          <w:trHeight w:val="436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413566" w14:textId="1D323D44" w:rsidR="00250BD1" w:rsidRDefault="001C262F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caps/>
              </w:rPr>
              <w:t>f</w:t>
            </w:r>
            <w:r>
              <w:rPr>
                <w:rFonts w:ascii="Book Antiqua" w:hAnsi="Book Antiqua"/>
              </w:rPr>
              <w:t>ibrosis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score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≥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BAA71C1" w14:textId="62E1DF6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61.49%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(249/402)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4DAE1F0" w14:textId="6DF4A8B9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40.73%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(101/248)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C1A9273" w14:textId="77777777" w:rsidR="00250BD1" w:rsidRDefault="00250BD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25FCA2EC" w14:textId="5E370D49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BMI: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b</w:t>
      </w:r>
      <w:r>
        <w:rPr>
          <w:rFonts w:ascii="Book Antiqua" w:hAnsi="Book Antiqua"/>
        </w:rPr>
        <w:t>ody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mass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index;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HBsAg: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h</w:t>
      </w:r>
      <w:r>
        <w:rPr>
          <w:rFonts w:ascii="Book Antiqua" w:hAnsi="Book Antiqua"/>
        </w:rPr>
        <w:t>epatitis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surface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antigen;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ALT: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a</w:t>
      </w:r>
      <w:r>
        <w:rPr>
          <w:rFonts w:ascii="Book Antiqua" w:hAnsi="Book Antiqua"/>
        </w:rPr>
        <w:t>lanine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AST: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a</w:t>
      </w:r>
      <w:r>
        <w:rPr>
          <w:rFonts w:ascii="Book Antiqua" w:hAnsi="Book Antiqua"/>
        </w:rPr>
        <w:t>spartate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TC: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t</w:t>
      </w:r>
      <w:r>
        <w:rPr>
          <w:rFonts w:ascii="Book Antiqua" w:hAnsi="Book Antiqua"/>
        </w:rPr>
        <w:t>otal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cholesterol;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TBil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t</w:t>
      </w:r>
      <w:r>
        <w:rPr>
          <w:rFonts w:ascii="Book Antiqua" w:hAnsi="Book Antiqua"/>
        </w:rPr>
        <w:t>otal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bilirubin;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DBil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d</w:t>
      </w:r>
      <w:r>
        <w:rPr>
          <w:rFonts w:ascii="Book Antiqua" w:hAnsi="Book Antiqua"/>
        </w:rPr>
        <w:t>irect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bilirubin;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PT: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p</w:t>
      </w:r>
      <w:r>
        <w:rPr>
          <w:rFonts w:ascii="Book Antiqua" w:hAnsi="Book Antiqua"/>
        </w:rPr>
        <w:t>rothrombin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time;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c</w:t>
      </w:r>
      <w:r>
        <w:rPr>
          <w:rFonts w:ascii="Book Antiqua" w:hAnsi="Book Antiqua"/>
        </w:rPr>
        <w:t>reatinine;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BUN: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b</w:t>
      </w:r>
      <w:r>
        <w:rPr>
          <w:rFonts w:ascii="Book Antiqua" w:hAnsi="Book Antiqua"/>
        </w:rPr>
        <w:t>lood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urea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nitrogen;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HAI: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h</w:t>
      </w:r>
      <w:r>
        <w:rPr>
          <w:rFonts w:ascii="Book Antiqua" w:hAnsi="Book Antiqua"/>
        </w:rPr>
        <w:t>istology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activity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index.</w:t>
      </w:r>
    </w:p>
    <w:p w14:paraId="6802F5B3" w14:textId="5829ECBF" w:rsidR="00250BD1" w:rsidRDefault="001C262F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  <w:bCs/>
        </w:rPr>
        <w:lastRenderedPageBreak/>
        <w:t>Table</w:t>
      </w:r>
      <w:r w:rsidR="00D0708C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2</w:t>
      </w:r>
      <w:r w:rsidR="00D0708C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</w:rPr>
        <w:t>Selected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features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for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predicting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moderate-to-severe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inflammation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patients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with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chronic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hepatitis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B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virus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infection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(more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than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40</w:t>
      </w:r>
      <w:r w:rsidR="00D0708C">
        <w:rPr>
          <w:rFonts w:ascii="Book Antiqua" w:hAnsi="Book Antiqua"/>
          <w:b/>
        </w:rPr>
        <w:t xml:space="preserve"> </w:t>
      </w:r>
      <w:r w:rsidR="00240173">
        <w:rPr>
          <w:rFonts w:ascii="Book Antiqua" w:hAnsi="Book Antiqua"/>
          <w:b/>
        </w:rPr>
        <w:t>votes</w:t>
      </w:r>
      <w:r>
        <w:rPr>
          <w:rFonts w:ascii="Book Antiqua" w:hAnsi="Book Antiqua"/>
          <w:b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04"/>
        <w:gridCol w:w="657"/>
        <w:gridCol w:w="2278"/>
        <w:gridCol w:w="931"/>
        <w:gridCol w:w="657"/>
        <w:gridCol w:w="2310"/>
        <w:gridCol w:w="931"/>
      </w:tblGrid>
      <w:tr w:rsidR="00250BD1" w14:paraId="690ED771" w14:textId="77777777" w:rsidTr="007769CF">
        <w:trPr>
          <w:trHeight w:val="431"/>
        </w:trPr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8B62F" w14:textId="5B6C3A18" w:rsidR="00250BD1" w:rsidRDefault="001C262F" w:rsidP="0024017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Feature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 w:rsidR="00240173">
              <w:rPr>
                <w:rFonts w:ascii="Book Antiqua" w:hAnsi="Book Antiqua"/>
                <w:b/>
                <w:bCs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200F8" w14:textId="7E69DC68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HBeAg</w:t>
            </w:r>
            <w:proofErr w:type="spellEnd"/>
            <w:r>
              <w:rPr>
                <w:rFonts w:ascii="Book Antiqua" w:hAnsi="Book Antiqua"/>
                <w:b/>
                <w:bCs/>
              </w:rPr>
              <w:t>-positive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patients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BE00A" w14:textId="3E3F7DAD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HBeAg</w:t>
            </w:r>
            <w:proofErr w:type="spellEnd"/>
            <w:r>
              <w:rPr>
                <w:rFonts w:ascii="Book Antiqua" w:hAnsi="Book Antiqua"/>
                <w:b/>
                <w:bCs/>
              </w:rPr>
              <w:t>-negative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patients</w:t>
            </w:r>
          </w:p>
        </w:tc>
      </w:tr>
      <w:tr w:rsidR="00250BD1" w14:paraId="13C7101C" w14:textId="77777777" w:rsidTr="007769CF">
        <w:trPr>
          <w:trHeight w:val="682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96C005C" w14:textId="77777777" w:rsidR="00250BD1" w:rsidRDefault="00250BD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6C25B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Votes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AFD7D" w14:textId="39987D92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  <w:bCs/>
                <w:i/>
                <w:iCs/>
              </w:rPr>
              <w:t>Spearman’r</w:t>
            </w:r>
            <w:proofErr w:type="spellEnd"/>
            <w:r w:rsidR="00D0708C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(95%CI)</w:t>
            </w:r>
            <w:r w:rsidRPr="007769C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B9BD8" w14:textId="2CD032E8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value</w:t>
            </w:r>
            <w:r>
              <w:rPr>
                <w:rFonts w:ascii="Book Antiqua" w:hAnsi="Book Antiqua"/>
                <w:b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69BFD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Votes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B0FAD" w14:textId="61FD9B56" w:rsidR="00250BD1" w:rsidRDefault="001C262F" w:rsidP="0024017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00FF2">
              <w:rPr>
                <w:rFonts w:ascii="Book Antiqua" w:hAnsi="Book Antiqua"/>
                <w:b/>
                <w:bCs/>
                <w:iCs/>
              </w:rPr>
              <w:t>Spearman</w:t>
            </w:r>
            <w:r w:rsidR="00240173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>
              <w:rPr>
                <w:rFonts w:ascii="Book Antiqua" w:hAnsi="Book Antiqua"/>
                <w:b/>
                <w:bCs/>
                <w:i/>
                <w:iCs/>
              </w:rPr>
              <w:t>r</w:t>
            </w:r>
            <w:r w:rsidR="00D0708C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(95%CI)</w:t>
            </w:r>
            <w:r w:rsidRPr="007769CF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546B9" w14:textId="290308B0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D0708C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value</w:t>
            </w:r>
            <w:r w:rsidRPr="007769CF">
              <w:rPr>
                <w:rFonts w:ascii="Book Antiqua" w:hAnsi="Book Antiqua"/>
                <w:vertAlign w:val="superscript"/>
              </w:rPr>
              <w:t>1</w:t>
            </w:r>
          </w:p>
        </w:tc>
      </w:tr>
      <w:tr w:rsidR="00250BD1" w14:paraId="3936BA14" w14:textId="77777777" w:rsidTr="007769CF">
        <w:trPr>
          <w:trHeight w:val="349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1C109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75F5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09997" w14:textId="2E91F5D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0.45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(0.36-0.53)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116A9" w14:textId="64E2196D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F454E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2C178" w14:textId="1313C9B5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0.44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(0.33-0.53)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4BD15" w14:textId="6F7F5916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6CD55445" w14:textId="77777777" w:rsidTr="007769CF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D56E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A9F66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1E598" w14:textId="4E1CF966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(0.43-0.58)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1D461" w14:textId="21BD15B8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D771C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F6056" w14:textId="3559D7D9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0.49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(0.38-0.58)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FA40D" w14:textId="560016F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466C4874" w14:textId="77777777" w:rsidTr="007769CF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EDB3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qAnti-HBc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BD805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AFCE6" w14:textId="00FC2C8E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0.55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(0.47-0.62)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4EF87" w14:textId="45E50C5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5DE1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50BB7" w14:textId="49D8B29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0.49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(0.39-0.58)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F47A4" w14:textId="662BF86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4CAA6614" w14:textId="77777777" w:rsidTr="007769CF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456F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CXCL10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83C5B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062F8" w14:textId="7C1695F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0.34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(0.25-0.43)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1C43A" w14:textId="46B6549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18990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71E66" w14:textId="38367CC3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0.35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(0.23-0.46)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60BAA" w14:textId="177A75E1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10BD28C5" w14:textId="77777777" w:rsidTr="007769CF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E7B4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CXCL11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7C772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3F32" w14:textId="020A23C4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0.34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(0.25-0.43)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458BF" w14:textId="6D68ED0B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D93B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7D454" w14:textId="4B497196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0.33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(0.21-0.44)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96B10" w14:textId="5B9A333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40E42229" w14:textId="77777777" w:rsidTr="007769CF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1CCE2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IL-2R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DC03C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4983C" w14:textId="0546706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(0.20-0.39)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118DA" w14:textId="3BDA9F1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341FB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70B67" w14:textId="7B6D21A9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0.27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(0.14-0.38)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D6AB9" w14:textId="403D1D0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0.001</w:t>
            </w:r>
          </w:p>
        </w:tc>
      </w:tr>
      <w:tr w:rsidR="00250BD1" w14:paraId="25D85F2A" w14:textId="77777777" w:rsidTr="007769C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F4867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CCL2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95229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1D851" w14:textId="3F638AF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-0.01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(-0.09-0.07)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48B25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ADDB0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77B35" w14:textId="39FB11F0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0.03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(-0.10-0.16)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E8B07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0.65</w:t>
            </w:r>
          </w:p>
        </w:tc>
      </w:tr>
      <w:tr w:rsidR="00250BD1" w14:paraId="06B6856A" w14:textId="77777777" w:rsidTr="007769CF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79D0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TNF-α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F2BE6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3C5D6" w14:textId="48722743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(-0.17-0.09)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96DD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6EB46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CE27B" w14:textId="1A3DA2A9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0.01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(-0.17-0.09)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93A83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0.78</w:t>
            </w:r>
          </w:p>
        </w:tc>
      </w:tr>
      <w:tr w:rsidR="00250BD1" w14:paraId="74CEEB91" w14:textId="77777777" w:rsidTr="007769CF">
        <w:trPr>
          <w:trHeight w:val="382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8F479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IL-1β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8BF0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0690D" w14:textId="1830C20C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-0.10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(-0.23-0.03)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B0317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294CB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3314C" w14:textId="50FE61BA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0.15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(0.03-0.28)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70CB3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0.02</w:t>
            </w:r>
          </w:p>
        </w:tc>
      </w:tr>
    </w:tbl>
    <w:p w14:paraId="413010E3" w14:textId="717BFCF9" w:rsidR="00250BD1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>
        <w:rPr>
          <w:rFonts w:ascii="Book Antiqua" w:hAnsi="Book Antiqua"/>
        </w:rPr>
        <w:t>Correlation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between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features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scores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histological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activity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chronic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hepatitis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virus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infection.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ALT: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a</w:t>
      </w:r>
      <w:r>
        <w:rPr>
          <w:rFonts w:ascii="Book Antiqua" w:hAnsi="Book Antiqua"/>
        </w:rPr>
        <w:t>lanine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AST: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a</w:t>
      </w:r>
      <w:r>
        <w:rPr>
          <w:rFonts w:ascii="Book Antiqua" w:hAnsi="Book Antiqua"/>
        </w:rPr>
        <w:t>spartate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aminotransferase;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qAnti-HBc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q</w:t>
      </w:r>
      <w:r>
        <w:rPr>
          <w:rFonts w:ascii="Book Antiqua" w:hAnsi="Book Antiqua"/>
        </w:rPr>
        <w:t>uantitative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hepatitis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core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antibody;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IL: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i</w:t>
      </w:r>
      <w:r>
        <w:rPr>
          <w:rFonts w:ascii="Book Antiqua" w:hAnsi="Book Antiqua"/>
        </w:rPr>
        <w:t>nterleukin;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TNF: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t</w:t>
      </w:r>
      <w:r>
        <w:rPr>
          <w:rFonts w:ascii="Book Antiqua" w:hAnsi="Book Antiqua"/>
        </w:rPr>
        <w:t>umor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necrosis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factor;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CI: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c</w:t>
      </w:r>
      <w:r>
        <w:rPr>
          <w:rFonts w:ascii="Book Antiqua" w:hAnsi="Book Antiqua"/>
        </w:rPr>
        <w:t>onfidence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interval.</w:t>
      </w:r>
    </w:p>
    <w:p w14:paraId="6C04AE00" w14:textId="7400FC40" w:rsidR="00250BD1" w:rsidRDefault="001C262F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  <w:bCs/>
        </w:rPr>
        <w:lastRenderedPageBreak/>
        <w:t>Table</w:t>
      </w:r>
      <w:r w:rsidR="00D0708C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3</w:t>
      </w:r>
      <w:r w:rsidR="00D0708C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</w:rPr>
        <w:t>Receiver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operating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characteristic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curve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analysis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of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inflammation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scores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patients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with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chronic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hepatitis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B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virus</w:t>
      </w:r>
      <w:r w:rsidR="00D0708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infection</w:t>
      </w:r>
    </w:p>
    <w:tbl>
      <w:tblPr>
        <w:tblW w:w="0" w:type="auto"/>
        <w:tblInd w:w="-176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65"/>
        <w:gridCol w:w="1425"/>
        <w:gridCol w:w="812"/>
        <w:gridCol w:w="864"/>
        <w:gridCol w:w="888"/>
        <w:gridCol w:w="907"/>
        <w:gridCol w:w="1369"/>
        <w:gridCol w:w="1468"/>
        <w:gridCol w:w="954"/>
      </w:tblGrid>
      <w:tr w:rsidR="00250BD1" w14:paraId="69B50AFC" w14:textId="77777777" w:rsidTr="007769CF">
        <w:trPr>
          <w:trHeight w:val="254"/>
        </w:trPr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A943887" w14:textId="77777777" w:rsidR="00250BD1" w:rsidRDefault="00250BD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4956B3" w14:textId="1F442E41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Cutoff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value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90120D" w14:textId="7B44D17B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Se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1174D5" w14:textId="266E0359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Spe</w:t>
            </w:r>
            <w:proofErr w:type="spellEnd"/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BBEFBC" w14:textId="76CFE5DB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PPV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9E8EFC4" w14:textId="63F6547D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NPV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842FE68" w14:textId="2EF0662F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Accuracy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26AB34" w14:textId="5389A11D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AUROC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(95%CI)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82D869" w14:textId="432B646C" w:rsidR="00250BD1" w:rsidRDefault="00D0708C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1C262F">
              <w:rPr>
                <w:rFonts w:ascii="Book Antiqua" w:hAnsi="Book Antiqua"/>
                <w:b/>
                <w:i/>
              </w:rPr>
              <w:t>P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1C262F">
              <w:rPr>
                <w:rFonts w:ascii="Book Antiqua" w:hAnsi="Book Antiqua"/>
                <w:b/>
              </w:rPr>
              <w:t>value</w:t>
            </w:r>
          </w:p>
        </w:tc>
      </w:tr>
      <w:tr w:rsidR="00250BD1" w14:paraId="2053081C" w14:textId="77777777" w:rsidTr="007769CF">
        <w:trPr>
          <w:trHeight w:val="337"/>
        </w:trPr>
        <w:tc>
          <w:tcPr>
            <w:tcW w:w="0" w:type="auto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735364" w14:textId="22C996C1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All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patients</w:t>
            </w:r>
          </w:p>
        </w:tc>
      </w:tr>
      <w:tr w:rsidR="00250BD1" w14:paraId="4ECDB55F" w14:textId="77777777" w:rsidTr="007769CF">
        <w:trPr>
          <w:trHeight w:val="253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6AD96A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I-3A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376AD" w14:textId="36176D90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0.41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8C830B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69.17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8C1FAD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81.44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4A81228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84.49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ECD47FF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64.37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44FD5B4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73.8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C652F3" w14:textId="2F13E73B" w:rsidR="00250BD1" w:rsidRDefault="00D070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1C262F">
              <w:rPr>
                <w:rFonts w:ascii="Book Antiqua" w:hAnsi="Book Antiqua"/>
              </w:rPr>
              <w:t>0.82</w:t>
            </w:r>
            <w:r>
              <w:rPr>
                <w:rFonts w:ascii="Book Antiqua" w:hAnsi="Book Antiqua"/>
              </w:rPr>
              <w:t xml:space="preserve"> </w:t>
            </w:r>
            <w:r w:rsidR="001C262F">
              <w:rPr>
                <w:rFonts w:ascii="Book Antiqua" w:hAnsi="Book Antiqua"/>
              </w:rPr>
              <w:t>(0.79-0.85)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691816" w14:textId="29535328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0.0001</w:t>
            </w:r>
          </w:p>
        </w:tc>
      </w:tr>
      <w:tr w:rsidR="00250BD1" w14:paraId="4B9B3967" w14:textId="77777777" w:rsidTr="007769CF">
        <w:trPr>
          <w:trHeight w:val="301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B3CBE3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qAnti-HBc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A19D27" w14:textId="500D95DB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&gt;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4.20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log</w:t>
            </w:r>
            <w:r>
              <w:rPr>
                <w:rFonts w:ascii="Book Antiqua" w:hAnsi="Book Antiqua"/>
                <w:vertAlign w:val="subscript"/>
              </w:rPr>
              <w:t>10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IU/m</w:t>
            </w:r>
            <w:r>
              <w:rPr>
                <w:rFonts w:ascii="Book Antiqua" w:hAnsi="Book Antiqua"/>
                <w:caps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16CB45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83.94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80D155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55.68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4EB9DB8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73.47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E0E6EC9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70.33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ABD1826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72.13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54187D" w14:textId="65F75D07" w:rsidR="00250BD1" w:rsidRDefault="00D070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1C262F">
              <w:rPr>
                <w:rFonts w:ascii="Book Antiqua" w:hAnsi="Book Antiqua"/>
              </w:rPr>
              <w:t>0.76</w:t>
            </w:r>
            <w:r>
              <w:rPr>
                <w:rFonts w:ascii="Book Antiqua" w:hAnsi="Book Antiqua"/>
              </w:rPr>
              <w:t xml:space="preserve"> </w:t>
            </w:r>
            <w:r w:rsidR="001C262F">
              <w:rPr>
                <w:rFonts w:ascii="Book Antiqua" w:hAnsi="Book Antiqua"/>
              </w:rPr>
              <w:t>(0.72-0.79)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C3C2D1C" w14:textId="77777777" w:rsidR="00250BD1" w:rsidRDefault="00250BD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50BD1" w14:paraId="249256DE" w14:textId="77777777" w:rsidTr="007769CF">
        <w:trPr>
          <w:trHeight w:val="313"/>
        </w:trPr>
        <w:tc>
          <w:tcPr>
            <w:tcW w:w="0" w:type="auto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F60108" w14:textId="15F87D0E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HBeAg</w:t>
            </w:r>
            <w:proofErr w:type="spellEnd"/>
            <w:r>
              <w:rPr>
                <w:rFonts w:ascii="Book Antiqua" w:hAnsi="Book Antiqua"/>
                <w:b/>
              </w:rPr>
              <w:t>-positive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patients</w:t>
            </w:r>
          </w:p>
        </w:tc>
      </w:tr>
      <w:tr w:rsidR="00250BD1" w14:paraId="12ED59A2" w14:textId="77777777" w:rsidTr="007769CF">
        <w:trPr>
          <w:trHeight w:val="253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1B36A7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I-3A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0C5A64" w14:textId="19DCFF19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0.41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F4913C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70.16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747BA5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80.52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8B84268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85.29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FD864FA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62.63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BA69274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74.13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4D387E" w14:textId="1B52C3A8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0.83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(0.79-0.87)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7D1723" w14:textId="21A78CD1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0.0001</w:t>
            </w:r>
          </w:p>
        </w:tc>
      </w:tr>
      <w:tr w:rsidR="00250BD1" w14:paraId="5C3BAAB2" w14:textId="77777777" w:rsidTr="007769CF">
        <w:trPr>
          <w:trHeight w:val="301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944D0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qAnti-HBc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5AFF32" w14:textId="0194ADFF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&gt;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4.20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log</w:t>
            </w:r>
            <w:r>
              <w:rPr>
                <w:rFonts w:ascii="Book Antiqua" w:hAnsi="Book Antiqua"/>
                <w:vertAlign w:val="subscript"/>
              </w:rPr>
              <w:t>10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IU/ml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FD0738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83.06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0AB21B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60.39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25F8995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77.15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62DCF74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68.89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67C6311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74.38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F1706C" w14:textId="3DD6FAAF" w:rsidR="00250BD1" w:rsidRDefault="00D070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1C262F">
              <w:rPr>
                <w:rFonts w:ascii="Book Antiqua" w:hAnsi="Book Antiqua"/>
              </w:rPr>
              <w:t>0.77</w:t>
            </w:r>
            <w:r>
              <w:rPr>
                <w:rFonts w:ascii="Book Antiqua" w:hAnsi="Book Antiqua"/>
              </w:rPr>
              <w:t xml:space="preserve"> </w:t>
            </w:r>
            <w:r w:rsidR="001C262F">
              <w:rPr>
                <w:rFonts w:ascii="Book Antiqua" w:hAnsi="Book Antiqua"/>
              </w:rPr>
              <w:t>(0.73-0.81)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4572B2A1" w14:textId="77777777" w:rsidR="00250BD1" w:rsidRDefault="00250BD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50BD1" w14:paraId="2507BF89" w14:textId="77777777" w:rsidTr="007769CF">
        <w:trPr>
          <w:trHeight w:val="289"/>
        </w:trPr>
        <w:tc>
          <w:tcPr>
            <w:tcW w:w="0" w:type="auto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105131" w14:textId="0D9CDAC8" w:rsidR="00250BD1" w:rsidRDefault="001C26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HBeAg</w:t>
            </w:r>
            <w:proofErr w:type="spellEnd"/>
            <w:r>
              <w:rPr>
                <w:rFonts w:ascii="Book Antiqua" w:hAnsi="Book Antiqua"/>
                <w:b/>
              </w:rPr>
              <w:t>-negative</w:t>
            </w:r>
            <w:r w:rsidR="00D0708C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patients</w:t>
            </w:r>
          </w:p>
        </w:tc>
      </w:tr>
      <w:tr w:rsidR="00250BD1" w14:paraId="367E4E3F" w14:textId="77777777" w:rsidTr="007769CF">
        <w:trPr>
          <w:trHeight w:val="269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4BB2A0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I-3A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108562" w14:textId="71CC14AD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0.44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D9D199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73.19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4AC1FB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78.18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A00AD7F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80.8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70CCFE2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69.92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18FD66A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75.4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154A9" w14:textId="42B893BD" w:rsidR="00250BD1" w:rsidRDefault="00D0708C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1C262F">
              <w:rPr>
                <w:rFonts w:ascii="Book Antiqua" w:hAnsi="Book Antiqua"/>
              </w:rPr>
              <w:t>0.81</w:t>
            </w:r>
            <w:r>
              <w:rPr>
                <w:rFonts w:ascii="Book Antiqua" w:hAnsi="Book Antiqua"/>
              </w:rPr>
              <w:t xml:space="preserve"> </w:t>
            </w:r>
            <w:r w:rsidR="001C262F">
              <w:rPr>
                <w:rFonts w:ascii="Book Antiqua" w:hAnsi="Book Antiqua"/>
              </w:rPr>
              <w:t>(0.76-0.86)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B99B0E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0.002</w:t>
            </w:r>
          </w:p>
        </w:tc>
      </w:tr>
      <w:tr w:rsidR="00250BD1" w14:paraId="1B0D380C" w14:textId="77777777" w:rsidTr="007769CF">
        <w:trPr>
          <w:trHeight w:val="153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8C9F87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qAnti-HBc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D0D34F" w14:textId="69B5AA82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&gt;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4.40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log</w:t>
            </w:r>
            <w:r>
              <w:rPr>
                <w:rFonts w:ascii="Book Antiqua" w:hAnsi="Book Antiqua"/>
                <w:vertAlign w:val="subscript"/>
              </w:rPr>
              <w:t>10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IU/m</w:t>
            </w:r>
            <w:r>
              <w:rPr>
                <w:rFonts w:ascii="Book Antiqua" w:hAnsi="Book Antiqua"/>
                <w:caps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4772AA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76.81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06AC10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61.13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803C685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71.62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3E39497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CC82824" w14:textId="77777777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70.16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B8CB43" w14:textId="7F2A595B" w:rsidR="00250BD1" w:rsidRDefault="001C262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0.75</w:t>
            </w:r>
            <w:r w:rsidR="00D0708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(0.70-0.81)</w:t>
            </w:r>
            <w:r w:rsidR="00D0708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7D5AAF8A" w14:textId="77777777" w:rsidR="00250BD1" w:rsidRDefault="00250BD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5F8AECD3" w14:textId="474A855C" w:rsidR="001426D5" w:rsidRDefault="001C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Se: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s</w:t>
      </w:r>
      <w:r>
        <w:rPr>
          <w:rFonts w:ascii="Book Antiqua" w:hAnsi="Book Antiqua"/>
        </w:rPr>
        <w:t>ensitivity;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Spe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s</w:t>
      </w:r>
      <w:r>
        <w:rPr>
          <w:rFonts w:ascii="Book Antiqua" w:hAnsi="Book Antiqua"/>
        </w:rPr>
        <w:t>pecificity;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PPV: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p</w:t>
      </w:r>
      <w:r>
        <w:rPr>
          <w:rFonts w:ascii="Book Antiqua" w:hAnsi="Book Antiqua"/>
        </w:rPr>
        <w:t>ositive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predictive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value;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NPV: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n</w:t>
      </w:r>
      <w:r>
        <w:rPr>
          <w:rFonts w:ascii="Book Antiqua" w:hAnsi="Book Antiqua"/>
        </w:rPr>
        <w:t>egative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predictive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value;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AUROC: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a</w:t>
      </w:r>
      <w:r>
        <w:rPr>
          <w:rFonts w:ascii="Book Antiqua" w:hAnsi="Book Antiqua"/>
        </w:rPr>
        <w:t>rea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under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receiver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operating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characteristics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curve;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CI: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c</w:t>
      </w:r>
      <w:r>
        <w:rPr>
          <w:rFonts w:ascii="Book Antiqua" w:hAnsi="Book Antiqua"/>
        </w:rPr>
        <w:t>onfidence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interval;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HBeAg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h</w:t>
      </w:r>
      <w:r>
        <w:rPr>
          <w:rFonts w:ascii="Book Antiqua" w:hAnsi="Book Antiqua"/>
        </w:rPr>
        <w:t>epatitis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antigen;</w:t>
      </w:r>
      <w:r w:rsidR="00D0708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qAnti-HBc</w:t>
      </w:r>
      <w:proofErr w:type="spellEnd"/>
      <w:r>
        <w:rPr>
          <w:rFonts w:ascii="Book Antiqua" w:hAnsi="Book Antiqua"/>
        </w:rPr>
        <w:t>: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  <w:caps/>
        </w:rPr>
        <w:t>q</w:t>
      </w:r>
      <w:r>
        <w:rPr>
          <w:rFonts w:ascii="Book Antiqua" w:hAnsi="Book Antiqua"/>
        </w:rPr>
        <w:t>uantitative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hepatitis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core</w:t>
      </w:r>
      <w:r w:rsidR="00D0708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antibody.</w:t>
      </w:r>
    </w:p>
    <w:p w14:paraId="2113AD7B" w14:textId="229270DE" w:rsidR="001426D5" w:rsidRDefault="001426D5" w:rsidP="001426D5">
      <w:pPr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br w:type="page"/>
      </w:r>
    </w:p>
    <w:p w14:paraId="0AF30FFE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9B9419E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31702AB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4CE43C5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663BDD2" wp14:editId="5B75EB77">
            <wp:extent cx="2499360" cy="1440180"/>
            <wp:effectExtent l="0" t="0" r="0" b="7620"/>
            <wp:docPr id="2" name="图片 2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ABAC0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EAB3DF4" w14:textId="77777777" w:rsidR="001426D5" w:rsidRPr="00763D22" w:rsidRDefault="001426D5" w:rsidP="001426D5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A748A2F" w14:textId="77777777" w:rsidR="001426D5" w:rsidRPr="00763D22" w:rsidRDefault="001426D5" w:rsidP="001426D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3E63764" w14:textId="77777777" w:rsidR="001426D5" w:rsidRPr="00763D22" w:rsidRDefault="001426D5" w:rsidP="001426D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1E7DD29" w14:textId="77777777" w:rsidR="001426D5" w:rsidRPr="00763D22" w:rsidRDefault="001426D5" w:rsidP="001426D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71C1B9B" w14:textId="77777777" w:rsidR="001426D5" w:rsidRPr="00763D22" w:rsidRDefault="001426D5" w:rsidP="001426D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C5BB524" w14:textId="77777777" w:rsidR="001426D5" w:rsidRPr="00763D22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54109E2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B24FAD7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4B7FED9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1B87E4F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5D72DB0" wp14:editId="3B00A3A3">
            <wp:extent cx="1447800" cy="1440180"/>
            <wp:effectExtent l="0" t="0" r="0" b="7620"/>
            <wp:docPr id="3" name="图片 3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26E5F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CE10BE7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0926B24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C253632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A9CE837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0856DD4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D354ED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B6DEC20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3087445" w14:textId="77777777" w:rsidR="001426D5" w:rsidRDefault="001426D5" w:rsidP="001426D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6616372" w14:textId="77777777" w:rsidR="001426D5" w:rsidRPr="00763D22" w:rsidRDefault="001426D5" w:rsidP="001426D5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663CD880" w14:textId="3BB008FF" w:rsidR="00250BD1" w:rsidRPr="006B640B" w:rsidRDefault="001426D5" w:rsidP="006B640B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sectPr w:rsidR="00250BD1" w:rsidRPr="006B640B" w:rsidSect="001426D5">
      <w:headerReference w:type="default" r:id="rId18"/>
      <w:pgSz w:w="12240" w:h="15840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4493C" w14:textId="77777777" w:rsidR="006E7B02" w:rsidRDefault="006E7B02">
      <w:r>
        <w:separator/>
      </w:r>
    </w:p>
  </w:endnote>
  <w:endnote w:type="continuationSeparator" w:id="0">
    <w:p w14:paraId="6F40FBC1" w14:textId="77777777" w:rsidR="006E7B02" w:rsidRDefault="006E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030742"/>
      <w:docPartObj>
        <w:docPartGallery w:val="AutoText"/>
      </w:docPartObj>
    </w:sdtPr>
    <w:sdtEndPr/>
    <w:sdtContent>
      <w:sdt>
        <w:sdtPr>
          <w:id w:val="-1705238520"/>
          <w:docPartObj>
            <w:docPartGallery w:val="AutoText"/>
          </w:docPartObj>
        </w:sdtPr>
        <w:sdtEndPr/>
        <w:sdtContent>
          <w:p w14:paraId="618256A6" w14:textId="77777777" w:rsidR="009D6CD5" w:rsidRDefault="009D6CD5">
            <w:pPr>
              <w:pStyle w:val="a3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fldChar w:fldCharType="begin"/>
            </w:r>
            <w:r>
              <w:rPr>
                <w:b/>
                <w:bCs/>
                <w:sz w:val="21"/>
                <w:szCs w:val="21"/>
              </w:rPr>
              <w:instrText>PAGE</w:instrText>
            </w:r>
            <w:r>
              <w:rPr>
                <w:b/>
                <w:bCs/>
                <w:sz w:val="21"/>
                <w:szCs w:val="21"/>
              </w:rPr>
              <w:fldChar w:fldCharType="separate"/>
            </w:r>
            <w:r w:rsidR="001D2C96">
              <w:rPr>
                <w:b/>
                <w:bCs/>
                <w:noProof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  <w:lang w:val="zh-CN" w:eastAsia="zh-CN"/>
              </w:rPr>
              <w:t xml:space="preserve"> / </w:t>
            </w:r>
            <w:r>
              <w:rPr>
                <w:b/>
                <w:bCs/>
                <w:sz w:val="21"/>
                <w:szCs w:val="21"/>
              </w:rPr>
              <w:fldChar w:fldCharType="begin"/>
            </w:r>
            <w:r>
              <w:rPr>
                <w:b/>
                <w:bCs/>
                <w:sz w:val="21"/>
                <w:szCs w:val="21"/>
              </w:rPr>
              <w:instrText>NUMPAGES</w:instrText>
            </w:r>
            <w:r>
              <w:rPr>
                <w:b/>
                <w:bCs/>
                <w:sz w:val="21"/>
                <w:szCs w:val="21"/>
              </w:rPr>
              <w:fldChar w:fldCharType="separate"/>
            </w:r>
            <w:r w:rsidR="001D2C96">
              <w:rPr>
                <w:b/>
                <w:bCs/>
                <w:noProof/>
                <w:sz w:val="21"/>
                <w:szCs w:val="21"/>
              </w:rPr>
              <w:t>29</w:t>
            </w:r>
            <w:r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60430448" w14:textId="77777777" w:rsidR="009D6CD5" w:rsidRDefault="009D6C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A213A" w14:textId="77777777" w:rsidR="006E7B02" w:rsidRDefault="006E7B02">
      <w:r>
        <w:separator/>
      </w:r>
    </w:p>
  </w:footnote>
  <w:footnote w:type="continuationSeparator" w:id="0">
    <w:p w14:paraId="78D9342C" w14:textId="77777777" w:rsidR="006E7B02" w:rsidRDefault="006E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0211" w14:textId="77777777" w:rsidR="009D6CD5" w:rsidRDefault="009D6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45677" w14:textId="77777777" w:rsidR="009D6CD5" w:rsidRDefault="009D6C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8CB"/>
    <w:rsid w:val="00024C72"/>
    <w:rsid w:val="0003068C"/>
    <w:rsid w:val="00040A94"/>
    <w:rsid w:val="000457D0"/>
    <w:rsid w:val="00070C84"/>
    <w:rsid w:val="00077FCA"/>
    <w:rsid w:val="00093437"/>
    <w:rsid w:val="000A3BFE"/>
    <w:rsid w:val="000A4A55"/>
    <w:rsid w:val="000B6E70"/>
    <w:rsid w:val="000E19DA"/>
    <w:rsid w:val="00110AA8"/>
    <w:rsid w:val="0012741A"/>
    <w:rsid w:val="001426D5"/>
    <w:rsid w:val="001527C3"/>
    <w:rsid w:val="00157C00"/>
    <w:rsid w:val="001755DF"/>
    <w:rsid w:val="001903A8"/>
    <w:rsid w:val="00197A07"/>
    <w:rsid w:val="00197CD3"/>
    <w:rsid w:val="001A0DAC"/>
    <w:rsid w:val="001A291C"/>
    <w:rsid w:val="001B159A"/>
    <w:rsid w:val="001C262F"/>
    <w:rsid w:val="001D2C96"/>
    <w:rsid w:val="001E281A"/>
    <w:rsid w:val="001F3CC6"/>
    <w:rsid w:val="00216E7E"/>
    <w:rsid w:val="00231296"/>
    <w:rsid w:val="00240173"/>
    <w:rsid w:val="00247D80"/>
    <w:rsid w:val="00250BD1"/>
    <w:rsid w:val="00254F0F"/>
    <w:rsid w:val="00272C0A"/>
    <w:rsid w:val="0029748F"/>
    <w:rsid w:val="002C20F2"/>
    <w:rsid w:val="002E6334"/>
    <w:rsid w:val="002E7718"/>
    <w:rsid w:val="002F35E9"/>
    <w:rsid w:val="002F64DE"/>
    <w:rsid w:val="003113E2"/>
    <w:rsid w:val="003204A1"/>
    <w:rsid w:val="00343416"/>
    <w:rsid w:val="00372378"/>
    <w:rsid w:val="0038394D"/>
    <w:rsid w:val="00396B3F"/>
    <w:rsid w:val="003A79AA"/>
    <w:rsid w:val="003B0A95"/>
    <w:rsid w:val="003B2723"/>
    <w:rsid w:val="00403FEE"/>
    <w:rsid w:val="004105B2"/>
    <w:rsid w:val="004417AF"/>
    <w:rsid w:val="00454CA3"/>
    <w:rsid w:val="004605A6"/>
    <w:rsid w:val="00477F69"/>
    <w:rsid w:val="00492DE3"/>
    <w:rsid w:val="004A07C6"/>
    <w:rsid w:val="004B1B31"/>
    <w:rsid w:val="004D1D59"/>
    <w:rsid w:val="004F02A0"/>
    <w:rsid w:val="004F33F6"/>
    <w:rsid w:val="00537D57"/>
    <w:rsid w:val="00551DB3"/>
    <w:rsid w:val="005870BF"/>
    <w:rsid w:val="005A4C65"/>
    <w:rsid w:val="005B2062"/>
    <w:rsid w:val="005B3BB8"/>
    <w:rsid w:val="005B701D"/>
    <w:rsid w:val="005F2D8D"/>
    <w:rsid w:val="005F45C2"/>
    <w:rsid w:val="005F7D6D"/>
    <w:rsid w:val="00600770"/>
    <w:rsid w:val="00617C90"/>
    <w:rsid w:val="00644D68"/>
    <w:rsid w:val="00651C57"/>
    <w:rsid w:val="00662ED8"/>
    <w:rsid w:val="00675A83"/>
    <w:rsid w:val="006901FF"/>
    <w:rsid w:val="00693A88"/>
    <w:rsid w:val="006B1475"/>
    <w:rsid w:val="006B640B"/>
    <w:rsid w:val="006C25BC"/>
    <w:rsid w:val="006D41B3"/>
    <w:rsid w:val="006D47D4"/>
    <w:rsid w:val="006D5B95"/>
    <w:rsid w:val="006E5463"/>
    <w:rsid w:val="006E7B02"/>
    <w:rsid w:val="00701032"/>
    <w:rsid w:val="00751373"/>
    <w:rsid w:val="00757851"/>
    <w:rsid w:val="007632E7"/>
    <w:rsid w:val="00770489"/>
    <w:rsid w:val="00773B3F"/>
    <w:rsid w:val="00774290"/>
    <w:rsid w:val="007769CF"/>
    <w:rsid w:val="007852B7"/>
    <w:rsid w:val="007C5937"/>
    <w:rsid w:val="007F7853"/>
    <w:rsid w:val="00812EF4"/>
    <w:rsid w:val="0082427A"/>
    <w:rsid w:val="00864C3C"/>
    <w:rsid w:val="00866AB6"/>
    <w:rsid w:val="0087056E"/>
    <w:rsid w:val="00870DB5"/>
    <w:rsid w:val="0089528A"/>
    <w:rsid w:val="008970E7"/>
    <w:rsid w:val="00897168"/>
    <w:rsid w:val="008D106E"/>
    <w:rsid w:val="008D1C8E"/>
    <w:rsid w:val="008D37BE"/>
    <w:rsid w:val="008E14A0"/>
    <w:rsid w:val="009371BA"/>
    <w:rsid w:val="009660FC"/>
    <w:rsid w:val="00967FCF"/>
    <w:rsid w:val="00974BCF"/>
    <w:rsid w:val="009753E5"/>
    <w:rsid w:val="00984D6B"/>
    <w:rsid w:val="00990D7D"/>
    <w:rsid w:val="009A036F"/>
    <w:rsid w:val="009C73C7"/>
    <w:rsid w:val="009D6CD5"/>
    <w:rsid w:val="009F18C0"/>
    <w:rsid w:val="00A02E50"/>
    <w:rsid w:val="00A20046"/>
    <w:rsid w:val="00A6226F"/>
    <w:rsid w:val="00A77B3E"/>
    <w:rsid w:val="00A85087"/>
    <w:rsid w:val="00AA159A"/>
    <w:rsid w:val="00AC747B"/>
    <w:rsid w:val="00AE4F1A"/>
    <w:rsid w:val="00AE7004"/>
    <w:rsid w:val="00AF5379"/>
    <w:rsid w:val="00B05AD3"/>
    <w:rsid w:val="00B07EE2"/>
    <w:rsid w:val="00B1092A"/>
    <w:rsid w:val="00B259D6"/>
    <w:rsid w:val="00B4504B"/>
    <w:rsid w:val="00B5182C"/>
    <w:rsid w:val="00B54803"/>
    <w:rsid w:val="00B65C93"/>
    <w:rsid w:val="00B7122F"/>
    <w:rsid w:val="00B87C10"/>
    <w:rsid w:val="00B96DC9"/>
    <w:rsid w:val="00BC3BB8"/>
    <w:rsid w:val="00BC796B"/>
    <w:rsid w:val="00BD3C7E"/>
    <w:rsid w:val="00BD6232"/>
    <w:rsid w:val="00BD6B00"/>
    <w:rsid w:val="00BE6A70"/>
    <w:rsid w:val="00C00D83"/>
    <w:rsid w:val="00C141F3"/>
    <w:rsid w:val="00C14B9A"/>
    <w:rsid w:val="00C22DBA"/>
    <w:rsid w:val="00C24573"/>
    <w:rsid w:val="00C3647C"/>
    <w:rsid w:val="00C424BF"/>
    <w:rsid w:val="00C54604"/>
    <w:rsid w:val="00C6774B"/>
    <w:rsid w:val="00C712FD"/>
    <w:rsid w:val="00C77289"/>
    <w:rsid w:val="00C9105E"/>
    <w:rsid w:val="00C930A5"/>
    <w:rsid w:val="00CA02DD"/>
    <w:rsid w:val="00CA2A55"/>
    <w:rsid w:val="00CB11D0"/>
    <w:rsid w:val="00D0708C"/>
    <w:rsid w:val="00D12255"/>
    <w:rsid w:val="00D17F77"/>
    <w:rsid w:val="00D26EC9"/>
    <w:rsid w:val="00D33692"/>
    <w:rsid w:val="00D36C05"/>
    <w:rsid w:val="00D4468A"/>
    <w:rsid w:val="00D4532A"/>
    <w:rsid w:val="00D5759A"/>
    <w:rsid w:val="00D6225B"/>
    <w:rsid w:val="00D718F0"/>
    <w:rsid w:val="00D770A6"/>
    <w:rsid w:val="00D95C0A"/>
    <w:rsid w:val="00D9676B"/>
    <w:rsid w:val="00DA0119"/>
    <w:rsid w:val="00DB7E9E"/>
    <w:rsid w:val="00DD1F53"/>
    <w:rsid w:val="00DE369B"/>
    <w:rsid w:val="00E011D6"/>
    <w:rsid w:val="00E17C03"/>
    <w:rsid w:val="00E602E6"/>
    <w:rsid w:val="00ED7C59"/>
    <w:rsid w:val="00EF1CCF"/>
    <w:rsid w:val="00EF6BE5"/>
    <w:rsid w:val="00F00FF2"/>
    <w:rsid w:val="00F337D6"/>
    <w:rsid w:val="00F4037C"/>
    <w:rsid w:val="00F50E3F"/>
    <w:rsid w:val="00F52F4C"/>
    <w:rsid w:val="00F5555D"/>
    <w:rsid w:val="00F901E6"/>
    <w:rsid w:val="00FB5900"/>
    <w:rsid w:val="00FC5EC9"/>
    <w:rsid w:val="00FD407D"/>
    <w:rsid w:val="00FE0CDD"/>
    <w:rsid w:val="00FF0CF3"/>
    <w:rsid w:val="00FF163C"/>
    <w:rsid w:val="04877EA0"/>
    <w:rsid w:val="591D19B2"/>
    <w:rsid w:val="7575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C01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216E7E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216E7E"/>
    <w:rPr>
      <w:sz w:val="18"/>
      <w:szCs w:val="18"/>
      <w:lang w:eastAsia="en-US"/>
    </w:rPr>
  </w:style>
  <w:style w:type="character" w:styleId="a7">
    <w:name w:val="Hyperlink"/>
    <w:basedOn w:val="a0"/>
    <w:unhideWhenUsed/>
    <w:rsid w:val="001A2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216E7E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216E7E"/>
    <w:rPr>
      <w:sz w:val="18"/>
      <w:szCs w:val="18"/>
      <w:lang w:eastAsia="en-US"/>
    </w:rPr>
  </w:style>
  <w:style w:type="character" w:styleId="a7">
    <w:name w:val="Hyperlink"/>
    <w:basedOn w:val="a0"/>
    <w:unhideWhenUsed/>
    <w:rsid w:val="001A2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jgnet.com/1007-9327/full/v27/i21/2910.ht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29</Pages>
  <Words>6030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21</cp:revision>
  <dcterms:created xsi:type="dcterms:W3CDTF">2021-05-05T10:47:00Z</dcterms:created>
  <dcterms:modified xsi:type="dcterms:W3CDTF">2021-05-26T03:58:00Z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A356A6C95B26413B9FFADD7FB11CE395</vt:lpwstr>
  </property>
</Properties>
</file>