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0D0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Name of Journal: </w:t>
      </w:r>
      <w:r w:rsidRPr="008F20DF">
        <w:rPr>
          <w:rFonts w:ascii="Book Antiqua" w:eastAsia="Book Antiqua" w:hAnsi="Book Antiqua" w:cs="Book Antiqua"/>
          <w:i/>
          <w:color w:val="000000"/>
        </w:rPr>
        <w:t>World Journal of Clinical Cases</w:t>
      </w:r>
    </w:p>
    <w:p w14:paraId="2CC47FE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Manuscript NO: </w:t>
      </w:r>
      <w:r w:rsidRPr="008F20DF">
        <w:rPr>
          <w:rFonts w:ascii="Book Antiqua" w:eastAsia="Book Antiqua" w:hAnsi="Book Antiqua" w:cs="Book Antiqua"/>
          <w:color w:val="000000"/>
        </w:rPr>
        <w:t>64476</w:t>
      </w:r>
    </w:p>
    <w:p w14:paraId="096BFA9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Manuscript Type: </w:t>
      </w:r>
      <w:r w:rsidRPr="008F20DF">
        <w:rPr>
          <w:rFonts w:ascii="Book Antiqua" w:eastAsia="Book Antiqua" w:hAnsi="Book Antiqua" w:cs="Book Antiqua"/>
          <w:color w:val="000000"/>
        </w:rPr>
        <w:t>ORIGINAL ARTICLE</w:t>
      </w:r>
    </w:p>
    <w:p w14:paraId="0E7950BE" w14:textId="77777777" w:rsidR="00A77B3E" w:rsidRPr="008F20DF" w:rsidRDefault="00A77B3E" w:rsidP="008F20DF">
      <w:pPr>
        <w:snapToGrid w:val="0"/>
        <w:spacing w:line="360" w:lineRule="auto"/>
        <w:jc w:val="both"/>
        <w:rPr>
          <w:rFonts w:ascii="Book Antiqua" w:hAnsi="Book Antiqua"/>
        </w:rPr>
      </w:pPr>
    </w:p>
    <w:p w14:paraId="5F1B535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Retrospective Study</w:t>
      </w:r>
    </w:p>
    <w:p w14:paraId="365984BA" w14:textId="7C854721"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Prognostic value of hemodynamic indices in patients with sepsis after fluid resuscitation</w:t>
      </w:r>
    </w:p>
    <w:p w14:paraId="2345B607" w14:textId="77777777" w:rsidR="00A77B3E" w:rsidRPr="008F20DF" w:rsidRDefault="00A77B3E" w:rsidP="008F20DF">
      <w:pPr>
        <w:snapToGrid w:val="0"/>
        <w:spacing w:line="360" w:lineRule="auto"/>
        <w:jc w:val="both"/>
        <w:rPr>
          <w:rFonts w:ascii="Book Antiqua" w:hAnsi="Book Antiqua"/>
        </w:rPr>
      </w:pPr>
    </w:p>
    <w:p w14:paraId="4464F7F2" w14:textId="2006B673"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Xu HP </w:t>
      </w:r>
      <w:r w:rsidRPr="008F20DF">
        <w:rPr>
          <w:rFonts w:ascii="Book Antiqua" w:eastAsia="Book Antiqua" w:hAnsi="Book Antiqua" w:cs="Book Antiqua"/>
          <w:i/>
          <w:iCs/>
          <w:color w:val="000000"/>
        </w:rPr>
        <w:t>et al</w:t>
      </w:r>
      <w:r w:rsidRPr="008F20DF">
        <w:rPr>
          <w:rFonts w:ascii="Book Antiqua" w:eastAsia="Book Antiqua" w:hAnsi="Book Antiqua" w:cs="Book Antiqua"/>
          <w:color w:val="000000"/>
        </w:rPr>
        <w:t>. Prognostic value of hemodynamic indices in sepsis patients</w:t>
      </w:r>
    </w:p>
    <w:p w14:paraId="7088CABD" w14:textId="77777777" w:rsidR="00A77B3E" w:rsidRPr="008F20DF" w:rsidRDefault="00A77B3E" w:rsidP="008F20DF">
      <w:pPr>
        <w:snapToGrid w:val="0"/>
        <w:spacing w:line="360" w:lineRule="auto"/>
        <w:jc w:val="both"/>
        <w:rPr>
          <w:rFonts w:ascii="Book Antiqua" w:hAnsi="Book Antiqua"/>
        </w:rPr>
      </w:pPr>
    </w:p>
    <w:p w14:paraId="4AD6ADF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He-Ping Xu, Xiao-</w:t>
      </w:r>
      <w:proofErr w:type="gramStart"/>
      <w:r w:rsidRPr="008F20DF">
        <w:rPr>
          <w:rFonts w:ascii="Book Antiqua" w:eastAsia="Book Antiqua" w:hAnsi="Book Antiqua" w:cs="Book Antiqua"/>
          <w:color w:val="000000"/>
        </w:rPr>
        <w:t>An</w:t>
      </w:r>
      <w:proofErr w:type="gramEnd"/>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Zhuo</w:t>
      </w:r>
      <w:proofErr w:type="spellEnd"/>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Jin</w:t>
      </w:r>
      <w:proofErr w:type="spellEnd"/>
      <w:r w:rsidRPr="008F20DF">
        <w:rPr>
          <w:rFonts w:ascii="Book Antiqua" w:eastAsia="Book Antiqua" w:hAnsi="Book Antiqua" w:cs="Book Antiqua"/>
          <w:color w:val="000000"/>
        </w:rPr>
        <w:t>-Jian Yao, Duo-Yi Wu, Xiang Wang, Ping He, Yan-Hong Ouyang</w:t>
      </w:r>
    </w:p>
    <w:p w14:paraId="28DCDFEF" w14:textId="77777777" w:rsidR="00A77B3E" w:rsidRPr="008F20DF" w:rsidRDefault="00A77B3E" w:rsidP="008F20DF">
      <w:pPr>
        <w:snapToGrid w:val="0"/>
        <w:spacing w:line="360" w:lineRule="auto"/>
        <w:jc w:val="both"/>
        <w:rPr>
          <w:rFonts w:ascii="Book Antiqua" w:hAnsi="Book Antiqua"/>
        </w:rPr>
      </w:pPr>
    </w:p>
    <w:p w14:paraId="3C87895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He-Ping Xu, Xiao-An </w:t>
      </w:r>
      <w:proofErr w:type="spellStart"/>
      <w:r w:rsidRPr="008F20DF">
        <w:rPr>
          <w:rFonts w:ascii="Book Antiqua" w:eastAsia="Book Antiqua" w:hAnsi="Book Antiqua" w:cs="Book Antiqua"/>
          <w:b/>
          <w:bCs/>
          <w:color w:val="000000"/>
        </w:rPr>
        <w:t>Zhuo</w:t>
      </w:r>
      <w:proofErr w:type="spellEnd"/>
      <w:r w:rsidRPr="008F20DF">
        <w:rPr>
          <w:rFonts w:ascii="Book Antiqua" w:eastAsia="Book Antiqua" w:hAnsi="Book Antiqua" w:cs="Book Antiqua"/>
          <w:b/>
          <w:bCs/>
          <w:color w:val="000000"/>
        </w:rPr>
        <w:t xml:space="preserve">, </w:t>
      </w:r>
      <w:proofErr w:type="spellStart"/>
      <w:r w:rsidRPr="008F20DF">
        <w:rPr>
          <w:rFonts w:ascii="Book Antiqua" w:eastAsia="Book Antiqua" w:hAnsi="Book Antiqua" w:cs="Book Antiqua"/>
          <w:b/>
          <w:bCs/>
          <w:color w:val="000000"/>
        </w:rPr>
        <w:t>Jin</w:t>
      </w:r>
      <w:proofErr w:type="spellEnd"/>
      <w:r w:rsidRPr="008F20DF">
        <w:rPr>
          <w:rFonts w:ascii="Book Antiqua" w:eastAsia="Book Antiqua" w:hAnsi="Book Antiqua" w:cs="Book Antiqua"/>
          <w:b/>
          <w:bCs/>
          <w:color w:val="000000"/>
        </w:rPr>
        <w:t xml:space="preserve">-Jian Yao, Duo-Yi Wu, Xiang Wang, Ping He, Yan-Hong Ouyang, </w:t>
      </w:r>
      <w:r w:rsidRPr="008F20DF">
        <w:rPr>
          <w:rFonts w:ascii="Book Antiqua" w:eastAsia="Book Antiqua" w:hAnsi="Book Antiqua" w:cs="Book Antiqua"/>
          <w:color w:val="000000"/>
        </w:rPr>
        <w:t>Department of Emergency Medicine, Hainan General Hospital/Hainan Affiliated Hospital of Hainan Medical University, Haikou 570311, Hainan Province, China</w:t>
      </w:r>
    </w:p>
    <w:p w14:paraId="36AC0327" w14:textId="77777777" w:rsidR="00A77B3E" w:rsidRPr="008F20DF" w:rsidRDefault="00A77B3E" w:rsidP="008F20DF">
      <w:pPr>
        <w:snapToGrid w:val="0"/>
        <w:spacing w:line="360" w:lineRule="auto"/>
        <w:jc w:val="both"/>
        <w:rPr>
          <w:rFonts w:ascii="Book Antiqua" w:hAnsi="Book Antiqua"/>
        </w:rPr>
      </w:pPr>
    </w:p>
    <w:p w14:paraId="0001CC62" w14:textId="3C921E30"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Author contributions: </w:t>
      </w:r>
      <w:r w:rsidR="00DA5B9B" w:rsidRPr="00DA5B9B">
        <w:rPr>
          <w:rFonts w:ascii="Book Antiqua" w:eastAsia="Book Antiqua" w:hAnsi="Book Antiqua" w:cs="Book Antiqua"/>
          <w:bCs/>
          <w:color w:val="000000"/>
        </w:rPr>
        <w:t xml:space="preserve">Xu HP and </w:t>
      </w:r>
      <w:proofErr w:type="spellStart"/>
      <w:r w:rsidR="00DA5B9B" w:rsidRPr="00DA5B9B">
        <w:rPr>
          <w:rFonts w:ascii="Book Antiqua" w:eastAsia="Book Antiqua" w:hAnsi="Book Antiqua" w:cs="Book Antiqua"/>
          <w:bCs/>
          <w:color w:val="000000"/>
        </w:rPr>
        <w:t>Zhuo</w:t>
      </w:r>
      <w:proofErr w:type="spellEnd"/>
      <w:r w:rsidR="00DA5B9B" w:rsidRPr="00DA5B9B">
        <w:rPr>
          <w:rFonts w:ascii="Book Antiqua" w:eastAsia="Book Antiqua" w:hAnsi="Book Antiqua" w:cs="Book Antiqua"/>
          <w:bCs/>
          <w:color w:val="000000"/>
        </w:rPr>
        <w:t xml:space="preserve"> XA contributed equally to this manuscript, and considered as co-first authors;</w:t>
      </w:r>
      <w:r w:rsidR="00DA5B9B">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Xu HP, </w:t>
      </w:r>
      <w:proofErr w:type="spellStart"/>
      <w:r w:rsidRPr="008F20DF">
        <w:rPr>
          <w:rFonts w:ascii="Book Antiqua" w:eastAsia="Book Antiqua" w:hAnsi="Book Antiqua" w:cs="Book Antiqua"/>
          <w:color w:val="000000"/>
        </w:rPr>
        <w:t>Zhuo</w:t>
      </w:r>
      <w:proofErr w:type="spellEnd"/>
      <w:r w:rsidRPr="008F20DF">
        <w:rPr>
          <w:rFonts w:ascii="Book Antiqua" w:eastAsia="Book Antiqua" w:hAnsi="Book Antiqua" w:cs="Book Antiqua"/>
          <w:color w:val="000000"/>
        </w:rPr>
        <w:t xml:space="preserve"> XA, Yao JJ, Wu DY, Wang X, He P, and Ouyang YH collected and analyzed data and wrote the manuscript</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all the authors approved the final version of the manuscript.</w:t>
      </w:r>
    </w:p>
    <w:p w14:paraId="600A7D94" w14:textId="77777777" w:rsidR="00A77B3E" w:rsidRPr="008F20DF" w:rsidRDefault="00A77B3E" w:rsidP="008F20DF">
      <w:pPr>
        <w:snapToGrid w:val="0"/>
        <w:spacing w:line="360" w:lineRule="auto"/>
        <w:jc w:val="both"/>
        <w:rPr>
          <w:rFonts w:ascii="Book Antiqua" w:hAnsi="Book Antiqua"/>
        </w:rPr>
      </w:pPr>
    </w:p>
    <w:p w14:paraId="0D80768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Corresponding author: Yan-Hong Ouyang, MD, Chief Physician, </w:t>
      </w:r>
      <w:r w:rsidRPr="008F20DF">
        <w:rPr>
          <w:rFonts w:ascii="Book Antiqua" w:eastAsia="Book Antiqua" w:hAnsi="Book Antiqua" w:cs="Book Antiqua"/>
          <w:color w:val="000000"/>
        </w:rPr>
        <w:t xml:space="preserve">Department of Emergency Medicine, Hainan General Hospital/Hainan Affiliated Hospital of Hainan Medical University, No. 31 </w:t>
      </w:r>
      <w:proofErr w:type="spellStart"/>
      <w:r w:rsidR="00DA5B9B">
        <w:rPr>
          <w:rFonts w:ascii="Book Antiqua" w:eastAsia="Book Antiqua" w:hAnsi="Book Antiqua" w:cs="Book Antiqua"/>
          <w:color w:val="000000"/>
        </w:rPr>
        <w:t>Xiu</w:t>
      </w:r>
      <w:r w:rsidRPr="008F20DF">
        <w:rPr>
          <w:rFonts w:ascii="Book Antiqua" w:eastAsia="Book Antiqua" w:hAnsi="Book Antiqua" w:cs="Book Antiqua"/>
          <w:color w:val="000000"/>
        </w:rPr>
        <w:t>hua</w:t>
      </w:r>
      <w:proofErr w:type="spellEnd"/>
      <w:r w:rsidRPr="008F20DF">
        <w:rPr>
          <w:rFonts w:ascii="Book Antiqua" w:eastAsia="Book Antiqua" w:hAnsi="Book Antiqua" w:cs="Book Antiqua"/>
          <w:color w:val="000000"/>
        </w:rPr>
        <w:t xml:space="preserve"> Road, </w:t>
      </w:r>
      <w:proofErr w:type="spellStart"/>
      <w:r w:rsidRPr="008F20DF">
        <w:rPr>
          <w:rFonts w:ascii="Book Antiqua" w:eastAsia="Book Antiqua" w:hAnsi="Book Antiqua" w:cs="Book Antiqua"/>
          <w:color w:val="000000"/>
        </w:rPr>
        <w:t>Xiuying</w:t>
      </w:r>
      <w:proofErr w:type="spellEnd"/>
      <w:r w:rsidRPr="008F20DF">
        <w:rPr>
          <w:rFonts w:ascii="Book Antiqua" w:eastAsia="Book Antiqua" w:hAnsi="Book Antiqua" w:cs="Book Antiqua"/>
          <w:color w:val="000000"/>
        </w:rPr>
        <w:t xml:space="preserve"> District, Haikou 570311, Hainan Province, China. ouyang1893@126.com</w:t>
      </w:r>
    </w:p>
    <w:p w14:paraId="144FDFA1" w14:textId="77777777" w:rsidR="00A77B3E" w:rsidRPr="008F20DF" w:rsidRDefault="00A77B3E" w:rsidP="008F20DF">
      <w:pPr>
        <w:snapToGrid w:val="0"/>
        <w:spacing w:line="360" w:lineRule="auto"/>
        <w:jc w:val="both"/>
        <w:rPr>
          <w:rFonts w:ascii="Book Antiqua" w:hAnsi="Book Antiqua"/>
        </w:rPr>
      </w:pPr>
    </w:p>
    <w:p w14:paraId="5742DB02"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Received: </w:t>
      </w:r>
      <w:r w:rsidRPr="008F20DF">
        <w:rPr>
          <w:rFonts w:ascii="Book Antiqua" w:eastAsia="Book Antiqua" w:hAnsi="Book Antiqua" w:cs="Book Antiqua"/>
          <w:color w:val="000000"/>
        </w:rPr>
        <w:t>February 18, 2021</w:t>
      </w:r>
    </w:p>
    <w:p w14:paraId="3AD8CC6B" w14:textId="77777777" w:rsidR="00A77B3E" w:rsidRPr="008F20DF" w:rsidRDefault="008D15FE" w:rsidP="008F20DF">
      <w:pPr>
        <w:snapToGrid w:val="0"/>
        <w:spacing w:line="360" w:lineRule="auto"/>
        <w:jc w:val="both"/>
        <w:rPr>
          <w:rFonts w:ascii="Book Antiqua" w:hAnsi="Book Antiqua"/>
          <w:lang w:eastAsia="zh-CN"/>
        </w:rPr>
      </w:pPr>
      <w:r w:rsidRPr="008F20DF">
        <w:rPr>
          <w:rFonts w:ascii="Book Antiqua" w:eastAsia="Book Antiqua" w:hAnsi="Book Antiqua" w:cs="Book Antiqua"/>
          <w:b/>
          <w:bCs/>
          <w:color w:val="000000"/>
        </w:rPr>
        <w:t xml:space="preserve">Revised: </w:t>
      </w:r>
      <w:r w:rsidR="00F75085" w:rsidRPr="008F20DF">
        <w:rPr>
          <w:rFonts w:ascii="Book Antiqua" w:eastAsia="Book Antiqua" w:hAnsi="Book Antiqua" w:cs="Book Antiqua"/>
          <w:bCs/>
          <w:color w:val="000000"/>
        </w:rPr>
        <w:t>March 9</w:t>
      </w:r>
      <w:r w:rsidR="00F75085" w:rsidRPr="008F20DF">
        <w:rPr>
          <w:rFonts w:ascii="Book Antiqua" w:eastAsia="Book Antiqua" w:hAnsi="Book Antiqua" w:cs="Book Antiqua"/>
          <w:color w:val="000000"/>
        </w:rPr>
        <w:t xml:space="preserve">, </w:t>
      </w:r>
      <w:r w:rsidR="00F75085" w:rsidRPr="008F20DF">
        <w:rPr>
          <w:rFonts w:ascii="Book Antiqua" w:hAnsi="Book Antiqua" w:cs="Book Antiqua"/>
          <w:bCs/>
          <w:color w:val="000000"/>
          <w:lang w:eastAsia="zh-CN"/>
        </w:rPr>
        <w:t>2021</w:t>
      </w:r>
    </w:p>
    <w:p w14:paraId="2A2705E8" w14:textId="56181375"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Accepted: </w:t>
      </w:r>
      <w:r w:rsidR="00FF2BCB" w:rsidRPr="00FF2BCB">
        <w:rPr>
          <w:rFonts w:ascii="Book Antiqua" w:eastAsia="Book Antiqua" w:hAnsi="Book Antiqua" w:cs="Book Antiqua"/>
          <w:color w:val="000000"/>
        </w:rPr>
        <w:t>March 12, 2021</w:t>
      </w:r>
    </w:p>
    <w:p w14:paraId="361A5160" w14:textId="19477642" w:rsidR="00A77B3E" w:rsidRPr="00D10847"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Published online: </w:t>
      </w:r>
      <w:r w:rsidR="00D10847" w:rsidRPr="00D10847">
        <w:rPr>
          <w:rFonts w:ascii="Book Antiqua" w:eastAsia="Book Antiqua" w:hAnsi="Book Antiqua" w:cs="Book Antiqua"/>
          <w:bCs/>
          <w:color w:val="000000"/>
        </w:rPr>
        <w:t>May 6, 2021</w:t>
      </w:r>
    </w:p>
    <w:p w14:paraId="2AB09D47" w14:textId="77777777" w:rsidR="00A77B3E" w:rsidRPr="008F20DF" w:rsidRDefault="00A77B3E" w:rsidP="008F20DF">
      <w:pPr>
        <w:snapToGrid w:val="0"/>
        <w:spacing w:line="360" w:lineRule="auto"/>
        <w:jc w:val="both"/>
        <w:rPr>
          <w:rFonts w:ascii="Book Antiqua" w:hAnsi="Book Antiqua"/>
        </w:rPr>
        <w:sectPr w:rsidR="00A77B3E" w:rsidRPr="008F20DF" w:rsidSect="008F20DF">
          <w:footerReference w:type="default" r:id="rId7"/>
          <w:type w:val="continuous"/>
          <w:pgSz w:w="12240" w:h="15840"/>
          <w:pgMar w:top="1440" w:right="1800" w:bottom="1440" w:left="1800" w:header="720" w:footer="720" w:gutter="0"/>
          <w:cols w:space="720"/>
          <w:docGrid w:linePitch="360"/>
        </w:sectPr>
      </w:pPr>
    </w:p>
    <w:p w14:paraId="548E789F" w14:textId="77777777" w:rsidR="00A77B3E" w:rsidRPr="008F20DF" w:rsidRDefault="008F20DF" w:rsidP="008F20DF">
      <w:pPr>
        <w:snapToGrid w:val="0"/>
        <w:spacing w:line="360" w:lineRule="auto"/>
        <w:jc w:val="both"/>
        <w:rPr>
          <w:rFonts w:ascii="Book Antiqua" w:hAnsi="Book Antiqua"/>
        </w:rPr>
      </w:pPr>
      <w:r>
        <w:rPr>
          <w:rFonts w:ascii="Book Antiqua" w:eastAsia="Book Antiqua" w:hAnsi="Book Antiqua" w:cs="Book Antiqua"/>
          <w:b/>
          <w:color w:val="000000"/>
        </w:rPr>
        <w:br w:type="page"/>
      </w:r>
      <w:r w:rsidR="008D15FE" w:rsidRPr="008F20DF">
        <w:rPr>
          <w:rFonts w:ascii="Book Antiqua" w:eastAsia="Book Antiqua" w:hAnsi="Book Antiqua" w:cs="Book Antiqua"/>
          <w:b/>
          <w:color w:val="000000"/>
        </w:rPr>
        <w:t>Abstract</w:t>
      </w:r>
    </w:p>
    <w:p w14:paraId="78B63EB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BACKGROUND</w:t>
      </w:r>
    </w:p>
    <w:p w14:paraId="0290828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Sepsis usually causes hemodynamic abnormalities. Hemodynamic index is one of the factors to identify the severity of sepsis and an important parameter to guide the procedure of fluid resuscitation. The present study investigated whether the assessment of hemodynamic indices can predict the outcomes of septic patients undergoing resuscitation therapy.</w:t>
      </w:r>
    </w:p>
    <w:p w14:paraId="7CEBD6FE" w14:textId="77777777" w:rsidR="00A77B3E" w:rsidRPr="008F20DF" w:rsidRDefault="00A77B3E" w:rsidP="008F20DF">
      <w:pPr>
        <w:snapToGrid w:val="0"/>
        <w:spacing w:line="360" w:lineRule="auto"/>
        <w:jc w:val="both"/>
        <w:rPr>
          <w:rFonts w:ascii="Book Antiqua" w:hAnsi="Book Antiqua"/>
        </w:rPr>
      </w:pPr>
    </w:p>
    <w:p w14:paraId="7EA3D4B2"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AIM</w:t>
      </w:r>
    </w:p>
    <w:p w14:paraId="6E239C55" w14:textId="4C9CEB0F" w:rsidR="00A77B3E" w:rsidRPr="008F20DF" w:rsidRDefault="008D15FE" w:rsidP="008F20DF">
      <w:pPr>
        <w:snapToGrid w:val="0"/>
        <w:spacing w:line="360" w:lineRule="auto"/>
        <w:jc w:val="both"/>
        <w:rPr>
          <w:rFonts w:ascii="Book Antiqua" w:hAnsi="Book Antiqua"/>
        </w:rPr>
      </w:pPr>
      <w:proofErr w:type="gramStart"/>
      <w:r w:rsidRPr="008F20DF">
        <w:rPr>
          <w:rFonts w:ascii="Book Antiqua" w:eastAsia="Book Antiqua" w:hAnsi="Book Antiqua" w:cs="Book Antiqua"/>
          <w:color w:val="000000"/>
        </w:rPr>
        <w:t>To evaluate the prognostic value of 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in patients with sepsis after fluid resuscitation.</w:t>
      </w:r>
      <w:proofErr w:type="gramEnd"/>
    </w:p>
    <w:p w14:paraId="673169D4" w14:textId="77777777" w:rsidR="00A77B3E" w:rsidRPr="008F20DF" w:rsidRDefault="00A77B3E" w:rsidP="008F20DF">
      <w:pPr>
        <w:snapToGrid w:val="0"/>
        <w:spacing w:line="360" w:lineRule="auto"/>
        <w:jc w:val="both"/>
        <w:rPr>
          <w:rFonts w:ascii="Book Antiqua" w:hAnsi="Book Antiqua"/>
        </w:rPr>
      </w:pPr>
    </w:p>
    <w:p w14:paraId="6DB5DB1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METHODS</w:t>
      </w:r>
    </w:p>
    <w:p w14:paraId="74A29223" w14:textId="015413B3" w:rsidR="00A77B3E" w:rsidRPr="008F20DF" w:rsidRDefault="008D15FE" w:rsidP="008F20DF">
      <w:pPr>
        <w:snapToGrid w:val="0"/>
        <w:spacing w:line="360" w:lineRule="auto"/>
        <w:jc w:val="both"/>
        <w:rPr>
          <w:rFonts w:ascii="Book Antiqua" w:hAnsi="Book Antiqua"/>
        </w:rPr>
      </w:pPr>
      <w:bookmarkStart w:id="0" w:name="OLE_LINK1"/>
      <w:bookmarkStart w:id="1" w:name="OLE_LINK2"/>
      <w:r w:rsidRPr="008F20DF">
        <w:rPr>
          <w:rFonts w:ascii="Book Antiqua" w:eastAsia="Book Antiqua" w:hAnsi="Book Antiqua" w:cs="Book Antiqua"/>
          <w:color w:val="000000"/>
        </w:rPr>
        <w:t>A retrospective study was conducted in 120 patients with sepsis at Hainan General Hospital/Hainan Affiliated Hospital of Hainan Medical University between October 2016 and October 2019. All patients were treated with sodium chloride combined with dextran glucose injection for fluid resuscitation. Patients’ hemodynamic parameters were monitored</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including heart rate (HR), cardiac index (CI), </w:t>
      </w:r>
      <w:proofErr w:type="gramStart"/>
      <w:r w:rsidRPr="008F20DF">
        <w:rPr>
          <w:rFonts w:ascii="Book Antiqua" w:eastAsia="Book Antiqua" w:hAnsi="Book Antiqua" w:cs="Book Antiqua"/>
          <w:color w:val="000000"/>
        </w:rPr>
        <w:t>systemic</w:t>
      </w:r>
      <w:proofErr w:type="gramEnd"/>
      <w:r w:rsidRPr="008F20DF">
        <w:rPr>
          <w:rFonts w:ascii="Book Antiqua" w:eastAsia="Book Antiqua" w:hAnsi="Book Antiqua" w:cs="Book Antiqua"/>
          <w:color w:val="000000"/>
        </w:rPr>
        <w:t xml:space="preserve"> vascular resistance index (SVRI), mean arterial pressure (MAP), central venous pressure (CVP)</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oxygen saturation. The prognostic value of hemodynamic indices </w:t>
      </w:r>
      <w:r w:rsidR="00A9181B" w:rsidRPr="008F20DF">
        <w:rPr>
          <w:rFonts w:ascii="Book Antiqua" w:eastAsia="Book Antiqua" w:hAnsi="Book Antiqua" w:cs="Book Antiqua"/>
          <w:color w:val="000000"/>
        </w:rPr>
        <w:t>w</w:t>
      </w:r>
      <w:r w:rsidR="00A9181B">
        <w:rPr>
          <w:rFonts w:ascii="Book Antiqua" w:eastAsia="Book Antiqua" w:hAnsi="Book Antiqua" w:cs="Book Antiqua"/>
          <w:color w:val="000000"/>
        </w:rPr>
        <w:t>as</w:t>
      </w:r>
      <w:r w:rsidR="00A9181B"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determined based on the prognosis status.</w:t>
      </w:r>
    </w:p>
    <w:bookmarkEnd w:id="0"/>
    <w:bookmarkEnd w:id="1"/>
    <w:p w14:paraId="1BCD3CEE" w14:textId="77777777" w:rsidR="00A77B3E" w:rsidRPr="008F20DF" w:rsidRDefault="00A77B3E" w:rsidP="008F20DF">
      <w:pPr>
        <w:snapToGrid w:val="0"/>
        <w:spacing w:line="360" w:lineRule="auto"/>
        <w:jc w:val="both"/>
        <w:rPr>
          <w:rFonts w:ascii="Book Antiqua" w:hAnsi="Book Antiqua"/>
        </w:rPr>
      </w:pPr>
    </w:p>
    <w:p w14:paraId="2BA745D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RESULTS</w:t>
      </w:r>
    </w:p>
    <w:p w14:paraId="4B2DFDC0" w14:textId="33123782" w:rsidR="00A77B3E" w:rsidRPr="008F20DF" w:rsidRDefault="008D15FE" w:rsidP="008F20DF">
      <w:pPr>
        <w:snapToGrid w:val="0"/>
        <w:spacing w:line="360" w:lineRule="auto"/>
        <w:jc w:val="both"/>
        <w:rPr>
          <w:rFonts w:ascii="Book Antiqua" w:hAnsi="Book Antiqua"/>
        </w:rPr>
      </w:pPr>
      <w:bookmarkStart w:id="2" w:name="OLE_LINK3"/>
      <w:bookmarkStart w:id="3" w:name="OLE_LINK4"/>
      <w:r w:rsidRPr="008F20DF">
        <w:rPr>
          <w:rFonts w:ascii="Book Antiqua" w:eastAsia="Book Antiqua" w:hAnsi="Book Antiqua" w:cs="Book Antiqua"/>
          <w:color w:val="000000"/>
        </w:rPr>
        <w:t xml:space="preserve">During fluid resuscitation, </w:t>
      </w:r>
      <w:r w:rsidR="00A9181B" w:rsidRPr="008F20DF">
        <w:rPr>
          <w:rFonts w:ascii="Book Antiqua" w:eastAsia="Book Antiqua" w:hAnsi="Book Antiqua" w:cs="Book Antiqua"/>
          <w:color w:val="000000"/>
        </w:rPr>
        <w:t xml:space="preserve">86 patients </w:t>
      </w:r>
      <w:r w:rsidR="00A9181B">
        <w:rPr>
          <w:rFonts w:ascii="Book Antiqua" w:eastAsia="Book Antiqua" w:hAnsi="Book Antiqua" w:cs="Book Antiqua"/>
          <w:color w:val="000000"/>
        </w:rPr>
        <w:t xml:space="preserve">developed </w:t>
      </w:r>
      <w:r w:rsidRPr="008F20DF">
        <w:rPr>
          <w:rFonts w:ascii="Book Antiqua" w:eastAsia="Book Antiqua" w:hAnsi="Book Antiqua" w:cs="Book Antiqua"/>
          <w:color w:val="000000"/>
        </w:rPr>
        <w:t>septic shock</w:t>
      </w:r>
      <w:r w:rsidR="00A9181B">
        <w:rPr>
          <w:rFonts w:ascii="Book Antiqua" w:eastAsia="Book Antiqua" w:hAnsi="Book Antiqua" w:cs="Book Antiqua"/>
          <w:color w:val="000000"/>
        </w:rPr>
        <w:t xml:space="preserve"> and </w:t>
      </w:r>
      <w:r w:rsidRPr="008F20DF">
        <w:rPr>
          <w:rFonts w:ascii="Book Antiqua" w:eastAsia="Book Antiqua" w:hAnsi="Book Antiqua" w:cs="Book Antiqua"/>
          <w:color w:val="000000"/>
        </w:rPr>
        <w:t xml:space="preserve">34 </w:t>
      </w:r>
      <w:r w:rsidR="00A9181B">
        <w:rPr>
          <w:rFonts w:ascii="Book Antiqua" w:eastAsia="Book Antiqua" w:hAnsi="Book Antiqua" w:cs="Book Antiqua"/>
          <w:color w:val="000000"/>
        </w:rPr>
        <w:t>did not</w:t>
      </w:r>
      <w:r w:rsidRPr="008F20DF">
        <w:rPr>
          <w:rFonts w:ascii="Book Antiqua" w:eastAsia="Book Antiqua" w:hAnsi="Book Antiqua" w:cs="Book Antiqua"/>
          <w:color w:val="000000"/>
        </w:rPr>
        <w:t xml:space="preserve">. Ninety-nine patients survived and 21 patients died at 28 d after the treatment. </w:t>
      </w:r>
      <w:r w:rsidR="002A6065" w:rsidRPr="008F20DF">
        <w:rPr>
          <w:rFonts w:ascii="Book Antiqua" w:eastAsia="Book Antiqua" w:hAnsi="Book Antiqua" w:cs="Book Antiqua"/>
          <w:color w:val="000000"/>
        </w:rPr>
        <w:t>Heart rate</w:t>
      </w:r>
      <w:r w:rsidRPr="008F20DF">
        <w:rPr>
          <w:rFonts w:ascii="Book Antiqua" w:eastAsia="Book Antiqua" w:hAnsi="Book Antiqua" w:cs="Book Antiqua"/>
          <w:color w:val="000000"/>
        </w:rPr>
        <w:t xml:space="preserve">, CI, </w:t>
      </w:r>
      <w:r w:rsidR="002A6065" w:rsidRPr="008F20DF">
        <w:rPr>
          <w:rFonts w:ascii="Book Antiqua" w:eastAsia="Book Antiqua" w:hAnsi="Book Antiqua" w:cs="Book Antiqua"/>
          <w:color w:val="000000"/>
        </w:rPr>
        <w:t>mean arterial pressure</w:t>
      </w:r>
      <w:r w:rsidRPr="008F20DF">
        <w:rPr>
          <w:rFonts w:ascii="Book Antiqua" w:eastAsia="Book Antiqua" w:hAnsi="Book Antiqua" w:cs="Book Antiqua"/>
          <w:color w:val="000000"/>
        </w:rPr>
        <w:t>, SVRI</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in patients with septic shock and patients</w:t>
      </w:r>
      <w:r w:rsidR="00A9181B">
        <w:rPr>
          <w:rFonts w:ascii="Book Antiqua" w:eastAsia="Book Antiqua" w:hAnsi="Book Antiqua" w:cs="Book Antiqua"/>
          <w:color w:val="000000"/>
        </w:rPr>
        <w:t xml:space="preserve"> who</w:t>
      </w:r>
      <w:r w:rsidRPr="008F20DF">
        <w:rPr>
          <w:rFonts w:ascii="Book Antiqua" w:eastAsia="Book Antiqua" w:hAnsi="Book Antiqua" w:cs="Book Antiqua"/>
          <w:color w:val="000000"/>
        </w:rPr>
        <w:t xml:space="preserve"> died from septic shock than in non-shock patients and patients</w:t>
      </w:r>
      <w:r w:rsidR="00A9181B">
        <w:rPr>
          <w:rFonts w:ascii="Book Antiqua" w:eastAsia="Book Antiqua" w:hAnsi="Book Antiqua" w:cs="Book Antiqua"/>
          <w:color w:val="000000"/>
        </w:rPr>
        <w:t xml:space="preserve"> who</w:t>
      </w:r>
      <w:r w:rsidRPr="008F20DF">
        <w:rPr>
          <w:rFonts w:ascii="Book Antiqua" w:eastAsia="Book Antiqua" w:hAnsi="Book Antiqua" w:cs="Book Antiqua"/>
          <w:color w:val="000000"/>
        </w:rPr>
        <w:t xml:space="preserve"> survived, and </w:t>
      </w:r>
      <w:r w:rsidR="002A6065" w:rsidRPr="008F20DF">
        <w:rPr>
          <w:rFonts w:ascii="Book Antiqua" w:eastAsia="Book Antiqua" w:hAnsi="Book Antiqua" w:cs="Book Antiqua"/>
          <w:color w:val="000000"/>
        </w:rPr>
        <w:t>central venous oxygen saturation</w:t>
      </w:r>
      <w:r w:rsidRPr="008F20DF">
        <w:rPr>
          <w:rFonts w:ascii="Book Antiqua" w:eastAsia="Book Antiqua" w:hAnsi="Book Antiqua" w:cs="Book Antiqua"/>
          <w:color w:val="000000"/>
        </w:rPr>
        <w:t xml:space="preserve"> was lower in patients with shock and patients </w:t>
      </w:r>
      <w:r w:rsidR="00A9181B">
        <w:rPr>
          <w:rFonts w:ascii="Book Antiqua" w:eastAsia="Book Antiqua" w:hAnsi="Book Antiqua" w:cs="Book Antiqua"/>
          <w:color w:val="000000"/>
        </w:rPr>
        <w:t xml:space="preserve">who </w:t>
      </w:r>
      <w:r w:rsidRPr="008F20DF">
        <w:rPr>
          <w:rFonts w:ascii="Book Antiqua" w:eastAsia="Book Antiqua" w:hAnsi="Book Antiqua" w:cs="Book Antiqua"/>
          <w:color w:val="000000"/>
        </w:rPr>
        <w:t>died than in non-shock patients and the survivors (</w:t>
      </w:r>
      <w:r w:rsidRPr="008F20DF">
        <w:rPr>
          <w:rFonts w:ascii="Book Antiqua" w:eastAsia="Book Antiqua" w:hAnsi="Book Antiqua" w:cs="Book Antiqua"/>
          <w:i/>
          <w:iCs/>
          <w:color w:val="000000"/>
        </w:rPr>
        <w:t xml:space="preserve">P </w:t>
      </w:r>
      <w:r w:rsidRPr="008F20DF">
        <w:rPr>
          <w:rFonts w:ascii="Book Antiqua" w:eastAsia="Book Antiqua" w:hAnsi="Book Antiqua" w:cs="Book Antiqua"/>
          <w:color w:val="000000"/>
        </w:rPr>
        <w:t>&lt; 0.05). When prognosis was considered as a dependent variable and hemodynamic parameters was considered as independent variables, the results of a logistic regression analysis showed that CI, SVRI</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independent risk factors for septic shock, and CI was an in</w:t>
      </w:r>
      <w:r w:rsidR="002A6065" w:rsidRPr="008F20DF">
        <w:rPr>
          <w:rFonts w:ascii="Book Antiqua" w:eastAsia="Book Antiqua" w:hAnsi="Book Antiqua" w:cs="Book Antiqua"/>
          <w:color w:val="000000"/>
        </w:rPr>
        <w:t>dependent risk factor for 28-d</w:t>
      </w:r>
      <w:r w:rsidRPr="008F20DF">
        <w:rPr>
          <w:rFonts w:ascii="Book Antiqua" w:eastAsia="Book Antiqua" w:hAnsi="Book Antiqua" w:cs="Book Antiqua"/>
          <w:color w:val="000000"/>
        </w:rPr>
        <w:t xml:space="preserve"> mortality (</w:t>
      </w:r>
      <w:r w:rsidRPr="008F20DF">
        <w:rPr>
          <w:rFonts w:ascii="Book Antiqua" w:eastAsia="Book Antiqua" w:hAnsi="Book Antiqua" w:cs="Book Antiqua"/>
          <w:i/>
          <w:iCs/>
          <w:color w:val="000000"/>
        </w:rPr>
        <w:t xml:space="preserve">P </w:t>
      </w:r>
      <w:r w:rsidRPr="008F20DF">
        <w:rPr>
          <w:rFonts w:ascii="Book Antiqua" w:eastAsia="Book Antiqua" w:hAnsi="Book Antiqua" w:cs="Book Antiqua"/>
          <w:color w:val="000000"/>
        </w:rPr>
        <w:t>&lt; 0.05).</w:t>
      </w:r>
    </w:p>
    <w:bookmarkEnd w:id="2"/>
    <w:bookmarkEnd w:id="3"/>
    <w:p w14:paraId="3E6C89A3" w14:textId="77777777" w:rsidR="00A77B3E" w:rsidRPr="008F20DF" w:rsidRDefault="00A77B3E" w:rsidP="008F20DF">
      <w:pPr>
        <w:snapToGrid w:val="0"/>
        <w:spacing w:line="360" w:lineRule="auto"/>
        <w:jc w:val="both"/>
        <w:rPr>
          <w:rFonts w:ascii="Book Antiqua" w:hAnsi="Book Antiqua"/>
        </w:rPr>
      </w:pPr>
    </w:p>
    <w:p w14:paraId="64E918B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CONCLUSION</w:t>
      </w:r>
    </w:p>
    <w:p w14:paraId="5D6610E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can be used to evaluate the prognosis of septic patients after fluid resuscitation.</w:t>
      </w:r>
    </w:p>
    <w:p w14:paraId="2FA34164" w14:textId="77777777" w:rsidR="00A77B3E" w:rsidRPr="008F20DF" w:rsidRDefault="00A77B3E" w:rsidP="008F20DF">
      <w:pPr>
        <w:snapToGrid w:val="0"/>
        <w:spacing w:line="360" w:lineRule="auto"/>
        <w:jc w:val="both"/>
        <w:rPr>
          <w:rFonts w:ascii="Book Antiqua" w:hAnsi="Book Antiqua"/>
        </w:rPr>
      </w:pPr>
    </w:p>
    <w:p w14:paraId="25105A2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Key Words: </w:t>
      </w:r>
      <w:r w:rsidRPr="008F20DF">
        <w:rPr>
          <w:rFonts w:ascii="Book Antiqua" w:eastAsia="Book Antiqua" w:hAnsi="Book Antiqua" w:cs="Book Antiqua"/>
          <w:color w:val="000000"/>
        </w:rPr>
        <w:t>Sepsis; Fluid resuscitation; Cardiac index; Systemic vascular resistance index; Mean arterial pressure</w:t>
      </w:r>
    </w:p>
    <w:p w14:paraId="7F5EF57C" w14:textId="77777777" w:rsidR="00A77B3E" w:rsidRDefault="00A77B3E" w:rsidP="008F20DF">
      <w:pPr>
        <w:snapToGrid w:val="0"/>
        <w:spacing w:line="360" w:lineRule="auto"/>
        <w:jc w:val="both"/>
        <w:rPr>
          <w:rFonts w:ascii="Book Antiqua" w:hAnsi="Book Antiqua" w:hint="eastAsia"/>
          <w:lang w:eastAsia="zh-CN"/>
        </w:rPr>
      </w:pPr>
    </w:p>
    <w:p w14:paraId="6193331E" w14:textId="224ABF12" w:rsidR="007824EE" w:rsidRDefault="007824EE" w:rsidP="008F20DF">
      <w:pPr>
        <w:snapToGrid w:val="0"/>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2890CE69" w14:textId="77777777" w:rsidR="007824EE" w:rsidRPr="007824EE" w:rsidRDefault="007824EE" w:rsidP="008F20DF">
      <w:pPr>
        <w:snapToGrid w:val="0"/>
        <w:spacing w:line="360" w:lineRule="auto"/>
        <w:jc w:val="both"/>
        <w:rPr>
          <w:rFonts w:ascii="Book Antiqua" w:hAnsi="Book Antiqua" w:hint="eastAsia"/>
          <w:lang w:eastAsia="zh-CN"/>
        </w:rPr>
      </w:pPr>
    </w:p>
    <w:p w14:paraId="78FC9127" w14:textId="50C893CF" w:rsidR="00A77B3E" w:rsidRPr="007824EE" w:rsidRDefault="008D15FE" w:rsidP="008F20DF">
      <w:pPr>
        <w:snapToGrid w:val="0"/>
        <w:spacing w:line="360" w:lineRule="auto"/>
        <w:jc w:val="both"/>
        <w:rPr>
          <w:rFonts w:ascii="Book Antiqua" w:hAnsi="Book Antiqua" w:hint="eastAsia"/>
          <w:lang w:eastAsia="zh-CN"/>
        </w:rPr>
      </w:pPr>
      <w:proofErr w:type="gramStart"/>
      <w:r w:rsidRPr="008F20DF">
        <w:rPr>
          <w:rFonts w:ascii="Book Antiqua" w:eastAsia="Book Antiqua" w:hAnsi="Book Antiqua" w:cs="Book Antiqua"/>
          <w:color w:val="000000"/>
        </w:rPr>
        <w:t xml:space="preserve">Xu HP, </w:t>
      </w:r>
      <w:proofErr w:type="spellStart"/>
      <w:r w:rsidRPr="008F20DF">
        <w:rPr>
          <w:rFonts w:ascii="Book Antiqua" w:eastAsia="Book Antiqua" w:hAnsi="Book Antiqua" w:cs="Book Antiqua"/>
          <w:color w:val="000000"/>
        </w:rPr>
        <w:t>Zhuo</w:t>
      </w:r>
      <w:proofErr w:type="spellEnd"/>
      <w:r w:rsidRPr="008F20DF">
        <w:rPr>
          <w:rFonts w:ascii="Book Antiqua" w:eastAsia="Book Antiqua" w:hAnsi="Book Antiqua" w:cs="Book Antiqua"/>
          <w:color w:val="000000"/>
        </w:rPr>
        <w:t xml:space="preserve"> XA, Yao JJ, Wu DY, Wang X, He P, Ouyang YH.</w:t>
      </w:r>
      <w:proofErr w:type="gramEnd"/>
      <w:r w:rsidRPr="008F20DF">
        <w:rPr>
          <w:rFonts w:ascii="Book Antiqua" w:eastAsia="Book Antiqua" w:hAnsi="Book Antiqua" w:cs="Book Antiqua"/>
          <w:color w:val="000000"/>
        </w:rPr>
        <w:t xml:space="preserve"> </w:t>
      </w:r>
      <w:proofErr w:type="gramStart"/>
      <w:r w:rsidRPr="008F20DF">
        <w:rPr>
          <w:rFonts w:ascii="Book Antiqua" w:eastAsia="Book Antiqua" w:hAnsi="Book Antiqua" w:cs="Book Antiqua"/>
          <w:color w:val="000000"/>
        </w:rPr>
        <w:t>Prognostic value of hemodynamic indices in patients with sepsis after fluid resuscitation.</w:t>
      </w:r>
      <w:proofErr w:type="gramEnd"/>
      <w:r w:rsidRPr="008F20DF">
        <w:rPr>
          <w:rFonts w:ascii="Book Antiqua" w:eastAsia="Book Antiqua" w:hAnsi="Book Antiqua" w:cs="Book Antiqua"/>
          <w:color w:val="000000"/>
        </w:rPr>
        <w:t xml:space="preserve"> </w:t>
      </w:r>
      <w:r w:rsidRPr="008F20DF">
        <w:rPr>
          <w:rFonts w:ascii="Book Antiqua" w:eastAsia="Book Antiqua" w:hAnsi="Book Antiqua" w:cs="Book Antiqua"/>
          <w:i/>
          <w:iCs/>
          <w:color w:val="000000"/>
        </w:rPr>
        <w:t xml:space="preserve">World J </w:t>
      </w:r>
      <w:proofErr w:type="spellStart"/>
      <w:r w:rsidRPr="008F20DF">
        <w:rPr>
          <w:rFonts w:ascii="Book Antiqua" w:eastAsia="Book Antiqua" w:hAnsi="Book Antiqua" w:cs="Book Antiqua"/>
          <w:i/>
          <w:iCs/>
          <w:color w:val="000000"/>
        </w:rPr>
        <w:t>Clin</w:t>
      </w:r>
      <w:proofErr w:type="spellEnd"/>
      <w:r w:rsidRPr="008F20DF">
        <w:rPr>
          <w:rFonts w:ascii="Book Antiqua" w:eastAsia="Book Antiqua" w:hAnsi="Book Antiqua" w:cs="Book Antiqua"/>
          <w:i/>
          <w:iCs/>
          <w:color w:val="000000"/>
        </w:rPr>
        <w:t xml:space="preserve"> Cases</w:t>
      </w:r>
      <w:r w:rsidRPr="008F20DF">
        <w:rPr>
          <w:rFonts w:ascii="Book Antiqua" w:eastAsia="Book Antiqua" w:hAnsi="Book Antiqua" w:cs="Book Antiqua"/>
          <w:color w:val="000000"/>
        </w:rPr>
        <w:t xml:space="preserve"> 2021; </w:t>
      </w:r>
      <w:r w:rsidR="00D10847" w:rsidRPr="00D10847">
        <w:rPr>
          <w:rFonts w:ascii="Book Antiqua" w:eastAsia="Book Antiqua" w:hAnsi="Book Antiqua" w:cs="Book Antiqua"/>
          <w:color w:val="000000"/>
        </w:rPr>
        <w:t xml:space="preserve">9(13): </w:t>
      </w:r>
      <w:r w:rsidR="00A50FF5">
        <w:rPr>
          <w:rFonts w:ascii="Book Antiqua" w:hAnsi="Book Antiqua" w:cs="Book Antiqua" w:hint="eastAsia"/>
          <w:color w:val="000000"/>
          <w:lang w:eastAsia="zh-CN"/>
        </w:rPr>
        <w:t>3008-</w:t>
      </w:r>
      <w:r w:rsidR="007824EE">
        <w:rPr>
          <w:rFonts w:ascii="Book Antiqua" w:hAnsi="Book Antiqua" w:cs="Book Antiqua" w:hint="eastAsia"/>
          <w:color w:val="000000"/>
          <w:lang w:eastAsia="zh-CN"/>
        </w:rPr>
        <w:t>3013</w:t>
      </w:r>
      <w:r w:rsidR="00D10847" w:rsidRPr="00D10847">
        <w:rPr>
          <w:rFonts w:ascii="Book Antiqua" w:eastAsia="Book Antiqua" w:hAnsi="Book Antiqua" w:cs="Book Antiqua"/>
          <w:color w:val="000000"/>
        </w:rPr>
        <w:t xml:space="preserve"> URL: https://www.wjgnet.com/2307-8960/full/v9/i13/</w:t>
      </w:r>
      <w:r w:rsidR="007824EE">
        <w:rPr>
          <w:rFonts w:ascii="Book Antiqua" w:hAnsi="Book Antiqua" w:cs="Book Antiqua" w:hint="eastAsia"/>
          <w:color w:val="000000"/>
          <w:lang w:eastAsia="zh-CN"/>
        </w:rPr>
        <w:t>3008</w:t>
      </w:r>
      <w:r w:rsidR="00D10847" w:rsidRPr="00D10847">
        <w:rPr>
          <w:rFonts w:ascii="Book Antiqua" w:eastAsia="Book Antiqua" w:hAnsi="Book Antiqua" w:cs="Book Antiqua"/>
          <w:color w:val="000000"/>
        </w:rPr>
        <w:t>.htm DOI: https://dx.doi.org/10.12998/wjcc.v9.i13.</w:t>
      </w:r>
      <w:r w:rsidR="007824EE">
        <w:rPr>
          <w:rFonts w:ascii="Book Antiqua" w:hAnsi="Book Antiqua" w:cs="Book Antiqua" w:hint="eastAsia"/>
          <w:color w:val="000000"/>
          <w:lang w:eastAsia="zh-CN"/>
        </w:rPr>
        <w:t>3008</w:t>
      </w:r>
    </w:p>
    <w:p w14:paraId="0C596FCB" w14:textId="77777777" w:rsidR="00A77B3E" w:rsidRPr="008F20DF" w:rsidRDefault="00A77B3E" w:rsidP="008F20DF">
      <w:pPr>
        <w:snapToGrid w:val="0"/>
        <w:spacing w:line="360" w:lineRule="auto"/>
        <w:jc w:val="both"/>
        <w:rPr>
          <w:rFonts w:ascii="Book Antiqua" w:hAnsi="Book Antiqua"/>
        </w:rPr>
      </w:pPr>
    </w:p>
    <w:p w14:paraId="5E228481" w14:textId="4B8B18D6"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Core Tip: </w:t>
      </w:r>
      <w:r w:rsidRPr="008F20DF">
        <w:rPr>
          <w:rFonts w:ascii="Book Antiqua" w:eastAsia="Book Antiqua" w:hAnsi="Book Antiqua" w:cs="Book Antiqua"/>
          <w:color w:val="000000"/>
        </w:rPr>
        <w:t xml:space="preserve">Sepsis is usually associated with hemodynamic changes. Hemodynamic monitoring is commonly used to guide resuscitation therapy. This study </w:t>
      </w:r>
      <w:r w:rsidR="00A9181B" w:rsidRPr="008F20DF">
        <w:rPr>
          <w:rFonts w:ascii="Book Antiqua" w:eastAsia="Book Antiqua" w:hAnsi="Book Antiqua" w:cs="Book Antiqua"/>
          <w:color w:val="000000"/>
        </w:rPr>
        <w:t>explore</w:t>
      </w:r>
      <w:r w:rsidR="00A9181B">
        <w:rPr>
          <w:rFonts w:ascii="Book Antiqua" w:eastAsia="Book Antiqua" w:hAnsi="Book Antiqua" w:cs="Book Antiqua"/>
          <w:color w:val="000000"/>
        </w:rPr>
        <w:t>d</w:t>
      </w:r>
      <w:r w:rsidR="00A9181B"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the role of hemodynamic indices for the prediction of outcomes in patients with sepsis undergoing fluid resuscitation. The findings suggested that cardiac index, systemic vascular resistance index</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pressure were independent risk factors for the occurrence of septic shock, and cardiac index was an independent risk factor for the occurrence of death at 28 d after the treatment.</w:t>
      </w:r>
    </w:p>
    <w:p w14:paraId="6D4226D2" w14:textId="77777777" w:rsidR="00A77B3E" w:rsidRPr="008F20DF" w:rsidRDefault="002A6065" w:rsidP="008F20DF">
      <w:pPr>
        <w:snapToGrid w:val="0"/>
        <w:spacing w:line="360" w:lineRule="auto"/>
        <w:jc w:val="both"/>
        <w:rPr>
          <w:rFonts w:ascii="Book Antiqua" w:hAnsi="Book Antiqua"/>
        </w:rPr>
      </w:pPr>
      <w:r w:rsidRPr="008F20DF">
        <w:rPr>
          <w:rFonts w:ascii="Book Antiqua" w:hAnsi="Book Antiqua"/>
        </w:rPr>
        <w:br w:type="page"/>
      </w:r>
      <w:r w:rsidR="008D15FE" w:rsidRPr="008F20DF">
        <w:rPr>
          <w:rFonts w:ascii="Book Antiqua" w:eastAsia="Book Antiqua" w:hAnsi="Book Antiqua" w:cs="Book Antiqua"/>
          <w:b/>
          <w:caps/>
          <w:color w:val="000000"/>
          <w:u w:val="single"/>
        </w:rPr>
        <w:t>INTRODUCTION</w:t>
      </w:r>
    </w:p>
    <w:p w14:paraId="1DD83DF4" w14:textId="0D0DEAC5" w:rsidR="00A77B3E" w:rsidRPr="008F20DF" w:rsidRDefault="008D15FE" w:rsidP="008F20DF">
      <w:pPr>
        <w:snapToGrid w:val="0"/>
        <w:spacing w:line="360" w:lineRule="auto"/>
        <w:jc w:val="both"/>
        <w:rPr>
          <w:rFonts w:ascii="Book Antiqua" w:hAnsi="Book Antiqua"/>
        </w:rPr>
      </w:pPr>
      <w:bookmarkStart w:id="4" w:name="OLE_LINK5"/>
      <w:bookmarkStart w:id="5" w:name="OLE_LINK6"/>
      <w:r w:rsidRPr="008F20DF">
        <w:rPr>
          <w:rFonts w:ascii="Book Antiqua" w:eastAsia="Book Antiqua" w:hAnsi="Book Antiqua" w:cs="Book Antiqua"/>
          <w:color w:val="000000"/>
        </w:rPr>
        <w:t xml:space="preserve">Sepsis is a series of reactions </w:t>
      </w:r>
      <w:r w:rsidR="00FD0331">
        <w:rPr>
          <w:rFonts w:ascii="Book Antiqua" w:eastAsia="Book Antiqua" w:hAnsi="Book Antiqua" w:cs="Book Antiqua"/>
          <w:color w:val="000000"/>
        </w:rPr>
        <w:t>that</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occur when an organism is in the state of being infected. Severe sepsis is usually complicated with organ dysfunction and even shock with </w:t>
      </w:r>
      <w:r w:rsidR="00FD0331">
        <w:rPr>
          <w:rFonts w:ascii="Book Antiqua" w:eastAsia="Book Antiqua" w:hAnsi="Book Antiqua" w:cs="Book Antiqua"/>
          <w:color w:val="000000"/>
        </w:rPr>
        <w:t xml:space="preserve">a </w:t>
      </w:r>
      <w:r w:rsidRPr="008F20DF">
        <w:rPr>
          <w:rFonts w:ascii="Book Antiqua" w:eastAsia="Book Antiqua" w:hAnsi="Book Antiqua" w:cs="Book Antiqua"/>
          <w:color w:val="000000"/>
        </w:rPr>
        <w:t xml:space="preserve">high fatality </w:t>
      </w:r>
      <w:proofErr w:type="gramStart"/>
      <w:r w:rsidRPr="008F20DF">
        <w:rPr>
          <w:rFonts w:ascii="Book Antiqua" w:eastAsia="Book Antiqua" w:hAnsi="Book Antiqua" w:cs="Book Antiqua"/>
          <w:color w:val="000000"/>
        </w:rPr>
        <w:t>rate</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1,2]</w:t>
      </w:r>
      <w:r w:rsidRPr="008F20DF">
        <w:rPr>
          <w:rFonts w:ascii="Book Antiqua" w:eastAsia="Book Antiqua" w:hAnsi="Book Antiqua" w:cs="Book Antiqua"/>
          <w:color w:val="000000"/>
        </w:rPr>
        <w:t xml:space="preserve">. Clinical </w:t>
      </w:r>
      <w:proofErr w:type="gramStart"/>
      <w:r w:rsidRPr="008F20DF">
        <w:rPr>
          <w:rFonts w:ascii="Book Antiqua" w:eastAsia="Book Antiqua" w:hAnsi="Book Antiqua" w:cs="Book Antiqua"/>
          <w:color w:val="000000"/>
        </w:rPr>
        <w:t>studies</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3,4]</w:t>
      </w:r>
      <w:r w:rsidRPr="008F20DF">
        <w:rPr>
          <w:rFonts w:ascii="Book Antiqua" w:eastAsia="Book Antiqua" w:hAnsi="Book Antiqua" w:cs="Book Antiqua"/>
          <w:color w:val="000000"/>
        </w:rPr>
        <w:t xml:space="preserve"> showed that treatment initiated as early as possible can effectively reduce the fatality rate. Currently, the most commonly used therapy for the treatment of sepsis is fluid resuscitation</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which aims to maintain hemodynamic stability and slow progression of the </w:t>
      </w:r>
      <w:proofErr w:type="gramStart"/>
      <w:r w:rsidRPr="008F20DF">
        <w:rPr>
          <w:rFonts w:ascii="Book Antiqua" w:eastAsia="Book Antiqua" w:hAnsi="Book Antiqua" w:cs="Book Antiqua"/>
          <w:color w:val="000000"/>
        </w:rPr>
        <w:t>disease</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5]</w:t>
      </w:r>
      <w:r w:rsidRPr="008F20DF">
        <w:rPr>
          <w:rFonts w:ascii="Book Antiqua" w:eastAsia="Book Antiqua" w:hAnsi="Book Antiqua" w:cs="Book Antiqua"/>
          <w:color w:val="000000"/>
        </w:rPr>
        <w:t xml:space="preserve">. During fluid administration, large amounts of fluids entering the body may increase the work load of cardiopulmonary </w:t>
      </w:r>
      <w:proofErr w:type="gramStart"/>
      <w:r w:rsidRPr="008F20DF">
        <w:rPr>
          <w:rFonts w:ascii="Book Antiqua" w:eastAsia="Book Antiqua" w:hAnsi="Book Antiqua" w:cs="Book Antiqua"/>
          <w:color w:val="000000"/>
        </w:rPr>
        <w:t>function</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6]</w:t>
      </w:r>
      <w:r w:rsidRPr="008F20DF">
        <w:rPr>
          <w:rFonts w:ascii="Book Antiqua" w:eastAsia="Book Antiqua" w:hAnsi="Book Antiqua" w:cs="Book Antiqua"/>
          <w:color w:val="000000"/>
        </w:rPr>
        <w:t>. Hemodynamic monitoring helps to observe</w:t>
      </w:r>
      <w:r w:rsidR="00FD0331">
        <w:rPr>
          <w:rFonts w:ascii="Book Antiqua" w:eastAsia="Book Antiqua" w:hAnsi="Book Antiqua" w:cs="Book Antiqua"/>
          <w:color w:val="000000"/>
        </w:rPr>
        <w:t xml:space="preserve"> the</w:t>
      </w:r>
      <w:r w:rsidRPr="008F20DF">
        <w:rPr>
          <w:rFonts w:ascii="Book Antiqua" w:eastAsia="Book Antiqua" w:hAnsi="Book Antiqua" w:cs="Book Antiqua"/>
          <w:color w:val="000000"/>
        </w:rPr>
        <w:t xml:space="preserve"> heart’s pumping function and analyze patient </w:t>
      </w:r>
      <w:proofErr w:type="gramStart"/>
      <w:r w:rsidRPr="008F20DF">
        <w:rPr>
          <w:rFonts w:ascii="Book Antiqua" w:eastAsia="Book Antiqua" w:hAnsi="Book Antiqua" w:cs="Book Antiqua"/>
          <w:color w:val="000000"/>
        </w:rPr>
        <w:t>outcomes</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7]</w:t>
      </w:r>
      <w:r w:rsidRPr="008F20DF">
        <w:rPr>
          <w:rFonts w:ascii="Book Antiqua" w:eastAsia="Book Antiqua" w:hAnsi="Book Antiqua" w:cs="Book Antiqua"/>
          <w:color w:val="000000"/>
        </w:rPr>
        <w:t>. The most frequently monitored 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probably include heart rate (HR), cardiac index (CI), mean arterial pressure (MAP), systemic vascular resistance index (SVRI), central venous pressure (CVP)</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oxygen saturation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w:t>
      </w:r>
      <w:r w:rsidRPr="008F20DF">
        <w:rPr>
          <w:rFonts w:ascii="Book Antiqua" w:eastAsia="Book Antiqua" w:hAnsi="Book Antiqua" w:cs="Book Antiqua"/>
          <w:color w:val="000000"/>
          <w:vertAlign w:val="superscript"/>
        </w:rPr>
        <w:t>[8,9]</w:t>
      </w:r>
      <w:r w:rsidRPr="008F20DF">
        <w:rPr>
          <w:rFonts w:ascii="Book Antiqua" w:eastAsia="Book Antiqua" w:hAnsi="Book Antiqua" w:cs="Book Antiqua"/>
          <w:color w:val="000000"/>
        </w:rPr>
        <w:t>. The present study tried to discuss the prognostic value of 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in patients with sepsis after fluid resuscitation to provide data to promote the treatment for sepsis.</w:t>
      </w:r>
    </w:p>
    <w:bookmarkEnd w:id="4"/>
    <w:bookmarkEnd w:id="5"/>
    <w:p w14:paraId="0BCD7044" w14:textId="77777777" w:rsidR="00A77B3E" w:rsidRPr="008F20DF" w:rsidRDefault="00A77B3E" w:rsidP="008F20DF">
      <w:pPr>
        <w:snapToGrid w:val="0"/>
        <w:spacing w:line="360" w:lineRule="auto"/>
        <w:jc w:val="both"/>
        <w:rPr>
          <w:rFonts w:ascii="Book Antiqua" w:hAnsi="Book Antiqua"/>
        </w:rPr>
      </w:pPr>
    </w:p>
    <w:p w14:paraId="6358A42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MATERIALS AND METHODS</w:t>
      </w:r>
    </w:p>
    <w:p w14:paraId="5A9DBED6" w14:textId="77777777" w:rsidR="00A77B3E" w:rsidRPr="008F20DF" w:rsidRDefault="008D15FE" w:rsidP="008F20DF">
      <w:pPr>
        <w:snapToGrid w:val="0"/>
        <w:spacing w:line="360" w:lineRule="auto"/>
        <w:jc w:val="both"/>
        <w:rPr>
          <w:rFonts w:ascii="Book Antiqua" w:hAnsi="Book Antiqua"/>
          <w:i/>
        </w:rPr>
      </w:pPr>
      <w:bookmarkStart w:id="6" w:name="OLE_LINK7"/>
      <w:bookmarkStart w:id="7" w:name="OLE_LINK8"/>
      <w:r w:rsidRPr="008F20DF">
        <w:rPr>
          <w:rFonts w:ascii="Book Antiqua" w:eastAsia="Book Antiqua" w:hAnsi="Book Antiqua" w:cs="Book Antiqua"/>
          <w:b/>
          <w:bCs/>
          <w:i/>
          <w:color w:val="000000"/>
        </w:rPr>
        <w:t>General information</w:t>
      </w:r>
    </w:p>
    <w:p w14:paraId="70AEF5B3" w14:textId="3173F27E"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A retrospective analysis was conducted in 120 patients with sepsis treated at Hainan General Hospital/Hainan Affiliated Hospital of Hainan Medical University between October 2016 and October 2019. Sodium chloride combined with dextran glucose injection </w:t>
      </w:r>
      <w:r w:rsidR="00FD0331" w:rsidRPr="008F20DF">
        <w:rPr>
          <w:rFonts w:ascii="Book Antiqua" w:eastAsia="Book Antiqua" w:hAnsi="Book Antiqua" w:cs="Book Antiqua"/>
          <w:color w:val="000000"/>
        </w:rPr>
        <w:t>w</w:t>
      </w:r>
      <w:r w:rsidR="00FD0331">
        <w:rPr>
          <w:rFonts w:ascii="Book Antiqua" w:eastAsia="Book Antiqua" w:hAnsi="Book Antiqua" w:cs="Book Antiqua"/>
          <w:color w:val="000000"/>
        </w:rPr>
        <w:t>as</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administrated for fluid resuscitation in all the patients. Patients enrolled in the study </w:t>
      </w:r>
      <w:r w:rsidR="00FD0331" w:rsidRPr="008F20DF">
        <w:rPr>
          <w:rFonts w:ascii="Book Antiqua" w:eastAsia="Book Antiqua" w:hAnsi="Book Antiqua" w:cs="Book Antiqua"/>
          <w:color w:val="000000"/>
        </w:rPr>
        <w:t>includ</w:t>
      </w:r>
      <w:r w:rsidR="00FD0331">
        <w:rPr>
          <w:rFonts w:ascii="Book Antiqua" w:eastAsia="Book Antiqua" w:hAnsi="Book Antiqua" w:cs="Book Antiqua"/>
          <w:color w:val="000000"/>
        </w:rPr>
        <w:t>ed</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40 with respiratory system infection, 30 with urinary system infection, 16 with digestive system infection, 15 with nervous system infection</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and 19 with other infection. Patients were eligible for the study if they were diagnosed with sepsis at the age of 18 to 70 years old and was informed and signed the consent </w:t>
      </w:r>
      <w:proofErr w:type="gramStart"/>
      <w:r w:rsidRPr="008F20DF">
        <w:rPr>
          <w:rFonts w:ascii="Book Antiqua" w:eastAsia="Book Antiqua" w:hAnsi="Book Antiqua" w:cs="Book Antiqua"/>
          <w:color w:val="000000"/>
        </w:rPr>
        <w:t>form</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10]</w:t>
      </w:r>
      <w:r w:rsidRPr="008F20DF">
        <w:rPr>
          <w:rFonts w:ascii="Book Antiqua" w:eastAsia="Book Antiqua" w:hAnsi="Book Antiqua" w:cs="Book Antiqua"/>
          <w:color w:val="000000"/>
        </w:rPr>
        <w:t>. Non-sepsis patients with poor basic state and unable to cooperate in the study, patients with circulation system disease and unavailability of medical records, and patients unable to complete the treatment because of themselves or their families were excluded from the study.</w:t>
      </w:r>
    </w:p>
    <w:p w14:paraId="0314CBB1" w14:textId="482A980D"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Among the 120 patients, 76 were male and 44 were female with an average age of 63.23 ± 12.32</w:t>
      </w:r>
      <w:r w:rsidR="00FD0331">
        <w:rPr>
          <w:rFonts w:ascii="Book Antiqua" w:eastAsia="Book Antiqua" w:hAnsi="Book Antiqua" w:cs="Book Antiqua"/>
          <w:color w:val="000000"/>
        </w:rPr>
        <w:t xml:space="preserve"> (range, 18-</w:t>
      </w:r>
      <w:r w:rsidR="00FD0331" w:rsidRPr="008F20DF">
        <w:rPr>
          <w:rFonts w:ascii="Book Antiqua" w:eastAsia="Book Antiqua" w:hAnsi="Book Antiqua" w:cs="Book Antiqua"/>
          <w:color w:val="000000"/>
        </w:rPr>
        <w:t>69</w:t>
      </w:r>
      <w:r w:rsidRPr="008F20DF">
        <w:rPr>
          <w:rFonts w:ascii="Book Antiqua" w:eastAsia="Book Antiqua" w:hAnsi="Book Antiqua" w:cs="Book Antiqua"/>
          <w:color w:val="000000"/>
        </w:rPr>
        <w:t>) years old. Acute physiolog</w:t>
      </w:r>
      <w:r w:rsidR="002A6065" w:rsidRPr="008F20DF">
        <w:rPr>
          <w:rFonts w:ascii="Book Antiqua" w:eastAsia="Book Antiqua" w:hAnsi="Book Antiqua" w:cs="Book Antiqua"/>
          <w:color w:val="000000"/>
        </w:rPr>
        <w:t>y and chronic health evaluation</w:t>
      </w:r>
      <w:r w:rsidRPr="008F20DF">
        <w:rPr>
          <w:rFonts w:ascii="Book Antiqua" w:eastAsia="Book Antiqua" w:hAnsi="Book Antiqua" w:cs="Book Antiqua"/>
          <w:color w:val="000000"/>
        </w:rPr>
        <w:t xml:space="preserve"> </w:t>
      </w:r>
      <w:r w:rsidRPr="008F20DF">
        <w:rPr>
          <w:rFonts w:ascii="宋体" w:eastAsia="宋体" w:hAnsi="宋体" w:cs="宋体" w:hint="eastAsia"/>
          <w:color w:val="000000"/>
        </w:rPr>
        <w:t>Ⅱ</w:t>
      </w:r>
      <w:r w:rsidRPr="008F20DF">
        <w:rPr>
          <w:rFonts w:ascii="Book Antiqua" w:eastAsia="Book Antiqua" w:hAnsi="Book Antiqua" w:cs="Book Antiqua"/>
          <w:color w:val="000000"/>
        </w:rPr>
        <w:t xml:space="preserve"> score was 9 to 24 (</w:t>
      </w:r>
      <w:r w:rsidR="00FD0331">
        <w:rPr>
          <w:rFonts w:ascii="Book Antiqua" w:eastAsia="Book Antiqua" w:hAnsi="Book Antiqua" w:cs="Book Antiqua"/>
          <w:color w:val="000000"/>
        </w:rPr>
        <w:t xml:space="preserve">mean, </w:t>
      </w:r>
      <w:r w:rsidRPr="008F20DF">
        <w:rPr>
          <w:rFonts w:ascii="Book Antiqua" w:eastAsia="Book Antiqua" w:hAnsi="Book Antiqua" w:cs="Book Antiqua"/>
          <w:color w:val="000000"/>
        </w:rPr>
        <w:t>14.23 ± 5.64).</w:t>
      </w:r>
    </w:p>
    <w:p w14:paraId="4FD6FBEC" w14:textId="77777777" w:rsidR="002A6065" w:rsidRPr="008F20DF" w:rsidRDefault="002A6065" w:rsidP="008F20DF">
      <w:pPr>
        <w:snapToGrid w:val="0"/>
        <w:spacing w:line="360" w:lineRule="auto"/>
        <w:jc w:val="both"/>
        <w:rPr>
          <w:rFonts w:ascii="Book Antiqua" w:eastAsia="Book Antiqua" w:hAnsi="Book Antiqua" w:cs="Book Antiqua"/>
          <w:b/>
          <w:bCs/>
          <w:color w:val="000000"/>
        </w:rPr>
      </w:pPr>
    </w:p>
    <w:p w14:paraId="058B768A" w14:textId="77777777" w:rsidR="00A77B3E" w:rsidRPr="008F20DF" w:rsidRDefault="008D15FE" w:rsidP="008F20DF">
      <w:pPr>
        <w:snapToGrid w:val="0"/>
        <w:spacing w:line="360" w:lineRule="auto"/>
        <w:jc w:val="both"/>
        <w:rPr>
          <w:rFonts w:ascii="Book Antiqua" w:hAnsi="Book Antiqua"/>
          <w:i/>
        </w:rPr>
      </w:pPr>
      <w:r w:rsidRPr="008F20DF">
        <w:rPr>
          <w:rFonts w:ascii="Book Antiqua" w:eastAsia="Book Antiqua" w:hAnsi="Book Antiqua" w:cs="Book Antiqua"/>
          <w:b/>
          <w:bCs/>
          <w:i/>
          <w:color w:val="000000"/>
        </w:rPr>
        <w:t>Methods</w:t>
      </w:r>
    </w:p>
    <w:p w14:paraId="524F4288" w14:textId="2518011E" w:rsidR="00A77B3E" w:rsidRPr="008F20DF" w:rsidRDefault="008D15FE" w:rsidP="008F20DF">
      <w:pPr>
        <w:snapToGrid w:val="0"/>
        <w:spacing w:line="360" w:lineRule="auto"/>
        <w:jc w:val="both"/>
        <w:rPr>
          <w:rFonts w:ascii="Book Antiqua" w:eastAsia="Book Antiqua" w:hAnsi="Book Antiqua" w:cs="Book Antiqua"/>
          <w:color w:val="000000"/>
        </w:rPr>
      </w:pPr>
      <w:r w:rsidRPr="008F20DF">
        <w:rPr>
          <w:rFonts w:ascii="Book Antiqua" w:eastAsia="Book Antiqua" w:hAnsi="Book Antiqua" w:cs="Book Antiqua"/>
          <w:color w:val="000000"/>
        </w:rPr>
        <w:t xml:space="preserve">Septic patients were monitored for hemodynamic changes. Central venous catheters were inserted into </w:t>
      </w:r>
      <w:r w:rsidR="00FD0331">
        <w:rPr>
          <w:rFonts w:ascii="Book Antiqua" w:eastAsia="Book Antiqua" w:hAnsi="Book Antiqua" w:cs="Book Antiqua"/>
          <w:color w:val="000000"/>
        </w:rPr>
        <w:t xml:space="preserve">the </w:t>
      </w:r>
      <w:r w:rsidRPr="008F20DF">
        <w:rPr>
          <w:rFonts w:ascii="Book Antiqua" w:eastAsia="Book Antiqua" w:hAnsi="Book Antiqua" w:cs="Book Antiqua"/>
          <w:color w:val="000000"/>
        </w:rPr>
        <w:t>internal jugular or subclavian vein under the guidance of CVP test. Fiber optic catheters were then inserted into the central venous catheters to continuously monitor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Catheters indwelled in</w:t>
      </w:r>
      <w:r w:rsidR="00FD0331">
        <w:rPr>
          <w:rFonts w:ascii="Book Antiqua" w:eastAsia="Book Antiqua" w:hAnsi="Book Antiqua" w:cs="Book Antiqua"/>
          <w:color w:val="000000"/>
        </w:rPr>
        <w:t xml:space="preserve"> the</w:t>
      </w:r>
      <w:r w:rsidRPr="008F20DF">
        <w:rPr>
          <w:rFonts w:ascii="Book Antiqua" w:eastAsia="Book Antiqua" w:hAnsi="Book Antiqua" w:cs="Book Antiqua"/>
          <w:color w:val="000000"/>
        </w:rPr>
        <w:t xml:space="preserve"> radial artery were connected with </w:t>
      </w:r>
      <w:r w:rsidR="00FD0331">
        <w:rPr>
          <w:rFonts w:ascii="Book Antiqua" w:eastAsia="Book Antiqua" w:hAnsi="Book Antiqua" w:cs="Book Antiqua"/>
          <w:color w:val="000000"/>
        </w:rPr>
        <w:t xml:space="preserve">an </w:t>
      </w:r>
      <w:r w:rsidRPr="008F20DF">
        <w:rPr>
          <w:rFonts w:ascii="Book Antiqua" w:eastAsia="Book Antiqua" w:hAnsi="Book Antiqua" w:cs="Book Antiqua"/>
          <w:color w:val="000000"/>
        </w:rPr>
        <w:t xml:space="preserve">Edwards </w:t>
      </w:r>
      <w:proofErr w:type="spellStart"/>
      <w:r w:rsidRPr="008F20DF">
        <w:rPr>
          <w:rFonts w:ascii="Book Antiqua" w:eastAsia="Book Antiqua" w:hAnsi="Book Antiqua" w:cs="Book Antiqua"/>
          <w:color w:val="000000"/>
        </w:rPr>
        <w:t>Vigileo</w:t>
      </w:r>
      <w:proofErr w:type="spellEnd"/>
      <w:r w:rsidRPr="008F20DF">
        <w:rPr>
          <w:rFonts w:ascii="Book Antiqua" w:eastAsia="Book Antiqua" w:hAnsi="Book Antiqua" w:cs="Book Antiqua"/>
          <w:color w:val="000000"/>
        </w:rPr>
        <w:t xml:space="preserve"> Monitor (produced by Edwards Lifesciences) to continuously monitor HR, CI, MAP</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and SVRI by pulse contour analysis of </w:t>
      </w:r>
      <w:proofErr w:type="gramStart"/>
      <w:r w:rsidRPr="008F20DF">
        <w:rPr>
          <w:rFonts w:ascii="Book Antiqua" w:eastAsia="Book Antiqua" w:hAnsi="Book Antiqua" w:cs="Book Antiqua"/>
          <w:color w:val="000000"/>
        </w:rPr>
        <w:t>waveform</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11]</w:t>
      </w:r>
      <w:r w:rsidRPr="008F20DF">
        <w:rPr>
          <w:rFonts w:ascii="Book Antiqua" w:eastAsia="Book Antiqua" w:hAnsi="Book Antiqua" w:cs="Book Antiqua"/>
          <w:color w:val="000000"/>
        </w:rPr>
        <w:t xml:space="preserve">. </w:t>
      </w:r>
    </w:p>
    <w:p w14:paraId="45B8304D" w14:textId="77777777" w:rsidR="002A6065" w:rsidRPr="008F20DF" w:rsidRDefault="002A6065" w:rsidP="008F20DF">
      <w:pPr>
        <w:snapToGrid w:val="0"/>
        <w:spacing w:line="360" w:lineRule="auto"/>
        <w:jc w:val="both"/>
        <w:rPr>
          <w:rFonts w:ascii="Book Antiqua" w:hAnsi="Book Antiqua"/>
        </w:rPr>
      </w:pPr>
    </w:p>
    <w:p w14:paraId="4621CC18" w14:textId="77777777" w:rsidR="00A77B3E" w:rsidRPr="008F20DF" w:rsidRDefault="008D15FE" w:rsidP="008F20DF">
      <w:pPr>
        <w:snapToGrid w:val="0"/>
        <w:spacing w:line="360" w:lineRule="auto"/>
        <w:jc w:val="both"/>
        <w:rPr>
          <w:rFonts w:ascii="Book Antiqua" w:hAnsi="Book Antiqua"/>
          <w:i/>
        </w:rPr>
      </w:pPr>
      <w:r w:rsidRPr="008F20DF">
        <w:rPr>
          <w:rFonts w:ascii="Book Antiqua" w:eastAsia="Book Antiqua" w:hAnsi="Book Antiqua" w:cs="Book Antiqua"/>
          <w:b/>
          <w:bCs/>
          <w:i/>
          <w:color w:val="000000"/>
        </w:rPr>
        <w:t>Measures</w:t>
      </w:r>
    </w:p>
    <w:p w14:paraId="199F918F" w14:textId="1F30CDE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Observation measures included</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(1) </w:t>
      </w:r>
      <w:r w:rsidR="00FD0331">
        <w:rPr>
          <w:rFonts w:ascii="Book Antiqua" w:eastAsia="Book Antiqua" w:hAnsi="Book Antiqua" w:cs="Book Antiqua"/>
          <w:color w:val="000000"/>
        </w:rPr>
        <w:t>O</w:t>
      </w:r>
      <w:r w:rsidRPr="008F20DF">
        <w:rPr>
          <w:rFonts w:ascii="Book Antiqua" w:eastAsia="Book Antiqua" w:hAnsi="Book Antiqua" w:cs="Book Antiqua"/>
          <w:color w:val="000000"/>
        </w:rPr>
        <w:t xml:space="preserve">utcomes of patients with sepsis; (2) </w:t>
      </w:r>
      <w:r w:rsidR="00D10847">
        <w:rPr>
          <w:rFonts w:ascii="Book Antiqua" w:hAnsi="Book Antiqua" w:cs="Book Antiqua" w:hint="eastAsia"/>
          <w:color w:val="000000"/>
          <w:lang w:eastAsia="zh-CN"/>
        </w:rPr>
        <w:t>A</w:t>
      </w:r>
      <w:r w:rsidRPr="008F20DF">
        <w:rPr>
          <w:rFonts w:ascii="Book Antiqua" w:eastAsia="Book Antiqua" w:hAnsi="Book Antiqua" w:cs="Book Antiqua"/>
          <w:color w:val="000000"/>
        </w:rPr>
        <w:t xml:space="preserve">nalysis of relationship between hemodynamic indices and the outcomes in patients with sepsis after the treatment; and (3) </w:t>
      </w:r>
      <w:r w:rsidR="00D10847">
        <w:rPr>
          <w:rFonts w:ascii="Book Antiqua" w:hAnsi="Book Antiqua" w:cs="Book Antiqua" w:hint="eastAsia"/>
          <w:color w:val="000000"/>
          <w:lang w:eastAsia="zh-CN"/>
        </w:rPr>
        <w:t>A</w:t>
      </w:r>
      <w:r w:rsidRPr="008F20DF">
        <w:rPr>
          <w:rFonts w:ascii="Book Antiqua" w:eastAsia="Book Antiqua" w:hAnsi="Book Antiqua" w:cs="Book Antiqua"/>
          <w:color w:val="000000"/>
        </w:rPr>
        <w:t>nalysis of prognosis in septic patients after the treatment.</w:t>
      </w:r>
    </w:p>
    <w:p w14:paraId="199FD073" w14:textId="77777777" w:rsidR="002A6065" w:rsidRPr="008F20DF" w:rsidRDefault="002A6065" w:rsidP="008F20DF">
      <w:pPr>
        <w:snapToGrid w:val="0"/>
        <w:spacing w:line="360" w:lineRule="auto"/>
        <w:jc w:val="both"/>
        <w:rPr>
          <w:rFonts w:ascii="Book Antiqua" w:eastAsia="Book Antiqua" w:hAnsi="Book Antiqua" w:cs="Book Antiqua"/>
          <w:b/>
          <w:bCs/>
          <w:color w:val="000000"/>
        </w:rPr>
      </w:pPr>
    </w:p>
    <w:p w14:paraId="230C99C8" w14:textId="77777777" w:rsidR="00A77B3E" w:rsidRPr="008F20DF" w:rsidRDefault="008D15FE" w:rsidP="008F20DF">
      <w:pPr>
        <w:snapToGrid w:val="0"/>
        <w:spacing w:line="360" w:lineRule="auto"/>
        <w:jc w:val="both"/>
        <w:rPr>
          <w:rFonts w:ascii="Book Antiqua" w:hAnsi="Book Antiqua"/>
          <w:i/>
        </w:rPr>
      </w:pPr>
      <w:r w:rsidRPr="008F20DF">
        <w:rPr>
          <w:rFonts w:ascii="Book Antiqua" w:eastAsia="Book Antiqua" w:hAnsi="Book Antiqua" w:cs="Book Antiqua"/>
          <w:b/>
          <w:bCs/>
          <w:i/>
          <w:color w:val="000000"/>
        </w:rPr>
        <w:t>Statistical methods</w:t>
      </w:r>
    </w:p>
    <w:p w14:paraId="35744481" w14:textId="4FF5F334"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SPSS22.0 was used to process the data. Measurement data </w:t>
      </w:r>
      <w:r w:rsidR="00FD0331">
        <w:rPr>
          <w:rFonts w:ascii="Book Antiqua" w:eastAsia="Book Antiqua" w:hAnsi="Book Antiqua" w:cs="Book Antiqua"/>
          <w:color w:val="000000"/>
        </w:rPr>
        <w:t xml:space="preserve">with a </w:t>
      </w:r>
      <w:r w:rsidRPr="008F20DF">
        <w:rPr>
          <w:rFonts w:ascii="Book Antiqua" w:eastAsia="Book Antiqua" w:hAnsi="Book Antiqua" w:cs="Book Antiqua"/>
          <w:color w:val="000000"/>
        </w:rPr>
        <w:t xml:space="preserve">normal distribution </w:t>
      </w:r>
      <w:r w:rsidR="00FD0331">
        <w:rPr>
          <w:rFonts w:ascii="Book Antiqua" w:eastAsia="Book Antiqua" w:hAnsi="Book Antiqua" w:cs="Book Antiqua"/>
          <w:color w:val="000000"/>
        </w:rPr>
        <w:t xml:space="preserve">are </w:t>
      </w:r>
      <w:r w:rsidRPr="008F20DF">
        <w:rPr>
          <w:rFonts w:ascii="Book Antiqua" w:eastAsia="Book Antiqua" w:hAnsi="Book Antiqua" w:cs="Book Antiqua"/>
          <w:color w:val="000000"/>
        </w:rPr>
        <w:t xml:space="preserve">expressed </w:t>
      </w:r>
      <w:r w:rsidR="00FD0331">
        <w:rPr>
          <w:rFonts w:ascii="Book Antiqua" w:eastAsia="Book Antiqua" w:hAnsi="Book Antiqua" w:cs="Book Antiqua"/>
          <w:color w:val="000000"/>
        </w:rPr>
        <w:t>as the</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mean ± SD and inter-group difference was compared using Student’s </w:t>
      </w:r>
      <w:r w:rsidRPr="008F20DF">
        <w:rPr>
          <w:rFonts w:ascii="Book Antiqua" w:eastAsia="Book Antiqua" w:hAnsi="Book Antiqua" w:cs="Book Antiqua"/>
          <w:i/>
          <w:iCs/>
          <w:color w:val="000000"/>
        </w:rPr>
        <w:t>t</w:t>
      </w:r>
      <w:r w:rsidRPr="008F20DF">
        <w:rPr>
          <w:rFonts w:ascii="Book Antiqua" w:eastAsia="Book Antiqua" w:hAnsi="Book Antiqua" w:cs="Book Antiqua"/>
          <w:color w:val="000000"/>
        </w:rPr>
        <w:t xml:space="preserve"> test. Enumeration data </w:t>
      </w:r>
      <w:r w:rsidR="00FD0331">
        <w:rPr>
          <w:rFonts w:ascii="Book Antiqua" w:eastAsia="Book Antiqua" w:hAnsi="Book Antiqua" w:cs="Book Antiqua"/>
          <w:color w:val="000000"/>
        </w:rPr>
        <w:t>are</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expressed </w:t>
      </w:r>
      <w:r w:rsidR="00FD0331">
        <w:rPr>
          <w:rFonts w:ascii="Book Antiqua" w:eastAsia="Book Antiqua" w:hAnsi="Book Antiqua" w:cs="Book Antiqua"/>
          <w:color w:val="000000"/>
        </w:rPr>
        <w:t>with percentages</w:t>
      </w:r>
      <w:r w:rsidRPr="008F20DF">
        <w:rPr>
          <w:rFonts w:ascii="Book Antiqua" w:eastAsia="Book Antiqua" w:hAnsi="Book Antiqua" w:cs="Book Antiqua"/>
          <w:color w:val="000000"/>
        </w:rPr>
        <w:t xml:space="preserve"> and inter-group difference was compared using </w:t>
      </w:r>
      <w:r w:rsidRPr="008F20DF">
        <w:rPr>
          <w:rFonts w:ascii="Book Antiqua" w:eastAsia="Book Antiqua" w:hAnsi="Book Antiqua" w:cs="Book Antiqua"/>
          <w:i/>
          <w:iCs/>
          <w:color w:val="000000"/>
        </w:rPr>
        <w:t>c</w:t>
      </w:r>
      <w:r w:rsidRPr="008F20DF">
        <w:rPr>
          <w:rFonts w:ascii="Book Antiqua" w:eastAsia="Book Antiqua" w:hAnsi="Book Antiqua" w:cs="Book Antiqua"/>
          <w:i/>
          <w:iCs/>
          <w:color w:val="000000"/>
          <w:vertAlign w:val="superscript"/>
        </w:rPr>
        <w:t>2</w:t>
      </w:r>
      <w:r w:rsidRPr="008F20DF">
        <w:rPr>
          <w:rFonts w:ascii="Book Antiqua" w:eastAsia="Book Antiqua" w:hAnsi="Book Antiqua" w:cs="Book Antiqua"/>
          <w:color w:val="000000"/>
        </w:rPr>
        <w:t xml:space="preserve"> tests or Fisher’s exact test. Logistic analysis was used to estimate the prognosis. </w:t>
      </w:r>
      <w:r w:rsidRPr="008F20DF">
        <w:rPr>
          <w:rFonts w:ascii="Book Antiqua" w:eastAsia="Book Antiqua" w:hAnsi="Book Antiqua" w:cs="Book Antiqua"/>
          <w:i/>
          <w:iCs/>
          <w:color w:val="000000"/>
        </w:rPr>
        <w:t>P</w:t>
      </w:r>
      <w:r w:rsidRPr="008F20DF">
        <w:rPr>
          <w:rFonts w:ascii="Book Antiqua" w:eastAsia="Book Antiqua" w:hAnsi="Book Antiqua" w:cs="Book Antiqua"/>
          <w:color w:val="000000"/>
        </w:rPr>
        <w:t xml:space="preserve"> &lt; 0.05 represented </w:t>
      </w:r>
      <w:r w:rsidR="00FD0331">
        <w:rPr>
          <w:rFonts w:ascii="Book Antiqua" w:eastAsia="Book Antiqua" w:hAnsi="Book Antiqua" w:cs="Book Antiqua"/>
          <w:color w:val="000000"/>
        </w:rPr>
        <w:t xml:space="preserve">that </w:t>
      </w:r>
      <w:r w:rsidRPr="008F20DF">
        <w:rPr>
          <w:rFonts w:ascii="Book Antiqua" w:eastAsia="Book Antiqua" w:hAnsi="Book Antiqua" w:cs="Book Antiqua"/>
          <w:color w:val="000000"/>
        </w:rPr>
        <w:t>there was a significant difference.</w:t>
      </w:r>
    </w:p>
    <w:bookmarkEnd w:id="6"/>
    <w:bookmarkEnd w:id="7"/>
    <w:p w14:paraId="4874E134" w14:textId="77777777" w:rsidR="00A77B3E" w:rsidRPr="008F20DF" w:rsidRDefault="00A77B3E" w:rsidP="008F20DF">
      <w:pPr>
        <w:snapToGrid w:val="0"/>
        <w:spacing w:line="360" w:lineRule="auto"/>
        <w:jc w:val="both"/>
        <w:rPr>
          <w:rFonts w:ascii="Book Antiqua" w:hAnsi="Book Antiqua"/>
        </w:rPr>
      </w:pPr>
    </w:p>
    <w:p w14:paraId="46F067A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RESULTS</w:t>
      </w:r>
    </w:p>
    <w:p w14:paraId="0FC52A64" w14:textId="77777777" w:rsidR="00A77B3E" w:rsidRPr="008F20DF" w:rsidRDefault="008D15FE" w:rsidP="008F20DF">
      <w:pPr>
        <w:snapToGrid w:val="0"/>
        <w:spacing w:line="360" w:lineRule="auto"/>
        <w:jc w:val="both"/>
        <w:rPr>
          <w:rFonts w:ascii="Book Antiqua" w:hAnsi="Book Antiqua"/>
        </w:rPr>
      </w:pPr>
      <w:bookmarkStart w:id="8" w:name="OLE_LINK9"/>
      <w:bookmarkStart w:id="9" w:name="OLE_LINK10"/>
      <w:r w:rsidRPr="008F20DF">
        <w:rPr>
          <w:rFonts w:ascii="Book Antiqua" w:eastAsia="Book Antiqua" w:hAnsi="Book Antiqua" w:cs="Book Antiqua"/>
          <w:color w:val="000000"/>
        </w:rPr>
        <w:t>In terms of outcomes in the 120 patients undergoing fluid resuscitation, septic shock occurred in 86 patients and at 28 d after the treatment, 99 patients survived.</w:t>
      </w:r>
    </w:p>
    <w:p w14:paraId="19F80510" w14:textId="3885BB03"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 xml:space="preserve">After analyzing the relationship between hemodynamic indices and the outcomes in patients with sepsis after the treatment, it </w:t>
      </w:r>
      <w:r w:rsidR="005B353A">
        <w:rPr>
          <w:rFonts w:ascii="Book Antiqua" w:eastAsia="Book Antiqua" w:hAnsi="Book Antiqua" w:cs="Book Antiqua"/>
          <w:color w:val="000000"/>
        </w:rPr>
        <w:t>was found</w:t>
      </w:r>
      <w:r w:rsidR="005B353A"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that HR, CI, MAP, SVRI</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in septic shock patients and patients who died than non-shock patients and patients who survived. However,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was lower in septic shock patients and patients who died than non-shock patients and patients who survived (</w:t>
      </w:r>
      <w:r w:rsidRPr="008F20DF">
        <w:rPr>
          <w:rFonts w:ascii="Book Antiqua" w:eastAsia="Book Antiqua" w:hAnsi="Book Antiqua" w:cs="Book Antiqua"/>
          <w:i/>
          <w:iCs/>
          <w:color w:val="000000"/>
        </w:rPr>
        <w:t xml:space="preserve">P </w:t>
      </w:r>
      <w:r w:rsidRPr="008F20DF">
        <w:rPr>
          <w:rFonts w:ascii="Book Antiqua" w:eastAsia="Book Antiqua" w:hAnsi="Book Antiqua" w:cs="Book Antiqua"/>
          <w:color w:val="000000"/>
        </w:rPr>
        <w:t>&lt; 0.05</w:t>
      </w:r>
      <w:r w:rsidR="005B353A">
        <w:rPr>
          <w:rFonts w:ascii="Book Antiqua" w:eastAsia="Book Antiqua" w:hAnsi="Book Antiqua" w:cs="Book Antiqua"/>
          <w:color w:val="000000"/>
        </w:rPr>
        <w:t>;</w:t>
      </w:r>
      <w:r w:rsidR="005B353A" w:rsidRPr="008F20DF">
        <w:rPr>
          <w:rFonts w:ascii="Book Antiqua" w:eastAsia="Book Antiqua" w:hAnsi="Book Antiqua" w:cs="Book Antiqua"/>
          <w:color w:val="000000"/>
        </w:rPr>
        <w:t xml:space="preserve"> </w:t>
      </w:r>
      <w:r w:rsidRPr="008F20DF">
        <w:rPr>
          <w:rFonts w:ascii="Book Antiqua" w:eastAsia="Book Antiqua" w:hAnsi="Book Antiqua" w:cs="Book Antiqua"/>
          <w:bCs/>
          <w:color w:val="000000"/>
        </w:rPr>
        <w:t>Table 1</w:t>
      </w:r>
      <w:r w:rsidRPr="008F20DF">
        <w:rPr>
          <w:rFonts w:ascii="Book Antiqua" w:eastAsia="Book Antiqua" w:hAnsi="Book Antiqua" w:cs="Book Antiqua"/>
          <w:color w:val="000000"/>
        </w:rPr>
        <w:t>).</w:t>
      </w:r>
    </w:p>
    <w:p w14:paraId="5AE6FC45" w14:textId="4156DCC2"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Hemodynamic parameters were used as the independent variables to analyze the prognosis using Logistic analysis. The results showed that CI, SVRI</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independent risk factors for the occurrence of septic shock and CI was an independent risk factor for 28 d mortality (</w:t>
      </w:r>
      <w:r w:rsidRPr="008F20DF">
        <w:rPr>
          <w:rFonts w:ascii="Book Antiqua" w:eastAsia="Book Antiqua" w:hAnsi="Book Antiqua" w:cs="Book Antiqua"/>
          <w:i/>
          <w:iCs/>
          <w:color w:val="000000"/>
        </w:rPr>
        <w:t>P</w:t>
      </w:r>
      <w:r w:rsidR="002A6065" w:rsidRPr="008F20DF">
        <w:rPr>
          <w:rFonts w:ascii="Book Antiqua" w:eastAsia="Book Antiqua" w:hAnsi="Book Antiqua" w:cs="Book Antiqua"/>
          <w:i/>
          <w:iCs/>
          <w:color w:val="000000"/>
        </w:rPr>
        <w:t xml:space="preserve"> </w:t>
      </w:r>
      <w:r w:rsidRPr="008F20DF">
        <w:rPr>
          <w:rFonts w:ascii="Book Antiqua" w:eastAsia="Book Antiqua" w:hAnsi="Book Antiqua" w:cs="Book Antiqua"/>
          <w:color w:val="000000"/>
        </w:rPr>
        <w:t>&lt;</w:t>
      </w:r>
      <w:r w:rsidR="002A6065"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0.05</w:t>
      </w:r>
      <w:r w:rsidR="005B353A">
        <w:rPr>
          <w:rFonts w:ascii="Book Antiqua" w:eastAsia="Book Antiqua" w:hAnsi="Book Antiqua" w:cs="Book Antiqua"/>
          <w:color w:val="000000"/>
        </w:rPr>
        <w:t>;</w:t>
      </w:r>
      <w:r w:rsidR="005B353A" w:rsidRPr="008F20DF">
        <w:rPr>
          <w:rFonts w:ascii="Book Antiqua" w:eastAsia="Book Antiqua" w:hAnsi="Book Antiqua" w:cs="Book Antiqua"/>
          <w:color w:val="000000"/>
        </w:rPr>
        <w:t xml:space="preserve"> </w:t>
      </w:r>
      <w:r w:rsidRPr="008F20DF">
        <w:rPr>
          <w:rFonts w:ascii="Book Antiqua" w:eastAsia="Book Antiqua" w:hAnsi="Book Antiqua" w:cs="Book Antiqua"/>
          <w:bCs/>
          <w:color w:val="000000"/>
        </w:rPr>
        <w:t>Table 2</w:t>
      </w:r>
      <w:r w:rsidRPr="008F20DF">
        <w:rPr>
          <w:rFonts w:ascii="Book Antiqua" w:eastAsia="Book Antiqua" w:hAnsi="Book Antiqua" w:cs="Book Antiqua"/>
          <w:color w:val="000000"/>
        </w:rPr>
        <w:t>).  </w:t>
      </w:r>
      <w:r w:rsidR="00F72005">
        <w:rPr>
          <w:rFonts w:ascii="Book Antiqua" w:eastAsia="Book Antiqua" w:hAnsi="Book Antiqua" w:cs="Book Antiqua"/>
          <w:color w:val="000000"/>
        </w:rPr>
        <w:t>Analysis of the r</w:t>
      </w:r>
      <w:r w:rsidRPr="008F20DF">
        <w:rPr>
          <w:rFonts w:ascii="Book Antiqua" w:eastAsia="Book Antiqua" w:hAnsi="Book Antiqua" w:cs="Book Antiqua"/>
          <w:color w:val="000000"/>
        </w:rPr>
        <w:t>elationship between hemodynamic indices and death at 28 d after the treatment</w:t>
      </w:r>
      <w:r w:rsidR="00F72005">
        <w:rPr>
          <w:rFonts w:ascii="Book Antiqua" w:eastAsia="Book Antiqua" w:hAnsi="Book Antiqua" w:cs="Book Antiqua"/>
          <w:color w:val="000000"/>
        </w:rPr>
        <w:t xml:space="preserve"> revealed a</w:t>
      </w:r>
      <w:r w:rsidRPr="008F20DF">
        <w:rPr>
          <w:rFonts w:ascii="Book Antiqua" w:eastAsia="Book Antiqua" w:hAnsi="Book Antiqua" w:cs="Book Antiqua"/>
          <w:color w:val="000000"/>
        </w:rPr>
        <w:t xml:space="preserve"> B value</w:t>
      </w:r>
      <w:r w:rsidR="00F72005">
        <w:rPr>
          <w:rFonts w:ascii="Book Antiqua" w:eastAsia="Book Antiqua" w:hAnsi="Book Antiqua" w:cs="Book Antiqua"/>
          <w:color w:val="000000"/>
        </w:rPr>
        <w:t xml:space="preserve"> of</w:t>
      </w:r>
      <w:r w:rsidRPr="008F20DF">
        <w:rPr>
          <w:rFonts w:ascii="Book Antiqua" w:eastAsia="Book Antiqua" w:hAnsi="Book Antiqua" w:cs="Book Antiqua"/>
          <w:color w:val="000000"/>
        </w:rPr>
        <w:t xml:space="preserve"> 0.314</w:t>
      </w:r>
      <w:r w:rsidR="00F72005">
        <w:rPr>
          <w:rFonts w:ascii="Book Antiqua" w:eastAsia="Book Antiqua" w:hAnsi="Book Antiqua" w:cs="Book Antiqua"/>
          <w:color w:val="000000"/>
        </w:rPr>
        <w:t xml:space="preserve"> and an</w:t>
      </w:r>
      <w:r w:rsidRPr="008F20DF">
        <w:rPr>
          <w:rFonts w:ascii="Book Antiqua" w:eastAsia="Book Antiqua" w:hAnsi="Book Antiqua" w:cs="Book Antiqua"/>
          <w:color w:val="000000"/>
        </w:rPr>
        <w:t xml:space="preserve"> SE value </w:t>
      </w:r>
      <w:r w:rsidR="00F72005">
        <w:rPr>
          <w:rFonts w:ascii="Book Antiqua" w:eastAsia="Book Antiqua" w:hAnsi="Book Antiqua" w:cs="Book Antiqua"/>
          <w:color w:val="000000"/>
        </w:rPr>
        <w:t xml:space="preserve">of </w:t>
      </w:r>
      <w:r w:rsidRPr="008F20DF">
        <w:rPr>
          <w:rFonts w:ascii="Book Antiqua" w:eastAsia="Book Antiqua" w:hAnsi="Book Antiqua" w:cs="Book Antiqua"/>
          <w:color w:val="000000"/>
        </w:rPr>
        <w:t>0.043</w:t>
      </w:r>
      <w:r w:rsidR="00F72005">
        <w:rPr>
          <w:rFonts w:ascii="Book Antiqua" w:eastAsia="Book Antiqua" w:hAnsi="Book Antiqua" w:cs="Book Antiqua"/>
          <w:color w:val="000000"/>
        </w:rPr>
        <w:t xml:space="preserve"> (odds ratio =</w:t>
      </w:r>
      <w:r w:rsidRPr="008F20DF">
        <w:rPr>
          <w:rFonts w:ascii="Book Antiqua" w:eastAsia="Book Antiqua" w:hAnsi="Book Antiqua" w:cs="Book Antiqua"/>
          <w:color w:val="000000"/>
        </w:rPr>
        <w:t xml:space="preserve"> 0.751, 95%</w:t>
      </w:r>
      <w:r w:rsidR="00F72005">
        <w:rPr>
          <w:rFonts w:ascii="Book Antiqua" w:eastAsia="Book Antiqua" w:hAnsi="Book Antiqua" w:cs="Book Antiqua"/>
          <w:color w:val="000000"/>
        </w:rPr>
        <w:t xml:space="preserve"> confidence interval</w:t>
      </w:r>
      <w:r w:rsidRPr="008F20DF">
        <w:rPr>
          <w:rFonts w:ascii="Book Antiqua" w:eastAsia="Book Antiqua" w:hAnsi="Book Antiqua" w:cs="Book Antiqua"/>
          <w:color w:val="000000"/>
        </w:rPr>
        <w:t xml:space="preserve">: 0.751-0.872, </w:t>
      </w:r>
      <w:r w:rsidRPr="008F20DF">
        <w:rPr>
          <w:rFonts w:ascii="Book Antiqua" w:eastAsia="Book Antiqua" w:hAnsi="Book Antiqua" w:cs="Book Antiqua"/>
          <w:i/>
          <w:iCs/>
          <w:color w:val="000000"/>
        </w:rPr>
        <w:t>P</w:t>
      </w:r>
      <w:r w:rsidRPr="008F20DF">
        <w:rPr>
          <w:rFonts w:ascii="Book Antiqua" w:eastAsia="Book Antiqua" w:hAnsi="Book Antiqua" w:cs="Book Antiqua"/>
          <w:color w:val="000000"/>
        </w:rPr>
        <w:t xml:space="preserve"> = 0.01</w:t>
      </w:r>
      <w:r w:rsidR="00F72005">
        <w:rPr>
          <w:rFonts w:ascii="Book Antiqua" w:eastAsia="Book Antiqua" w:hAnsi="Book Antiqua" w:cs="Book Antiqua"/>
          <w:color w:val="000000"/>
        </w:rPr>
        <w:t>)</w:t>
      </w:r>
      <w:r w:rsidRPr="008F20DF">
        <w:rPr>
          <w:rFonts w:ascii="Book Antiqua" w:eastAsia="Book Antiqua" w:hAnsi="Book Antiqua" w:cs="Book Antiqua"/>
          <w:color w:val="000000"/>
        </w:rPr>
        <w:t>.</w:t>
      </w:r>
    </w:p>
    <w:bookmarkEnd w:id="8"/>
    <w:bookmarkEnd w:id="9"/>
    <w:p w14:paraId="6A68CB84" w14:textId="77777777" w:rsidR="00A77B3E" w:rsidRPr="008F20DF" w:rsidRDefault="00A77B3E" w:rsidP="008F20DF">
      <w:pPr>
        <w:snapToGrid w:val="0"/>
        <w:spacing w:line="360" w:lineRule="auto"/>
        <w:ind w:firstLine="480"/>
        <w:jc w:val="both"/>
        <w:rPr>
          <w:rFonts w:ascii="Book Antiqua" w:hAnsi="Book Antiqua"/>
        </w:rPr>
      </w:pPr>
    </w:p>
    <w:p w14:paraId="515468B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DISCUSSION</w:t>
      </w:r>
    </w:p>
    <w:p w14:paraId="2E42CFB6" w14:textId="226009E2" w:rsidR="00A77B3E" w:rsidRPr="008F20DF" w:rsidRDefault="008D15FE" w:rsidP="008F20DF">
      <w:pPr>
        <w:snapToGrid w:val="0"/>
        <w:spacing w:line="360" w:lineRule="auto"/>
        <w:jc w:val="both"/>
        <w:rPr>
          <w:rFonts w:ascii="Book Antiqua" w:hAnsi="Book Antiqua"/>
        </w:rPr>
      </w:pPr>
      <w:bookmarkStart w:id="10" w:name="OLE_LINK11"/>
      <w:bookmarkStart w:id="11" w:name="OLE_LINK12"/>
      <w:r w:rsidRPr="008F20DF">
        <w:rPr>
          <w:rFonts w:ascii="Book Antiqua" w:eastAsia="Book Antiqua" w:hAnsi="Book Antiqua" w:cs="Book Antiqua"/>
          <w:color w:val="000000"/>
        </w:rPr>
        <w:t xml:space="preserve">Sepsis is one of the most common causes of death in patients admitted in </w:t>
      </w:r>
      <w:r w:rsidR="005B353A">
        <w:rPr>
          <w:rFonts w:ascii="Book Antiqua" w:eastAsia="Book Antiqua" w:hAnsi="Book Antiqua" w:cs="Book Antiqua"/>
          <w:color w:val="000000"/>
        </w:rPr>
        <w:t xml:space="preserve">the </w:t>
      </w:r>
      <w:r w:rsidRPr="008F20DF">
        <w:rPr>
          <w:rFonts w:ascii="Book Antiqua" w:eastAsia="Book Antiqua" w:hAnsi="Book Antiqua" w:cs="Book Antiqua"/>
          <w:color w:val="000000"/>
        </w:rPr>
        <w:t>intensive care unit. Clinical features of sepsis often include systemic inflammatory response and even damage to multiple organs. Severe cases of sepsis may develop into septic shock</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which may further lead to multiple organ dysfunction with </w:t>
      </w:r>
      <w:r w:rsidR="005B353A">
        <w:rPr>
          <w:rFonts w:ascii="Book Antiqua" w:eastAsia="Book Antiqua" w:hAnsi="Book Antiqua" w:cs="Book Antiqua"/>
          <w:color w:val="000000"/>
        </w:rPr>
        <w:t xml:space="preserve">a </w:t>
      </w:r>
      <w:r w:rsidRPr="008F20DF">
        <w:rPr>
          <w:rFonts w:ascii="Book Antiqua" w:eastAsia="Book Antiqua" w:hAnsi="Book Antiqua" w:cs="Book Antiqua"/>
          <w:color w:val="000000"/>
        </w:rPr>
        <w:t>fatality rate up to 35% to 70</w:t>
      </w:r>
      <w:proofErr w:type="gramStart"/>
      <w:r w:rsidRPr="008F20DF">
        <w:rPr>
          <w:rFonts w:ascii="Book Antiqua" w:eastAsia="Book Antiqua" w:hAnsi="Book Antiqua" w:cs="Book Antiqua"/>
          <w:color w:val="000000"/>
        </w:rPr>
        <w:t>%</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12-14]</w:t>
      </w:r>
      <w:r w:rsidRPr="008F20DF">
        <w:rPr>
          <w:rFonts w:ascii="Book Antiqua" w:eastAsia="Book Antiqua" w:hAnsi="Book Antiqua" w:cs="Book Antiqua"/>
          <w:color w:val="000000"/>
        </w:rPr>
        <w:t xml:space="preserve">. Sepsis occurs when the </w:t>
      </w:r>
      <w:proofErr w:type="gramStart"/>
      <w:r w:rsidRPr="008F20DF">
        <w:rPr>
          <w:rFonts w:ascii="Book Antiqua" w:eastAsia="Book Antiqua" w:hAnsi="Book Antiqua" w:cs="Book Antiqua"/>
          <w:color w:val="000000"/>
        </w:rPr>
        <w:t>body have</w:t>
      </w:r>
      <w:proofErr w:type="gramEnd"/>
      <w:r w:rsidRPr="008F20DF">
        <w:rPr>
          <w:rFonts w:ascii="Book Antiqua" w:eastAsia="Book Antiqua" w:hAnsi="Book Antiqua" w:cs="Book Antiqua"/>
          <w:color w:val="000000"/>
        </w:rPr>
        <w:t xml:space="preserve"> a probable or confirmed infection or trauma. The development of infection and trauma will cause systemic inflammatory response</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which in turn cause</w:t>
      </w:r>
      <w:r w:rsidR="005B353A">
        <w:rPr>
          <w:rFonts w:ascii="Book Antiqua" w:eastAsia="Book Antiqua" w:hAnsi="Book Antiqua" w:cs="Book Antiqua"/>
          <w:color w:val="000000"/>
        </w:rPr>
        <w:t>s</w:t>
      </w:r>
      <w:r w:rsidRPr="008F20DF">
        <w:rPr>
          <w:rFonts w:ascii="Book Antiqua" w:eastAsia="Book Antiqua" w:hAnsi="Book Antiqua" w:cs="Book Antiqua"/>
          <w:color w:val="000000"/>
        </w:rPr>
        <w:t xml:space="preserve"> secretion of inflammatory mediators followed by cardiovascular dysfunction with the presence of decreased effective circulating volume, hemodynamic changes including fall of blood pressure, and septic </w:t>
      </w:r>
      <w:proofErr w:type="gramStart"/>
      <w:r w:rsidRPr="008F20DF">
        <w:rPr>
          <w:rFonts w:ascii="Book Antiqua" w:eastAsia="Book Antiqua" w:hAnsi="Book Antiqua" w:cs="Book Antiqua"/>
          <w:color w:val="000000"/>
        </w:rPr>
        <w:t>shock</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15]</w:t>
      </w:r>
      <w:r w:rsidRPr="008F20DF">
        <w:rPr>
          <w:rFonts w:ascii="Book Antiqua" w:eastAsia="Book Antiqua" w:hAnsi="Book Antiqua" w:cs="Book Antiqua"/>
          <w:color w:val="000000"/>
        </w:rPr>
        <w:t>. Hemodynamic monitoring</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which is usually used in the diagnosis and treatment of cardiovascular dysfunction</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could also be used in sepsis patients with septic shock whose hemodynamic stability is vulnerable to the influence of trauma and infection. Hemodynamic changes vary in different periods of development in patients with acute </w:t>
      </w:r>
      <w:proofErr w:type="gramStart"/>
      <w:r w:rsidRPr="008F20DF">
        <w:rPr>
          <w:rFonts w:ascii="Book Antiqua" w:eastAsia="Book Antiqua" w:hAnsi="Book Antiqua" w:cs="Book Antiqua"/>
          <w:color w:val="000000"/>
        </w:rPr>
        <w:t>sepsis</w:t>
      </w:r>
      <w:r w:rsidR="002C268C" w:rsidRPr="002C268C">
        <w:rPr>
          <w:rFonts w:ascii="Book Antiqua" w:eastAsia="Book Antiqua" w:hAnsi="Book Antiqua" w:cs="Book Antiqua"/>
          <w:color w:val="000000"/>
          <w:vertAlign w:val="superscript"/>
        </w:rPr>
        <w:t>[</w:t>
      </w:r>
      <w:proofErr w:type="gramEnd"/>
      <w:r w:rsidR="002C268C" w:rsidRPr="002C268C">
        <w:rPr>
          <w:rFonts w:ascii="Book Antiqua" w:eastAsia="Book Antiqua" w:hAnsi="Book Antiqua" w:cs="Book Antiqua"/>
          <w:color w:val="000000"/>
          <w:vertAlign w:val="superscript"/>
        </w:rPr>
        <w:t>16]</w:t>
      </w:r>
      <w:r w:rsidRPr="008F20DF">
        <w:rPr>
          <w:rFonts w:ascii="Book Antiqua" w:eastAsia="Book Antiqua" w:hAnsi="Book Antiqua" w:cs="Book Antiqua"/>
          <w:color w:val="000000"/>
        </w:rPr>
        <w:t>. In the early phase of sepsis, it is normally characterized by high output-normal resistance and increased cardiac output and CI, and normal or decreased SVRI specifically. As the disease progresses, it is characterized with high output-low resistance and accelerated heart rate, obvious</w:t>
      </w:r>
      <w:r w:rsidR="005B353A">
        <w:rPr>
          <w:rFonts w:ascii="Book Antiqua" w:eastAsia="Book Antiqua" w:hAnsi="Book Antiqua" w:cs="Book Antiqua"/>
          <w:color w:val="000000"/>
        </w:rPr>
        <w:t>ly</w:t>
      </w:r>
      <w:r w:rsidRPr="008F20DF">
        <w:rPr>
          <w:rFonts w:ascii="Book Antiqua" w:eastAsia="Book Antiqua" w:hAnsi="Book Antiqua" w:cs="Book Antiqua"/>
          <w:color w:val="000000"/>
        </w:rPr>
        <w:t xml:space="preserve"> increased cardiac output</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decreased SVRI. In view of this, hemodynamic indices could become one of the factors for prediction of disease state and prognosis in patients</w:t>
      </w:r>
      <w:r w:rsidR="005B353A">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with severe </w:t>
      </w:r>
      <w:proofErr w:type="gramStart"/>
      <w:r w:rsidRPr="008F20DF">
        <w:rPr>
          <w:rFonts w:ascii="Book Antiqua" w:eastAsia="Book Antiqua" w:hAnsi="Book Antiqua" w:cs="Book Antiqua"/>
          <w:color w:val="000000"/>
        </w:rPr>
        <w:t>sepsis</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17]</w:t>
      </w:r>
      <w:r w:rsidRPr="008F20DF">
        <w:rPr>
          <w:rFonts w:ascii="Book Antiqua" w:eastAsia="Book Antiqua" w:hAnsi="Book Antiqua" w:cs="Book Antiqua"/>
          <w:color w:val="000000"/>
        </w:rPr>
        <w:t xml:space="preserve">. </w:t>
      </w:r>
      <w:proofErr w:type="gramStart"/>
      <w:r w:rsidRPr="008F20DF">
        <w:rPr>
          <w:rFonts w:ascii="Book Antiqua" w:eastAsia="Book Antiqua" w:hAnsi="Book Antiqua" w:cs="Book Antiqua"/>
          <w:color w:val="000000"/>
        </w:rPr>
        <w:t>Studies</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18]</w:t>
      </w:r>
      <w:r w:rsidRPr="008F20DF">
        <w:rPr>
          <w:rFonts w:ascii="Book Antiqua" w:eastAsia="Book Antiqua" w:hAnsi="Book Antiqua" w:cs="Book Antiqua"/>
          <w:color w:val="000000"/>
        </w:rPr>
        <w:t xml:space="preserve"> found that fluid resuscitation under the guidance of hemodynamic monitoring helps to improve the treatment efficacy and outcomes in septic patients with myocardial injury. Stimulated by endotoxin, the release of myocardial-depressant-factor increased and then causes unbalanced mechanisms of local blood flow regulation </w:t>
      </w:r>
      <w:r w:rsidR="005B353A">
        <w:rPr>
          <w:rFonts w:ascii="Book Antiqua" w:eastAsia="Book Antiqua" w:hAnsi="Book Antiqua" w:cs="Book Antiqua"/>
          <w:color w:val="000000"/>
        </w:rPr>
        <w:t>that</w:t>
      </w:r>
      <w:r w:rsidR="005B353A" w:rsidRPr="008F20DF">
        <w:rPr>
          <w:rFonts w:ascii="Book Antiqua" w:eastAsia="Book Antiqua" w:hAnsi="Book Antiqua" w:cs="Book Antiqua"/>
          <w:color w:val="000000"/>
        </w:rPr>
        <w:t xml:space="preserve"> </w:t>
      </w:r>
      <w:r w:rsidR="005B353A">
        <w:rPr>
          <w:rFonts w:ascii="Book Antiqua" w:eastAsia="Book Antiqua" w:hAnsi="Book Antiqua" w:cs="Book Antiqua"/>
          <w:color w:val="000000"/>
        </w:rPr>
        <w:t>finally</w:t>
      </w:r>
      <w:r w:rsidRPr="008F20DF">
        <w:rPr>
          <w:rFonts w:ascii="Book Antiqua" w:eastAsia="Book Antiqua" w:hAnsi="Book Antiqua" w:cs="Book Antiqua"/>
          <w:color w:val="000000"/>
        </w:rPr>
        <w:t xml:space="preserve"> may lead to myocardial ischemia and anoxia and decrease in SVRI, and a series of changes in hemodynamic </w:t>
      </w:r>
      <w:proofErr w:type="gramStart"/>
      <w:r w:rsidRPr="008F20DF">
        <w:rPr>
          <w:rFonts w:ascii="Book Antiqua" w:eastAsia="Book Antiqua" w:hAnsi="Book Antiqua" w:cs="Book Antiqua"/>
          <w:color w:val="000000"/>
        </w:rPr>
        <w:t>indices</w:t>
      </w:r>
      <w:r w:rsidRPr="008F20DF">
        <w:rPr>
          <w:rFonts w:ascii="Book Antiqua" w:eastAsia="Book Antiqua" w:hAnsi="Book Antiqua" w:cs="Book Antiqua"/>
          <w:color w:val="000000"/>
          <w:vertAlign w:val="superscript"/>
        </w:rPr>
        <w:t>[</w:t>
      </w:r>
      <w:proofErr w:type="gramEnd"/>
      <w:r w:rsidRPr="008F20DF">
        <w:rPr>
          <w:rFonts w:ascii="Book Antiqua" w:eastAsia="Book Antiqua" w:hAnsi="Book Antiqua" w:cs="Book Antiqua"/>
          <w:color w:val="000000"/>
          <w:vertAlign w:val="superscript"/>
        </w:rPr>
        <w:t>19,20]</w:t>
      </w:r>
      <w:r w:rsidRPr="008F20DF">
        <w:rPr>
          <w:rFonts w:ascii="Book Antiqua" w:eastAsia="Book Antiqua" w:hAnsi="Book Antiqua" w:cs="Book Antiqua"/>
          <w:color w:val="000000"/>
        </w:rPr>
        <w:t>.</w:t>
      </w:r>
    </w:p>
    <w:p w14:paraId="542743AC" w14:textId="37586814"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In the present study, crystalloid and colloid solutions were added to sodium chloride injection and dextran glucose injection administered for fluid resuscitation to maintain plasma colloid osmotic pressure and increase blood volume and improve microcirculation. In addition, hemodynamic monitoring can prevent the occurrence of heart failure due to circulatory overload caused by a large quantity of liquid entering the body. The results of the present study suggested that HR, CI, MAP,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and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was lower in the early phase of shock and patients who died than in patients without shock and patients who survived. Logistic regression analysis showed that CI,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independent risk factors for the occurrence of septic shock and CI was an independent risk factor for the occurrence of death at 28 d after the treatment. This hinted that clinical manifestations such as hemodynamic abnormalities, decrease in </w:t>
      </w:r>
      <w:r w:rsidR="00E6653A" w:rsidRPr="008F20DF">
        <w:rPr>
          <w:rFonts w:ascii="Book Antiqua" w:eastAsia="Book Antiqua" w:hAnsi="Book Antiqua" w:cs="Book Antiqua"/>
          <w:color w:val="000000"/>
        </w:rPr>
        <w:t>ScvO</w:t>
      </w:r>
      <w:r w:rsidR="00E6653A" w:rsidRPr="008F20DF">
        <w:rPr>
          <w:rFonts w:ascii="Book Antiqua" w:eastAsia="Book Antiqua" w:hAnsi="Book Antiqua" w:cs="Book Antiqua"/>
          <w:color w:val="000000"/>
          <w:vertAlign w:val="subscript"/>
        </w:rPr>
        <w:t>2</w:t>
      </w:r>
      <w:r w:rsidR="00E6653A">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and microcirculatory </w:t>
      </w:r>
      <w:proofErr w:type="spellStart"/>
      <w:r w:rsidRPr="008F20DF">
        <w:rPr>
          <w:rFonts w:ascii="Book Antiqua" w:eastAsia="Book Antiqua" w:hAnsi="Book Antiqua" w:cs="Book Antiqua"/>
          <w:color w:val="000000"/>
        </w:rPr>
        <w:t>hypoperfusion</w:t>
      </w:r>
      <w:proofErr w:type="spellEnd"/>
      <w:r w:rsidRPr="008F20DF">
        <w:rPr>
          <w:rFonts w:ascii="Book Antiqua" w:eastAsia="Book Antiqua" w:hAnsi="Book Antiqua" w:cs="Book Antiqua"/>
          <w:color w:val="000000"/>
        </w:rPr>
        <w:t xml:space="preserve"> were frequent in patients with severe sepsis. The prognosis can be predicted through the use of hemodynamic monitoring.</w:t>
      </w:r>
    </w:p>
    <w:bookmarkEnd w:id="10"/>
    <w:bookmarkEnd w:id="11"/>
    <w:p w14:paraId="015BED10" w14:textId="77777777" w:rsidR="00A77B3E" w:rsidRPr="008F20DF" w:rsidRDefault="00A77B3E" w:rsidP="008F20DF">
      <w:pPr>
        <w:snapToGrid w:val="0"/>
        <w:spacing w:line="360" w:lineRule="auto"/>
        <w:jc w:val="both"/>
        <w:rPr>
          <w:rFonts w:ascii="Book Antiqua" w:hAnsi="Book Antiqua"/>
        </w:rPr>
      </w:pPr>
    </w:p>
    <w:p w14:paraId="3EA22E8B"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CONCLUSION</w:t>
      </w:r>
    </w:p>
    <w:p w14:paraId="6EE05905" w14:textId="178B84E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Hemodynamic indices </w:t>
      </w:r>
      <w:r w:rsidR="00E6653A">
        <w:rPr>
          <w:rFonts w:ascii="Book Antiqua" w:eastAsia="Book Antiqua" w:hAnsi="Book Antiqua" w:cs="Book Antiqua"/>
          <w:color w:val="000000"/>
        </w:rPr>
        <w:t>are</w:t>
      </w:r>
      <w:r w:rsidR="00E6653A"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associated with the prognosis in patients with sepsis and they can be used as the factors for the prediction of changes in patients’ conditions and prognosis. Moreover, hemodynamic indices can be used to guide the procedure of fluid resuscitation. Further studies are needed to compare the changes in hemodynamic indices in the later phase of sepsis to provide strong evidence for the clinical treatment of sepsis.</w:t>
      </w:r>
    </w:p>
    <w:p w14:paraId="2FC407E8" w14:textId="77777777" w:rsidR="00A77B3E" w:rsidRPr="008F20DF" w:rsidRDefault="00A77B3E" w:rsidP="008F20DF">
      <w:pPr>
        <w:snapToGrid w:val="0"/>
        <w:spacing w:line="360" w:lineRule="auto"/>
        <w:jc w:val="both"/>
        <w:rPr>
          <w:rFonts w:ascii="Book Antiqua" w:hAnsi="Book Antiqua"/>
        </w:rPr>
      </w:pPr>
    </w:p>
    <w:p w14:paraId="0E70292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ARTICLE HIGHLIGHTS</w:t>
      </w:r>
    </w:p>
    <w:p w14:paraId="7FE65BEE"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background</w:t>
      </w:r>
    </w:p>
    <w:p w14:paraId="4361B937" w14:textId="37CAF434"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Sepsis is always associated with high mortality. Early diagnosis and appropriate treatment help to improve outcomes. Like markers such as body temperature, leuk</w:t>
      </w:r>
      <w:r w:rsidR="002A6065" w:rsidRPr="008F20DF">
        <w:rPr>
          <w:rFonts w:ascii="Book Antiqua" w:eastAsia="Book Antiqua" w:hAnsi="Book Antiqua" w:cs="Book Antiqua"/>
          <w:color w:val="000000"/>
        </w:rPr>
        <w:t>ocyte count, C-reactive protein</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w:t>
      </w:r>
      <w:proofErr w:type="spellStart"/>
      <w:r w:rsidRPr="008F20DF">
        <w:rPr>
          <w:rFonts w:ascii="Book Antiqua" w:eastAsia="Book Antiqua" w:hAnsi="Book Antiqua" w:cs="Book Antiqua"/>
          <w:color w:val="000000"/>
        </w:rPr>
        <w:t>procalcitonin</w:t>
      </w:r>
      <w:proofErr w:type="spellEnd"/>
      <w:r w:rsidRPr="008F20DF">
        <w:rPr>
          <w:rFonts w:ascii="Book Antiqua" w:eastAsia="Book Antiqua" w:hAnsi="Book Antiqua" w:cs="Book Antiqua"/>
          <w:color w:val="000000"/>
        </w:rPr>
        <w:t xml:space="preserve"> as well as tumor necrosis factor-alpha, interleukin (IL)-6, IL-8, IL-10</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HLA-DR expression, hemodynamic indices guide clinicians to make a reasonable decision. However, no specific markers for sepsis have been identified. </w:t>
      </w:r>
    </w:p>
    <w:p w14:paraId="170B4149" w14:textId="77777777" w:rsidR="00A77B3E" w:rsidRPr="008F20DF" w:rsidRDefault="00A77B3E" w:rsidP="008F20DF">
      <w:pPr>
        <w:snapToGrid w:val="0"/>
        <w:spacing w:line="360" w:lineRule="auto"/>
        <w:jc w:val="both"/>
        <w:rPr>
          <w:rFonts w:ascii="Book Antiqua" w:hAnsi="Book Antiqua"/>
        </w:rPr>
      </w:pPr>
    </w:p>
    <w:p w14:paraId="25D439E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motivation</w:t>
      </w:r>
    </w:p>
    <w:p w14:paraId="59BD349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Hemodynamic monitoring is essential to the care of septic patients. By assessing the hemodynamic indices, patient condition is determined so that timely subsequent interventions will be given accordingly. Whether its role is as important as the above-mentioned markers or factors in the management of sepsis? The present study reported the performance of hemodynamic indices for predicting the outcomes including risk of shock and mortality in septic patients. </w:t>
      </w:r>
    </w:p>
    <w:p w14:paraId="4A978C7A" w14:textId="77777777" w:rsidR="00A77B3E" w:rsidRPr="008F20DF" w:rsidRDefault="00A77B3E" w:rsidP="008F20DF">
      <w:pPr>
        <w:snapToGrid w:val="0"/>
        <w:spacing w:line="360" w:lineRule="auto"/>
        <w:jc w:val="both"/>
        <w:rPr>
          <w:rFonts w:ascii="Book Antiqua" w:hAnsi="Book Antiqua"/>
        </w:rPr>
      </w:pPr>
    </w:p>
    <w:p w14:paraId="32F4F552"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objectives</w:t>
      </w:r>
    </w:p>
    <w:p w14:paraId="7A740BD3" w14:textId="77777777" w:rsidR="00A77B3E" w:rsidRPr="008F20DF" w:rsidRDefault="008D15FE" w:rsidP="008F20DF">
      <w:pPr>
        <w:snapToGrid w:val="0"/>
        <w:spacing w:line="360" w:lineRule="auto"/>
        <w:jc w:val="both"/>
        <w:rPr>
          <w:rFonts w:ascii="Book Antiqua" w:hAnsi="Book Antiqua"/>
        </w:rPr>
      </w:pPr>
      <w:proofErr w:type="gramStart"/>
      <w:r w:rsidRPr="008F20DF">
        <w:rPr>
          <w:rFonts w:ascii="Book Antiqua" w:eastAsia="Book Antiqua" w:hAnsi="Book Antiqua" w:cs="Book Antiqua"/>
          <w:color w:val="000000"/>
        </w:rPr>
        <w:t>To discuss the potential predictive and prognostic value of hemodynamic indices for relevant clinical outcomes in patients with sepsis.</w:t>
      </w:r>
      <w:proofErr w:type="gramEnd"/>
    </w:p>
    <w:p w14:paraId="50F690F7" w14:textId="77777777" w:rsidR="00A77B3E" w:rsidRPr="008F20DF" w:rsidRDefault="00A77B3E" w:rsidP="008F20DF">
      <w:pPr>
        <w:snapToGrid w:val="0"/>
        <w:spacing w:line="360" w:lineRule="auto"/>
        <w:jc w:val="both"/>
        <w:rPr>
          <w:rFonts w:ascii="Book Antiqua" w:hAnsi="Book Antiqua"/>
        </w:rPr>
      </w:pPr>
    </w:p>
    <w:p w14:paraId="1E24428D"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methods</w:t>
      </w:r>
    </w:p>
    <w:p w14:paraId="7019E77F" w14:textId="5F58E268"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were</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monitored in patients with sepsis</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including heart rate (HR), cardiac index (CI), mean arterial pressure (MAP), systemic vascular resistance index (SVRI), central venous pressure (CVP)</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oxygen saturation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The differences in hemodynamic indices were compared between patients with shock and patients without shock and between non-survivors and survivors.</w:t>
      </w:r>
    </w:p>
    <w:p w14:paraId="2CD2EFE5" w14:textId="77777777" w:rsidR="00A77B3E" w:rsidRPr="008F20DF" w:rsidRDefault="00A77B3E" w:rsidP="008F20DF">
      <w:pPr>
        <w:snapToGrid w:val="0"/>
        <w:spacing w:line="360" w:lineRule="auto"/>
        <w:jc w:val="both"/>
        <w:rPr>
          <w:rFonts w:ascii="Book Antiqua" w:hAnsi="Book Antiqua"/>
        </w:rPr>
      </w:pPr>
    </w:p>
    <w:p w14:paraId="3349E84D"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results</w:t>
      </w:r>
    </w:p>
    <w:p w14:paraId="3561B015" w14:textId="4BB1B89A"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The results revealed that HR, CI, MAP,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in septic shock patients and non-survivors than</w:t>
      </w:r>
      <w:r w:rsidR="00E6653A">
        <w:rPr>
          <w:rFonts w:ascii="Book Antiqua" w:eastAsia="Book Antiqua" w:hAnsi="Book Antiqua" w:cs="Book Antiqua"/>
          <w:color w:val="000000"/>
        </w:rPr>
        <w:t xml:space="preserve"> in</w:t>
      </w:r>
      <w:r w:rsidRPr="008F20DF">
        <w:rPr>
          <w:rFonts w:ascii="Book Antiqua" w:eastAsia="Book Antiqua" w:hAnsi="Book Antiqua" w:cs="Book Antiqua"/>
          <w:color w:val="000000"/>
        </w:rPr>
        <w:t xml:space="preserve"> non-shock patients and survivors. However,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was lower in septic shock patients and non-survivors than </w:t>
      </w:r>
      <w:r w:rsidR="00E6653A">
        <w:rPr>
          <w:rFonts w:ascii="Book Antiqua" w:eastAsia="Book Antiqua" w:hAnsi="Book Antiqua" w:cs="Book Antiqua"/>
          <w:color w:val="000000"/>
        </w:rPr>
        <w:t xml:space="preserve">in </w:t>
      </w:r>
      <w:r w:rsidRPr="008F20DF">
        <w:rPr>
          <w:rFonts w:ascii="Book Antiqua" w:eastAsia="Book Antiqua" w:hAnsi="Book Antiqua" w:cs="Book Antiqua"/>
          <w:color w:val="000000"/>
        </w:rPr>
        <w:t>non-shock patients and survivors.</w:t>
      </w:r>
    </w:p>
    <w:p w14:paraId="7FACF4DC" w14:textId="77777777" w:rsidR="00A77B3E" w:rsidRPr="008F20DF" w:rsidRDefault="00A77B3E" w:rsidP="008F20DF">
      <w:pPr>
        <w:snapToGrid w:val="0"/>
        <w:spacing w:line="360" w:lineRule="auto"/>
        <w:jc w:val="both"/>
        <w:rPr>
          <w:rFonts w:ascii="Book Antiqua" w:hAnsi="Book Antiqua"/>
        </w:rPr>
      </w:pPr>
    </w:p>
    <w:p w14:paraId="293A96F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conclusions</w:t>
      </w:r>
    </w:p>
    <w:p w14:paraId="47BDF25F" w14:textId="5E764DEF"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Patients with high HR, CI, MAP,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levels and low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level probably develop severe disease or experience worsening disease.</w:t>
      </w:r>
      <w:r w:rsidR="00E6653A">
        <w:rPr>
          <w:rFonts w:ascii="Book Antiqua" w:eastAsia="Book Antiqua" w:hAnsi="Book Antiqua" w:cs="Book Antiqua"/>
          <w:color w:val="000000"/>
        </w:rPr>
        <w:t xml:space="preserve"> H</w:t>
      </w:r>
      <w:r w:rsidRPr="008F20DF">
        <w:rPr>
          <w:rFonts w:ascii="Book Antiqua" w:eastAsia="Book Antiqua" w:hAnsi="Book Antiqua" w:cs="Book Antiqua"/>
          <w:color w:val="000000"/>
        </w:rPr>
        <w:t>emodynamic indices may have predictive value for the outcomes and prognosis in patients with sepsis.</w:t>
      </w:r>
    </w:p>
    <w:p w14:paraId="5D07F748" w14:textId="77777777" w:rsidR="00A77B3E" w:rsidRPr="008F20DF" w:rsidRDefault="00A77B3E" w:rsidP="008F20DF">
      <w:pPr>
        <w:snapToGrid w:val="0"/>
        <w:spacing w:line="360" w:lineRule="auto"/>
        <w:jc w:val="both"/>
        <w:rPr>
          <w:rFonts w:ascii="Book Antiqua" w:hAnsi="Book Antiqua"/>
        </w:rPr>
      </w:pPr>
    </w:p>
    <w:p w14:paraId="15A67E0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perspectives</w:t>
      </w:r>
    </w:p>
    <w:p w14:paraId="2F3D38C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Recently, studies showed that static measures were replaced by dynamic measures for the prediction of fluid responsiveness and cardiac performance. In view of this, studies in the future should take the dynamic markers into consideration.</w:t>
      </w:r>
    </w:p>
    <w:p w14:paraId="5AB7A4D2" w14:textId="77777777" w:rsidR="00A77B3E" w:rsidRPr="008F20DF" w:rsidRDefault="00A77B3E" w:rsidP="008F20DF">
      <w:pPr>
        <w:snapToGrid w:val="0"/>
        <w:spacing w:line="360" w:lineRule="auto"/>
        <w:jc w:val="both"/>
        <w:rPr>
          <w:rFonts w:ascii="Book Antiqua" w:hAnsi="Book Antiqua"/>
        </w:rPr>
      </w:pPr>
    </w:p>
    <w:p w14:paraId="523B028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REFERENCES</w:t>
      </w:r>
    </w:p>
    <w:p w14:paraId="3CDCC0A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 </w:t>
      </w:r>
      <w:proofErr w:type="spellStart"/>
      <w:r w:rsidRPr="008F20DF">
        <w:rPr>
          <w:rFonts w:ascii="Book Antiqua" w:eastAsia="Book Antiqua" w:hAnsi="Book Antiqua" w:cs="Book Antiqua"/>
          <w:b/>
          <w:bCs/>
          <w:color w:val="000000"/>
        </w:rPr>
        <w:t>Corl</w:t>
      </w:r>
      <w:proofErr w:type="spellEnd"/>
      <w:r w:rsidRPr="008F20DF">
        <w:rPr>
          <w:rFonts w:ascii="Book Antiqua" w:eastAsia="Book Antiqua" w:hAnsi="Book Antiqua" w:cs="Book Antiqua"/>
          <w:b/>
          <w:bCs/>
          <w:color w:val="000000"/>
        </w:rPr>
        <w:t xml:space="preserve"> KA</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Prodromou</w:t>
      </w:r>
      <w:proofErr w:type="spellEnd"/>
      <w:r w:rsidRPr="008F20DF">
        <w:rPr>
          <w:rFonts w:ascii="Book Antiqua" w:eastAsia="Book Antiqua" w:hAnsi="Book Antiqua" w:cs="Book Antiqua"/>
          <w:color w:val="000000"/>
        </w:rPr>
        <w:t xml:space="preserve"> M, Merchant RC, </w:t>
      </w:r>
      <w:proofErr w:type="spellStart"/>
      <w:r w:rsidRPr="008F20DF">
        <w:rPr>
          <w:rFonts w:ascii="Book Antiqua" w:eastAsia="Book Antiqua" w:hAnsi="Book Antiqua" w:cs="Book Antiqua"/>
          <w:color w:val="000000"/>
        </w:rPr>
        <w:t>Gareen</w:t>
      </w:r>
      <w:proofErr w:type="spellEnd"/>
      <w:r w:rsidRPr="008F20DF">
        <w:rPr>
          <w:rFonts w:ascii="Book Antiqua" w:eastAsia="Book Antiqua" w:hAnsi="Book Antiqua" w:cs="Book Antiqua"/>
          <w:color w:val="000000"/>
        </w:rPr>
        <w:t xml:space="preserve"> I, Marks S, Banerjee D, Amass T, </w:t>
      </w:r>
      <w:proofErr w:type="spellStart"/>
      <w:r w:rsidRPr="008F20DF">
        <w:rPr>
          <w:rFonts w:ascii="Book Antiqua" w:eastAsia="Book Antiqua" w:hAnsi="Book Antiqua" w:cs="Book Antiqua"/>
          <w:color w:val="000000"/>
        </w:rPr>
        <w:t>Abbasi</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Delcompare</w:t>
      </w:r>
      <w:proofErr w:type="spellEnd"/>
      <w:r w:rsidRPr="008F20DF">
        <w:rPr>
          <w:rFonts w:ascii="Book Antiqua" w:eastAsia="Book Antiqua" w:hAnsi="Book Antiqua" w:cs="Book Antiqua"/>
          <w:color w:val="000000"/>
        </w:rPr>
        <w:t xml:space="preserve"> C, </w:t>
      </w:r>
      <w:proofErr w:type="spellStart"/>
      <w:r w:rsidRPr="008F20DF">
        <w:rPr>
          <w:rFonts w:ascii="Book Antiqua" w:eastAsia="Book Antiqua" w:hAnsi="Book Antiqua" w:cs="Book Antiqua"/>
          <w:color w:val="000000"/>
        </w:rPr>
        <w:t>Palmisciano</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Aliotta</w:t>
      </w:r>
      <w:proofErr w:type="spellEnd"/>
      <w:r w:rsidRPr="008F20DF">
        <w:rPr>
          <w:rFonts w:ascii="Book Antiqua" w:eastAsia="Book Antiqua" w:hAnsi="Book Antiqua" w:cs="Book Antiqua"/>
          <w:color w:val="000000"/>
        </w:rPr>
        <w:t xml:space="preserve"> J, Jay G, Levy MM. The Restrictive IV Fluid Trial in Severe Sepsis and Septic Shock (RIFTS): A Randomized Pilot Study. </w:t>
      </w:r>
      <w:proofErr w:type="spellStart"/>
      <w:r w:rsidRPr="008F20DF">
        <w:rPr>
          <w:rFonts w:ascii="Book Antiqua" w:eastAsia="Book Antiqua" w:hAnsi="Book Antiqua" w:cs="Book Antiqua"/>
          <w:i/>
          <w:iCs/>
          <w:color w:val="000000"/>
        </w:rPr>
        <w:t>Crit</w:t>
      </w:r>
      <w:proofErr w:type="spellEnd"/>
      <w:r w:rsidRPr="008F20DF">
        <w:rPr>
          <w:rFonts w:ascii="Book Antiqua" w:eastAsia="Book Antiqua" w:hAnsi="Book Antiqua" w:cs="Book Antiqua"/>
          <w:i/>
          <w:iCs/>
          <w:color w:val="000000"/>
        </w:rPr>
        <w:t xml:space="preserve"> Care Med</w:t>
      </w:r>
      <w:r w:rsidRPr="008F20DF">
        <w:rPr>
          <w:rFonts w:ascii="Book Antiqua" w:eastAsia="Book Antiqua" w:hAnsi="Book Antiqua" w:cs="Book Antiqua"/>
          <w:color w:val="000000"/>
        </w:rPr>
        <w:t xml:space="preserve"> 2019; </w:t>
      </w:r>
      <w:r w:rsidRPr="008F20DF">
        <w:rPr>
          <w:rFonts w:ascii="Book Antiqua" w:eastAsia="Book Antiqua" w:hAnsi="Book Antiqua" w:cs="Book Antiqua"/>
          <w:b/>
          <w:bCs/>
          <w:color w:val="000000"/>
        </w:rPr>
        <w:t>47</w:t>
      </w:r>
      <w:r w:rsidRPr="008F20DF">
        <w:rPr>
          <w:rFonts w:ascii="Book Antiqua" w:eastAsia="Book Antiqua" w:hAnsi="Book Antiqua" w:cs="Book Antiqua"/>
          <w:color w:val="000000"/>
        </w:rPr>
        <w:t>: 951-959 [PMID: 30985449 DOI: 10.1097/CCM.0000000000003779]</w:t>
      </w:r>
    </w:p>
    <w:p w14:paraId="7BD75E5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2 </w:t>
      </w:r>
      <w:proofErr w:type="spellStart"/>
      <w:r w:rsidRPr="008F20DF">
        <w:rPr>
          <w:rFonts w:ascii="Book Antiqua" w:eastAsia="Book Antiqua" w:hAnsi="Book Antiqua" w:cs="Book Antiqua"/>
          <w:b/>
          <w:bCs/>
          <w:color w:val="000000"/>
        </w:rPr>
        <w:t>Rochwerg</w:t>
      </w:r>
      <w:proofErr w:type="spellEnd"/>
      <w:r w:rsidRPr="008F20DF">
        <w:rPr>
          <w:rFonts w:ascii="Book Antiqua" w:eastAsia="Book Antiqua" w:hAnsi="Book Antiqua" w:cs="Book Antiqua"/>
          <w:b/>
          <w:bCs/>
          <w:color w:val="000000"/>
        </w:rPr>
        <w:t xml:space="preserve"> B</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Alhazzani</w:t>
      </w:r>
      <w:proofErr w:type="spellEnd"/>
      <w:r w:rsidRPr="008F20DF">
        <w:rPr>
          <w:rFonts w:ascii="Book Antiqua" w:eastAsia="Book Antiqua" w:hAnsi="Book Antiqua" w:cs="Book Antiqua"/>
          <w:color w:val="000000"/>
        </w:rPr>
        <w:t xml:space="preserve"> W, </w:t>
      </w:r>
      <w:proofErr w:type="spellStart"/>
      <w:r w:rsidRPr="008F20DF">
        <w:rPr>
          <w:rFonts w:ascii="Book Antiqua" w:eastAsia="Book Antiqua" w:hAnsi="Book Antiqua" w:cs="Book Antiqua"/>
          <w:color w:val="000000"/>
        </w:rPr>
        <w:t>Sindi</w:t>
      </w:r>
      <w:proofErr w:type="spellEnd"/>
      <w:r w:rsidRPr="008F20DF">
        <w:rPr>
          <w:rFonts w:ascii="Book Antiqua" w:eastAsia="Book Antiqua" w:hAnsi="Book Antiqua" w:cs="Book Antiqua"/>
          <w:color w:val="000000"/>
        </w:rPr>
        <w:t xml:space="preserve"> A, Heels-</w:t>
      </w:r>
      <w:proofErr w:type="spellStart"/>
      <w:r w:rsidRPr="008F20DF">
        <w:rPr>
          <w:rFonts w:ascii="Book Antiqua" w:eastAsia="Book Antiqua" w:hAnsi="Book Antiqua" w:cs="Book Antiqua"/>
          <w:color w:val="000000"/>
        </w:rPr>
        <w:t>Ansdell</w:t>
      </w:r>
      <w:proofErr w:type="spellEnd"/>
      <w:r w:rsidRPr="008F20DF">
        <w:rPr>
          <w:rFonts w:ascii="Book Antiqua" w:eastAsia="Book Antiqua" w:hAnsi="Book Antiqua" w:cs="Book Antiqua"/>
          <w:color w:val="000000"/>
        </w:rPr>
        <w:t xml:space="preserve"> D, </w:t>
      </w:r>
      <w:proofErr w:type="spellStart"/>
      <w:r w:rsidRPr="008F20DF">
        <w:rPr>
          <w:rFonts w:ascii="Book Antiqua" w:eastAsia="Book Antiqua" w:hAnsi="Book Antiqua" w:cs="Book Antiqua"/>
          <w:color w:val="000000"/>
        </w:rPr>
        <w:t>Thabane</w:t>
      </w:r>
      <w:proofErr w:type="spellEnd"/>
      <w:r w:rsidRPr="008F20DF">
        <w:rPr>
          <w:rFonts w:ascii="Book Antiqua" w:eastAsia="Book Antiqua" w:hAnsi="Book Antiqua" w:cs="Book Antiqua"/>
          <w:color w:val="000000"/>
        </w:rPr>
        <w:t xml:space="preserve"> L, Fox-</w:t>
      </w:r>
      <w:proofErr w:type="spellStart"/>
      <w:r w:rsidRPr="008F20DF">
        <w:rPr>
          <w:rFonts w:ascii="Book Antiqua" w:eastAsia="Book Antiqua" w:hAnsi="Book Antiqua" w:cs="Book Antiqua"/>
          <w:color w:val="000000"/>
        </w:rPr>
        <w:t>Robichaud</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Mbuagbaw</w:t>
      </w:r>
      <w:proofErr w:type="spellEnd"/>
      <w:r w:rsidRPr="008F20DF">
        <w:rPr>
          <w:rFonts w:ascii="Book Antiqua" w:eastAsia="Book Antiqua" w:hAnsi="Book Antiqua" w:cs="Book Antiqua"/>
          <w:color w:val="000000"/>
        </w:rPr>
        <w:t xml:space="preserve"> L, </w:t>
      </w:r>
      <w:proofErr w:type="spellStart"/>
      <w:r w:rsidRPr="008F20DF">
        <w:rPr>
          <w:rFonts w:ascii="Book Antiqua" w:eastAsia="Book Antiqua" w:hAnsi="Book Antiqua" w:cs="Book Antiqua"/>
          <w:color w:val="000000"/>
        </w:rPr>
        <w:t>Szczeklik</w:t>
      </w:r>
      <w:proofErr w:type="spellEnd"/>
      <w:r w:rsidRPr="008F20DF">
        <w:rPr>
          <w:rFonts w:ascii="Book Antiqua" w:eastAsia="Book Antiqua" w:hAnsi="Book Antiqua" w:cs="Book Antiqua"/>
          <w:color w:val="000000"/>
        </w:rPr>
        <w:t xml:space="preserve"> W, </w:t>
      </w:r>
      <w:proofErr w:type="spellStart"/>
      <w:r w:rsidRPr="008F20DF">
        <w:rPr>
          <w:rFonts w:ascii="Book Antiqua" w:eastAsia="Book Antiqua" w:hAnsi="Book Antiqua" w:cs="Book Antiqua"/>
          <w:color w:val="000000"/>
        </w:rPr>
        <w:t>Alshamsi</w:t>
      </w:r>
      <w:proofErr w:type="spellEnd"/>
      <w:r w:rsidRPr="008F20DF">
        <w:rPr>
          <w:rFonts w:ascii="Book Antiqua" w:eastAsia="Book Antiqua" w:hAnsi="Book Antiqua" w:cs="Book Antiqua"/>
          <w:color w:val="000000"/>
        </w:rPr>
        <w:t xml:space="preserve"> F, </w:t>
      </w:r>
      <w:proofErr w:type="spellStart"/>
      <w:r w:rsidRPr="008F20DF">
        <w:rPr>
          <w:rFonts w:ascii="Book Antiqua" w:eastAsia="Book Antiqua" w:hAnsi="Book Antiqua" w:cs="Book Antiqua"/>
          <w:color w:val="000000"/>
        </w:rPr>
        <w:t>Altayyar</w:t>
      </w:r>
      <w:proofErr w:type="spellEnd"/>
      <w:r w:rsidRPr="008F20DF">
        <w:rPr>
          <w:rFonts w:ascii="Book Antiqua" w:eastAsia="Book Antiqua" w:hAnsi="Book Antiqua" w:cs="Book Antiqua"/>
          <w:color w:val="000000"/>
        </w:rPr>
        <w:t xml:space="preserve"> S, </w:t>
      </w:r>
      <w:proofErr w:type="spellStart"/>
      <w:r w:rsidRPr="008F20DF">
        <w:rPr>
          <w:rFonts w:ascii="Book Antiqua" w:eastAsia="Book Antiqua" w:hAnsi="Book Antiqua" w:cs="Book Antiqua"/>
          <w:color w:val="000000"/>
        </w:rPr>
        <w:t>Ip</w:t>
      </w:r>
      <w:proofErr w:type="spellEnd"/>
      <w:r w:rsidRPr="008F20DF">
        <w:rPr>
          <w:rFonts w:ascii="Book Antiqua" w:eastAsia="Book Antiqua" w:hAnsi="Book Antiqua" w:cs="Book Antiqua"/>
          <w:color w:val="000000"/>
        </w:rPr>
        <w:t xml:space="preserve"> WC, Li G, Wang M, </w:t>
      </w:r>
      <w:proofErr w:type="spellStart"/>
      <w:r w:rsidRPr="008F20DF">
        <w:rPr>
          <w:rFonts w:ascii="Book Antiqua" w:eastAsia="Book Antiqua" w:hAnsi="Book Antiqua" w:cs="Book Antiqua"/>
          <w:color w:val="000000"/>
        </w:rPr>
        <w:t>Wludarczyk</w:t>
      </w:r>
      <w:proofErr w:type="spellEnd"/>
      <w:r w:rsidRPr="008F20DF">
        <w:rPr>
          <w:rFonts w:ascii="Book Antiqua" w:eastAsia="Book Antiqua" w:hAnsi="Book Antiqua" w:cs="Book Antiqua"/>
          <w:color w:val="000000"/>
        </w:rPr>
        <w:t xml:space="preserve"> A, Zhou Q, </w:t>
      </w:r>
      <w:proofErr w:type="spellStart"/>
      <w:r w:rsidRPr="008F20DF">
        <w:rPr>
          <w:rFonts w:ascii="Book Antiqua" w:eastAsia="Book Antiqua" w:hAnsi="Book Antiqua" w:cs="Book Antiqua"/>
          <w:color w:val="000000"/>
        </w:rPr>
        <w:t>Guyatt</w:t>
      </w:r>
      <w:proofErr w:type="spellEnd"/>
      <w:r w:rsidRPr="008F20DF">
        <w:rPr>
          <w:rFonts w:ascii="Book Antiqua" w:eastAsia="Book Antiqua" w:hAnsi="Book Antiqua" w:cs="Book Antiqua"/>
          <w:color w:val="000000"/>
        </w:rPr>
        <w:t xml:space="preserve"> GH, Cook DJ, </w:t>
      </w:r>
      <w:proofErr w:type="spellStart"/>
      <w:r w:rsidRPr="008F20DF">
        <w:rPr>
          <w:rFonts w:ascii="Book Antiqua" w:eastAsia="Book Antiqua" w:hAnsi="Book Antiqua" w:cs="Book Antiqua"/>
          <w:color w:val="000000"/>
        </w:rPr>
        <w:t>Jaeschke</w:t>
      </w:r>
      <w:proofErr w:type="spellEnd"/>
      <w:r w:rsidRPr="008F20DF">
        <w:rPr>
          <w:rFonts w:ascii="Book Antiqua" w:eastAsia="Book Antiqua" w:hAnsi="Book Antiqua" w:cs="Book Antiqua"/>
          <w:color w:val="000000"/>
        </w:rPr>
        <w:t xml:space="preserve"> R, </w:t>
      </w:r>
      <w:proofErr w:type="spellStart"/>
      <w:r w:rsidRPr="008F20DF">
        <w:rPr>
          <w:rFonts w:ascii="Book Antiqua" w:eastAsia="Book Antiqua" w:hAnsi="Book Antiqua" w:cs="Book Antiqua"/>
          <w:color w:val="000000"/>
        </w:rPr>
        <w:t>Annane</w:t>
      </w:r>
      <w:proofErr w:type="spellEnd"/>
      <w:r w:rsidRPr="008F20DF">
        <w:rPr>
          <w:rFonts w:ascii="Book Antiqua" w:eastAsia="Book Antiqua" w:hAnsi="Book Antiqua" w:cs="Book Antiqua"/>
          <w:color w:val="000000"/>
        </w:rPr>
        <w:t xml:space="preserve"> D; Fluids in Sepsis and Septic Shock Group. Fluid resuscitation in sepsis: a systematic review and network meta-analysis. </w:t>
      </w:r>
      <w:r w:rsidRPr="008F20DF">
        <w:rPr>
          <w:rFonts w:ascii="Book Antiqua" w:eastAsia="Book Antiqua" w:hAnsi="Book Antiqua" w:cs="Book Antiqua"/>
          <w:i/>
          <w:iCs/>
          <w:color w:val="000000"/>
        </w:rPr>
        <w:t>Ann Intern Med</w:t>
      </w:r>
      <w:r w:rsidRPr="008F20DF">
        <w:rPr>
          <w:rFonts w:ascii="Book Antiqua" w:eastAsia="Book Antiqua" w:hAnsi="Book Antiqua" w:cs="Book Antiqua"/>
          <w:color w:val="000000"/>
        </w:rPr>
        <w:t xml:space="preserve"> 2014; </w:t>
      </w:r>
      <w:r w:rsidRPr="008F20DF">
        <w:rPr>
          <w:rFonts w:ascii="Book Antiqua" w:eastAsia="Book Antiqua" w:hAnsi="Book Antiqua" w:cs="Book Antiqua"/>
          <w:b/>
          <w:bCs/>
          <w:color w:val="000000"/>
        </w:rPr>
        <w:t>161</w:t>
      </w:r>
      <w:r w:rsidRPr="008F20DF">
        <w:rPr>
          <w:rFonts w:ascii="Book Antiqua" w:eastAsia="Book Antiqua" w:hAnsi="Book Antiqua" w:cs="Book Antiqua"/>
          <w:color w:val="000000"/>
        </w:rPr>
        <w:t>: 347-355 [PMID: 25047428 DOI: 10.7326/M14-0178]</w:t>
      </w:r>
    </w:p>
    <w:p w14:paraId="104B3F19"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3 </w:t>
      </w:r>
      <w:r w:rsidRPr="008F20DF">
        <w:rPr>
          <w:rFonts w:ascii="Book Antiqua" w:eastAsia="Book Antiqua" w:hAnsi="Book Antiqua" w:cs="Book Antiqua"/>
          <w:b/>
          <w:bCs/>
          <w:color w:val="000000"/>
        </w:rPr>
        <w:t>Macdonald SPJ</w:t>
      </w:r>
      <w:r w:rsidRPr="008F20DF">
        <w:rPr>
          <w:rFonts w:ascii="Book Antiqua" w:eastAsia="Book Antiqua" w:hAnsi="Book Antiqua" w:cs="Book Antiqua"/>
          <w:color w:val="000000"/>
        </w:rPr>
        <w:t xml:space="preserve">, Taylor DM, </w:t>
      </w:r>
      <w:proofErr w:type="spellStart"/>
      <w:r w:rsidRPr="008F20DF">
        <w:rPr>
          <w:rFonts w:ascii="Book Antiqua" w:eastAsia="Book Antiqua" w:hAnsi="Book Antiqua" w:cs="Book Antiqua"/>
          <w:color w:val="000000"/>
        </w:rPr>
        <w:t>Keijzers</w:t>
      </w:r>
      <w:proofErr w:type="spellEnd"/>
      <w:r w:rsidRPr="008F20DF">
        <w:rPr>
          <w:rFonts w:ascii="Book Antiqua" w:eastAsia="Book Antiqua" w:hAnsi="Book Antiqua" w:cs="Book Antiqua"/>
          <w:color w:val="000000"/>
        </w:rPr>
        <w:t xml:space="preserve"> G, </w:t>
      </w:r>
      <w:proofErr w:type="spellStart"/>
      <w:r w:rsidRPr="008F20DF">
        <w:rPr>
          <w:rFonts w:ascii="Book Antiqua" w:eastAsia="Book Antiqua" w:hAnsi="Book Antiqua" w:cs="Book Antiqua"/>
          <w:color w:val="000000"/>
        </w:rPr>
        <w:t>Arendts</w:t>
      </w:r>
      <w:proofErr w:type="spellEnd"/>
      <w:r w:rsidRPr="008F20DF">
        <w:rPr>
          <w:rFonts w:ascii="Book Antiqua" w:eastAsia="Book Antiqua" w:hAnsi="Book Antiqua" w:cs="Book Antiqua"/>
          <w:color w:val="000000"/>
        </w:rPr>
        <w:t xml:space="preserve"> G, </w:t>
      </w:r>
      <w:proofErr w:type="spellStart"/>
      <w:r w:rsidRPr="008F20DF">
        <w:rPr>
          <w:rFonts w:ascii="Book Antiqua" w:eastAsia="Book Antiqua" w:hAnsi="Book Antiqua" w:cs="Book Antiqua"/>
          <w:color w:val="000000"/>
        </w:rPr>
        <w:t>Fatovich</w:t>
      </w:r>
      <w:proofErr w:type="spellEnd"/>
      <w:r w:rsidRPr="008F20DF">
        <w:rPr>
          <w:rFonts w:ascii="Book Antiqua" w:eastAsia="Book Antiqua" w:hAnsi="Book Antiqua" w:cs="Book Antiqua"/>
          <w:color w:val="000000"/>
        </w:rPr>
        <w:t xml:space="preserve"> DM, Kinnear FB, Brown SGA, </w:t>
      </w:r>
      <w:proofErr w:type="spellStart"/>
      <w:r w:rsidRPr="008F20DF">
        <w:rPr>
          <w:rFonts w:ascii="Book Antiqua" w:eastAsia="Book Antiqua" w:hAnsi="Book Antiqua" w:cs="Book Antiqua"/>
          <w:color w:val="000000"/>
        </w:rPr>
        <w:t>Bellomo</w:t>
      </w:r>
      <w:proofErr w:type="spellEnd"/>
      <w:r w:rsidRPr="008F20DF">
        <w:rPr>
          <w:rFonts w:ascii="Book Antiqua" w:eastAsia="Book Antiqua" w:hAnsi="Book Antiqua" w:cs="Book Antiqua"/>
          <w:color w:val="000000"/>
        </w:rPr>
        <w:t xml:space="preserve"> R, Burrows S, Fraser JF, Litton E, </w:t>
      </w:r>
      <w:proofErr w:type="spellStart"/>
      <w:r w:rsidRPr="008F20DF">
        <w:rPr>
          <w:rFonts w:ascii="Book Antiqua" w:eastAsia="Book Antiqua" w:hAnsi="Book Antiqua" w:cs="Book Antiqua"/>
          <w:color w:val="000000"/>
        </w:rPr>
        <w:t>Ascencio</w:t>
      </w:r>
      <w:proofErr w:type="spellEnd"/>
      <w:r w:rsidRPr="008F20DF">
        <w:rPr>
          <w:rFonts w:ascii="Book Antiqua" w:eastAsia="Book Antiqua" w:hAnsi="Book Antiqua" w:cs="Book Antiqua"/>
          <w:color w:val="000000"/>
        </w:rPr>
        <w:t xml:space="preserve">-Lane JC, Anstey M, McCutcheon D, Smart L, Vlad I, </w:t>
      </w:r>
      <w:proofErr w:type="spellStart"/>
      <w:r w:rsidRPr="008F20DF">
        <w:rPr>
          <w:rFonts w:ascii="Book Antiqua" w:eastAsia="Book Antiqua" w:hAnsi="Book Antiqua" w:cs="Book Antiqua"/>
          <w:color w:val="000000"/>
        </w:rPr>
        <w:t>Winearls</w:t>
      </w:r>
      <w:proofErr w:type="spellEnd"/>
      <w:r w:rsidRPr="008F20DF">
        <w:rPr>
          <w:rFonts w:ascii="Book Antiqua" w:eastAsia="Book Antiqua" w:hAnsi="Book Antiqua" w:cs="Book Antiqua"/>
          <w:color w:val="000000"/>
        </w:rPr>
        <w:t xml:space="preserve"> J, </w:t>
      </w:r>
      <w:proofErr w:type="spellStart"/>
      <w:r w:rsidRPr="008F20DF">
        <w:rPr>
          <w:rFonts w:ascii="Book Antiqua" w:eastAsia="Book Antiqua" w:hAnsi="Book Antiqua" w:cs="Book Antiqua"/>
          <w:color w:val="000000"/>
        </w:rPr>
        <w:t>Wibrow</w:t>
      </w:r>
      <w:proofErr w:type="spellEnd"/>
      <w:r w:rsidRPr="008F20DF">
        <w:rPr>
          <w:rFonts w:ascii="Book Antiqua" w:eastAsia="Book Antiqua" w:hAnsi="Book Antiqua" w:cs="Book Antiqua"/>
          <w:color w:val="000000"/>
        </w:rPr>
        <w:t xml:space="preserve"> B. </w:t>
      </w:r>
      <w:proofErr w:type="spellStart"/>
      <w:r w:rsidRPr="008F20DF">
        <w:rPr>
          <w:rFonts w:ascii="Book Antiqua" w:eastAsia="Book Antiqua" w:hAnsi="Book Antiqua" w:cs="Book Antiqua"/>
          <w:color w:val="000000"/>
        </w:rPr>
        <w:t>REstricted</w:t>
      </w:r>
      <w:proofErr w:type="spellEnd"/>
      <w:r w:rsidRPr="008F20DF">
        <w:rPr>
          <w:rFonts w:ascii="Book Antiqua" w:eastAsia="Book Antiqua" w:hAnsi="Book Antiqua" w:cs="Book Antiqua"/>
          <w:color w:val="000000"/>
        </w:rPr>
        <w:t xml:space="preserve"> Fluid </w:t>
      </w:r>
      <w:proofErr w:type="spellStart"/>
      <w:r w:rsidRPr="008F20DF">
        <w:rPr>
          <w:rFonts w:ascii="Book Antiqua" w:eastAsia="Book Antiqua" w:hAnsi="Book Antiqua" w:cs="Book Antiqua"/>
          <w:color w:val="000000"/>
        </w:rPr>
        <w:t>REsuscitation</w:t>
      </w:r>
      <w:proofErr w:type="spellEnd"/>
      <w:r w:rsidRPr="008F20DF">
        <w:rPr>
          <w:rFonts w:ascii="Book Antiqua" w:eastAsia="Book Antiqua" w:hAnsi="Book Antiqua" w:cs="Book Antiqua"/>
          <w:color w:val="000000"/>
        </w:rPr>
        <w:t xml:space="preserve"> in Sepsis-associated Hypotension (REFRESH): study protocol for a pilot </w:t>
      </w:r>
      <w:proofErr w:type="spellStart"/>
      <w:r w:rsidRPr="008F20DF">
        <w:rPr>
          <w:rFonts w:ascii="Book Antiqua" w:eastAsia="Book Antiqua" w:hAnsi="Book Antiqua" w:cs="Book Antiqua"/>
          <w:color w:val="000000"/>
        </w:rPr>
        <w:t>randomised</w:t>
      </w:r>
      <w:proofErr w:type="spellEnd"/>
      <w:r w:rsidRPr="008F20DF">
        <w:rPr>
          <w:rFonts w:ascii="Book Antiqua" w:eastAsia="Book Antiqua" w:hAnsi="Book Antiqua" w:cs="Book Antiqua"/>
          <w:color w:val="000000"/>
        </w:rPr>
        <w:t xml:space="preserve"> controlled trial. </w:t>
      </w:r>
      <w:r w:rsidRPr="008F20DF">
        <w:rPr>
          <w:rFonts w:ascii="Book Antiqua" w:eastAsia="Book Antiqua" w:hAnsi="Book Antiqua" w:cs="Book Antiqua"/>
          <w:i/>
          <w:iCs/>
          <w:color w:val="000000"/>
        </w:rPr>
        <w:t>Trials</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18</w:t>
      </w:r>
      <w:r w:rsidRPr="008F20DF">
        <w:rPr>
          <w:rFonts w:ascii="Book Antiqua" w:eastAsia="Book Antiqua" w:hAnsi="Book Antiqua" w:cs="Book Antiqua"/>
          <w:color w:val="000000"/>
        </w:rPr>
        <w:t>: 399 [PMID: 28851407 DOI: 10.1186/s13063-017-2137-7]</w:t>
      </w:r>
    </w:p>
    <w:p w14:paraId="31C04F9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4 </w:t>
      </w:r>
      <w:r w:rsidRPr="008F20DF">
        <w:rPr>
          <w:rFonts w:ascii="Book Antiqua" w:eastAsia="Book Antiqua" w:hAnsi="Book Antiqua" w:cs="Book Antiqua"/>
          <w:b/>
          <w:bCs/>
          <w:color w:val="000000"/>
        </w:rPr>
        <w:t>Byrne L</w:t>
      </w:r>
      <w:r w:rsidRPr="008F20DF">
        <w:rPr>
          <w:rFonts w:ascii="Book Antiqua" w:eastAsia="Book Antiqua" w:hAnsi="Book Antiqua" w:cs="Book Antiqua"/>
          <w:color w:val="000000"/>
        </w:rPr>
        <w:t xml:space="preserve">, Van </w:t>
      </w:r>
      <w:proofErr w:type="spellStart"/>
      <w:r w:rsidRPr="008F20DF">
        <w:rPr>
          <w:rFonts w:ascii="Book Antiqua" w:eastAsia="Book Antiqua" w:hAnsi="Book Antiqua" w:cs="Book Antiqua"/>
          <w:color w:val="000000"/>
        </w:rPr>
        <w:t>Haren</w:t>
      </w:r>
      <w:proofErr w:type="spellEnd"/>
      <w:r w:rsidRPr="008F20DF">
        <w:rPr>
          <w:rFonts w:ascii="Book Antiqua" w:eastAsia="Book Antiqua" w:hAnsi="Book Antiqua" w:cs="Book Antiqua"/>
          <w:color w:val="000000"/>
        </w:rPr>
        <w:t xml:space="preserve"> F. Fluid resuscitation in human sepsis: Time to rewrite history? </w:t>
      </w:r>
      <w:r w:rsidRPr="008F20DF">
        <w:rPr>
          <w:rFonts w:ascii="Book Antiqua" w:eastAsia="Book Antiqua" w:hAnsi="Book Antiqua" w:cs="Book Antiqua"/>
          <w:i/>
          <w:iCs/>
          <w:color w:val="000000"/>
        </w:rPr>
        <w:t>Ann Intensive Care</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7</w:t>
      </w:r>
      <w:r w:rsidRPr="008F20DF">
        <w:rPr>
          <w:rFonts w:ascii="Book Antiqua" w:eastAsia="Book Antiqua" w:hAnsi="Book Antiqua" w:cs="Book Antiqua"/>
          <w:color w:val="000000"/>
        </w:rPr>
        <w:t>: 4 [PMID: 28050897 DOI: 10.1186/s13613-016-0231-8]</w:t>
      </w:r>
    </w:p>
    <w:p w14:paraId="39B92AF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5 </w:t>
      </w:r>
      <w:r w:rsidRPr="008F20DF">
        <w:rPr>
          <w:rFonts w:ascii="Book Antiqua" w:eastAsia="Book Antiqua" w:hAnsi="Book Antiqua" w:cs="Book Antiqua"/>
          <w:b/>
          <w:bCs/>
          <w:color w:val="000000"/>
        </w:rPr>
        <w:t>Bhatia PK</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Biyani</w:t>
      </w:r>
      <w:proofErr w:type="spellEnd"/>
      <w:r w:rsidRPr="008F20DF">
        <w:rPr>
          <w:rFonts w:ascii="Book Antiqua" w:eastAsia="Book Antiqua" w:hAnsi="Book Antiqua" w:cs="Book Antiqua"/>
          <w:color w:val="000000"/>
        </w:rPr>
        <w:t xml:space="preserve"> G. Fluid resuscitation in severe sepsis and septic shock: Shifting goalposts. </w:t>
      </w:r>
      <w:r w:rsidRPr="008F20DF">
        <w:rPr>
          <w:rFonts w:ascii="Book Antiqua" w:eastAsia="Book Antiqua" w:hAnsi="Book Antiqua" w:cs="Book Antiqua"/>
          <w:i/>
          <w:iCs/>
          <w:color w:val="000000"/>
        </w:rPr>
        <w:t xml:space="preserve">Indian J </w:t>
      </w:r>
      <w:proofErr w:type="spellStart"/>
      <w:r w:rsidRPr="008F20DF">
        <w:rPr>
          <w:rFonts w:ascii="Book Antiqua" w:eastAsia="Book Antiqua" w:hAnsi="Book Antiqua" w:cs="Book Antiqua"/>
          <w:i/>
          <w:iCs/>
          <w:color w:val="000000"/>
        </w:rPr>
        <w:t>Anaesth</w:t>
      </w:r>
      <w:proofErr w:type="spellEnd"/>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59</w:t>
      </w:r>
      <w:r w:rsidRPr="008F20DF">
        <w:rPr>
          <w:rFonts w:ascii="Book Antiqua" w:eastAsia="Book Antiqua" w:hAnsi="Book Antiqua" w:cs="Book Antiqua"/>
          <w:color w:val="000000"/>
        </w:rPr>
        <w:t>: 269-271 [PMID: 26019350 DOI: 10.4103/0019-5049.156863]</w:t>
      </w:r>
    </w:p>
    <w:p w14:paraId="0FB235E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6 </w:t>
      </w:r>
      <w:proofErr w:type="spellStart"/>
      <w:r w:rsidRPr="008F20DF">
        <w:rPr>
          <w:rFonts w:ascii="Book Antiqua" w:eastAsia="Book Antiqua" w:hAnsi="Book Antiqua" w:cs="Book Antiqua"/>
          <w:b/>
          <w:bCs/>
          <w:color w:val="000000"/>
        </w:rPr>
        <w:t>Rochwerg</w:t>
      </w:r>
      <w:proofErr w:type="spellEnd"/>
      <w:r w:rsidRPr="008F20DF">
        <w:rPr>
          <w:rFonts w:ascii="Book Antiqua" w:eastAsia="Book Antiqua" w:hAnsi="Book Antiqua" w:cs="Book Antiqua"/>
          <w:b/>
          <w:bCs/>
          <w:color w:val="000000"/>
        </w:rPr>
        <w:t xml:space="preserve"> B</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Włudarczyk</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Szczeklik</w:t>
      </w:r>
      <w:proofErr w:type="spellEnd"/>
      <w:r w:rsidRPr="008F20DF">
        <w:rPr>
          <w:rFonts w:ascii="Book Antiqua" w:eastAsia="Book Antiqua" w:hAnsi="Book Antiqua" w:cs="Book Antiqua"/>
          <w:color w:val="000000"/>
        </w:rPr>
        <w:t xml:space="preserve"> W, </w:t>
      </w:r>
      <w:proofErr w:type="spellStart"/>
      <w:r w:rsidRPr="008F20DF">
        <w:rPr>
          <w:rFonts w:ascii="Book Antiqua" w:eastAsia="Book Antiqua" w:hAnsi="Book Antiqua" w:cs="Book Antiqua"/>
          <w:color w:val="000000"/>
        </w:rPr>
        <w:t>Alhazzani</w:t>
      </w:r>
      <w:proofErr w:type="spellEnd"/>
      <w:r w:rsidRPr="008F20DF">
        <w:rPr>
          <w:rFonts w:ascii="Book Antiqua" w:eastAsia="Book Antiqua" w:hAnsi="Book Antiqua" w:cs="Book Antiqua"/>
          <w:color w:val="000000"/>
        </w:rPr>
        <w:t xml:space="preserve"> W, </w:t>
      </w:r>
      <w:proofErr w:type="spellStart"/>
      <w:r w:rsidRPr="008F20DF">
        <w:rPr>
          <w:rFonts w:ascii="Book Antiqua" w:eastAsia="Book Antiqua" w:hAnsi="Book Antiqua" w:cs="Book Antiqua"/>
          <w:color w:val="000000"/>
        </w:rPr>
        <w:t>Sindi</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Alshamsi</w:t>
      </w:r>
      <w:proofErr w:type="spellEnd"/>
      <w:r w:rsidRPr="008F20DF">
        <w:rPr>
          <w:rFonts w:ascii="Book Antiqua" w:eastAsia="Book Antiqua" w:hAnsi="Book Antiqua" w:cs="Book Antiqua"/>
          <w:color w:val="000000"/>
        </w:rPr>
        <w:t xml:space="preserve"> F, </w:t>
      </w:r>
      <w:proofErr w:type="spellStart"/>
      <w:r w:rsidRPr="008F20DF">
        <w:rPr>
          <w:rFonts w:ascii="Book Antiqua" w:eastAsia="Book Antiqua" w:hAnsi="Book Antiqua" w:cs="Book Antiqua"/>
          <w:color w:val="000000"/>
        </w:rPr>
        <w:t>Ip</w:t>
      </w:r>
      <w:proofErr w:type="spellEnd"/>
      <w:r w:rsidRPr="008F20DF">
        <w:rPr>
          <w:rFonts w:ascii="Book Antiqua" w:eastAsia="Book Antiqua" w:hAnsi="Book Antiqua" w:cs="Book Antiqua"/>
          <w:color w:val="000000"/>
        </w:rPr>
        <w:t xml:space="preserve"> WC, Wang M, </w:t>
      </w:r>
      <w:proofErr w:type="spellStart"/>
      <w:r w:rsidRPr="008F20DF">
        <w:rPr>
          <w:rFonts w:ascii="Book Antiqua" w:eastAsia="Book Antiqua" w:hAnsi="Book Antiqua" w:cs="Book Antiqua"/>
          <w:color w:val="000000"/>
        </w:rPr>
        <w:t>Altayyar</w:t>
      </w:r>
      <w:proofErr w:type="spellEnd"/>
      <w:r w:rsidRPr="008F20DF">
        <w:rPr>
          <w:rFonts w:ascii="Book Antiqua" w:eastAsia="Book Antiqua" w:hAnsi="Book Antiqua" w:cs="Book Antiqua"/>
          <w:color w:val="000000"/>
        </w:rPr>
        <w:t xml:space="preserve"> S, Li G, Fox-</w:t>
      </w:r>
      <w:proofErr w:type="spellStart"/>
      <w:r w:rsidRPr="008F20DF">
        <w:rPr>
          <w:rFonts w:ascii="Book Antiqua" w:eastAsia="Book Antiqua" w:hAnsi="Book Antiqua" w:cs="Book Antiqua"/>
          <w:color w:val="000000"/>
        </w:rPr>
        <w:t>Robichaud</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Guyatt</w:t>
      </w:r>
      <w:proofErr w:type="spellEnd"/>
      <w:r w:rsidRPr="008F20DF">
        <w:rPr>
          <w:rFonts w:ascii="Book Antiqua" w:eastAsia="Book Antiqua" w:hAnsi="Book Antiqua" w:cs="Book Antiqua"/>
          <w:color w:val="000000"/>
        </w:rPr>
        <w:t xml:space="preserve"> G; FISSH group. Fluid resuscitation in severe sepsis and septic shock: systematic description of fluids used in randomized trials. </w:t>
      </w:r>
      <w:r w:rsidRPr="008F20DF">
        <w:rPr>
          <w:rFonts w:ascii="Book Antiqua" w:eastAsia="Book Antiqua" w:hAnsi="Book Antiqua" w:cs="Book Antiqua"/>
          <w:i/>
          <w:iCs/>
          <w:color w:val="000000"/>
        </w:rPr>
        <w:t xml:space="preserve">Pol Arch Med </w:t>
      </w:r>
      <w:proofErr w:type="spellStart"/>
      <w:r w:rsidRPr="008F20DF">
        <w:rPr>
          <w:rFonts w:ascii="Book Antiqua" w:eastAsia="Book Antiqua" w:hAnsi="Book Antiqua" w:cs="Book Antiqua"/>
          <w:i/>
          <w:iCs/>
          <w:color w:val="000000"/>
        </w:rPr>
        <w:t>Wewn</w:t>
      </w:r>
      <w:proofErr w:type="spellEnd"/>
      <w:r w:rsidRPr="008F20DF">
        <w:rPr>
          <w:rFonts w:ascii="Book Antiqua" w:eastAsia="Book Antiqua" w:hAnsi="Book Antiqua" w:cs="Book Antiqua"/>
          <w:color w:val="000000"/>
        </w:rPr>
        <w:t xml:space="preserve"> 2013; </w:t>
      </w:r>
      <w:r w:rsidRPr="008F20DF">
        <w:rPr>
          <w:rFonts w:ascii="Book Antiqua" w:eastAsia="Book Antiqua" w:hAnsi="Book Antiqua" w:cs="Book Antiqua"/>
          <w:b/>
          <w:bCs/>
          <w:color w:val="000000"/>
        </w:rPr>
        <w:t>123</w:t>
      </w:r>
      <w:r w:rsidRPr="008F20DF">
        <w:rPr>
          <w:rFonts w:ascii="Book Antiqua" w:eastAsia="Book Antiqua" w:hAnsi="Book Antiqua" w:cs="Book Antiqua"/>
          <w:color w:val="000000"/>
        </w:rPr>
        <w:t>: 603-608 [PMID: 24185099 DOI: 10.20452/pamw.1972]</w:t>
      </w:r>
    </w:p>
    <w:p w14:paraId="42CA8F2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7 </w:t>
      </w:r>
      <w:proofErr w:type="spellStart"/>
      <w:r w:rsidRPr="008F20DF">
        <w:rPr>
          <w:rFonts w:ascii="Book Antiqua" w:eastAsia="Book Antiqua" w:hAnsi="Book Antiqua" w:cs="Book Antiqua"/>
          <w:b/>
          <w:bCs/>
          <w:color w:val="000000"/>
        </w:rPr>
        <w:t>Tigabu</w:t>
      </w:r>
      <w:proofErr w:type="spellEnd"/>
      <w:r w:rsidRPr="008F20DF">
        <w:rPr>
          <w:rFonts w:ascii="Book Antiqua" w:eastAsia="Book Antiqua" w:hAnsi="Book Antiqua" w:cs="Book Antiqua"/>
          <w:b/>
          <w:bCs/>
          <w:color w:val="000000"/>
        </w:rPr>
        <w:t xml:space="preserve"> BM</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Davari</w:t>
      </w:r>
      <w:proofErr w:type="spellEnd"/>
      <w:r w:rsidRPr="008F20DF">
        <w:rPr>
          <w:rFonts w:ascii="Book Antiqua" w:eastAsia="Book Antiqua" w:hAnsi="Book Antiqua" w:cs="Book Antiqua"/>
          <w:color w:val="000000"/>
        </w:rPr>
        <w:t xml:space="preserve"> M, </w:t>
      </w:r>
      <w:proofErr w:type="spellStart"/>
      <w:r w:rsidRPr="008F20DF">
        <w:rPr>
          <w:rFonts w:ascii="Book Antiqua" w:eastAsia="Book Antiqua" w:hAnsi="Book Antiqua" w:cs="Book Antiqua"/>
          <w:color w:val="000000"/>
        </w:rPr>
        <w:t>Kebriaeezadeh</w:t>
      </w:r>
      <w:proofErr w:type="spellEnd"/>
      <w:r w:rsidRPr="008F20DF">
        <w:rPr>
          <w:rFonts w:ascii="Book Antiqua" w:eastAsia="Book Antiqua" w:hAnsi="Book Antiqua" w:cs="Book Antiqua"/>
          <w:color w:val="000000"/>
        </w:rPr>
        <w:t xml:space="preserve"> A, </w:t>
      </w:r>
      <w:proofErr w:type="spellStart"/>
      <w:r w:rsidRPr="008F20DF">
        <w:rPr>
          <w:rFonts w:ascii="Book Antiqua" w:eastAsia="Book Antiqua" w:hAnsi="Book Antiqua" w:cs="Book Antiqua"/>
          <w:color w:val="000000"/>
        </w:rPr>
        <w:t>Mojtahedzadeh</w:t>
      </w:r>
      <w:proofErr w:type="spellEnd"/>
      <w:r w:rsidRPr="008F20DF">
        <w:rPr>
          <w:rFonts w:ascii="Book Antiqua" w:eastAsia="Book Antiqua" w:hAnsi="Book Antiqua" w:cs="Book Antiqua"/>
          <w:color w:val="000000"/>
        </w:rPr>
        <w:t xml:space="preserve"> M. Fluid volume, fluid balance and patient outcome in severe sepsis and septic shock: A systematic review. </w:t>
      </w:r>
      <w:r w:rsidRPr="008F20DF">
        <w:rPr>
          <w:rFonts w:ascii="Book Antiqua" w:eastAsia="Book Antiqua" w:hAnsi="Book Antiqua" w:cs="Book Antiqua"/>
          <w:i/>
          <w:iCs/>
          <w:color w:val="000000"/>
        </w:rPr>
        <w:t xml:space="preserve">J </w:t>
      </w:r>
      <w:proofErr w:type="spellStart"/>
      <w:r w:rsidRPr="008F20DF">
        <w:rPr>
          <w:rFonts w:ascii="Book Antiqua" w:eastAsia="Book Antiqua" w:hAnsi="Book Antiqua" w:cs="Book Antiqua"/>
          <w:i/>
          <w:iCs/>
          <w:color w:val="000000"/>
        </w:rPr>
        <w:t>Crit</w:t>
      </w:r>
      <w:proofErr w:type="spellEnd"/>
      <w:r w:rsidRPr="008F20DF">
        <w:rPr>
          <w:rFonts w:ascii="Book Antiqua" w:eastAsia="Book Antiqua" w:hAnsi="Book Antiqua" w:cs="Book Antiqua"/>
          <w:i/>
          <w:iCs/>
          <w:color w:val="000000"/>
        </w:rPr>
        <w:t xml:space="preserve"> Care</w:t>
      </w:r>
      <w:r w:rsidRPr="008F20DF">
        <w:rPr>
          <w:rFonts w:ascii="Book Antiqua" w:eastAsia="Book Antiqua" w:hAnsi="Book Antiqua" w:cs="Book Antiqua"/>
          <w:color w:val="000000"/>
        </w:rPr>
        <w:t xml:space="preserve"> 2018; </w:t>
      </w:r>
      <w:r w:rsidRPr="008F20DF">
        <w:rPr>
          <w:rFonts w:ascii="Book Antiqua" w:eastAsia="Book Antiqua" w:hAnsi="Book Antiqua" w:cs="Book Antiqua"/>
          <w:b/>
          <w:bCs/>
          <w:color w:val="000000"/>
        </w:rPr>
        <w:t>48</w:t>
      </w:r>
      <w:r w:rsidRPr="008F20DF">
        <w:rPr>
          <w:rFonts w:ascii="Book Antiqua" w:eastAsia="Book Antiqua" w:hAnsi="Book Antiqua" w:cs="Book Antiqua"/>
          <w:color w:val="000000"/>
        </w:rPr>
        <w:t>: 153-159 [PMID: 30199843 DOI: 10.1016/j.jcrc.2018.08.018]</w:t>
      </w:r>
    </w:p>
    <w:p w14:paraId="6FE363E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8 </w:t>
      </w:r>
      <w:proofErr w:type="spellStart"/>
      <w:r w:rsidRPr="008F20DF">
        <w:rPr>
          <w:rFonts w:ascii="Book Antiqua" w:eastAsia="Book Antiqua" w:hAnsi="Book Antiqua" w:cs="Book Antiqua"/>
          <w:b/>
          <w:bCs/>
          <w:color w:val="000000"/>
        </w:rPr>
        <w:t>Marik</w:t>
      </w:r>
      <w:proofErr w:type="spellEnd"/>
      <w:r w:rsidRPr="008F20DF">
        <w:rPr>
          <w:rFonts w:ascii="Book Antiqua" w:eastAsia="Book Antiqua" w:hAnsi="Book Antiqua" w:cs="Book Antiqua"/>
          <w:b/>
          <w:bCs/>
          <w:color w:val="000000"/>
        </w:rPr>
        <w:t xml:space="preserve"> PE</w:t>
      </w:r>
      <w:r w:rsidRPr="008F20DF">
        <w:rPr>
          <w:rFonts w:ascii="Book Antiqua" w:eastAsia="Book Antiqua" w:hAnsi="Book Antiqua" w:cs="Book Antiqua"/>
          <w:color w:val="000000"/>
        </w:rPr>
        <w:t>, Linde-</w:t>
      </w:r>
      <w:proofErr w:type="spellStart"/>
      <w:r w:rsidRPr="008F20DF">
        <w:rPr>
          <w:rFonts w:ascii="Book Antiqua" w:eastAsia="Book Antiqua" w:hAnsi="Book Antiqua" w:cs="Book Antiqua"/>
          <w:color w:val="000000"/>
        </w:rPr>
        <w:t>Zwirble</w:t>
      </w:r>
      <w:proofErr w:type="spellEnd"/>
      <w:r w:rsidRPr="008F20DF">
        <w:rPr>
          <w:rFonts w:ascii="Book Antiqua" w:eastAsia="Book Antiqua" w:hAnsi="Book Antiqua" w:cs="Book Antiqua"/>
          <w:color w:val="000000"/>
        </w:rPr>
        <w:t xml:space="preserve"> WT, Bittner EA, </w:t>
      </w:r>
      <w:proofErr w:type="spellStart"/>
      <w:r w:rsidRPr="008F20DF">
        <w:rPr>
          <w:rFonts w:ascii="Book Antiqua" w:eastAsia="Book Antiqua" w:hAnsi="Book Antiqua" w:cs="Book Antiqua"/>
          <w:color w:val="000000"/>
        </w:rPr>
        <w:t>Sahatjian</w:t>
      </w:r>
      <w:proofErr w:type="spellEnd"/>
      <w:r w:rsidRPr="008F20DF">
        <w:rPr>
          <w:rFonts w:ascii="Book Antiqua" w:eastAsia="Book Antiqua" w:hAnsi="Book Antiqua" w:cs="Book Antiqua"/>
          <w:color w:val="000000"/>
        </w:rPr>
        <w:t xml:space="preserve"> J, </w:t>
      </w:r>
      <w:proofErr w:type="spellStart"/>
      <w:r w:rsidRPr="008F20DF">
        <w:rPr>
          <w:rFonts w:ascii="Book Antiqua" w:eastAsia="Book Antiqua" w:hAnsi="Book Antiqua" w:cs="Book Antiqua"/>
          <w:color w:val="000000"/>
        </w:rPr>
        <w:t>Hansell</w:t>
      </w:r>
      <w:proofErr w:type="spellEnd"/>
      <w:r w:rsidRPr="008F20DF">
        <w:rPr>
          <w:rFonts w:ascii="Book Antiqua" w:eastAsia="Book Antiqua" w:hAnsi="Book Antiqua" w:cs="Book Antiqua"/>
          <w:color w:val="000000"/>
        </w:rPr>
        <w:t xml:space="preserve"> D. Fluid administration in severe sepsis and septic shock, patterns and outcomes: an analysis of a large national database. </w:t>
      </w:r>
      <w:r w:rsidRPr="008F20DF">
        <w:rPr>
          <w:rFonts w:ascii="Book Antiqua" w:eastAsia="Book Antiqua" w:hAnsi="Book Antiqua" w:cs="Book Antiqua"/>
          <w:i/>
          <w:iCs/>
          <w:color w:val="000000"/>
        </w:rPr>
        <w:t>Intensive Care Med</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43</w:t>
      </w:r>
      <w:r w:rsidRPr="008F20DF">
        <w:rPr>
          <w:rFonts w:ascii="Book Antiqua" w:eastAsia="Book Antiqua" w:hAnsi="Book Antiqua" w:cs="Book Antiqua"/>
          <w:color w:val="000000"/>
        </w:rPr>
        <w:t>: 625-632 [PMID: 28130687 DOI: 10.1007/s00134-016-4675-y]</w:t>
      </w:r>
    </w:p>
    <w:p w14:paraId="017D45E1" w14:textId="77777777" w:rsidR="00A77B3E" w:rsidRPr="008F20DF" w:rsidRDefault="008D15FE" w:rsidP="008F20DF">
      <w:pPr>
        <w:snapToGrid w:val="0"/>
        <w:spacing w:line="360" w:lineRule="auto"/>
        <w:jc w:val="both"/>
        <w:rPr>
          <w:rFonts w:ascii="Book Antiqua" w:hAnsi="Book Antiqua"/>
        </w:rPr>
      </w:pPr>
      <w:proofErr w:type="gramStart"/>
      <w:r w:rsidRPr="008F20DF">
        <w:rPr>
          <w:rFonts w:ascii="Book Antiqua" w:eastAsia="Book Antiqua" w:hAnsi="Book Antiqua" w:cs="Book Antiqua"/>
          <w:color w:val="000000"/>
        </w:rPr>
        <w:t xml:space="preserve">9 </w:t>
      </w:r>
      <w:r w:rsidRPr="008F20DF">
        <w:rPr>
          <w:rFonts w:ascii="Book Antiqua" w:eastAsia="Book Antiqua" w:hAnsi="Book Antiqua" w:cs="Book Antiqua"/>
          <w:b/>
          <w:bCs/>
          <w:color w:val="000000"/>
        </w:rPr>
        <w:t>Cheung WK</w:t>
      </w:r>
      <w:r w:rsidRPr="008F20DF">
        <w:rPr>
          <w:rFonts w:ascii="Book Antiqua" w:eastAsia="Book Antiqua" w:hAnsi="Book Antiqua" w:cs="Book Antiqua"/>
          <w:color w:val="000000"/>
        </w:rPr>
        <w:t xml:space="preserve">, Chau LS, </w:t>
      </w:r>
      <w:proofErr w:type="spellStart"/>
      <w:r w:rsidRPr="008F20DF">
        <w:rPr>
          <w:rFonts w:ascii="Book Antiqua" w:eastAsia="Book Antiqua" w:hAnsi="Book Antiqua" w:cs="Book Antiqua"/>
          <w:color w:val="000000"/>
        </w:rPr>
        <w:t>Mak</w:t>
      </w:r>
      <w:proofErr w:type="spellEnd"/>
      <w:r w:rsidRPr="008F20DF">
        <w:rPr>
          <w:rFonts w:ascii="Book Antiqua" w:eastAsia="Book Antiqua" w:hAnsi="Book Antiqua" w:cs="Book Antiqua"/>
          <w:color w:val="000000"/>
        </w:rPr>
        <w:t xml:space="preserve"> II, Wong MY, Wong SL, Tiwari AF.</w:t>
      </w:r>
      <w:proofErr w:type="gramEnd"/>
      <w:r w:rsidRPr="008F20DF">
        <w:rPr>
          <w:rFonts w:ascii="Book Antiqua" w:eastAsia="Book Antiqua" w:hAnsi="Book Antiqua" w:cs="Book Antiqua"/>
          <w:color w:val="000000"/>
        </w:rPr>
        <w:t xml:space="preserve"> Clinical management for patients admitted to a critical care unit with severe sepsis or septic shock. </w:t>
      </w:r>
      <w:r w:rsidRPr="008F20DF">
        <w:rPr>
          <w:rFonts w:ascii="Book Antiqua" w:eastAsia="Book Antiqua" w:hAnsi="Book Antiqua" w:cs="Book Antiqua"/>
          <w:i/>
          <w:iCs/>
          <w:color w:val="000000"/>
        </w:rPr>
        <w:t xml:space="preserve">Intensive </w:t>
      </w:r>
      <w:proofErr w:type="spellStart"/>
      <w:r w:rsidRPr="008F20DF">
        <w:rPr>
          <w:rFonts w:ascii="Book Antiqua" w:eastAsia="Book Antiqua" w:hAnsi="Book Antiqua" w:cs="Book Antiqua"/>
          <w:i/>
          <w:iCs/>
          <w:color w:val="000000"/>
        </w:rPr>
        <w:t>Crit</w:t>
      </w:r>
      <w:proofErr w:type="spellEnd"/>
      <w:r w:rsidRPr="008F20DF">
        <w:rPr>
          <w:rFonts w:ascii="Book Antiqua" w:eastAsia="Book Antiqua" w:hAnsi="Book Antiqua" w:cs="Book Antiqua"/>
          <w:i/>
          <w:iCs/>
          <w:color w:val="000000"/>
        </w:rPr>
        <w:t xml:space="preserve"> Care </w:t>
      </w:r>
      <w:proofErr w:type="spellStart"/>
      <w:r w:rsidRPr="008F20DF">
        <w:rPr>
          <w:rFonts w:ascii="Book Antiqua" w:eastAsia="Book Antiqua" w:hAnsi="Book Antiqua" w:cs="Book Antiqua"/>
          <w:i/>
          <w:iCs/>
          <w:color w:val="000000"/>
        </w:rPr>
        <w:t>Nurs</w:t>
      </w:r>
      <w:proofErr w:type="spellEnd"/>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31</w:t>
      </w:r>
      <w:r w:rsidRPr="008F20DF">
        <w:rPr>
          <w:rFonts w:ascii="Book Antiqua" w:eastAsia="Book Antiqua" w:hAnsi="Book Antiqua" w:cs="Book Antiqua"/>
          <w:color w:val="000000"/>
        </w:rPr>
        <w:t>: 359-365 [PMID: 26292920 DOI: 10.1016/j.iccn.2015.04.005]</w:t>
      </w:r>
    </w:p>
    <w:p w14:paraId="3DEE870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10 </w:t>
      </w:r>
      <w:proofErr w:type="spellStart"/>
      <w:r w:rsidRPr="008F20DF">
        <w:rPr>
          <w:rFonts w:ascii="Book Antiqua" w:eastAsia="Book Antiqua" w:hAnsi="Book Antiqua" w:cs="Book Antiqua"/>
          <w:b/>
          <w:bCs/>
          <w:color w:val="000000"/>
        </w:rPr>
        <w:t>Leisman</w:t>
      </w:r>
      <w:proofErr w:type="spellEnd"/>
      <w:r w:rsidRPr="008F20DF">
        <w:rPr>
          <w:rFonts w:ascii="Book Antiqua" w:eastAsia="Book Antiqua" w:hAnsi="Book Antiqua" w:cs="Book Antiqua"/>
          <w:b/>
          <w:bCs/>
          <w:color w:val="000000"/>
        </w:rPr>
        <w:t xml:space="preserve"> D</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Wie</w:t>
      </w:r>
      <w:proofErr w:type="spellEnd"/>
      <w:r w:rsidRPr="008F20DF">
        <w:rPr>
          <w:rFonts w:ascii="Book Antiqua" w:eastAsia="Book Antiqua" w:hAnsi="Book Antiqua" w:cs="Book Antiqua"/>
          <w:color w:val="000000"/>
        </w:rPr>
        <w:t xml:space="preserve"> B, </w:t>
      </w:r>
      <w:proofErr w:type="spellStart"/>
      <w:r w:rsidRPr="008F20DF">
        <w:rPr>
          <w:rFonts w:ascii="Book Antiqua" w:eastAsia="Book Antiqua" w:hAnsi="Book Antiqua" w:cs="Book Antiqua"/>
          <w:color w:val="000000"/>
        </w:rPr>
        <w:t>Doerfler</w:t>
      </w:r>
      <w:proofErr w:type="spellEnd"/>
      <w:r w:rsidRPr="008F20DF">
        <w:rPr>
          <w:rFonts w:ascii="Book Antiqua" w:eastAsia="Book Antiqua" w:hAnsi="Book Antiqua" w:cs="Book Antiqua"/>
          <w:color w:val="000000"/>
        </w:rPr>
        <w:t xml:space="preserve"> M, </w:t>
      </w:r>
      <w:proofErr w:type="spellStart"/>
      <w:r w:rsidRPr="008F20DF">
        <w:rPr>
          <w:rFonts w:ascii="Book Antiqua" w:eastAsia="Book Antiqua" w:hAnsi="Book Antiqua" w:cs="Book Antiqua"/>
          <w:color w:val="000000"/>
        </w:rPr>
        <w:t>Bianculli</w:t>
      </w:r>
      <w:proofErr w:type="spellEnd"/>
      <w:r w:rsidRPr="008F20DF">
        <w:rPr>
          <w:rFonts w:ascii="Book Antiqua" w:eastAsia="Book Antiqua" w:hAnsi="Book Antiqua" w:cs="Book Antiqua"/>
          <w:color w:val="000000"/>
        </w:rPr>
        <w:t xml:space="preserve"> A, Ward MF, </w:t>
      </w:r>
      <w:proofErr w:type="spellStart"/>
      <w:r w:rsidRPr="008F20DF">
        <w:rPr>
          <w:rFonts w:ascii="Book Antiqua" w:eastAsia="Book Antiqua" w:hAnsi="Book Antiqua" w:cs="Book Antiqua"/>
          <w:color w:val="000000"/>
        </w:rPr>
        <w:t>Akerman</w:t>
      </w:r>
      <w:proofErr w:type="spellEnd"/>
      <w:r w:rsidRPr="008F20DF">
        <w:rPr>
          <w:rFonts w:ascii="Book Antiqua" w:eastAsia="Book Antiqua" w:hAnsi="Book Antiqua" w:cs="Book Antiqua"/>
          <w:color w:val="000000"/>
        </w:rPr>
        <w:t xml:space="preserve"> M, D'Angelo JK, </w:t>
      </w:r>
      <w:proofErr w:type="spellStart"/>
      <w:r w:rsidRPr="008F20DF">
        <w:rPr>
          <w:rFonts w:ascii="Book Antiqua" w:eastAsia="Book Antiqua" w:hAnsi="Book Antiqua" w:cs="Book Antiqua"/>
          <w:color w:val="000000"/>
        </w:rPr>
        <w:t>Zemmel</w:t>
      </w:r>
      <w:proofErr w:type="spellEnd"/>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D'Amore</w:t>
      </w:r>
      <w:proofErr w:type="spellEnd"/>
      <w:r w:rsidRPr="008F20DF">
        <w:rPr>
          <w:rFonts w:ascii="Book Antiqua" w:eastAsia="Book Antiqua" w:hAnsi="Book Antiqua" w:cs="Book Antiqua"/>
          <w:color w:val="000000"/>
        </w:rPr>
        <w:t xml:space="preserve"> JA. Association of Fluid Resuscitation Initiation </w:t>
      </w:r>
      <w:proofErr w:type="gramStart"/>
      <w:r w:rsidRPr="008F20DF">
        <w:rPr>
          <w:rFonts w:ascii="Book Antiqua" w:eastAsia="Book Antiqua" w:hAnsi="Book Antiqua" w:cs="Book Antiqua"/>
          <w:color w:val="000000"/>
        </w:rPr>
        <w:t>Within</w:t>
      </w:r>
      <w:proofErr w:type="gramEnd"/>
      <w:r w:rsidRPr="008F20DF">
        <w:rPr>
          <w:rFonts w:ascii="Book Antiqua" w:eastAsia="Book Antiqua" w:hAnsi="Book Antiqua" w:cs="Book Antiqua"/>
          <w:color w:val="000000"/>
        </w:rPr>
        <w:t xml:space="preserve"> 30 Minutes of Severe Sepsis and Septic Shock Recognition With Reduced Mortality and Length of Stay. </w:t>
      </w:r>
      <w:r w:rsidRPr="008F20DF">
        <w:rPr>
          <w:rFonts w:ascii="Book Antiqua" w:eastAsia="Book Antiqua" w:hAnsi="Book Antiqua" w:cs="Book Antiqua"/>
          <w:i/>
          <w:iCs/>
          <w:color w:val="000000"/>
        </w:rPr>
        <w:t xml:space="preserve">Ann </w:t>
      </w:r>
      <w:proofErr w:type="spellStart"/>
      <w:r w:rsidRPr="008F20DF">
        <w:rPr>
          <w:rFonts w:ascii="Book Antiqua" w:eastAsia="Book Antiqua" w:hAnsi="Book Antiqua" w:cs="Book Antiqua"/>
          <w:i/>
          <w:iCs/>
          <w:color w:val="000000"/>
        </w:rPr>
        <w:t>Emerg</w:t>
      </w:r>
      <w:proofErr w:type="spellEnd"/>
      <w:r w:rsidRPr="008F20DF">
        <w:rPr>
          <w:rFonts w:ascii="Book Antiqua" w:eastAsia="Book Antiqua" w:hAnsi="Book Antiqua" w:cs="Book Antiqua"/>
          <w:i/>
          <w:iCs/>
          <w:color w:val="000000"/>
        </w:rPr>
        <w:t xml:space="preserve"> Med</w:t>
      </w:r>
      <w:r w:rsidRPr="008F20DF">
        <w:rPr>
          <w:rFonts w:ascii="Book Antiqua" w:eastAsia="Book Antiqua" w:hAnsi="Book Antiqua" w:cs="Book Antiqua"/>
          <w:color w:val="000000"/>
        </w:rPr>
        <w:t xml:space="preserve"> 2016; </w:t>
      </w:r>
      <w:r w:rsidRPr="008F20DF">
        <w:rPr>
          <w:rFonts w:ascii="Book Antiqua" w:eastAsia="Book Antiqua" w:hAnsi="Book Antiqua" w:cs="Book Antiqua"/>
          <w:b/>
          <w:bCs/>
          <w:color w:val="000000"/>
        </w:rPr>
        <w:t>68</w:t>
      </w:r>
      <w:r w:rsidRPr="008F20DF">
        <w:rPr>
          <w:rFonts w:ascii="Book Antiqua" w:eastAsia="Book Antiqua" w:hAnsi="Book Antiqua" w:cs="Book Antiqua"/>
          <w:color w:val="000000"/>
        </w:rPr>
        <w:t>: 298-311 [PMID: 27085369 DOI: 10.1016/j.annemergmed.2016.02.044]</w:t>
      </w:r>
    </w:p>
    <w:p w14:paraId="02BE0909"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11 </w:t>
      </w:r>
      <w:proofErr w:type="spellStart"/>
      <w:r w:rsidRPr="008F20DF">
        <w:rPr>
          <w:rFonts w:ascii="Book Antiqua" w:eastAsia="Book Antiqua" w:hAnsi="Book Antiqua" w:cs="Book Antiqua"/>
          <w:b/>
          <w:bCs/>
          <w:color w:val="000000"/>
        </w:rPr>
        <w:t>Leisman</w:t>
      </w:r>
      <w:proofErr w:type="spellEnd"/>
      <w:r w:rsidRPr="008F20DF">
        <w:rPr>
          <w:rFonts w:ascii="Book Antiqua" w:eastAsia="Book Antiqua" w:hAnsi="Book Antiqua" w:cs="Book Antiqua"/>
          <w:b/>
          <w:bCs/>
          <w:color w:val="000000"/>
        </w:rPr>
        <w:t xml:space="preserve"> DE</w:t>
      </w:r>
      <w:r w:rsidRPr="008F20DF">
        <w:rPr>
          <w:rFonts w:ascii="Book Antiqua" w:eastAsia="Book Antiqua" w:hAnsi="Book Antiqua" w:cs="Book Antiqua"/>
          <w:color w:val="000000"/>
        </w:rPr>
        <w:t xml:space="preserve">, Goldman C, </w:t>
      </w:r>
      <w:proofErr w:type="spellStart"/>
      <w:r w:rsidRPr="008F20DF">
        <w:rPr>
          <w:rFonts w:ascii="Book Antiqua" w:eastAsia="Book Antiqua" w:hAnsi="Book Antiqua" w:cs="Book Antiqua"/>
          <w:color w:val="000000"/>
        </w:rPr>
        <w:t>Doerfler</w:t>
      </w:r>
      <w:proofErr w:type="spellEnd"/>
      <w:r w:rsidRPr="008F20DF">
        <w:rPr>
          <w:rFonts w:ascii="Book Antiqua" w:eastAsia="Book Antiqua" w:hAnsi="Book Antiqua" w:cs="Book Antiqua"/>
          <w:color w:val="000000"/>
        </w:rPr>
        <w:t xml:space="preserve"> ME, </w:t>
      </w:r>
      <w:proofErr w:type="spellStart"/>
      <w:r w:rsidRPr="008F20DF">
        <w:rPr>
          <w:rFonts w:ascii="Book Antiqua" w:eastAsia="Book Antiqua" w:hAnsi="Book Antiqua" w:cs="Book Antiqua"/>
          <w:color w:val="000000"/>
        </w:rPr>
        <w:t>Masick</w:t>
      </w:r>
      <w:proofErr w:type="spellEnd"/>
      <w:r w:rsidRPr="008F20DF">
        <w:rPr>
          <w:rFonts w:ascii="Book Antiqua" w:eastAsia="Book Antiqua" w:hAnsi="Book Antiqua" w:cs="Book Antiqua"/>
          <w:color w:val="000000"/>
        </w:rPr>
        <w:t xml:space="preserve"> KD, Dries S, Hamilton E, </w:t>
      </w:r>
      <w:proofErr w:type="spellStart"/>
      <w:r w:rsidRPr="008F20DF">
        <w:rPr>
          <w:rFonts w:ascii="Book Antiqua" w:eastAsia="Book Antiqua" w:hAnsi="Book Antiqua" w:cs="Book Antiqua"/>
          <w:color w:val="000000"/>
        </w:rPr>
        <w:t>Narasimhan</w:t>
      </w:r>
      <w:proofErr w:type="spellEnd"/>
      <w:r w:rsidRPr="008F20DF">
        <w:rPr>
          <w:rFonts w:ascii="Book Antiqua" w:eastAsia="Book Antiqua" w:hAnsi="Book Antiqua" w:cs="Book Antiqua"/>
          <w:color w:val="000000"/>
        </w:rPr>
        <w:t xml:space="preserve"> M, Zaidi G, </w:t>
      </w:r>
      <w:proofErr w:type="spellStart"/>
      <w:r w:rsidRPr="008F20DF">
        <w:rPr>
          <w:rFonts w:ascii="Book Antiqua" w:eastAsia="Book Antiqua" w:hAnsi="Book Antiqua" w:cs="Book Antiqua"/>
          <w:color w:val="000000"/>
        </w:rPr>
        <w:t>D'Amore</w:t>
      </w:r>
      <w:proofErr w:type="spellEnd"/>
      <w:r w:rsidRPr="008F20DF">
        <w:rPr>
          <w:rFonts w:ascii="Book Antiqua" w:eastAsia="Book Antiqua" w:hAnsi="Book Antiqua" w:cs="Book Antiqua"/>
          <w:color w:val="000000"/>
        </w:rPr>
        <w:t xml:space="preserve"> JA, D'Angelo JK. Patterns and Outcomes Associated With Timeliness of Initial Crystalloid Resuscitation in a Prospective Sepsis and Septic Shock Cohort. </w:t>
      </w:r>
      <w:proofErr w:type="spellStart"/>
      <w:r w:rsidRPr="008F20DF">
        <w:rPr>
          <w:rFonts w:ascii="Book Antiqua" w:eastAsia="Book Antiqua" w:hAnsi="Book Antiqua" w:cs="Book Antiqua"/>
          <w:i/>
          <w:iCs/>
          <w:color w:val="000000"/>
        </w:rPr>
        <w:t>Crit</w:t>
      </w:r>
      <w:proofErr w:type="spellEnd"/>
      <w:r w:rsidRPr="008F20DF">
        <w:rPr>
          <w:rFonts w:ascii="Book Antiqua" w:eastAsia="Book Antiqua" w:hAnsi="Book Antiqua" w:cs="Book Antiqua"/>
          <w:i/>
          <w:iCs/>
          <w:color w:val="000000"/>
        </w:rPr>
        <w:t xml:space="preserve"> Care Med</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45</w:t>
      </w:r>
      <w:r w:rsidRPr="008F20DF">
        <w:rPr>
          <w:rFonts w:ascii="Book Antiqua" w:eastAsia="Book Antiqua" w:hAnsi="Book Antiqua" w:cs="Book Antiqua"/>
          <w:color w:val="000000"/>
        </w:rPr>
        <w:t>: 1596-1606 [PMID: 28671898 DOI: 10.1097/CCM.0000000000002574]</w:t>
      </w:r>
    </w:p>
    <w:p w14:paraId="4F6D4AC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12 </w:t>
      </w:r>
      <w:proofErr w:type="spellStart"/>
      <w:r w:rsidRPr="008F20DF">
        <w:rPr>
          <w:rFonts w:ascii="Book Antiqua" w:eastAsia="Book Antiqua" w:hAnsi="Book Antiqua" w:cs="Book Antiqua"/>
          <w:b/>
          <w:bCs/>
          <w:color w:val="000000"/>
        </w:rPr>
        <w:t>Kuttab</w:t>
      </w:r>
      <w:proofErr w:type="spellEnd"/>
      <w:r w:rsidRPr="008F20DF">
        <w:rPr>
          <w:rFonts w:ascii="Book Antiqua" w:eastAsia="Book Antiqua" w:hAnsi="Book Antiqua" w:cs="Book Antiqua"/>
          <w:b/>
          <w:bCs/>
          <w:color w:val="000000"/>
        </w:rPr>
        <w:t xml:space="preserve"> HI</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Lykins</w:t>
      </w:r>
      <w:proofErr w:type="spellEnd"/>
      <w:r w:rsidRPr="008F20DF">
        <w:rPr>
          <w:rFonts w:ascii="Book Antiqua" w:eastAsia="Book Antiqua" w:hAnsi="Book Antiqua" w:cs="Book Antiqua"/>
          <w:color w:val="000000"/>
        </w:rPr>
        <w:t xml:space="preserve"> JD, Hughes MD, </w:t>
      </w:r>
      <w:proofErr w:type="spellStart"/>
      <w:r w:rsidRPr="008F20DF">
        <w:rPr>
          <w:rFonts w:ascii="Book Antiqua" w:eastAsia="Book Antiqua" w:hAnsi="Book Antiqua" w:cs="Book Antiqua"/>
          <w:color w:val="000000"/>
        </w:rPr>
        <w:t>Wroblewski</w:t>
      </w:r>
      <w:proofErr w:type="spellEnd"/>
      <w:r w:rsidRPr="008F20DF">
        <w:rPr>
          <w:rFonts w:ascii="Book Antiqua" w:eastAsia="Book Antiqua" w:hAnsi="Book Antiqua" w:cs="Book Antiqua"/>
          <w:color w:val="000000"/>
        </w:rPr>
        <w:t xml:space="preserve"> K, </w:t>
      </w:r>
      <w:proofErr w:type="spellStart"/>
      <w:r w:rsidRPr="008F20DF">
        <w:rPr>
          <w:rFonts w:ascii="Book Antiqua" w:eastAsia="Book Antiqua" w:hAnsi="Book Antiqua" w:cs="Book Antiqua"/>
          <w:color w:val="000000"/>
        </w:rPr>
        <w:t>Keast</w:t>
      </w:r>
      <w:proofErr w:type="spellEnd"/>
      <w:r w:rsidRPr="008F20DF">
        <w:rPr>
          <w:rFonts w:ascii="Book Antiqua" w:eastAsia="Book Antiqua" w:hAnsi="Book Antiqua" w:cs="Book Antiqua"/>
          <w:color w:val="000000"/>
        </w:rPr>
        <w:t xml:space="preserve"> EP, </w:t>
      </w:r>
      <w:proofErr w:type="spellStart"/>
      <w:r w:rsidRPr="008F20DF">
        <w:rPr>
          <w:rFonts w:ascii="Book Antiqua" w:eastAsia="Book Antiqua" w:hAnsi="Book Antiqua" w:cs="Book Antiqua"/>
          <w:color w:val="000000"/>
        </w:rPr>
        <w:t>Kukoyi</w:t>
      </w:r>
      <w:proofErr w:type="spellEnd"/>
      <w:r w:rsidRPr="008F20DF">
        <w:rPr>
          <w:rFonts w:ascii="Book Antiqua" w:eastAsia="Book Antiqua" w:hAnsi="Book Antiqua" w:cs="Book Antiqua"/>
          <w:color w:val="000000"/>
        </w:rPr>
        <w:t xml:space="preserve"> O, </w:t>
      </w:r>
      <w:proofErr w:type="spellStart"/>
      <w:r w:rsidRPr="008F20DF">
        <w:rPr>
          <w:rFonts w:ascii="Book Antiqua" w:eastAsia="Book Antiqua" w:hAnsi="Book Antiqua" w:cs="Book Antiqua"/>
          <w:color w:val="000000"/>
        </w:rPr>
        <w:t>Kopec</w:t>
      </w:r>
      <w:proofErr w:type="spellEnd"/>
      <w:r w:rsidRPr="008F20DF">
        <w:rPr>
          <w:rFonts w:ascii="Book Antiqua" w:eastAsia="Book Antiqua" w:hAnsi="Book Antiqua" w:cs="Book Antiqua"/>
          <w:color w:val="000000"/>
        </w:rPr>
        <w:t xml:space="preserve"> JA, Hall S, Ward MA. Evaluation and Predictors of Fluid Resuscitation in Patients </w:t>
      </w:r>
      <w:proofErr w:type="gramStart"/>
      <w:r w:rsidRPr="008F20DF">
        <w:rPr>
          <w:rFonts w:ascii="Book Antiqua" w:eastAsia="Book Antiqua" w:hAnsi="Book Antiqua" w:cs="Book Antiqua"/>
          <w:color w:val="000000"/>
        </w:rPr>
        <w:t>With</w:t>
      </w:r>
      <w:proofErr w:type="gramEnd"/>
      <w:r w:rsidRPr="008F20DF">
        <w:rPr>
          <w:rFonts w:ascii="Book Antiqua" w:eastAsia="Book Antiqua" w:hAnsi="Book Antiqua" w:cs="Book Antiqua"/>
          <w:color w:val="000000"/>
        </w:rPr>
        <w:t xml:space="preserve"> Severe Sepsis and Septic Shock. </w:t>
      </w:r>
      <w:proofErr w:type="spellStart"/>
      <w:r w:rsidRPr="008F20DF">
        <w:rPr>
          <w:rFonts w:ascii="Book Antiqua" w:eastAsia="Book Antiqua" w:hAnsi="Book Antiqua" w:cs="Book Antiqua"/>
          <w:i/>
          <w:iCs/>
          <w:color w:val="000000"/>
        </w:rPr>
        <w:t>Crit</w:t>
      </w:r>
      <w:proofErr w:type="spellEnd"/>
      <w:r w:rsidRPr="008F20DF">
        <w:rPr>
          <w:rFonts w:ascii="Book Antiqua" w:eastAsia="Book Antiqua" w:hAnsi="Book Antiqua" w:cs="Book Antiqua"/>
          <w:i/>
          <w:iCs/>
          <w:color w:val="000000"/>
        </w:rPr>
        <w:t xml:space="preserve"> Care Med</w:t>
      </w:r>
      <w:r w:rsidRPr="008F20DF">
        <w:rPr>
          <w:rFonts w:ascii="Book Antiqua" w:eastAsia="Book Antiqua" w:hAnsi="Book Antiqua" w:cs="Book Antiqua"/>
          <w:color w:val="000000"/>
        </w:rPr>
        <w:t xml:space="preserve"> 2019; </w:t>
      </w:r>
      <w:r w:rsidRPr="008F20DF">
        <w:rPr>
          <w:rFonts w:ascii="Book Antiqua" w:eastAsia="Book Antiqua" w:hAnsi="Book Antiqua" w:cs="Book Antiqua"/>
          <w:b/>
          <w:bCs/>
          <w:color w:val="000000"/>
        </w:rPr>
        <w:t>47</w:t>
      </w:r>
      <w:r w:rsidRPr="008F20DF">
        <w:rPr>
          <w:rFonts w:ascii="Book Antiqua" w:eastAsia="Book Antiqua" w:hAnsi="Book Antiqua" w:cs="Book Antiqua"/>
          <w:color w:val="000000"/>
        </w:rPr>
        <w:t>: 1582-1590 [PMID: 31393324 DOI: 10.1097/CCM.0000000000003960]</w:t>
      </w:r>
    </w:p>
    <w:p w14:paraId="2EDA8A1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13 </w:t>
      </w:r>
      <w:r w:rsidRPr="008F20DF">
        <w:rPr>
          <w:rFonts w:ascii="Book Antiqua" w:eastAsia="Book Antiqua" w:hAnsi="Book Antiqua" w:cs="Book Antiqua"/>
          <w:b/>
          <w:bCs/>
          <w:color w:val="000000"/>
        </w:rPr>
        <w:t>Espinosa-Almanza CJ,</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Sanabria</w:t>
      </w:r>
      <w:proofErr w:type="spellEnd"/>
      <w:r w:rsidRPr="008F20DF">
        <w:rPr>
          <w:rFonts w:ascii="Book Antiqua" w:eastAsia="Book Antiqua" w:hAnsi="Book Antiqua" w:cs="Book Antiqua"/>
          <w:color w:val="000000"/>
        </w:rPr>
        <w:t xml:space="preserve">-Rodríguez O, </w:t>
      </w:r>
      <w:proofErr w:type="spellStart"/>
      <w:r w:rsidRPr="008F20DF">
        <w:rPr>
          <w:rFonts w:ascii="Book Antiqua" w:eastAsia="Book Antiqua" w:hAnsi="Book Antiqua" w:cs="Book Antiqua"/>
          <w:color w:val="000000"/>
        </w:rPr>
        <w:t>Riao-Forero</w:t>
      </w:r>
      <w:proofErr w:type="spellEnd"/>
      <w:r w:rsidRPr="008F20DF">
        <w:rPr>
          <w:rFonts w:ascii="Book Antiqua" w:eastAsia="Book Antiqua" w:hAnsi="Book Antiqua" w:cs="Book Antiqua"/>
          <w:color w:val="000000"/>
        </w:rPr>
        <w:t xml:space="preserve"> I, Toro-Trujillo E. Fluid overload in patients with septic shock and lactate clearance as a therapeutic goal: a retrospective cohort study. </w:t>
      </w:r>
      <w:r w:rsidRPr="008F20DF">
        <w:rPr>
          <w:rFonts w:ascii="Book Antiqua" w:eastAsia="Book Antiqua" w:hAnsi="Book Antiqua" w:cs="Book Antiqua"/>
          <w:i/>
          <w:color w:val="000000"/>
        </w:rPr>
        <w:t xml:space="preserve">Rev Bras </w:t>
      </w:r>
      <w:proofErr w:type="spellStart"/>
      <w:r w:rsidRPr="008F20DF">
        <w:rPr>
          <w:rFonts w:ascii="Book Antiqua" w:eastAsia="Book Antiqua" w:hAnsi="Book Antiqua" w:cs="Book Antiqua"/>
          <w:i/>
          <w:color w:val="000000"/>
        </w:rPr>
        <w:t>Ter</w:t>
      </w:r>
      <w:proofErr w:type="spellEnd"/>
      <w:r w:rsidRPr="008F20DF">
        <w:rPr>
          <w:rFonts w:ascii="Book Antiqua" w:eastAsia="Book Antiqua" w:hAnsi="Book Antiqua" w:cs="Book Antiqua"/>
          <w:i/>
          <w:color w:val="000000"/>
        </w:rPr>
        <w:t xml:space="preserve"> </w:t>
      </w:r>
      <w:proofErr w:type="spellStart"/>
      <w:r w:rsidRPr="008F20DF">
        <w:rPr>
          <w:rFonts w:ascii="Book Antiqua" w:eastAsia="Book Antiqua" w:hAnsi="Book Antiqua" w:cs="Book Antiqua"/>
          <w:i/>
          <w:color w:val="000000"/>
        </w:rPr>
        <w:t>Intensiva</w:t>
      </w:r>
      <w:proofErr w:type="spellEnd"/>
      <w:r w:rsidRPr="008F20DF">
        <w:rPr>
          <w:rFonts w:ascii="Book Antiqua" w:eastAsia="Book Antiqua" w:hAnsi="Book Antiqua" w:cs="Book Antiqua"/>
          <w:color w:val="000000"/>
        </w:rPr>
        <w:t xml:space="preserve"> 2020; </w:t>
      </w:r>
      <w:r w:rsidRPr="008F20DF">
        <w:rPr>
          <w:rFonts w:ascii="Book Antiqua" w:eastAsia="Book Antiqua" w:hAnsi="Book Antiqua" w:cs="Book Antiqua"/>
          <w:b/>
          <w:color w:val="000000"/>
        </w:rPr>
        <w:t>32:</w:t>
      </w:r>
      <w:r w:rsidRPr="008F20DF">
        <w:rPr>
          <w:rFonts w:ascii="Book Antiqua" w:eastAsia="Book Antiqua" w:hAnsi="Book Antiqua" w:cs="Book Antiqua"/>
          <w:color w:val="000000"/>
        </w:rPr>
        <w:t xml:space="preserve"> 99-107</w:t>
      </w:r>
      <w:r w:rsidR="0045498F" w:rsidRPr="008F20DF">
        <w:rPr>
          <w:rFonts w:ascii="Book Antiqua" w:eastAsia="Book Antiqua" w:hAnsi="Book Antiqua" w:cs="Book Antiqua"/>
          <w:color w:val="000000"/>
        </w:rPr>
        <w:t xml:space="preserve"> [PMID: 32401993 DOI: 10.5935/0103-507x.20200015]</w:t>
      </w:r>
    </w:p>
    <w:p w14:paraId="10F05E0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14 </w:t>
      </w:r>
      <w:r w:rsidRPr="008F20DF">
        <w:rPr>
          <w:rFonts w:ascii="Book Antiqua" w:eastAsia="Book Antiqua" w:hAnsi="Book Antiqua" w:cs="Book Antiqua"/>
          <w:b/>
          <w:bCs/>
          <w:color w:val="000000"/>
        </w:rPr>
        <w:t>Latham HE,</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Bengtson</w:t>
      </w:r>
      <w:proofErr w:type="spellEnd"/>
      <w:r w:rsidRPr="008F20DF">
        <w:rPr>
          <w:rFonts w:ascii="Book Antiqua" w:eastAsia="Book Antiqua" w:hAnsi="Book Antiqua" w:cs="Book Antiqua"/>
          <w:color w:val="000000"/>
        </w:rPr>
        <w:t xml:space="preserve"> CD, </w:t>
      </w:r>
      <w:proofErr w:type="spellStart"/>
      <w:r w:rsidRPr="008F20DF">
        <w:rPr>
          <w:rFonts w:ascii="Book Antiqua" w:eastAsia="Book Antiqua" w:hAnsi="Book Antiqua" w:cs="Book Antiqua"/>
          <w:color w:val="000000"/>
        </w:rPr>
        <w:t>Satterwhite</w:t>
      </w:r>
      <w:proofErr w:type="spellEnd"/>
      <w:r w:rsidRPr="008F20DF">
        <w:rPr>
          <w:rFonts w:ascii="Book Antiqua" w:eastAsia="Book Antiqua" w:hAnsi="Book Antiqua" w:cs="Book Antiqua"/>
          <w:color w:val="000000"/>
        </w:rPr>
        <w:t xml:space="preserve"> L, </w:t>
      </w:r>
      <w:proofErr w:type="spellStart"/>
      <w:r w:rsidRPr="008F20DF">
        <w:rPr>
          <w:rFonts w:ascii="Book Antiqua" w:eastAsia="Book Antiqua" w:hAnsi="Book Antiqua" w:cs="Book Antiqua"/>
          <w:color w:val="000000"/>
        </w:rPr>
        <w:t>Stites</w:t>
      </w:r>
      <w:proofErr w:type="spellEnd"/>
      <w:r w:rsidRPr="008F20DF">
        <w:rPr>
          <w:rFonts w:ascii="Book Antiqua" w:eastAsia="Book Antiqua" w:hAnsi="Book Antiqua" w:cs="Book Antiqua"/>
          <w:color w:val="000000"/>
        </w:rPr>
        <w:t xml:space="preserve"> M, </w:t>
      </w:r>
      <w:proofErr w:type="spellStart"/>
      <w:r w:rsidRPr="008F20DF">
        <w:rPr>
          <w:rFonts w:ascii="Book Antiqua" w:eastAsia="Book Antiqua" w:hAnsi="Book Antiqua" w:cs="Book Antiqua"/>
          <w:color w:val="000000"/>
        </w:rPr>
        <w:t>Subramaniam</w:t>
      </w:r>
      <w:proofErr w:type="spellEnd"/>
      <w:r w:rsidRPr="008F20DF">
        <w:rPr>
          <w:rFonts w:ascii="Book Antiqua" w:eastAsia="Book Antiqua" w:hAnsi="Book Antiqua" w:cs="Book Antiqua"/>
          <w:color w:val="000000"/>
        </w:rPr>
        <w:t xml:space="preserve"> DP, Chen GJ, Simpson SQ. Stroke volume guided resuscitation in severe sepsis and septic shock improves outcomes. </w:t>
      </w:r>
      <w:r w:rsidRPr="008F20DF">
        <w:rPr>
          <w:rFonts w:ascii="Book Antiqua" w:eastAsia="Book Antiqua" w:hAnsi="Book Antiqua" w:cs="Book Antiqua"/>
          <w:i/>
          <w:color w:val="000000"/>
        </w:rPr>
        <w:t xml:space="preserve">J </w:t>
      </w:r>
      <w:proofErr w:type="spellStart"/>
      <w:r w:rsidRPr="008F20DF">
        <w:rPr>
          <w:rFonts w:ascii="Book Antiqua" w:eastAsia="Book Antiqua" w:hAnsi="Book Antiqua" w:cs="Book Antiqua"/>
          <w:i/>
          <w:color w:val="000000"/>
        </w:rPr>
        <w:t>Crit</w:t>
      </w:r>
      <w:proofErr w:type="spellEnd"/>
      <w:r w:rsidRPr="008F20DF">
        <w:rPr>
          <w:rFonts w:ascii="Book Antiqua" w:eastAsia="Book Antiqua" w:hAnsi="Book Antiqua" w:cs="Book Antiqua"/>
          <w:i/>
          <w:color w:val="000000"/>
        </w:rPr>
        <w:t xml:space="preserve"> Care </w:t>
      </w:r>
      <w:r w:rsidRPr="008F20DF">
        <w:rPr>
          <w:rFonts w:ascii="Book Antiqua" w:eastAsia="Book Antiqua" w:hAnsi="Book Antiqua" w:cs="Book Antiqua"/>
          <w:color w:val="000000"/>
        </w:rPr>
        <w:t xml:space="preserve">2017; </w:t>
      </w:r>
      <w:r w:rsidRPr="008F20DF">
        <w:rPr>
          <w:rFonts w:ascii="Book Antiqua" w:eastAsia="Book Antiqua" w:hAnsi="Book Antiqua" w:cs="Book Antiqua"/>
          <w:b/>
          <w:color w:val="000000"/>
        </w:rPr>
        <w:t>42:</w:t>
      </w:r>
      <w:r w:rsidRPr="008F20DF">
        <w:rPr>
          <w:rFonts w:ascii="Book Antiqua" w:eastAsia="Book Antiqua" w:hAnsi="Book Antiqua" w:cs="Book Antiqua"/>
          <w:color w:val="000000"/>
        </w:rPr>
        <w:t xml:space="preserve"> 42-46</w:t>
      </w:r>
      <w:r w:rsidR="00086166" w:rsidRPr="008F20DF">
        <w:rPr>
          <w:rFonts w:ascii="Book Antiqua" w:eastAsia="Book Antiqua" w:hAnsi="Book Antiqua" w:cs="Book Antiqua"/>
          <w:color w:val="000000"/>
        </w:rPr>
        <w:t xml:space="preserve"> [PMID: 28672146 DOI: 10.1016/j.jcrc.2017.06.028]</w:t>
      </w:r>
    </w:p>
    <w:p w14:paraId="705361C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15 </w:t>
      </w:r>
      <w:proofErr w:type="spellStart"/>
      <w:r w:rsidRPr="008F20DF">
        <w:rPr>
          <w:rFonts w:ascii="Book Antiqua" w:eastAsia="Book Antiqua" w:hAnsi="Book Antiqua" w:cs="Book Antiqua"/>
          <w:b/>
          <w:bCs/>
          <w:color w:val="000000"/>
        </w:rPr>
        <w:t>Coba</w:t>
      </w:r>
      <w:proofErr w:type="spellEnd"/>
      <w:r w:rsidRPr="008F20DF">
        <w:rPr>
          <w:rFonts w:ascii="Book Antiqua" w:eastAsia="Book Antiqua" w:hAnsi="Book Antiqua" w:cs="Book Antiqua"/>
          <w:b/>
          <w:bCs/>
          <w:color w:val="000000"/>
        </w:rPr>
        <w:t xml:space="preserve"> V</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Whitmill</w:t>
      </w:r>
      <w:proofErr w:type="spellEnd"/>
      <w:r w:rsidRPr="008F20DF">
        <w:rPr>
          <w:rFonts w:ascii="Book Antiqua" w:eastAsia="Book Antiqua" w:hAnsi="Book Antiqua" w:cs="Book Antiqua"/>
          <w:color w:val="000000"/>
        </w:rPr>
        <w:t xml:space="preserve"> M, Mooney R, Horst HM, Brandt MM, </w:t>
      </w:r>
      <w:proofErr w:type="spellStart"/>
      <w:r w:rsidRPr="008F20DF">
        <w:rPr>
          <w:rFonts w:ascii="Book Antiqua" w:eastAsia="Book Antiqua" w:hAnsi="Book Antiqua" w:cs="Book Antiqua"/>
          <w:color w:val="000000"/>
        </w:rPr>
        <w:t>Digiovine</w:t>
      </w:r>
      <w:proofErr w:type="spellEnd"/>
      <w:r w:rsidRPr="008F20DF">
        <w:rPr>
          <w:rFonts w:ascii="Book Antiqua" w:eastAsia="Book Antiqua" w:hAnsi="Book Antiqua" w:cs="Book Antiqua"/>
          <w:color w:val="000000"/>
        </w:rPr>
        <w:t xml:space="preserve"> B, </w:t>
      </w:r>
      <w:proofErr w:type="spellStart"/>
      <w:r w:rsidRPr="008F20DF">
        <w:rPr>
          <w:rFonts w:ascii="Book Antiqua" w:eastAsia="Book Antiqua" w:hAnsi="Book Antiqua" w:cs="Book Antiqua"/>
          <w:color w:val="000000"/>
        </w:rPr>
        <w:t>Mlynarek</w:t>
      </w:r>
      <w:proofErr w:type="spellEnd"/>
      <w:r w:rsidRPr="008F20DF">
        <w:rPr>
          <w:rFonts w:ascii="Book Antiqua" w:eastAsia="Book Antiqua" w:hAnsi="Book Antiqua" w:cs="Book Antiqua"/>
          <w:color w:val="000000"/>
        </w:rPr>
        <w:t xml:space="preserve"> M, McLellan B, </w:t>
      </w:r>
      <w:proofErr w:type="spellStart"/>
      <w:r w:rsidRPr="008F20DF">
        <w:rPr>
          <w:rFonts w:ascii="Book Antiqua" w:eastAsia="Book Antiqua" w:hAnsi="Book Antiqua" w:cs="Book Antiqua"/>
          <w:color w:val="000000"/>
        </w:rPr>
        <w:t>Boleski</w:t>
      </w:r>
      <w:proofErr w:type="spellEnd"/>
      <w:r w:rsidRPr="008F20DF">
        <w:rPr>
          <w:rFonts w:ascii="Book Antiqua" w:eastAsia="Book Antiqua" w:hAnsi="Book Antiqua" w:cs="Book Antiqua"/>
          <w:color w:val="000000"/>
        </w:rPr>
        <w:t xml:space="preserve"> G, Yang J, Conway W, Jordan J; (The Henry Ford Hospital Sepsis Collaborative Group). Resuscitation bundle compliance in severe sepsis and septic shock: improves survival, is better late than never. </w:t>
      </w:r>
      <w:r w:rsidRPr="008F20DF">
        <w:rPr>
          <w:rFonts w:ascii="Book Antiqua" w:eastAsia="Book Antiqua" w:hAnsi="Book Antiqua" w:cs="Book Antiqua"/>
          <w:i/>
          <w:iCs/>
          <w:color w:val="000000"/>
        </w:rPr>
        <w:t>J Intensive Care Med</w:t>
      </w:r>
      <w:r w:rsidRPr="008F20DF">
        <w:rPr>
          <w:rFonts w:ascii="Book Antiqua" w:eastAsia="Book Antiqua" w:hAnsi="Book Antiqua" w:cs="Book Antiqua"/>
          <w:color w:val="000000"/>
        </w:rPr>
        <w:t xml:space="preserve"> 2011; </w:t>
      </w:r>
      <w:r w:rsidRPr="008F20DF">
        <w:rPr>
          <w:rFonts w:ascii="Book Antiqua" w:eastAsia="Book Antiqua" w:hAnsi="Book Antiqua" w:cs="Book Antiqua"/>
          <w:b/>
          <w:bCs/>
          <w:color w:val="000000"/>
        </w:rPr>
        <w:t>26</w:t>
      </w:r>
      <w:r w:rsidRPr="008F20DF">
        <w:rPr>
          <w:rFonts w:ascii="Book Antiqua" w:eastAsia="Book Antiqua" w:hAnsi="Book Antiqua" w:cs="Book Antiqua"/>
          <w:color w:val="000000"/>
        </w:rPr>
        <w:t>: 304-313 [PMID: 21220270 DOI: 10.1177/0885066610392499]</w:t>
      </w:r>
    </w:p>
    <w:p w14:paraId="49DAA3C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16 </w:t>
      </w:r>
      <w:r w:rsidRPr="008F20DF">
        <w:rPr>
          <w:rFonts w:ascii="Book Antiqua" w:eastAsia="Book Antiqua" w:hAnsi="Book Antiqua" w:cs="Book Antiqua"/>
          <w:b/>
          <w:bCs/>
          <w:color w:val="000000"/>
        </w:rPr>
        <w:t>Liu CC</w:t>
      </w:r>
      <w:r w:rsidRPr="008F20DF">
        <w:rPr>
          <w:rFonts w:ascii="Book Antiqua" w:eastAsia="Book Antiqua" w:hAnsi="Book Antiqua" w:cs="Book Antiqua"/>
          <w:color w:val="000000"/>
        </w:rPr>
        <w:t xml:space="preserve">, Hsieh WA, Lai PF, Hu SC, Huang HY, </w:t>
      </w:r>
      <w:proofErr w:type="spellStart"/>
      <w:r w:rsidRPr="008F20DF">
        <w:rPr>
          <w:rFonts w:ascii="Book Antiqua" w:eastAsia="Book Antiqua" w:hAnsi="Book Antiqua" w:cs="Book Antiqua"/>
          <w:color w:val="000000"/>
        </w:rPr>
        <w:t>Bih</w:t>
      </w:r>
      <w:proofErr w:type="spellEnd"/>
      <w:r w:rsidRPr="008F20DF">
        <w:rPr>
          <w:rFonts w:ascii="Book Antiqua" w:eastAsia="Book Antiqua" w:hAnsi="Book Antiqua" w:cs="Book Antiqua"/>
          <w:color w:val="000000"/>
        </w:rPr>
        <w:t xml:space="preserve"> ZL. </w:t>
      </w:r>
      <w:proofErr w:type="gramStart"/>
      <w:r w:rsidRPr="008F20DF">
        <w:rPr>
          <w:rFonts w:ascii="Book Antiqua" w:eastAsia="Book Antiqua" w:hAnsi="Book Antiqua" w:cs="Book Antiqua"/>
          <w:color w:val="000000"/>
        </w:rPr>
        <w:t>Emergency Physician Compliance with Quality Indicators of Septic Shock and Severe Sepsis in Eastern Taiwanese Community Hospital.</w:t>
      </w:r>
      <w:proofErr w:type="gramEnd"/>
      <w:r w:rsidRPr="008F20DF">
        <w:rPr>
          <w:rFonts w:ascii="Book Antiqua" w:eastAsia="Book Antiqua" w:hAnsi="Book Antiqua" w:cs="Book Antiqua"/>
          <w:color w:val="000000"/>
        </w:rPr>
        <w:t xml:space="preserve"> </w:t>
      </w:r>
      <w:r w:rsidRPr="008F20DF">
        <w:rPr>
          <w:rFonts w:ascii="Book Antiqua" w:eastAsia="Book Antiqua" w:hAnsi="Book Antiqua" w:cs="Book Antiqua"/>
          <w:i/>
          <w:iCs/>
          <w:color w:val="000000"/>
        </w:rPr>
        <w:t>J Acute Med</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7</w:t>
      </w:r>
      <w:r w:rsidRPr="008F20DF">
        <w:rPr>
          <w:rFonts w:ascii="Book Antiqua" w:eastAsia="Book Antiqua" w:hAnsi="Book Antiqua" w:cs="Book Antiqua"/>
          <w:color w:val="000000"/>
        </w:rPr>
        <w:t>: 135-140 [PMID: 32995187 DOI: 10.6705/j.jacme.2017.0704.001]</w:t>
      </w:r>
    </w:p>
    <w:p w14:paraId="63C8C6D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17 </w:t>
      </w:r>
      <w:proofErr w:type="spellStart"/>
      <w:r w:rsidRPr="008F20DF">
        <w:rPr>
          <w:rFonts w:ascii="Book Antiqua" w:eastAsia="Book Antiqua" w:hAnsi="Book Antiqua" w:cs="Book Antiqua"/>
          <w:b/>
          <w:bCs/>
          <w:color w:val="000000"/>
        </w:rPr>
        <w:t>Jozwiak</w:t>
      </w:r>
      <w:proofErr w:type="spellEnd"/>
      <w:r w:rsidRPr="008F20DF">
        <w:rPr>
          <w:rFonts w:ascii="Book Antiqua" w:eastAsia="Book Antiqua" w:hAnsi="Book Antiqua" w:cs="Book Antiqua"/>
          <w:b/>
          <w:bCs/>
          <w:color w:val="000000"/>
        </w:rPr>
        <w:t xml:space="preserve"> M</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Hamzaoui</w:t>
      </w:r>
      <w:proofErr w:type="spellEnd"/>
      <w:r w:rsidRPr="008F20DF">
        <w:rPr>
          <w:rFonts w:ascii="Book Antiqua" w:eastAsia="Book Antiqua" w:hAnsi="Book Antiqua" w:cs="Book Antiqua"/>
          <w:color w:val="000000"/>
        </w:rPr>
        <w:t xml:space="preserve"> O, Monnet X, </w:t>
      </w:r>
      <w:proofErr w:type="spellStart"/>
      <w:r w:rsidRPr="008F20DF">
        <w:rPr>
          <w:rFonts w:ascii="Book Antiqua" w:eastAsia="Book Antiqua" w:hAnsi="Book Antiqua" w:cs="Book Antiqua"/>
          <w:color w:val="000000"/>
        </w:rPr>
        <w:t>Teboul</w:t>
      </w:r>
      <w:proofErr w:type="spellEnd"/>
      <w:r w:rsidRPr="008F20DF">
        <w:rPr>
          <w:rFonts w:ascii="Book Antiqua" w:eastAsia="Book Antiqua" w:hAnsi="Book Antiqua" w:cs="Book Antiqua"/>
          <w:color w:val="000000"/>
        </w:rPr>
        <w:t xml:space="preserve"> JL. Fluid resuscitation during early sepsis: a need for individualization. </w:t>
      </w:r>
      <w:r w:rsidRPr="008F20DF">
        <w:rPr>
          <w:rFonts w:ascii="Book Antiqua" w:eastAsia="Book Antiqua" w:hAnsi="Book Antiqua" w:cs="Book Antiqua"/>
          <w:i/>
          <w:iCs/>
          <w:color w:val="000000"/>
        </w:rPr>
        <w:t xml:space="preserve">Minerva </w:t>
      </w:r>
      <w:proofErr w:type="spellStart"/>
      <w:r w:rsidRPr="008F20DF">
        <w:rPr>
          <w:rFonts w:ascii="Book Antiqua" w:eastAsia="Book Antiqua" w:hAnsi="Book Antiqua" w:cs="Book Antiqua"/>
          <w:i/>
          <w:iCs/>
          <w:color w:val="000000"/>
        </w:rPr>
        <w:t>Anestesiol</w:t>
      </w:r>
      <w:proofErr w:type="spellEnd"/>
      <w:r w:rsidRPr="008F20DF">
        <w:rPr>
          <w:rFonts w:ascii="Book Antiqua" w:eastAsia="Book Antiqua" w:hAnsi="Book Antiqua" w:cs="Book Antiqua"/>
          <w:color w:val="000000"/>
        </w:rPr>
        <w:t xml:space="preserve"> 2018; </w:t>
      </w:r>
      <w:r w:rsidRPr="008F20DF">
        <w:rPr>
          <w:rFonts w:ascii="Book Antiqua" w:eastAsia="Book Antiqua" w:hAnsi="Book Antiqua" w:cs="Book Antiqua"/>
          <w:b/>
          <w:bCs/>
          <w:color w:val="000000"/>
        </w:rPr>
        <w:t>84</w:t>
      </w:r>
      <w:r w:rsidRPr="008F20DF">
        <w:rPr>
          <w:rFonts w:ascii="Book Antiqua" w:eastAsia="Book Antiqua" w:hAnsi="Book Antiqua" w:cs="Book Antiqua"/>
          <w:color w:val="000000"/>
        </w:rPr>
        <w:t>: 987-992 [PMID: 29444562 DOI: 10.23736/S0375-9393.18.12422-9]</w:t>
      </w:r>
    </w:p>
    <w:p w14:paraId="28818BB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18 </w:t>
      </w:r>
      <w:r w:rsidRPr="008F20DF">
        <w:rPr>
          <w:rFonts w:ascii="Book Antiqua" w:eastAsia="Book Antiqua" w:hAnsi="Book Antiqua" w:cs="Book Antiqua"/>
          <w:b/>
          <w:bCs/>
          <w:color w:val="000000"/>
        </w:rPr>
        <w:t>Allen JM</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Feild</w:t>
      </w:r>
      <w:proofErr w:type="spellEnd"/>
      <w:r w:rsidRPr="008F20DF">
        <w:rPr>
          <w:rFonts w:ascii="Book Antiqua" w:eastAsia="Book Antiqua" w:hAnsi="Book Antiqua" w:cs="Book Antiqua"/>
          <w:color w:val="000000"/>
        </w:rPr>
        <w:t xml:space="preserve"> C, Shoulders BR, </w:t>
      </w:r>
      <w:proofErr w:type="spellStart"/>
      <w:r w:rsidRPr="008F20DF">
        <w:rPr>
          <w:rFonts w:ascii="Book Antiqua" w:eastAsia="Book Antiqua" w:hAnsi="Book Antiqua" w:cs="Book Antiqua"/>
          <w:color w:val="000000"/>
        </w:rPr>
        <w:t>Voils</w:t>
      </w:r>
      <w:proofErr w:type="spellEnd"/>
      <w:r w:rsidRPr="008F20DF">
        <w:rPr>
          <w:rFonts w:ascii="Book Antiqua" w:eastAsia="Book Antiqua" w:hAnsi="Book Antiqua" w:cs="Book Antiqua"/>
          <w:color w:val="000000"/>
        </w:rPr>
        <w:t xml:space="preserve"> SA. Recent Updates in the Pharmacological Management of Sepsis and Septic Shock: A Systematic Review Focused on Fluid Resuscitation, Vasopressors, and Corticosteroids. </w:t>
      </w:r>
      <w:r w:rsidRPr="008F20DF">
        <w:rPr>
          <w:rFonts w:ascii="Book Antiqua" w:eastAsia="Book Antiqua" w:hAnsi="Book Antiqua" w:cs="Book Antiqua"/>
          <w:i/>
          <w:iCs/>
          <w:color w:val="000000"/>
        </w:rPr>
        <w:t xml:space="preserve">Ann </w:t>
      </w:r>
      <w:proofErr w:type="spellStart"/>
      <w:r w:rsidRPr="008F20DF">
        <w:rPr>
          <w:rFonts w:ascii="Book Antiqua" w:eastAsia="Book Antiqua" w:hAnsi="Book Antiqua" w:cs="Book Antiqua"/>
          <w:i/>
          <w:iCs/>
          <w:color w:val="000000"/>
        </w:rPr>
        <w:t>Pharmacother</w:t>
      </w:r>
      <w:proofErr w:type="spellEnd"/>
      <w:r w:rsidRPr="008F20DF">
        <w:rPr>
          <w:rFonts w:ascii="Book Antiqua" w:eastAsia="Book Antiqua" w:hAnsi="Book Antiqua" w:cs="Book Antiqua"/>
          <w:color w:val="000000"/>
        </w:rPr>
        <w:t xml:space="preserve"> 2019; </w:t>
      </w:r>
      <w:r w:rsidRPr="008F20DF">
        <w:rPr>
          <w:rFonts w:ascii="Book Antiqua" w:eastAsia="Book Antiqua" w:hAnsi="Book Antiqua" w:cs="Book Antiqua"/>
          <w:b/>
          <w:bCs/>
          <w:color w:val="000000"/>
        </w:rPr>
        <w:t>53</w:t>
      </w:r>
      <w:r w:rsidRPr="008F20DF">
        <w:rPr>
          <w:rFonts w:ascii="Book Antiqua" w:eastAsia="Book Antiqua" w:hAnsi="Book Antiqua" w:cs="Book Antiqua"/>
          <w:color w:val="000000"/>
        </w:rPr>
        <w:t>: 385-395 [PMID: 30404539 DOI: 10.1177/1060028018812940]</w:t>
      </w:r>
    </w:p>
    <w:p w14:paraId="0CD8A76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19 </w:t>
      </w:r>
      <w:proofErr w:type="spellStart"/>
      <w:r w:rsidRPr="008F20DF">
        <w:rPr>
          <w:rFonts w:ascii="Book Antiqua" w:eastAsia="Book Antiqua" w:hAnsi="Book Antiqua" w:cs="Book Antiqua"/>
          <w:b/>
          <w:bCs/>
          <w:color w:val="000000"/>
        </w:rPr>
        <w:t>Sirvent</w:t>
      </w:r>
      <w:proofErr w:type="spellEnd"/>
      <w:r w:rsidRPr="008F20DF">
        <w:rPr>
          <w:rFonts w:ascii="Book Antiqua" w:eastAsia="Book Antiqua" w:hAnsi="Book Antiqua" w:cs="Book Antiqua"/>
          <w:b/>
          <w:bCs/>
          <w:color w:val="000000"/>
        </w:rPr>
        <w:t xml:space="preserve"> JM</w:t>
      </w:r>
      <w:r w:rsidRPr="008F20DF">
        <w:rPr>
          <w:rFonts w:ascii="Book Antiqua" w:eastAsia="Book Antiqua" w:hAnsi="Book Antiqua" w:cs="Book Antiqua"/>
          <w:color w:val="000000"/>
        </w:rPr>
        <w:t xml:space="preserve">, </w:t>
      </w:r>
      <w:proofErr w:type="spellStart"/>
      <w:r w:rsidRPr="008F20DF">
        <w:rPr>
          <w:rFonts w:ascii="Book Antiqua" w:eastAsia="Book Antiqua" w:hAnsi="Book Antiqua" w:cs="Book Antiqua"/>
          <w:color w:val="000000"/>
        </w:rPr>
        <w:t>Ferri</w:t>
      </w:r>
      <w:proofErr w:type="spellEnd"/>
      <w:r w:rsidRPr="008F20DF">
        <w:rPr>
          <w:rFonts w:ascii="Book Antiqua" w:eastAsia="Book Antiqua" w:hAnsi="Book Antiqua" w:cs="Book Antiqua"/>
          <w:color w:val="000000"/>
        </w:rPr>
        <w:t xml:space="preserve"> C, </w:t>
      </w:r>
      <w:proofErr w:type="spellStart"/>
      <w:r w:rsidRPr="008F20DF">
        <w:rPr>
          <w:rFonts w:ascii="Book Antiqua" w:eastAsia="Book Antiqua" w:hAnsi="Book Antiqua" w:cs="Book Antiqua"/>
          <w:color w:val="000000"/>
        </w:rPr>
        <w:t>Baró</w:t>
      </w:r>
      <w:proofErr w:type="spellEnd"/>
      <w:r w:rsidRPr="008F20DF">
        <w:rPr>
          <w:rFonts w:ascii="Book Antiqua" w:eastAsia="Book Antiqua" w:hAnsi="Book Antiqua" w:cs="Book Antiqua"/>
          <w:color w:val="000000"/>
        </w:rPr>
        <w:t xml:space="preserve"> A, Murcia C, </w:t>
      </w:r>
      <w:proofErr w:type="spellStart"/>
      <w:r w:rsidRPr="008F20DF">
        <w:rPr>
          <w:rFonts w:ascii="Book Antiqua" w:eastAsia="Book Antiqua" w:hAnsi="Book Antiqua" w:cs="Book Antiqua"/>
          <w:color w:val="000000"/>
        </w:rPr>
        <w:t>Lorencio</w:t>
      </w:r>
      <w:proofErr w:type="spellEnd"/>
      <w:r w:rsidRPr="008F20DF">
        <w:rPr>
          <w:rFonts w:ascii="Book Antiqua" w:eastAsia="Book Antiqua" w:hAnsi="Book Antiqua" w:cs="Book Antiqua"/>
          <w:color w:val="000000"/>
        </w:rPr>
        <w:t xml:space="preserve"> C. Fluid balance in sepsis and septic shock as a determining factor of mortality. </w:t>
      </w:r>
      <w:r w:rsidRPr="008F20DF">
        <w:rPr>
          <w:rFonts w:ascii="Book Antiqua" w:eastAsia="Book Antiqua" w:hAnsi="Book Antiqua" w:cs="Book Antiqua"/>
          <w:i/>
          <w:iCs/>
          <w:color w:val="000000"/>
        </w:rPr>
        <w:t xml:space="preserve">Am J </w:t>
      </w:r>
      <w:proofErr w:type="spellStart"/>
      <w:r w:rsidRPr="008F20DF">
        <w:rPr>
          <w:rFonts w:ascii="Book Antiqua" w:eastAsia="Book Antiqua" w:hAnsi="Book Antiqua" w:cs="Book Antiqua"/>
          <w:i/>
          <w:iCs/>
          <w:color w:val="000000"/>
        </w:rPr>
        <w:t>Emerg</w:t>
      </w:r>
      <w:proofErr w:type="spellEnd"/>
      <w:r w:rsidRPr="008F20DF">
        <w:rPr>
          <w:rFonts w:ascii="Book Antiqua" w:eastAsia="Book Antiqua" w:hAnsi="Book Antiqua" w:cs="Book Antiqua"/>
          <w:i/>
          <w:iCs/>
          <w:color w:val="000000"/>
        </w:rPr>
        <w:t xml:space="preserve"> Med</w:t>
      </w:r>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33</w:t>
      </w:r>
      <w:r w:rsidRPr="008F20DF">
        <w:rPr>
          <w:rFonts w:ascii="Book Antiqua" w:eastAsia="Book Antiqua" w:hAnsi="Book Antiqua" w:cs="Book Antiqua"/>
          <w:color w:val="000000"/>
        </w:rPr>
        <w:t>: 186-189 [PMID: 25483379 DOI: 10.1016/j.ajem.2014.11.016]</w:t>
      </w:r>
    </w:p>
    <w:p w14:paraId="6E9A99F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20 </w:t>
      </w:r>
      <w:proofErr w:type="spellStart"/>
      <w:r w:rsidRPr="008F20DF">
        <w:rPr>
          <w:rFonts w:ascii="Book Antiqua" w:eastAsia="Book Antiqua" w:hAnsi="Book Antiqua" w:cs="Book Antiqua"/>
          <w:b/>
          <w:bCs/>
          <w:color w:val="000000"/>
        </w:rPr>
        <w:t>Sirvent</w:t>
      </w:r>
      <w:proofErr w:type="spellEnd"/>
      <w:r w:rsidRPr="008F20DF">
        <w:rPr>
          <w:rFonts w:ascii="Book Antiqua" w:eastAsia="Book Antiqua" w:hAnsi="Book Antiqua" w:cs="Book Antiqua"/>
          <w:b/>
          <w:bCs/>
          <w:color w:val="000000"/>
        </w:rPr>
        <w:t xml:space="preserve"> JM</w:t>
      </w:r>
      <w:r w:rsidRPr="008F20DF">
        <w:rPr>
          <w:rFonts w:ascii="Book Antiqua" w:eastAsia="Book Antiqua" w:hAnsi="Book Antiqua" w:cs="Book Antiqua"/>
          <w:color w:val="000000"/>
        </w:rPr>
        <w:t xml:space="preserve">, Murcia C, </w:t>
      </w:r>
      <w:proofErr w:type="spellStart"/>
      <w:r w:rsidRPr="008F20DF">
        <w:rPr>
          <w:rFonts w:ascii="Book Antiqua" w:eastAsia="Book Antiqua" w:hAnsi="Book Antiqua" w:cs="Book Antiqua"/>
          <w:color w:val="000000"/>
        </w:rPr>
        <w:t>Lorencio</w:t>
      </w:r>
      <w:proofErr w:type="spellEnd"/>
      <w:r w:rsidRPr="008F20DF">
        <w:rPr>
          <w:rFonts w:ascii="Book Antiqua" w:eastAsia="Book Antiqua" w:hAnsi="Book Antiqua" w:cs="Book Antiqua"/>
          <w:color w:val="000000"/>
        </w:rPr>
        <w:t xml:space="preserve"> C. Fluid </w:t>
      </w:r>
      <w:proofErr w:type="gramStart"/>
      <w:r w:rsidRPr="008F20DF">
        <w:rPr>
          <w:rFonts w:ascii="Book Antiqua" w:eastAsia="Book Antiqua" w:hAnsi="Book Antiqua" w:cs="Book Antiqua"/>
          <w:color w:val="000000"/>
        </w:rPr>
        <w:t>balance</w:t>
      </w:r>
      <w:proofErr w:type="gramEnd"/>
      <w:r w:rsidRPr="008F20DF">
        <w:rPr>
          <w:rFonts w:ascii="Book Antiqua" w:eastAsia="Book Antiqua" w:hAnsi="Book Antiqua" w:cs="Book Antiqua"/>
          <w:color w:val="000000"/>
        </w:rPr>
        <w:t xml:space="preserve"> in sepsis: a single parameter does not provide the solution. </w:t>
      </w:r>
      <w:r w:rsidRPr="008F20DF">
        <w:rPr>
          <w:rFonts w:ascii="Book Antiqua" w:eastAsia="Book Antiqua" w:hAnsi="Book Antiqua" w:cs="Book Antiqua"/>
          <w:i/>
          <w:iCs/>
          <w:color w:val="000000"/>
        </w:rPr>
        <w:t xml:space="preserve">Am J </w:t>
      </w:r>
      <w:proofErr w:type="spellStart"/>
      <w:r w:rsidRPr="008F20DF">
        <w:rPr>
          <w:rFonts w:ascii="Book Antiqua" w:eastAsia="Book Antiqua" w:hAnsi="Book Antiqua" w:cs="Book Antiqua"/>
          <w:i/>
          <w:iCs/>
          <w:color w:val="000000"/>
        </w:rPr>
        <w:t>Emerg</w:t>
      </w:r>
      <w:proofErr w:type="spellEnd"/>
      <w:r w:rsidRPr="008F20DF">
        <w:rPr>
          <w:rFonts w:ascii="Book Antiqua" w:eastAsia="Book Antiqua" w:hAnsi="Book Antiqua" w:cs="Book Antiqua"/>
          <w:i/>
          <w:iCs/>
          <w:color w:val="000000"/>
        </w:rPr>
        <w:t xml:space="preserve"> Med</w:t>
      </w:r>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33</w:t>
      </w:r>
      <w:r w:rsidRPr="008F20DF">
        <w:rPr>
          <w:rFonts w:ascii="Book Antiqua" w:eastAsia="Book Antiqua" w:hAnsi="Book Antiqua" w:cs="Book Antiqua"/>
          <w:color w:val="000000"/>
        </w:rPr>
        <w:t>: 471-472 [PMID: 25682577 DOI: 10.1016/j.ajem.2015.02.003]</w:t>
      </w:r>
    </w:p>
    <w:p w14:paraId="3C11957D" w14:textId="77777777" w:rsidR="00A77B3E" w:rsidRPr="008F20DF" w:rsidRDefault="00A77B3E" w:rsidP="008F20DF">
      <w:pPr>
        <w:snapToGrid w:val="0"/>
        <w:spacing w:line="360" w:lineRule="auto"/>
        <w:jc w:val="both"/>
        <w:rPr>
          <w:rFonts w:ascii="Book Antiqua" w:hAnsi="Book Antiqua"/>
        </w:rPr>
        <w:sectPr w:rsidR="00A77B3E" w:rsidRPr="008F20DF" w:rsidSect="008F20DF">
          <w:type w:val="continuous"/>
          <w:pgSz w:w="12240" w:h="15840"/>
          <w:pgMar w:top="1440" w:right="1800" w:bottom="1440" w:left="1800" w:header="720" w:footer="720" w:gutter="0"/>
          <w:cols w:space="720"/>
          <w:docGrid w:linePitch="360"/>
        </w:sectPr>
      </w:pPr>
    </w:p>
    <w:p w14:paraId="2B2BE90B" w14:textId="77777777" w:rsidR="00E6653A" w:rsidRDefault="00E6653A" w:rsidP="008F20DF">
      <w:pPr>
        <w:snapToGrid w:val="0"/>
        <w:spacing w:line="360" w:lineRule="auto"/>
        <w:jc w:val="both"/>
        <w:rPr>
          <w:rFonts w:ascii="Book Antiqua" w:eastAsia="Book Antiqua" w:hAnsi="Book Antiqua" w:cs="Book Antiqua"/>
          <w:b/>
          <w:color w:val="000000"/>
        </w:rPr>
      </w:pPr>
    </w:p>
    <w:p w14:paraId="09A0A08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Footnotes</w:t>
      </w:r>
    </w:p>
    <w:p w14:paraId="723AEC6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Institutional review board statement: </w:t>
      </w:r>
      <w:r w:rsidRPr="008F20DF">
        <w:rPr>
          <w:rFonts w:ascii="Book Antiqua" w:eastAsia="Book Antiqua" w:hAnsi="Book Antiqua" w:cs="Book Antiqua"/>
          <w:color w:val="000000"/>
        </w:rPr>
        <w:t xml:space="preserve">The study was reviewed and approved by the Hainan General Hospital Institutional Review Board. </w:t>
      </w:r>
    </w:p>
    <w:p w14:paraId="598CF0D5" w14:textId="77777777" w:rsidR="00A77B3E" w:rsidRPr="008F20DF" w:rsidRDefault="00A77B3E" w:rsidP="008F20DF">
      <w:pPr>
        <w:snapToGrid w:val="0"/>
        <w:spacing w:line="360" w:lineRule="auto"/>
        <w:jc w:val="both"/>
        <w:rPr>
          <w:rFonts w:ascii="Book Antiqua" w:hAnsi="Book Antiqua"/>
        </w:rPr>
      </w:pPr>
    </w:p>
    <w:p w14:paraId="0EFFF020" w14:textId="273A3B05"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Informed consent statement: </w:t>
      </w:r>
      <w:r w:rsidRPr="008F20DF">
        <w:rPr>
          <w:rFonts w:ascii="Book Antiqua" w:eastAsia="Book Antiqua" w:hAnsi="Book Antiqua" w:cs="Book Antiqua"/>
          <w:color w:val="000000"/>
        </w:rPr>
        <w:t>All study participants provided informed written</w:t>
      </w:r>
      <w:r w:rsidR="00E6653A">
        <w:rPr>
          <w:rFonts w:ascii="Book Antiqua" w:eastAsia="Book Antiqua" w:hAnsi="Book Antiqua" w:cs="Book Antiqua"/>
          <w:color w:val="000000"/>
        </w:rPr>
        <w:t xml:space="preserve"> consent</w:t>
      </w:r>
      <w:r w:rsidRPr="008F20DF">
        <w:rPr>
          <w:rFonts w:ascii="Book Antiqua" w:eastAsia="Book Antiqua" w:hAnsi="Book Antiqua" w:cs="Book Antiqua"/>
          <w:color w:val="000000"/>
        </w:rPr>
        <w:t xml:space="preserve">. </w:t>
      </w:r>
    </w:p>
    <w:p w14:paraId="0BABBFD0" w14:textId="77777777" w:rsidR="00A77B3E" w:rsidRPr="008F20DF" w:rsidRDefault="00A77B3E" w:rsidP="008F20DF">
      <w:pPr>
        <w:snapToGrid w:val="0"/>
        <w:spacing w:line="360" w:lineRule="auto"/>
        <w:jc w:val="both"/>
        <w:rPr>
          <w:rFonts w:ascii="Book Antiqua" w:hAnsi="Book Antiqua"/>
        </w:rPr>
      </w:pPr>
    </w:p>
    <w:p w14:paraId="56EA4D47" w14:textId="2CA2C1B6"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Conflict-of-interest statement: </w:t>
      </w:r>
      <w:bookmarkStart w:id="12" w:name="OLE_LINK13"/>
      <w:bookmarkStart w:id="13" w:name="OLE_LINK14"/>
      <w:r w:rsidRPr="008F20DF">
        <w:rPr>
          <w:rFonts w:ascii="Book Antiqua" w:eastAsia="Book Antiqua" w:hAnsi="Book Antiqua" w:cs="Book Antiqua"/>
          <w:color w:val="000000"/>
        </w:rPr>
        <w:t>No c</w:t>
      </w:r>
      <w:r w:rsidRPr="008F20DF">
        <w:rPr>
          <w:rStyle w:val="dxDefaultCursordxflCaptionOffice2010BlueManuscriptSubmissionCaptionStyle"/>
          <w:rFonts w:ascii="Book Antiqua" w:eastAsia="Book Antiqua" w:hAnsi="Book Antiqua" w:cs="Book Antiqua"/>
          <w:color w:val="000000"/>
        </w:rPr>
        <w:t>onflict</w:t>
      </w:r>
      <w:r w:rsidR="00E6653A">
        <w:rPr>
          <w:rStyle w:val="dxDefaultCursordxflCaptionOffice2010BlueManuscriptSubmissionCaptionStyle"/>
          <w:rFonts w:ascii="Book Antiqua" w:eastAsia="Book Antiqua" w:hAnsi="Book Antiqua" w:cs="Book Antiqua"/>
          <w:color w:val="000000"/>
        </w:rPr>
        <w:t xml:space="preserve"> </w:t>
      </w:r>
      <w:r w:rsidRPr="008F20DF">
        <w:rPr>
          <w:rStyle w:val="dxDefaultCursordxflCaptionOffice2010BlueManuscriptSubmissionCaptionStyle"/>
          <w:rFonts w:ascii="Book Antiqua" w:eastAsia="Book Antiqua" w:hAnsi="Book Antiqua" w:cs="Book Antiqua"/>
          <w:color w:val="000000"/>
        </w:rPr>
        <w:t>of</w:t>
      </w:r>
      <w:r w:rsidR="00E6653A">
        <w:rPr>
          <w:rStyle w:val="dxDefaultCursordxflCaptionOffice2010BlueManuscriptSubmissionCaptionStyle"/>
          <w:rFonts w:ascii="Book Antiqua" w:eastAsia="Book Antiqua" w:hAnsi="Book Antiqua" w:cs="Book Antiqua"/>
          <w:color w:val="000000"/>
        </w:rPr>
        <w:t xml:space="preserve"> </w:t>
      </w:r>
      <w:r w:rsidRPr="008F20DF">
        <w:rPr>
          <w:rStyle w:val="dxDefaultCursordxflCaptionOffice2010BlueManuscriptSubmissionCaptionStyle"/>
          <w:rFonts w:ascii="Book Antiqua" w:eastAsia="Book Antiqua" w:hAnsi="Book Antiqua" w:cs="Book Antiqua"/>
          <w:color w:val="000000"/>
        </w:rPr>
        <w:t>interest.</w:t>
      </w:r>
      <w:bookmarkEnd w:id="12"/>
      <w:bookmarkEnd w:id="13"/>
    </w:p>
    <w:p w14:paraId="75A377E7" w14:textId="77777777" w:rsidR="00A77B3E" w:rsidRPr="008F20DF" w:rsidRDefault="00A77B3E" w:rsidP="008F20DF">
      <w:pPr>
        <w:snapToGrid w:val="0"/>
        <w:spacing w:line="360" w:lineRule="auto"/>
        <w:jc w:val="both"/>
        <w:rPr>
          <w:rFonts w:ascii="Book Antiqua" w:hAnsi="Book Antiqua"/>
        </w:rPr>
      </w:pPr>
    </w:p>
    <w:p w14:paraId="1B3BD45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Data sharing statement: </w:t>
      </w:r>
      <w:bookmarkStart w:id="14" w:name="OLE_LINK15"/>
      <w:bookmarkStart w:id="15" w:name="OLE_LINK16"/>
      <w:r w:rsidRPr="008F20DF">
        <w:rPr>
          <w:rFonts w:ascii="Book Antiqua" w:eastAsia="Book Antiqua" w:hAnsi="Book Antiqua" w:cs="Book Antiqua"/>
          <w:color w:val="000000"/>
        </w:rPr>
        <w:t>No additional data are available.</w:t>
      </w:r>
    </w:p>
    <w:bookmarkEnd w:id="14"/>
    <w:bookmarkEnd w:id="15"/>
    <w:p w14:paraId="614D5449" w14:textId="77777777" w:rsidR="00A77B3E" w:rsidRPr="008F20DF" w:rsidRDefault="00A77B3E" w:rsidP="008F20DF">
      <w:pPr>
        <w:snapToGrid w:val="0"/>
        <w:spacing w:line="360" w:lineRule="auto"/>
        <w:jc w:val="both"/>
        <w:rPr>
          <w:rFonts w:ascii="Book Antiqua" w:hAnsi="Book Antiqua"/>
        </w:rPr>
      </w:pPr>
    </w:p>
    <w:p w14:paraId="6EA7501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Open-Access: </w:t>
      </w:r>
      <w:r w:rsidRPr="008F20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20DF">
        <w:rPr>
          <w:rFonts w:ascii="Book Antiqua" w:eastAsia="Book Antiqua" w:hAnsi="Book Antiqua" w:cs="Book Antiqua"/>
          <w:color w:val="000000"/>
        </w:rPr>
        <w:t>NonCommercial</w:t>
      </w:r>
      <w:proofErr w:type="spellEnd"/>
      <w:r w:rsidRPr="008F20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B80E1F" w14:textId="77777777" w:rsidR="00A77B3E" w:rsidRPr="008F20DF" w:rsidRDefault="00A77B3E" w:rsidP="008F20DF">
      <w:pPr>
        <w:snapToGrid w:val="0"/>
        <w:spacing w:line="360" w:lineRule="auto"/>
        <w:jc w:val="both"/>
        <w:rPr>
          <w:rFonts w:ascii="Book Antiqua" w:hAnsi="Book Antiqua"/>
        </w:rPr>
      </w:pPr>
    </w:p>
    <w:p w14:paraId="670282AB"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Manuscript source: </w:t>
      </w:r>
      <w:r w:rsidRPr="008F20DF">
        <w:rPr>
          <w:rFonts w:ascii="Book Antiqua" w:eastAsia="Book Antiqua" w:hAnsi="Book Antiqua" w:cs="Book Antiqua"/>
          <w:color w:val="000000"/>
        </w:rPr>
        <w:t xml:space="preserve">Unsolicited </w:t>
      </w:r>
      <w:r w:rsidR="00616AB3" w:rsidRPr="008F20DF">
        <w:rPr>
          <w:rFonts w:ascii="Book Antiqua" w:eastAsia="Book Antiqua" w:hAnsi="Book Antiqua" w:cs="Book Antiqua"/>
          <w:color w:val="000000"/>
        </w:rPr>
        <w:t>manuscript</w:t>
      </w:r>
    </w:p>
    <w:p w14:paraId="665BB7EE" w14:textId="77777777" w:rsidR="00A77B3E" w:rsidRPr="008F20DF" w:rsidRDefault="00A77B3E" w:rsidP="008F20DF">
      <w:pPr>
        <w:snapToGrid w:val="0"/>
        <w:spacing w:line="360" w:lineRule="auto"/>
        <w:jc w:val="both"/>
        <w:rPr>
          <w:rFonts w:ascii="Book Antiqua" w:hAnsi="Book Antiqua"/>
        </w:rPr>
      </w:pPr>
    </w:p>
    <w:p w14:paraId="67AC0F2F"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Peer-review started: </w:t>
      </w:r>
      <w:r w:rsidRPr="008F20DF">
        <w:rPr>
          <w:rFonts w:ascii="Book Antiqua" w:eastAsia="Book Antiqua" w:hAnsi="Book Antiqua" w:cs="Book Antiqua"/>
          <w:color w:val="000000"/>
        </w:rPr>
        <w:t>February 18, 2021</w:t>
      </w:r>
    </w:p>
    <w:p w14:paraId="4ECF633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First decision: </w:t>
      </w:r>
      <w:r w:rsidRPr="008F20DF">
        <w:rPr>
          <w:rFonts w:ascii="Book Antiqua" w:eastAsia="Book Antiqua" w:hAnsi="Book Antiqua" w:cs="Book Antiqua"/>
          <w:color w:val="000000"/>
        </w:rPr>
        <w:t>March 7, 2021</w:t>
      </w:r>
    </w:p>
    <w:p w14:paraId="051E8A28" w14:textId="6BFCA7C4"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Article in press: </w:t>
      </w:r>
      <w:r w:rsidR="00D10847" w:rsidRPr="00FF2BCB">
        <w:rPr>
          <w:rFonts w:ascii="Book Antiqua" w:eastAsia="Book Antiqua" w:hAnsi="Book Antiqua" w:cs="Book Antiqua"/>
          <w:color w:val="000000"/>
        </w:rPr>
        <w:t>March 12, 2021</w:t>
      </w:r>
    </w:p>
    <w:p w14:paraId="7FA6CB16" w14:textId="77777777" w:rsidR="00A77B3E" w:rsidRPr="008F20DF" w:rsidRDefault="00A77B3E" w:rsidP="008F20DF">
      <w:pPr>
        <w:snapToGrid w:val="0"/>
        <w:spacing w:line="360" w:lineRule="auto"/>
        <w:jc w:val="both"/>
        <w:rPr>
          <w:rFonts w:ascii="Book Antiqua" w:hAnsi="Book Antiqua"/>
        </w:rPr>
      </w:pPr>
    </w:p>
    <w:p w14:paraId="3CCA11C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Specialty type: </w:t>
      </w:r>
      <w:r w:rsidR="00086011" w:rsidRPr="008F20DF">
        <w:rPr>
          <w:rFonts w:ascii="Book Antiqua" w:eastAsia="Book Antiqua" w:hAnsi="Book Antiqua" w:cs="Book Antiqua"/>
          <w:color w:val="000000"/>
        </w:rPr>
        <w:t>Medicine, research and experimental</w:t>
      </w:r>
    </w:p>
    <w:p w14:paraId="2F19438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Country/Territory of origin: </w:t>
      </w:r>
      <w:r w:rsidRPr="008F20DF">
        <w:rPr>
          <w:rFonts w:ascii="Book Antiqua" w:eastAsia="Book Antiqua" w:hAnsi="Book Antiqua" w:cs="Book Antiqua"/>
          <w:color w:val="000000"/>
        </w:rPr>
        <w:t>China</w:t>
      </w:r>
    </w:p>
    <w:p w14:paraId="7740876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Peer-review report’s scientific quality classification</w:t>
      </w:r>
    </w:p>
    <w:p w14:paraId="01967F5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Grade </w:t>
      </w:r>
      <w:proofErr w:type="gramStart"/>
      <w:r w:rsidRPr="008F20DF">
        <w:rPr>
          <w:rFonts w:ascii="Book Antiqua" w:eastAsia="Book Antiqua" w:hAnsi="Book Antiqua" w:cs="Book Antiqua"/>
          <w:color w:val="000000"/>
        </w:rPr>
        <w:t>A</w:t>
      </w:r>
      <w:proofErr w:type="gramEnd"/>
      <w:r w:rsidRPr="008F20DF">
        <w:rPr>
          <w:rFonts w:ascii="Book Antiqua" w:eastAsia="Book Antiqua" w:hAnsi="Book Antiqua" w:cs="Book Antiqua"/>
          <w:color w:val="000000"/>
        </w:rPr>
        <w:t xml:space="preserve"> (Excellent): 0</w:t>
      </w:r>
    </w:p>
    <w:p w14:paraId="059EE94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B (Very good): B</w:t>
      </w:r>
    </w:p>
    <w:p w14:paraId="3C67C14D"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C (Good): 0</w:t>
      </w:r>
    </w:p>
    <w:p w14:paraId="736F860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D (Fair): 0</w:t>
      </w:r>
    </w:p>
    <w:p w14:paraId="1875164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E (Poor): 0</w:t>
      </w:r>
    </w:p>
    <w:p w14:paraId="5EE47EED" w14:textId="77777777" w:rsidR="00A77B3E" w:rsidRPr="008F20DF" w:rsidRDefault="00A77B3E" w:rsidP="008F20DF">
      <w:pPr>
        <w:snapToGrid w:val="0"/>
        <w:spacing w:line="360" w:lineRule="auto"/>
        <w:jc w:val="both"/>
        <w:rPr>
          <w:rFonts w:ascii="Book Antiqua" w:hAnsi="Book Antiqua"/>
        </w:rPr>
      </w:pPr>
    </w:p>
    <w:p w14:paraId="7EE641D4" w14:textId="006CD034" w:rsidR="0081420F" w:rsidRDefault="008D15FE" w:rsidP="008F20DF">
      <w:pPr>
        <w:snapToGrid w:val="0"/>
        <w:spacing w:line="360" w:lineRule="auto"/>
        <w:jc w:val="both"/>
        <w:rPr>
          <w:rFonts w:ascii="Book Antiqua" w:hAnsi="Book Antiqua" w:cs="Book Antiqua"/>
          <w:color w:val="000000"/>
          <w:lang w:eastAsia="zh-CN"/>
        </w:rPr>
      </w:pPr>
      <w:r w:rsidRPr="008F20DF">
        <w:rPr>
          <w:rFonts w:ascii="Book Antiqua" w:eastAsia="Book Antiqua" w:hAnsi="Book Antiqua" w:cs="Book Antiqua"/>
          <w:b/>
          <w:color w:val="000000"/>
        </w:rPr>
        <w:t xml:space="preserve">P-Reviewer: </w:t>
      </w:r>
      <w:proofErr w:type="spellStart"/>
      <w:r w:rsidRPr="008F20DF">
        <w:rPr>
          <w:rFonts w:ascii="Book Antiqua" w:eastAsia="Book Antiqua" w:hAnsi="Book Antiqua" w:cs="Book Antiqua"/>
          <w:color w:val="000000"/>
        </w:rPr>
        <w:t>Antaki</w:t>
      </w:r>
      <w:proofErr w:type="spellEnd"/>
      <w:r w:rsidRPr="008F20DF">
        <w:rPr>
          <w:rFonts w:ascii="Book Antiqua" w:eastAsia="Book Antiqua" w:hAnsi="Book Antiqua" w:cs="Book Antiqua"/>
          <w:color w:val="000000"/>
        </w:rPr>
        <w:t xml:space="preserve"> N</w:t>
      </w:r>
      <w:r w:rsidRPr="008F20DF">
        <w:rPr>
          <w:rFonts w:ascii="Book Antiqua" w:eastAsia="Book Antiqua" w:hAnsi="Book Antiqua" w:cs="Book Antiqua"/>
          <w:b/>
          <w:color w:val="000000"/>
        </w:rPr>
        <w:t xml:space="preserve"> S-Editor: </w:t>
      </w:r>
      <w:r w:rsidR="00086011" w:rsidRPr="008F20DF">
        <w:rPr>
          <w:rFonts w:ascii="Book Antiqua" w:eastAsia="Book Antiqua" w:hAnsi="Book Antiqua" w:cs="Book Antiqua"/>
          <w:color w:val="000000"/>
        </w:rPr>
        <w:t>Zhang L</w:t>
      </w:r>
      <w:r w:rsidRPr="008F20DF">
        <w:rPr>
          <w:rFonts w:ascii="Book Antiqua" w:eastAsia="Book Antiqua" w:hAnsi="Book Antiqua" w:cs="Book Antiqua"/>
          <w:b/>
          <w:color w:val="000000"/>
        </w:rPr>
        <w:t xml:space="preserve"> L-Editor: </w:t>
      </w:r>
      <w:r w:rsidR="00E6653A" w:rsidRPr="00F72005">
        <w:rPr>
          <w:rFonts w:ascii="Book Antiqua" w:eastAsia="Book Antiqua" w:hAnsi="Book Antiqua" w:cs="Book Antiqua"/>
          <w:color w:val="000000"/>
        </w:rPr>
        <w:t>Wang TQ</w:t>
      </w:r>
      <w:r w:rsidRPr="008F20DF">
        <w:rPr>
          <w:rFonts w:ascii="Book Antiqua" w:eastAsia="Book Antiqua" w:hAnsi="Book Antiqua" w:cs="Book Antiqua"/>
          <w:b/>
          <w:color w:val="000000"/>
        </w:rPr>
        <w:t xml:space="preserve"> P-Editor: </w:t>
      </w:r>
      <w:r w:rsidR="00D10847" w:rsidRPr="00D10847">
        <w:rPr>
          <w:rFonts w:ascii="Book Antiqua" w:eastAsia="Book Antiqua" w:hAnsi="Book Antiqua" w:cs="Book Antiqua"/>
          <w:color w:val="000000"/>
        </w:rPr>
        <w:t>Xing YX</w:t>
      </w:r>
    </w:p>
    <w:p w14:paraId="697C0FB6" w14:textId="77777777" w:rsidR="00D10847" w:rsidRPr="00D10847" w:rsidRDefault="00D10847" w:rsidP="008F20DF">
      <w:pPr>
        <w:snapToGrid w:val="0"/>
        <w:spacing w:line="360" w:lineRule="auto"/>
        <w:jc w:val="both"/>
        <w:rPr>
          <w:rFonts w:ascii="Book Antiqua" w:hAnsi="Book Antiqua" w:cs="Book Antiqua"/>
          <w:b/>
          <w:color w:val="000000"/>
          <w:lang w:eastAsia="zh-CN"/>
        </w:rPr>
      </w:pPr>
    </w:p>
    <w:p w14:paraId="62786C42" w14:textId="77777777" w:rsidR="00565ADD" w:rsidRPr="008F20DF" w:rsidRDefault="00565ADD" w:rsidP="008F20DF">
      <w:pPr>
        <w:snapToGrid w:val="0"/>
        <w:spacing w:line="360" w:lineRule="auto"/>
        <w:jc w:val="both"/>
        <w:rPr>
          <w:rFonts w:ascii="Book Antiqua" w:eastAsia="Book Antiqua" w:hAnsi="Book Antiqua" w:cs="Book Antiqua"/>
          <w:b/>
          <w:color w:val="000000"/>
        </w:rPr>
        <w:sectPr w:rsidR="00565ADD" w:rsidRPr="008F20DF" w:rsidSect="008F20DF">
          <w:type w:val="continuous"/>
          <w:pgSz w:w="12240" w:h="15840"/>
          <w:pgMar w:top="1440" w:right="1800" w:bottom="1440" w:left="1800" w:header="720" w:footer="720" w:gutter="0"/>
          <w:cols w:space="720"/>
          <w:docGrid w:linePitch="360"/>
        </w:sectPr>
      </w:pPr>
    </w:p>
    <w:p w14:paraId="5773BB7E" w14:textId="77777777" w:rsidR="00D10847" w:rsidRDefault="00D10847" w:rsidP="008F20DF">
      <w:pPr>
        <w:snapToGrid w:val="0"/>
        <w:spacing w:line="360" w:lineRule="auto"/>
        <w:jc w:val="both"/>
        <w:rPr>
          <w:rFonts w:ascii="Book Antiqua" w:eastAsia="宋体" w:hAnsi="Book Antiqua"/>
          <w:b/>
          <w:bCs/>
          <w:lang w:eastAsia="zh-CN"/>
        </w:rPr>
      </w:pPr>
    </w:p>
    <w:p w14:paraId="0DECB82E" w14:textId="77777777" w:rsidR="00D10847" w:rsidRDefault="00D10847" w:rsidP="008F20DF">
      <w:pPr>
        <w:snapToGrid w:val="0"/>
        <w:spacing w:line="360" w:lineRule="auto"/>
        <w:jc w:val="both"/>
        <w:rPr>
          <w:rFonts w:ascii="Book Antiqua" w:eastAsia="宋体" w:hAnsi="Book Antiqua"/>
          <w:b/>
          <w:bCs/>
          <w:lang w:eastAsia="zh-CN"/>
        </w:rPr>
      </w:pPr>
    </w:p>
    <w:p w14:paraId="40DDFEC3" w14:textId="2473D936"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b/>
          <w:bCs/>
        </w:rPr>
        <w:t>Table 1</w:t>
      </w:r>
      <w:r w:rsidRPr="008F20DF">
        <w:rPr>
          <w:rFonts w:ascii="Book Antiqua" w:eastAsia="宋体" w:hAnsi="Book Antiqua"/>
        </w:rPr>
        <w:t xml:space="preserve"> </w:t>
      </w:r>
      <w:r w:rsidRPr="008F20DF">
        <w:rPr>
          <w:rFonts w:ascii="Book Antiqua" w:eastAsia="宋体" w:hAnsi="Book Antiqua"/>
          <w:b/>
          <w:bCs/>
        </w:rPr>
        <w:t>Relationship between hemodynamic indices and</w:t>
      </w:r>
      <w:r w:rsidR="00E6653A">
        <w:rPr>
          <w:rFonts w:ascii="Book Antiqua" w:eastAsia="宋体" w:hAnsi="Book Antiqua"/>
          <w:b/>
          <w:bCs/>
        </w:rPr>
        <w:t xml:space="preserve"> </w:t>
      </w:r>
      <w:r w:rsidRPr="008F20DF">
        <w:rPr>
          <w:rFonts w:ascii="Book Antiqua" w:eastAsia="宋体" w:hAnsi="Book Antiqua"/>
          <w:b/>
          <w:bCs/>
        </w:rPr>
        <w:t xml:space="preserve">outcomes in </w:t>
      </w:r>
      <w:r w:rsidRPr="008F20DF">
        <w:rPr>
          <w:rFonts w:ascii="Book Antiqua" w:hAnsi="Book Antiqua"/>
          <w:b/>
          <w:bCs/>
        </w:rPr>
        <w:t xml:space="preserve">patients with </w:t>
      </w:r>
      <w:r w:rsidRPr="008F20DF">
        <w:rPr>
          <w:rFonts w:ascii="Book Antiqua" w:eastAsia="宋体" w:hAnsi="Book Antiqua"/>
          <w:b/>
          <w:bCs/>
        </w:rPr>
        <w:t>sepsis after the treatment (</w:t>
      </w:r>
      <w:r w:rsidRPr="008F20DF">
        <w:rPr>
          <w:rFonts w:ascii="Book Antiqua" w:hAnsi="Book Antiqua"/>
          <w:b/>
          <w:bCs/>
        </w:rPr>
        <w:t>mean ± SD</w:t>
      </w:r>
      <w:r w:rsidRPr="008F20DF">
        <w:rPr>
          <w:rFonts w:ascii="Book Antiqua" w:eastAsia="宋体" w:hAnsi="Book Antiqua"/>
          <w:b/>
          <w:bCs/>
        </w:rPr>
        <w:t>)</w:t>
      </w:r>
    </w:p>
    <w:tbl>
      <w:tblPr>
        <w:tblStyle w:val="a3"/>
        <w:tblW w:w="11904" w:type="dxa"/>
        <w:tblInd w:w="-6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456"/>
        <w:gridCol w:w="1410"/>
        <w:gridCol w:w="1617"/>
        <w:gridCol w:w="1517"/>
        <w:gridCol w:w="2024"/>
        <w:gridCol w:w="1441"/>
        <w:gridCol w:w="1353"/>
      </w:tblGrid>
      <w:tr w:rsidR="0081420F" w:rsidRPr="008F20DF" w14:paraId="758468DD" w14:textId="77777777" w:rsidTr="008F20DF">
        <w:tc>
          <w:tcPr>
            <w:tcW w:w="0" w:type="auto"/>
            <w:tcBorders>
              <w:top w:val="single" w:sz="4" w:space="0" w:color="auto"/>
              <w:bottom w:val="single" w:sz="4" w:space="0" w:color="auto"/>
            </w:tcBorders>
          </w:tcPr>
          <w:p w14:paraId="1F835010"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Prognosis</w:t>
            </w:r>
          </w:p>
        </w:tc>
        <w:tc>
          <w:tcPr>
            <w:tcW w:w="0" w:type="auto"/>
            <w:tcBorders>
              <w:top w:val="single" w:sz="4" w:space="0" w:color="auto"/>
              <w:bottom w:val="single" w:sz="4" w:space="0" w:color="auto"/>
            </w:tcBorders>
          </w:tcPr>
          <w:p w14:paraId="0BA34BC2" w14:textId="77777777" w:rsidR="0081420F" w:rsidRPr="004608FB" w:rsidRDefault="004608FB" w:rsidP="004608FB">
            <w:pPr>
              <w:snapToGrid w:val="0"/>
              <w:spacing w:line="360" w:lineRule="auto"/>
              <w:jc w:val="both"/>
              <w:rPr>
                <w:rFonts w:ascii="Book Antiqua" w:eastAsia="宋体" w:hAnsi="Book Antiqua"/>
                <w:b/>
                <w:bCs/>
                <w:i/>
              </w:rPr>
            </w:pPr>
            <w:r w:rsidRPr="004608FB">
              <w:rPr>
                <w:rFonts w:ascii="Book Antiqua" w:eastAsia="宋体" w:hAnsi="Book Antiqua"/>
                <w:b/>
                <w:bCs/>
                <w:i/>
              </w:rPr>
              <w:t>n</w:t>
            </w:r>
          </w:p>
        </w:tc>
        <w:tc>
          <w:tcPr>
            <w:tcW w:w="0" w:type="auto"/>
            <w:tcBorders>
              <w:top w:val="single" w:sz="4" w:space="0" w:color="auto"/>
              <w:bottom w:val="single" w:sz="4" w:space="0" w:color="auto"/>
            </w:tcBorders>
          </w:tcPr>
          <w:p w14:paraId="129E1211"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HR (bpm)</w:t>
            </w:r>
          </w:p>
        </w:tc>
        <w:tc>
          <w:tcPr>
            <w:tcW w:w="0" w:type="auto"/>
            <w:tcBorders>
              <w:top w:val="single" w:sz="4" w:space="0" w:color="auto"/>
              <w:bottom w:val="single" w:sz="4" w:space="0" w:color="auto"/>
            </w:tcBorders>
          </w:tcPr>
          <w:p w14:paraId="5527DFAE"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CI (L/min/m</w:t>
            </w:r>
            <w:r w:rsidRPr="008F20DF">
              <w:rPr>
                <w:rFonts w:ascii="Book Antiqua" w:eastAsia="宋体" w:hAnsi="Book Antiqua"/>
                <w:b/>
                <w:bCs/>
                <w:vertAlign w:val="superscript"/>
              </w:rPr>
              <w:t>2</w:t>
            </w:r>
            <w:r w:rsidRPr="008F20DF">
              <w:rPr>
                <w:rFonts w:ascii="Book Antiqua" w:eastAsia="宋体" w:hAnsi="Book Antiqua"/>
                <w:b/>
                <w:bCs/>
              </w:rPr>
              <w:t>)</w:t>
            </w:r>
          </w:p>
        </w:tc>
        <w:tc>
          <w:tcPr>
            <w:tcW w:w="1517" w:type="dxa"/>
            <w:tcBorders>
              <w:top w:val="single" w:sz="4" w:space="0" w:color="auto"/>
              <w:bottom w:val="single" w:sz="4" w:space="0" w:color="auto"/>
            </w:tcBorders>
          </w:tcPr>
          <w:p w14:paraId="75BCF751"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MAP (mm Hg)</w:t>
            </w:r>
          </w:p>
        </w:tc>
        <w:tc>
          <w:tcPr>
            <w:tcW w:w="2024" w:type="dxa"/>
            <w:tcBorders>
              <w:top w:val="single" w:sz="4" w:space="0" w:color="auto"/>
              <w:bottom w:val="single" w:sz="4" w:space="0" w:color="auto"/>
            </w:tcBorders>
          </w:tcPr>
          <w:p w14:paraId="6D68C7D9"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SVRI (</w:t>
            </w:r>
            <w:proofErr w:type="spellStart"/>
            <w:r w:rsidRPr="008F20DF">
              <w:rPr>
                <w:rFonts w:ascii="Book Antiqua" w:eastAsia="宋体" w:hAnsi="Book Antiqua"/>
                <w:b/>
                <w:bCs/>
              </w:rPr>
              <w:t>dyn</w:t>
            </w:r>
            <w:proofErr w:type="spellEnd"/>
            <w:r w:rsidRPr="008F20DF">
              <w:rPr>
                <w:rFonts w:ascii="Book Antiqua" w:eastAsia="宋体" w:hAnsi="Book Antiqua"/>
                <w:b/>
                <w:bCs/>
              </w:rPr>
              <w:t>/s/cm</w:t>
            </w:r>
            <w:r w:rsidRPr="008F20DF">
              <w:rPr>
                <w:rFonts w:ascii="Book Antiqua" w:eastAsia="宋体" w:hAnsi="Book Antiqua"/>
                <w:b/>
                <w:bCs/>
                <w:vertAlign w:val="superscript"/>
              </w:rPr>
              <w:t>5</w:t>
            </w:r>
            <w:r w:rsidRPr="008F20DF">
              <w:rPr>
                <w:rFonts w:ascii="Book Antiqua" w:eastAsia="宋体" w:hAnsi="Book Antiqua"/>
                <w:b/>
                <w:bCs/>
              </w:rPr>
              <w:t>/m</w:t>
            </w:r>
            <w:r w:rsidRPr="008F20DF">
              <w:rPr>
                <w:rFonts w:ascii="Book Antiqua" w:eastAsia="宋体" w:hAnsi="Book Antiqua"/>
                <w:b/>
                <w:bCs/>
                <w:vertAlign w:val="superscript"/>
              </w:rPr>
              <w:t>2</w:t>
            </w:r>
            <w:r w:rsidRPr="008F20DF">
              <w:rPr>
                <w:rFonts w:ascii="Book Antiqua" w:eastAsia="宋体" w:hAnsi="Book Antiqua"/>
                <w:b/>
                <w:bCs/>
              </w:rPr>
              <w:t>)</w:t>
            </w:r>
          </w:p>
        </w:tc>
        <w:tc>
          <w:tcPr>
            <w:tcW w:w="1441" w:type="dxa"/>
            <w:tcBorders>
              <w:top w:val="single" w:sz="4" w:space="0" w:color="auto"/>
              <w:bottom w:val="single" w:sz="4" w:space="0" w:color="auto"/>
            </w:tcBorders>
          </w:tcPr>
          <w:p w14:paraId="67C7BF8C"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CVP (mm Hg)</w:t>
            </w:r>
          </w:p>
        </w:tc>
        <w:tc>
          <w:tcPr>
            <w:tcW w:w="1353" w:type="dxa"/>
            <w:tcBorders>
              <w:top w:val="single" w:sz="4" w:space="0" w:color="auto"/>
              <w:bottom w:val="single" w:sz="4" w:space="0" w:color="auto"/>
            </w:tcBorders>
          </w:tcPr>
          <w:p w14:paraId="750C5777"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ScvO</w:t>
            </w:r>
            <w:r w:rsidRPr="008F20DF">
              <w:rPr>
                <w:rFonts w:ascii="Book Antiqua" w:eastAsia="宋体" w:hAnsi="Book Antiqua"/>
                <w:b/>
                <w:bCs/>
                <w:vertAlign w:val="subscript"/>
              </w:rPr>
              <w:t xml:space="preserve">2 </w:t>
            </w:r>
            <w:r w:rsidRPr="008F20DF">
              <w:rPr>
                <w:rFonts w:ascii="Book Antiqua" w:eastAsia="宋体" w:hAnsi="Book Antiqua"/>
                <w:b/>
                <w:bCs/>
              </w:rPr>
              <w:t>(%)</w:t>
            </w:r>
          </w:p>
        </w:tc>
      </w:tr>
      <w:tr w:rsidR="0081420F" w:rsidRPr="008F20DF" w14:paraId="19635C55" w14:textId="77777777" w:rsidTr="008F20DF">
        <w:tc>
          <w:tcPr>
            <w:tcW w:w="0" w:type="auto"/>
            <w:tcBorders>
              <w:top w:val="single" w:sz="4" w:space="0" w:color="auto"/>
            </w:tcBorders>
          </w:tcPr>
          <w:p w14:paraId="73B7D13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Short-term prognosis</w:t>
            </w:r>
          </w:p>
        </w:tc>
        <w:tc>
          <w:tcPr>
            <w:tcW w:w="0" w:type="auto"/>
            <w:tcBorders>
              <w:top w:val="single" w:sz="4" w:space="0" w:color="auto"/>
            </w:tcBorders>
          </w:tcPr>
          <w:p w14:paraId="6DE1BFE2" w14:textId="77777777" w:rsidR="0081420F" w:rsidRPr="008F20DF" w:rsidRDefault="0081420F" w:rsidP="008F20DF">
            <w:pPr>
              <w:snapToGrid w:val="0"/>
              <w:spacing w:line="360" w:lineRule="auto"/>
              <w:jc w:val="both"/>
              <w:rPr>
                <w:rFonts w:ascii="Book Antiqua" w:eastAsia="宋体" w:hAnsi="Book Antiqua"/>
              </w:rPr>
            </w:pPr>
          </w:p>
        </w:tc>
        <w:tc>
          <w:tcPr>
            <w:tcW w:w="0" w:type="auto"/>
            <w:tcBorders>
              <w:top w:val="single" w:sz="4" w:space="0" w:color="auto"/>
            </w:tcBorders>
          </w:tcPr>
          <w:p w14:paraId="088B3505" w14:textId="77777777" w:rsidR="0081420F" w:rsidRPr="008F20DF" w:rsidRDefault="0081420F" w:rsidP="008F20DF">
            <w:pPr>
              <w:snapToGrid w:val="0"/>
              <w:spacing w:line="360" w:lineRule="auto"/>
              <w:jc w:val="both"/>
              <w:rPr>
                <w:rFonts w:ascii="Book Antiqua" w:eastAsia="宋体" w:hAnsi="Book Antiqua"/>
              </w:rPr>
            </w:pPr>
          </w:p>
        </w:tc>
        <w:tc>
          <w:tcPr>
            <w:tcW w:w="0" w:type="auto"/>
            <w:tcBorders>
              <w:top w:val="single" w:sz="4" w:space="0" w:color="auto"/>
            </w:tcBorders>
          </w:tcPr>
          <w:p w14:paraId="5F7DB44A" w14:textId="77777777" w:rsidR="0081420F" w:rsidRPr="008F20DF" w:rsidRDefault="0081420F" w:rsidP="008F20DF">
            <w:pPr>
              <w:snapToGrid w:val="0"/>
              <w:spacing w:line="360" w:lineRule="auto"/>
              <w:jc w:val="both"/>
              <w:rPr>
                <w:rFonts w:ascii="Book Antiqua" w:eastAsia="宋体" w:hAnsi="Book Antiqua"/>
              </w:rPr>
            </w:pPr>
          </w:p>
        </w:tc>
        <w:tc>
          <w:tcPr>
            <w:tcW w:w="1517" w:type="dxa"/>
            <w:tcBorders>
              <w:top w:val="single" w:sz="4" w:space="0" w:color="auto"/>
            </w:tcBorders>
          </w:tcPr>
          <w:p w14:paraId="747A72EA" w14:textId="77777777" w:rsidR="0081420F" w:rsidRPr="008F20DF" w:rsidRDefault="0081420F" w:rsidP="008F20DF">
            <w:pPr>
              <w:snapToGrid w:val="0"/>
              <w:spacing w:line="360" w:lineRule="auto"/>
              <w:jc w:val="both"/>
              <w:rPr>
                <w:rFonts w:ascii="Book Antiqua" w:eastAsia="宋体" w:hAnsi="Book Antiqua"/>
              </w:rPr>
            </w:pPr>
          </w:p>
        </w:tc>
        <w:tc>
          <w:tcPr>
            <w:tcW w:w="2024" w:type="dxa"/>
            <w:tcBorders>
              <w:top w:val="single" w:sz="4" w:space="0" w:color="auto"/>
            </w:tcBorders>
          </w:tcPr>
          <w:p w14:paraId="18977AC3" w14:textId="77777777" w:rsidR="0081420F" w:rsidRPr="008F20DF" w:rsidRDefault="0081420F" w:rsidP="008F20DF">
            <w:pPr>
              <w:snapToGrid w:val="0"/>
              <w:spacing w:line="360" w:lineRule="auto"/>
              <w:jc w:val="both"/>
              <w:rPr>
                <w:rFonts w:ascii="Book Antiqua" w:eastAsia="宋体" w:hAnsi="Book Antiqua"/>
              </w:rPr>
            </w:pPr>
          </w:p>
        </w:tc>
        <w:tc>
          <w:tcPr>
            <w:tcW w:w="1441" w:type="dxa"/>
            <w:tcBorders>
              <w:top w:val="single" w:sz="4" w:space="0" w:color="auto"/>
            </w:tcBorders>
          </w:tcPr>
          <w:p w14:paraId="064D5925" w14:textId="77777777" w:rsidR="0081420F" w:rsidRPr="008F20DF" w:rsidRDefault="0081420F" w:rsidP="008F20DF">
            <w:pPr>
              <w:snapToGrid w:val="0"/>
              <w:spacing w:line="360" w:lineRule="auto"/>
              <w:jc w:val="both"/>
              <w:rPr>
                <w:rFonts w:ascii="Book Antiqua" w:eastAsia="宋体" w:hAnsi="Book Antiqua"/>
              </w:rPr>
            </w:pPr>
          </w:p>
        </w:tc>
        <w:tc>
          <w:tcPr>
            <w:tcW w:w="1353" w:type="dxa"/>
            <w:tcBorders>
              <w:top w:val="single" w:sz="4" w:space="0" w:color="auto"/>
            </w:tcBorders>
          </w:tcPr>
          <w:p w14:paraId="60618CCC" w14:textId="77777777" w:rsidR="0081420F" w:rsidRPr="008F20DF" w:rsidRDefault="0081420F" w:rsidP="008F20DF">
            <w:pPr>
              <w:snapToGrid w:val="0"/>
              <w:spacing w:line="360" w:lineRule="auto"/>
              <w:jc w:val="both"/>
              <w:rPr>
                <w:rFonts w:ascii="Book Antiqua" w:eastAsia="宋体" w:hAnsi="Book Antiqua"/>
              </w:rPr>
            </w:pPr>
          </w:p>
        </w:tc>
      </w:tr>
      <w:tr w:rsidR="0081420F" w:rsidRPr="008F20DF" w14:paraId="488AFFA4" w14:textId="77777777" w:rsidTr="008F20DF">
        <w:tc>
          <w:tcPr>
            <w:tcW w:w="0" w:type="auto"/>
          </w:tcPr>
          <w:p w14:paraId="13D9E3C7" w14:textId="77777777" w:rsidR="0081420F" w:rsidRPr="008F20DF" w:rsidRDefault="0081420F" w:rsidP="008F20DF">
            <w:pPr>
              <w:snapToGrid w:val="0"/>
              <w:spacing w:line="360" w:lineRule="auto"/>
              <w:ind w:firstLineChars="100" w:firstLine="240"/>
              <w:jc w:val="both"/>
              <w:rPr>
                <w:rFonts w:ascii="Book Antiqua" w:eastAsia="宋体" w:hAnsi="Book Antiqua"/>
              </w:rPr>
            </w:pPr>
            <w:r w:rsidRPr="008F20DF">
              <w:rPr>
                <w:rFonts w:ascii="Book Antiqua" w:eastAsia="宋体" w:hAnsi="Book Antiqua"/>
              </w:rPr>
              <w:t>Shock</w:t>
            </w:r>
          </w:p>
        </w:tc>
        <w:tc>
          <w:tcPr>
            <w:tcW w:w="0" w:type="auto"/>
          </w:tcPr>
          <w:p w14:paraId="2903F3E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86</w:t>
            </w:r>
          </w:p>
        </w:tc>
        <w:tc>
          <w:tcPr>
            <w:tcW w:w="0" w:type="auto"/>
          </w:tcPr>
          <w:p w14:paraId="17B1B280"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109.12 ± 9.53</w:t>
            </w:r>
          </w:p>
        </w:tc>
        <w:tc>
          <w:tcPr>
            <w:tcW w:w="0" w:type="auto"/>
          </w:tcPr>
          <w:p w14:paraId="1719A57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4.48 ± 0.87</w:t>
            </w:r>
          </w:p>
        </w:tc>
        <w:tc>
          <w:tcPr>
            <w:tcW w:w="1517" w:type="dxa"/>
          </w:tcPr>
          <w:p w14:paraId="4DED1B85"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54.21 ± 20.12</w:t>
            </w:r>
          </w:p>
        </w:tc>
        <w:tc>
          <w:tcPr>
            <w:tcW w:w="2024" w:type="dxa"/>
          </w:tcPr>
          <w:p w14:paraId="1C45A8F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1479 ± 297</w:t>
            </w:r>
          </w:p>
        </w:tc>
        <w:tc>
          <w:tcPr>
            <w:tcW w:w="1441" w:type="dxa"/>
          </w:tcPr>
          <w:p w14:paraId="3770CC6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4.46 ± 1.22</w:t>
            </w:r>
          </w:p>
        </w:tc>
        <w:tc>
          <w:tcPr>
            <w:tcW w:w="1353" w:type="dxa"/>
          </w:tcPr>
          <w:p w14:paraId="7D5F3541"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67.37 ± 19.35</w:t>
            </w:r>
          </w:p>
        </w:tc>
      </w:tr>
      <w:tr w:rsidR="0081420F" w:rsidRPr="008F20DF" w14:paraId="78817D7E" w14:textId="77777777" w:rsidTr="008F20DF">
        <w:tc>
          <w:tcPr>
            <w:tcW w:w="0" w:type="auto"/>
          </w:tcPr>
          <w:p w14:paraId="177E0854" w14:textId="77777777" w:rsidR="0081420F" w:rsidRPr="008F20DF" w:rsidRDefault="0081420F" w:rsidP="008F20DF">
            <w:pPr>
              <w:snapToGrid w:val="0"/>
              <w:spacing w:line="360" w:lineRule="auto"/>
              <w:ind w:firstLineChars="100" w:firstLine="240"/>
              <w:jc w:val="both"/>
              <w:rPr>
                <w:rFonts w:ascii="Book Antiqua" w:eastAsia="宋体" w:hAnsi="Book Antiqua"/>
              </w:rPr>
            </w:pPr>
            <w:r w:rsidRPr="008F20DF">
              <w:rPr>
                <w:rFonts w:ascii="Book Antiqua" w:eastAsia="宋体" w:hAnsi="Book Antiqua"/>
              </w:rPr>
              <w:t>Non-shock</w:t>
            </w:r>
          </w:p>
        </w:tc>
        <w:tc>
          <w:tcPr>
            <w:tcW w:w="0" w:type="auto"/>
          </w:tcPr>
          <w:p w14:paraId="5912388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34</w:t>
            </w:r>
          </w:p>
        </w:tc>
        <w:tc>
          <w:tcPr>
            <w:tcW w:w="0" w:type="auto"/>
          </w:tcPr>
          <w:p w14:paraId="2B0EC3B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102.16 ± 7.34</w:t>
            </w:r>
            <w:r w:rsidRPr="008F20DF">
              <w:rPr>
                <w:rFonts w:ascii="Book Antiqua" w:eastAsia="宋体" w:hAnsi="Book Antiqua"/>
                <w:vertAlign w:val="superscript"/>
              </w:rPr>
              <w:t>a</w:t>
            </w:r>
          </w:p>
        </w:tc>
        <w:tc>
          <w:tcPr>
            <w:tcW w:w="0" w:type="auto"/>
          </w:tcPr>
          <w:p w14:paraId="70764FCA"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4.17 ± 0.83</w:t>
            </w:r>
            <w:r w:rsidRPr="008F20DF">
              <w:rPr>
                <w:rFonts w:ascii="Book Antiqua" w:eastAsia="宋体" w:hAnsi="Book Antiqua"/>
                <w:vertAlign w:val="superscript"/>
              </w:rPr>
              <w:t>a</w:t>
            </w:r>
          </w:p>
        </w:tc>
        <w:tc>
          <w:tcPr>
            <w:tcW w:w="1517" w:type="dxa"/>
          </w:tcPr>
          <w:p w14:paraId="05DFE735"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49.32 ± 19.59</w:t>
            </w:r>
            <w:r w:rsidRPr="008F20DF">
              <w:rPr>
                <w:rFonts w:ascii="Book Antiqua" w:eastAsia="宋体" w:hAnsi="Book Antiqua"/>
                <w:vertAlign w:val="superscript"/>
              </w:rPr>
              <w:t xml:space="preserve"> a</w:t>
            </w:r>
          </w:p>
        </w:tc>
        <w:tc>
          <w:tcPr>
            <w:tcW w:w="2024" w:type="dxa"/>
          </w:tcPr>
          <w:p w14:paraId="79B5823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1421 ± 243</w:t>
            </w:r>
            <w:r w:rsidRPr="008F20DF">
              <w:rPr>
                <w:rFonts w:ascii="Book Antiqua" w:eastAsia="宋体" w:hAnsi="Book Antiqua"/>
                <w:vertAlign w:val="superscript"/>
              </w:rPr>
              <w:t>a</w:t>
            </w:r>
          </w:p>
        </w:tc>
        <w:tc>
          <w:tcPr>
            <w:tcW w:w="1441" w:type="dxa"/>
          </w:tcPr>
          <w:p w14:paraId="435261E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4.12 ± 1.09</w:t>
            </w:r>
            <w:r w:rsidRPr="008F20DF">
              <w:rPr>
                <w:rFonts w:ascii="Book Antiqua" w:eastAsia="宋体" w:hAnsi="Book Antiqua"/>
                <w:vertAlign w:val="superscript"/>
              </w:rPr>
              <w:t>a</w:t>
            </w:r>
          </w:p>
        </w:tc>
        <w:tc>
          <w:tcPr>
            <w:tcW w:w="1353" w:type="dxa"/>
          </w:tcPr>
          <w:p w14:paraId="4A82018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71.56 ± 21.22</w:t>
            </w:r>
            <w:r w:rsidRPr="008F20DF">
              <w:rPr>
                <w:rFonts w:ascii="Book Antiqua" w:eastAsia="宋体" w:hAnsi="Book Antiqua"/>
                <w:vertAlign w:val="superscript"/>
              </w:rPr>
              <w:t>a</w:t>
            </w:r>
          </w:p>
        </w:tc>
      </w:tr>
      <w:tr w:rsidR="0081420F" w:rsidRPr="008F20DF" w14:paraId="024B9AA5" w14:textId="77777777" w:rsidTr="008F20DF">
        <w:tc>
          <w:tcPr>
            <w:tcW w:w="0" w:type="auto"/>
          </w:tcPr>
          <w:p w14:paraId="1AB848BB"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28-d</w:t>
            </w:r>
          </w:p>
        </w:tc>
        <w:tc>
          <w:tcPr>
            <w:tcW w:w="0" w:type="auto"/>
          </w:tcPr>
          <w:p w14:paraId="2ACAEE73" w14:textId="77777777" w:rsidR="0081420F" w:rsidRPr="008F20DF" w:rsidRDefault="0081420F" w:rsidP="008F20DF">
            <w:pPr>
              <w:snapToGrid w:val="0"/>
              <w:spacing w:line="360" w:lineRule="auto"/>
              <w:jc w:val="both"/>
              <w:rPr>
                <w:rFonts w:ascii="Book Antiqua" w:eastAsia="宋体" w:hAnsi="Book Antiqua"/>
              </w:rPr>
            </w:pPr>
          </w:p>
        </w:tc>
        <w:tc>
          <w:tcPr>
            <w:tcW w:w="0" w:type="auto"/>
          </w:tcPr>
          <w:p w14:paraId="462A7450" w14:textId="77777777" w:rsidR="0081420F" w:rsidRPr="008F20DF" w:rsidRDefault="0081420F" w:rsidP="008F20DF">
            <w:pPr>
              <w:snapToGrid w:val="0"/>
              <w:spacing w:line="360" w:lineRule="auto"/>
              <w:jc w:val="both"/>
              <w:rPr>
                <w:rFonts w:ascii="Book Antiqua" w:eastAsia="宋体" w:hAnsi="Book Antiqua"/>
              </w:rPr>
            </w:pPr>
          </w:p>
        </w:tc>
        <w:tc>
          <w:tcPr>
            <w:tcW w:w="0" w:type="auto"/>
          </w:tcPr>
          <w:p w14:paraId="65BD064A" w14:textId="77777777" w:rsidR="0081420F" w:rsidRPr="008F20DF" w:rsidRDefault="0081420F" w:rsidP="008F20DF">
            <w:pPr>
              <w:snapToGrid w:val="0"/>
              <w:spacing w:line="360" w:lineRule="auto"/>
              <w:jc w:val="both"/>
              <w:rPr>
                <w:rFonts w:ascii="Book Antiqua" w:eastAsia="宋体" w:hAnsi="Book Antiqua"/>
              </w:rPr>
            </w:pPr>
          </w:p>
        </w:tc>
        <w:tc>
          <w:tcPr>
            <w:tcW w:w="1517" w:type="dxa"/>
          </w:tcPr>
          <w:p w14:paraId="1FA72DEF" w14:textId="77777777" w:rsidR="0081420F" w:rsidRPr="008F20DF" w:rsidRDefault="0081420F" w:rsidP="008F20DF">
            <w:pPr>
              <w:snapToGrid w:val="0"/>
              <w:spacing w:line="360" w:lineRule="auto"/>
              <w:jc w:val="both"/>
              <w:rPr>
                <w:rFonts w:ascii="Book Antiqua" w:eastAsia="宋体" w:hAnsi="Book Antiqua"/>
              </w:rPr>
            </w:pPr>
          </w:p>
        </w:tc>
        <w:tc>
          <w:tcPr>
            <w:tcW w:w="2024" w:type="dxa"/>
          </w:tcPr>
          <w:p w14:paraId="6B99F6A0" w14:textId="77777777" w:rsidR="0081420F" w:rsidRPr="008F20DF" w:rsidRDefault="0081420F" w:rsidP="008F20DF">
            <w:pPr>
              <w:snapToGrid w:val="0"/>
              <w:spacing w:line="360" w:lineRule="auto"/>
              <w:jc w:val="both"/>
              <w:rPr>
                <w:rFonts w:ascii="Book Antiqua" w:eastAsia="宋体" w:hAnsi="Book Antiqua"/>
              </w:rPr>
            </w:pPr>
          </w:p>
        </w:tc>
        <w:tc>
          <w:tcPr>
            <w:tcW w:w="1441" w:type="dxa"/>
          </w:tcPr>
          <w:p w14:paraId="0C9738F0" w14:textId="77777777" w:rsidR="0081420F" w:rsidRPr="008F20DF" w:rsidRDefault="0081420F" w:rsidP="008F20DF">
            <w:pPr>
              <w:snapToGrid w:val="0"/>
              <w:spacing w:line="360" w:lineRule="auto"/>
              <w:jc w:val="both"/>
              <w:rPr>
                <w:rFonts w:ascii="Book Antiqua" w:eastAsia="宋体" w:hAnsi="Book Antiqua"/>
              </w:rPr>
            </w:pPr>
          </w:p>
        </w:tc>
        <w:tc>
          <w:tcPr>
            <w:tcW w:w="1353" w:type="dxa"/>
          </w:tcPr>
          <w:p w14:paraId="206FF661" w14:textId="77777777" w:rsidR="0081420F" w:rsidRPr="008F20DF" w:rsidRDefault="0081420F" w:rsidP="008F20DF">
            <w:pPr>
              <w:snapToGrid w:val="0"/>
              <w:spacing w:line="360" w:lineRule="auto"/>
              <w:jc w:val="both"/>
              <w:rPr>
                <w:rFonts w:ascii="Book Antiqua" w:eastAsia="宋体" w:hAnsi="Book Antiqua"/>
              </w:rPr>
            </w:pPr>
          </w:p>
        </w:tc>
      </w:tr>
      <w:tr w:rsidR="0081420F" w:rsidRPr="008F20DF" w14:paraId="1509367B" w14:textId="77777777" w:rsidTr="008F20DF">
        <w:tc>
          <w:tcPr>
            <w:tcW w:w="0" w:type="auto"/>
          </w:tcPr>
          <w:p w14:paraId="29785049" w14:textId="77777777" w:rsidR="0081420F" w:rsidRPr="008F20DF" w:rsidRDefault="0081420F" w:rsidP="008F20DF">
            <w:pPr>
              <w:snapToGrid w:val="0"/>
              <w:spacing w:line="360" w:lineRule="auto"/>
              <w:ind w:firstLineChars="50" w:firstLine="120"/>
              <w:jc w:val="both"/>
              <w:rPr>
                <w:rFonts w:ascii="Book Antiqua" w:eastAsia="宋体" w:hAnsi="Book Antiqua"/>
              </w:rPr>
            </w:pPr>
            <w:r w:rsidRPr="008F20DF">
              <w:rPr>
                <w:rFonts w:ascii="Book Antiqua" w:eastAsia="宋体" w:hAnsi="Book Antiqua"/>
              </w:rPr>
              <w:t>Death</w:t>
            </w:r>
          </w:p>
        </w:tc>
        <w:tc>
          <w:tcPr>
            <w:tcW w:w="0" w:type="auto"/>
          </w:tcPr>
          <w:p w14:paraId="07ACB7AC"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21</w:t>
            </w:r>
          </w:p>
        </w:tc>
        <w:tc>
          <w:tcPr>
            <w:tcW w:w="0" w:type="auto"/>
          </w:tcPr>
          <w:p w14:paraId="080EFFFA"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132.26 ± 11.23</w:t>
            </w:r>
          </w:p>
        </w:tc>
        <w:tc>
          <w:tcPr>
            <w:tcW w:w="0" w:type="auto"/>
          </w:tcPr>
          <w:p w14:paraId="427EE00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4.85 ± 0.94</w:t>
            </w:r>
          </w:p>
        </w:tc>
        <w:tc>
          <w:tcPr>
            <w:tcW w:w="1517" w:type="dxa"/>
          </w:tcPr>
          <w:p w14:paraId="18654DF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55.60 ± 22.16</w:t>
            </w:r>
          </w:p>
        </w:tc>
        <w:tc>
          <w:tcPr>
            <w:tcW w:w="2024" w:type="dxa"/>
          </w:tcPr>
          <w:p w14:paraId="016C423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1493 ± 276</w:t>
            </w:r>
          </w:p>
        </w:tc>
        <w:tc>
          <w:tcPr>
            <w:tcW w:w="1441" w:type="dxa"/>
          </w:tcPr>
          <w:p w14:paraId="3134F0C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4.82 ± 1.03</w:t>
            </w:r>
          </w:p>
        </w:tc>
        <w:tc>
          <w:tcPr>
            <w:tcW w:w="1353" w:type="dxa"/>
          </w:tcPr>
          <w:p w14:paraId="5705CFF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61.28 ± 17.75</w:t>
            </w:r>
          </w:p>
        </w:tc>
      </w:tr>
      <w:tr w:rsidR="0081420F" w:rsidRPr="008F20DF" w14:paraId="05CD2FDE" w14:textId="77777777" w:rsidTr="008F20DF">
        <w:tc>
          <w:tcPr>
            <w:tcW w:w="0" w:type="auto"/>
          </w:tcPr>
          <w:p w14:paraId="1D7BB765" w14:textId="77777777" w:rsidR="0081420F" w:rsidRPr="008F20DF" w:rsidRDefault="0081420F" w:rsidP="008F20DF">
            <w:pPr>
              <w:snapToGrid w:val="0"/>
              <w:spacing w:line="360" w:lineRule="auto"/>
              <w:ind w:firstLineChars="100" w:firstLine="240"/>
              <w:jc w:val="both"/>
              <w:rPr>
                <w:rFonts w:ascii="Book Antiqua" w:eastAsia="宋体" w:hAnsi="Book Antiqua"/>
              </w:rPr>
            </w:pPr>
            <w:r w:rsidRPr="008F20DF">
              <w:rPr>
                <w:rFonts w:ascii="Book Antiqua" w:eastAsia="宋体" w:hAnsi="Book Antiqua"/>
              </w:rPr>
              <w:t>Survival</w:t>
            </w:r>
          </w:p>
        </w:tc>
        <w:tc>
          <w:tcPr>
            <w:tcW w:w="0" w:type="auto"/>
          </w:tcPr>
          <w:p w14:paraId="2E3765B3"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99</w:t>
            </w:r>
          </w:p>
        </w:tc>
        <w:tc>
          <w:tcPr>
            <w:tcW w:w="0" w:type="auto"/>
          </w:tcPr>
          <w:p w14:paraId="1E454CDC"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95.11 ± 9.14</w:t>
            </w:r>
            <w:r w:rsidRPr="008F20DF">
              <w:rPr>
                <w:rFonts w:ascii="Book Antiqua" w:eastAsia="宋体" w:hAnsi="Book Antiqua"/>
                <w:vertAlign w:val="superscript"/>
              </w:rPr>
              <w:t>b</w:t>
            </w:r>
          </w:p>
        </w:tc>
        <w:tc>
          <w:tcPr>
            <w:tcW w:w="0" w:type="auto"/>
          </w:tcPr>
          <w:p w14:paraId="63A25CA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4.28 ± 0.65</w:t>
            </w:r>
            <w:r w:rsidRPr="008F20DF">
              <w:rPr>
                <w:rFonts w:ascii="Book Antiqua" w:eastAsia="宋体" w:hAnsi="Book Antiqua"/>
                <w:vertAlign w:val="superscript"/>
              </w:rPr>
              <w:t>b</w:t>
            </w:r>
          </w:p>
        </w:tc>
        <w:tc>
          <w:tcPr>
            <w:tcW w:w="1517" w:type="dxa"/>
          </w:tcPr>
          <w:p w14:paraId="66CA40FF"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50.92 ± 19.33</w:t>
            </w:r>
            <w:r w:rsidRPr="008F20DF">
              <w:rPr>
                <w:rFonts w:ascii="Book Antiqua" w:eastAsia="宋体" w:hAnsi="Book Antiqua"/>
                <w:vertAlign w:val="superscript"/>
              </w:rPr>
              <w:t>b</w:t>
            </w:r>
          </w:p>
        </w:tc>
        <w:tc>
          <w:tcPr>
            <w:tcW w:w="2024" w:type="dxa"/>
          </w:tcPr>
          <w:p w14:paraId="782C62E8"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1435 ± 239</w:t>
            </w:r>
            <w:r w:rsidRPr="008F20DF">
              <w:rPr>
                <w:rFonts w:ascii="Book Antiqua" w:eastAsia="宋体" w:hAnsi="Book Antiqua"/>
                <w:vertAlign w:val="superscript"/>
              </w:rPr>
              <w:t>b</w:t>
            </w:r>
          </w:p>
        </w:tc>
        <w:tc>
          <w:tcPr>
            <w:tcW w:w="1441" w:type="dxa"/>
          </w:tcPr>
          <w:p w14:paraId="59DB4A2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4.23 ± 1.39</w:t>
            </w:r>
            <w:r w:rsidRPr="008F20DF">
              <w:rPr>
                <w:rFonts w:ascii="Book Antiqua" w:eastAsia="宋体" w:hAnsi="Book Antiqua"/>
                <w:vertAlign w:val="superscript"/>
              </w:rPr>
              <w:t>b</w:t>
            </w:r>
          </w:p>
        </w:tc>
        <w:tc>
          <w:tcPr>
            <w:tcW w:w="1353" w:type="dxa"/>
          </w:tcPr>
          <w:p w14:paraId="4CB98FC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67.84 ± 25.56</w:t>
            </w:r>
            <w:r w:rsidRPr="008F20DF">
              <w:rPr>
                <w:rFonts w:ascii="Book Antiqua" w:eastAsia="宋体" w:hAnsi="Book Antiqua"/>
                <w:vertAlign w:val="superscript"/>
              </w:rPr>
              <w:t>b</w:t>
            </w:r>
          </w:p>
        </w:tc>
      </w:tr>
    </w:tbl>
    <w:p w14:paraId="314768B4" w14:textId="77777777" w:rsidR="00F229FD" w:rsidRDefault="0081420F" w:rsidP="008F20DF">
      <w:pPr>
        <w:snapToGrid w:val="0"/>
        <w:spacing w:line="360" w:lineRule="auto"/>
        <w:jc w:val="both"/>
        <w:rPr>
          <w:rFonts w:ascii="Book Antiqua" w:eastAsia="宋体" w:hAnsi="Book Antiqua"/>
          <w:lang w:eastAsia="zh-CN"/>
        </w:rPr>
      </w:pPr>
      <w:proofErr w:type="spellStart"/>
      <w:proofErr w:type="gramStart"/>
      <w:r w:rsidRPr="008F20DF">
        <w:rPr>
          <w:rFonts w:ascii="Book Antiqua" w:eastAsia="宋体" w:hAnsi="Book Antiqua"/>
          <w:vertAlign w:val="superscript"/>
        </w:rPr>
        <w:t>a</w:t>
      </w:r>
      <w:r w:rsidRPr="008F20DF">
        <w:rPr>
          <w:rFonts w:ascii="Book Antiqua" w:eastAsia="宋体" w:hAnsi="Book Antiqua"/>
          <w:i/>
          <w:iCs/>
        </w:rPr>
        <w:t>P</w:t>
      </w:r>
      <w:proofErr w:type="spellEnd"/>
      <w:proofErr w:type="gramEnd"/>
      <w:r w:rsidRPr="008F20DF">
        <w:rPr>
          <w:rFonts w:ascii="Book Antiqua" w:eastAsia="宋体" w:hAnsi="Book Antiqua"/>
          <w:i/>
          <w:iCs/>
        </w:rPr>
        <w:t xml:space="preserve"> </w:t>
      </w:r>
      <w:r w:rsidRPr="008F20DF">
        <w:rPr>
          <w:rFonts w:ascii="Book Antiqua" w:eastAsia="宋体" w:hAnsi="Book Antiqua"/>
        </w:rPr>
        <w:t xml:space="preserve">&lt; 0.05 </w:t>
      </w:r>
      <w:bookmarkStart w:id="16" w:name="_Hlk59312209"/>
      <w:r w:rsidRPr="008F20DF">
        <w:rPr>
          <w:rFonts w:ascii="Book Antiqua" w:eastAsia="宋体" w:hAnsi="Book Antiqua"/>
        </w:rPr>
        <w:t>compared with</w:t>
      </w:r>
      <w:bookmarkEnd w:id="16"/>
      <w:r w:rsidRPr="008F20DF">
        <w:rPr>
          <w:rFonts w:ascii="Book Antiqua" w:eastAsia="宋体" w:hAnsi="Book Antiqua"/>
        </w:rPr>
        <w:t xml:space="preserve"> shock patients</w:t>
      </w:r>
      <w:r w:rsidR="00F229FD">
        <w:rPr>
          <w:rFonts w:ascii="Book Antiqua" w:eastAsia="宋体" w:hAnsi="Book Antiqua" w:hint="eastAsia"/>
          <w:lang w:eastAsia="zh-CN"/>
        </w:rPr>
        <w:t>.</w:t>
      </w:r>
    </w:p>
    <w:p w14:paraId="2BB20D13" w14:textId="62E8D5E8" w:rsidR="008F20DF" w:rsidRPr="008F20DF" w:rsidRDefault="0081420F" w:rsidP="008F20DF">
      <w:pPr>
        <w:snapToGrid w:val="0"/>
        <w:spacing w:line="360" w:lineRule="auto"/>
        <w:jc w:val="both"/>
        <w:rPr>
          <w:rFonts w:ascii="Book Antiqua" w:eastAsia="宋体" w:hAnsi="Book Antiqua"/>
        </w:rPr>
      </w:pPr>
      <w:proofErr w:type="spellStart"/>
      <w:r w:rsidRPr="008F20DF">
        <w:rPr>
          <w:rFonts w:ascii="Book Antiqua" w:eastAsia="宋体" w:hAnsi="Book Antiqua"/>
          <w:vertAlign w:val="superscript"/>
        </w:rPr>
        <w:t>b</w:t>
      </w:r>
      <w:r w:rsidRPr="008F20DF">
        <w:rPr>
          <w:rFonts w:ascii="Book Antiqua" w:eastAsia="宋体" w:hAnsi="Book Antiqua"/>
          <w:i/>
          <w:iCs/>
        </w:rPr>
        <w:t>P</w:t>
      </w:r>
      <w:proofErr w:type="spellEnd"/>
      <w:r w:rsidRPr="008F20DF">
        <w:rPr>
          <w:rFonts w:ascii="Book Antiqua" w:eastAsia="宋体" w:hAnsi="Book Antiqua"/>
          <w:i/>
          <w:iCs/>
        </w:rPr>
        <w:t xml:space="preserve"> </w:t>
      </w:r>
      <w:r w:rsidRPr="008F20DF">
        <w:rPr>
          <w:rFonts w:ascii="Book Antiqua" w:eastAsia="宋体" w:hAnsi="Book Antiqua"/>
        </w:rPr>
        <w:t xml:space="preserve">&lt; 0.05 compared with patients who died. </w:t>
      </w:r>
      <w:r w:rsidR="008F20DF">
        <w:rPr>
          <w:rFonts w:ascii="Book Antiqua" w:eastAsia="宋体" w:hAnsi="Book Antiqua"/>
        </w:rPr>
        <w:t xml:space="preserve">HR: </w:t>
      </w:r>
      <w:r w:rsidR="00E6653A">
        <w:rPr>
          <w:rFonts w:ascii="Book Antiqua" w:eastAsia="宋体" w:hAnsi="Book Antiqua"/>
        </w:rPr>
        <w:t xml:space="preserve">Heart </w:t>
      </w:r>
      <w:r w:rsidR="008F20DF">
        <w:rPr>
          <w:rFonts w:ascii="Book Antiqua" w:eastAsia="宋体" w:hAnsi="Book Antiqua"/>
        </w:rPr>
        <w:t xml:space="preserve">rate; CI: </w:t>
      </w:r>
      <w:r w:rsidR="008F20DF" w:rsidRPr="008F20DF">
        <w:rPr>
          <w:rFonts w:ascii="Book Antiqua" w:eastAsia="宋体" w:hAnsi="Book Antiqua"/>
        </w:rPr>
        <w:t>Cardiac index; MAP: Mean arterial pressure; SVRI: Systemic vascular resistance index; CVP: Central venous pressure; ScvO</w:t>
      </w:r>
      <w:r w:rsidR="008F20DF" w:rsidRPr="004608FB">
        <w:rPr>
          <w:rFonts w:ascii="Book Antiqua" w:eastAsia="宋体" w:hAnsi="Book Antiqua"/>
          <w:vertAlign w:val="subscript"/>
        </w:rPr>
        <w:t>2</w:t>
      </w:r>
      <w:r w:rsidR="008F20DF" w:rsidRPr="008F20DF">
        <w:rPr>
          <w:rFonts w:ascii="Book Antiqua" w:eastAsia="宋体" w:hAnsi="Book Antiqua"/>
        </w:rPr>
        <w:t>: Central venous oxygen saturation.</w:t>
      </w:r>
      <w:r w:rsidR="008F20DF" w:rsidRPr="008F20DF">
        <w:rPr>
          <w:rFonts w:ascii="Book Antiqua" w:eastAsia="宋体" w:hAnsi="Book Antiqua"/>
        </w:rPr>
        <w:tab/>
      </w:r>
    </w:p>
    <w:p w14:paraId="68AC58EF" w14:textId="77777777" w:rsidR="0081420F" w:rsidRPr="008F20DF" w:rsidRDefault="008F20DF" w:rsidP="008F20DF">
      <w:pPr>
        <w:snapToGrid w:val="0"/>
        <w:spacing w:line="360" w:lineRule="auto"/>
        <w:jc w:val="both"/>
        <w:rPr>
          <w:rFonts w:ascii="Book Antiqua" w:eastAsia="宋体" w:hAnsi="Book Antiqua"/>
        </w:rPr>
      </w:pPr>
      <w:r w:rsidRPr="008F20DF">
        <w:rPr>
          <w:rFonts w:ascii="Book Antiqua" w:eastAsia="宋体" w:hAnsi="Book Antiqua"/>
        </w:rPr>
        <w:br w:type="page"/>
      </w:r>
      <w:r w:rsidR="0081420F" w:rsidRPr="008F20DF">
        <w:rPr>
          <w:rFonts w:ascii="Book Antiqua" w:eastAsia="宋体" w:hAnsi="Book Antiqua"/>
          <w:b/>
          <w:bCs/>
        </w:rPr>
        <w:t>Table 2 Relationship between hemodynamic indices and shock</w:t>
      </w:r>
    </w:p>
    <w:tbl>
      <w:tblPr>
        <w:tblStyle w:val="a3"/>
        <w:tblW w:w="10598" w:type="dxa"/>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590"/>
        <w:gridCol w:w="1794"/>
        <w:gridCol w:w="1590"/>
        <w:gridCol w:w="1917"/>
        <w:gridCol w:w="1924"/>
      </w:tblGrid>
      <w:tr w:rsidR="0081420F" w:rsidRPr="008F20DF" w14:paraId="59F61A4B" w14:textId="77777777" w:rsidTr="004608FB">
        <w:trPr>
          <w:trHeight w:val="469"/>
        </w:trPr>
        <w:tc>
          <w:tcPr>
            <w:tcW w:w="0" w:type="auto"/>
            <w:tcBorders>
              <w:top w:val="single" w:sz="8" w:space="0" w:color="auto"/>
              <w:bottom w:val="single" w:sz="4" w:space="0" w:color="auto"/>
            </w:tcBorders>
          </w:tcPr>
          <w:p w14:paraId="36DCAA28"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Variable</w:t>
            </w:r>
          </w:p>
        </w:tc>
        <w:tc>
          <w:tcPr>
            <w:tcW w:w="0" w:type="auto"/>
            <w:tcBorders>
              <w:top w:val="single" w:sz="8" w:space="0" w:color="auto"/>
              <w:bottom w:val="single" w:sz="4" w:space="0" w:color="auto"/>
            </w:tcBorders>
          </w:tcPr>
          <w:p w14:paraId="4A78987F"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B value</w:t>
            </w:r>
          </w:p>
        </w:tc>
        <w:tc>
          <w:tcPr>
            <w:tcW w:w="0" w:type="auto"/>
            <w:tcBorders>
              <w:top w:val="single" w:sz="8" w:space="0" w:color="auto"/>
              <w:bottom w:val="single" w:sz="4" w:space="0" w:color="auto"/>
            </w:tcBorders>
          </w:tcPr>
          <w:p w14:paraId="0F7F236C"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SE value</w:t>
            </w:r>
          </w:p>
        </w:tc>
        <w:tc>
          <w:tcPr>
            <w:tcW w:w="0" w:type="auto"/>
            <w:tcBorders>
              <w:top w:val="single" w:sz="8" w:space="0" w:color="auto"/>
              <w:bottom w:val="single" w:sz="4" w:space="0" w:color="auto"/>
            </w:tcBorders>
          </w:tcPr>
          <w:p w14:paraId="1B7E8D33"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i/>
                <w:iCs/>
              </w:rPr>
              <w:t>P</w:t>
            </w:r>
            <w:r w:rsidRPr="008F20DF">
              <w:rPr>
                <w:rFonts w:ascii="Book Antiqua" w:eastAsia="宋体" w:hAnsi="Book Antiqua"/>
                <w:b/>
                <w:bCs/>
              </w:rPr>
              <w:t xml:space="preserve"> value</w:t>
            </w:r>
          </w:p>
        </w:tc>
        <w:tc>
          <w:tcPr>
            <w:tcW w:w="0" w:type="auto"/>
            <w:tcBorders>
              <w:top w:val="single" w:sz="8" w:space="0" w:color="auto"/>
              <w:bottom w:val="single" w:sz="4" w:space="0" w:color="auto"/>
            </w:tcBorders>
          </w:tcPr>
          <w:p w14:paraId="60FBA262"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OR value</w:t>
            </w:r>
          </w:p>
        </w:tc>
        <w:tc>
          <w:tcPr>
            <w:tcW w:w="1924" w:type="dxa"/>
            <w:tcBorders>
              <w:top w:val="single" w:sz="8" w:space="0" w:color="auto"/>
              <w:bottom w:val="single" w:sz="4" w:space="0" w:color="auto"/>
            </w:tcBorders>
          </w:tcPr>
          <w:p w14:paraId="30918708"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95%</w:t>
            </w:r>
            <w:r w:rsidRPr="008F20DF">
              <w:rPr>
                <w:rFonts w:ascii="Book Antiqua" w:eastAsia="宋体" w:hAnsi="Book Antiqua"/>
                <w:b/>
                <w:bCs/>
                <w:iCs/>
              </w:rPr>
              <w:t>CI</w:t>
            </w:r>
          </w:p>
        </w:tc>
      </w:tr>
      <w:tr w:rsidR="0081420F" w:rsidRPr="008F20DF" w14:paraId="1B090876" w14:textId="77777777" w:rsidTr="004608FB">
        <w:trPr>
          <w:trHeight w:val="497"/>
        </w:trPr>
        <w:tc>
          <w:tcPr>
            <w:tcW w:w="0" w:type="auto"/>
            <w:tcBorders>
              <w:top w:val="single" w:sz="4" w:space="0" w:color="auto"/>
            </w:tcBorders>
          </w:tcPr>
          <w:p w14:paraId="515B87A9"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CI</w:t>
            </w:r>
          </w:p>
        </w:tc>
        <w:tc>
          <w:tcPr>
            <w:tcW w:w="0" w:type="auto"/>
            <w:tcBorders>
              <w:top w:val="single" w:sz="4" w:space="0" w:color="auto"/>
            </w:tcBorders>
          </w:tcPr>
          <w:p w14:paraId="3F70451F"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0.234</w:t>
            </w:r>
          </w:p>
        </w:tc>
        <w:tc>
          <w:tcPr>
            <w:tcW w:w="0" w:type="auto"/>
            <w:tcBorders>
              <w:top w:val="single" w:sz="4" w:space="0" w:color="auto"/>
            </w:tcBorders>
          </w:tcPr>
          <w:p w14:paraId="51189139"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0.032</w:t>
            </w:r>
          </w:p>
        </w:tc>
        <w:tc>
          <w:tcPr>
            <w:tcW w:w="0" w:type="auto"/>
            <w:tcBorders>
              <w:top w:val="single" w:sz="4" w:space="0" w:color="auto"/>
            </w:tcBorders>
          </w:tcPr>
          <w:p w14:paraId="3688252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0.01</w:t>
            </w:r>
          </w:p>
        </w:tc>
        <w:tc>
          <w:tcPr>
            <w:tcW w:w="0" w:type="auto"/>
            <w:tcBorders>
              <w:top w:val="single" w:sz="4" w:space="0" w:color="auto"/>
            </w:tcBorders>
          </w:tcPr>
          <w:p w14:paraId="200717A6"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0.812</w:t>
            </w:r>
          </w:p>
        </w:tc>
        <w:tc>
          <w:tcPr>
            <w:tcW w:w="1924" w:type="dxa"/>
            <w:tcBorders>
              <w:top w:val="single" w:sz="4" w:space="0" w:color="auto"/>
            </w:tcBorders>
          </w:tcPr>
          <w:p w14:paraId="4B230F26"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0.875</w:t>
            </w:r>
            <w:r w:rsidR="008F20DF" w:rsidRPr="008F20DF">
              <w:rPr>
                <w:rFonts w:ascii="Book Antiqua" w:eastAsia="宋体" w:hAnsi="Book Antiqua" w:cs="Times New Roman"/>
              </w:rPr>
              <w:t>-</w:t>
            </w:r>
            <w:r w:rsidRPr="008F20DF">
              <w:rPr>
                <w:rFonts w:ascii="Book Antiqua" w:eastAsia="宋体" w:hAnsi="Book Antiqua"/>
              </w:rPr>
              <w:t>0.912</w:t>
            </w:r>
          </w:p>
        </w:tc>
      </w:tr>
      <w:tr w:rsidR="0081420F" w:rsidRPr="008F20DF" w14:paraId="00C778DF" w14:textId="77777777" w:rsidTr="004608FB">
        <w:trPr>
          <w:trHeight w:val="483"/>
        </w:trPr>
        <w:tc>
          <w:tcPr>
            <w:tcW w:w="0" w:type="auto"/>
          </w:tcPr>
          <w:p w14:paraId="449660AC"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SVRI</w:t>
            </w:r>
          </w:p>
        </w:tc>
        <w:tc>
          <w:tcPr>
            <w:tcW w:w="0" w:type="auto"/>
          </w:tcPr>
          <w:p w14:paraId="58077D1A"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0.345</w:t>
            </w:r>
          </w:p>
        </w:tc>
        <w:tc>
          <w:tcPr>
            <w:tcW w:w="0" w:type="auto"/>
          </w:tcPr>
          <w:p w14:paraId="32572763"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0.043</w:t>
            </w:r>
          </w:p>
        </w:tc>
        <w:tc>
          <w:tcPr>
            <w:tcW w:w="0" w:type="auto"/>
          </w:tcPr>
          <w:p w14:paraId="548ECBB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0.01</w:t>
            </w:r>
          </w:p>
        </w:tc>
        <w:tc>
          <w:tcPr>
            <w:tcW w:w="0" w:type="auto"/>
          </w:tcPr>
          <w:p w14:paraId="052B1C8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0.823</w:t>
            </w:r>
          </w:p>
        </w:tc>
        <w:tc>
          <w:tcPr>
            <w:tcW w:w="1924" w:type="dxa"/>
          </w:tcPr>
          <w:p w14:paraId="61F14A9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0.889</w:t>
            </w:r>
            <w:r w:rsidR="008F20DF" w:rsidRPr="008F20DF">
              <w:rPr>
                <w:rFonts w:ascii="Book Antiqua" w:eastAsia="宋体" w:hAnsi="Book Antiqua" w:cs="Times New Roman"/>
              </w:rPr>
              <w:t>-</w:t>
            </w:r>
            <w:r w:rsidRPr="008F20DF">
              <w:rPr>
                <w:rFonts w:ascii="Book Antiqua" w:eastAsia="宋体" w:hAnsi="Book Antiqua" w:cs="Times New Roman"/>
              </w:rPr>
              <w:t>0.992</w:t>
            </w:r>
          </w:p>
        </w:tc>
      </w:tr>
      <w:tr w:rsidR="0081420F" w:rsidRPr="008F20DF" w14:paraId="0D4E174B" w14:textId="77777777" w:rsidTr="004608FB">
        <w:trPr>
          <w:trHeight w:val="510"/>
        </w:trPr>
        <w:tc>
          <w:tcPr>
            <w:tcW w:w="0" w:type="auto"/>
          </w:tcPr>
          <w:p w14:paraId="7F74B9B5"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CVP</w:t>
            </w:r>
          </w:p>
        </w:tc>
        <w:tc>
          <w:tcPr>
            <w:tcW w:w="0" w:type="auto"/>
          </w:tcPr>
          <w:p w14:paraId="3C054586"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0.145</w:t>
            </w:r>
          </w:p>
        </w:tc>
        <w:tc>
          <w:tcPr>
            <w:tcW w:w="0" w:type="auto"/>
          </w:tcPr>
          <w:p w14:paraId="3148F2EF"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0.023</w:t>
            </w:r>
          </w:p>
        </w:tc>
        <w:tc>
          <w:tcPr>
            <w:tcW w:w="0" w:type="auto"/>
          </w:tcPr>
          <w:p w14:paraId="569C78B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0.01</w:t>
            </w:r>
          </w:p>
        </w:tc>
        <w:tc>
          <w:tcPr>
            <w:tcW w:w="0" w:type="auto"/>
          </w:tcPr>
          <w:p w14:paraId="4BCFDFAB"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0.762</w:t>
            </w:r>
          </w:p>
        </w:tc>
        <w:tc>
          <w:tcPr>
            <w:tcW w:w="1924" w:type="dxa"/>
          </w:tcPr>
          <w:p w14:paraId="00C47F23"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0.712</w:t>
            </w:r>
            <w:r w:rsidR="008F20DF" w:rsidRPr="008F20DF">
              <w:rPr>
                <w:rFonts w:ascii="Book Antiqua" w:eastAsia="宋体" w:hAnsi="Book Antiqua" w:cs="Times New Roman"/>
              </w:rPr>
              <w:t>-</w:t>
            </w:r>
            <w:r w:rsidRPr="008F20DF">
              <w:rPr>
                <w:rFonts w:ascii="Book Antiqua" w:eastAsia="宋体" w:hAnsi="Book Antiqua" w:cs="Times New Roman"/>
              </w:rPr>
              <w:t>0.896</w:t>
            </w:r>
          </w:p>
        </w:tc>
      </w:tr>
    </w:tbl>
    <w:p w14:paraId="07E046DB" w14:textId="09CED748" w:rsidR="007824EE" w:rsidRDefault="0081420F" w:rsidP="008F20DF">
      <w:pPr>
        <w:snapToGrid w:val="0"/>
        <w:spacing w:line="360" w:lineRule="auto"/>
        <w:jc w:val="both"/>
        <w:rPr>
          <w:rFonts w:ascii="Book Antiqua" w:hAnsi="Book Antiqua"/>
          <w:bCs/>
        </w:rPr>
      </w:pPr>
      <w:r w:rsidRPr="008F20DF">
        <w:rPr>
          <w:rFonts w:ascii="Book Antiqua" w:eastAsia="宋体" w:hAnsi="Book Antiqua"/>
        </w:rPr>
        <w:t xml:space="preserve">CI: </w:t>
      </w:r>
      <w:r w:rsidR="008F20DF" w:rsidRPr="008F20DF">
        <w:rPr>
          <w:rFonts w:ascii="Book Antiqua" w:hAnsi="Book Antiqua"/>
          <w:bCs/>
        </w:rPr>
        <w:t xml:space="preserve">Cardiac </w:t>
      </w:r>
      <w:r w:rsidRPr="008F20DF">
        <w:rPr>
          <w:rFonts w:ascii="Book Antiqua" w:hAnsi="Book Antiqua"/>
          <w:bCs/>
        </w:rPr>
        <w:t>index</w:t>
      </w:r>
      <w:r w:rsidRPr="008F20DF">
        <w:rPr>
          <w:rFonts w:ascii="Book Antiqua" w:eastAsia="宋体" w:hAnsi="Book Antiqua"/>
        </w:rPr>
        <w:t xml:space="preserve">; SVRI: </w:t>
      </w:r>
      <w:r w:rsidR="008F20DF" w:rsidRPr="008F20DF">
        <w:rPr>
          <w:rFonts w:ascii="Book Antiqua" w:hAnsi="Book Antiqua"/>
          <w:bCs/>
        </w:rPr>
        <w:t xml:space="preserve">Systemic </w:t>
      </w:r>
      <w:r w:rsidRPr="008F20DF">
        <w:rPr>
          <w:rFonts w:ascii="Book Antiqua" w:hAnsi="Book Antiqua"/>
          <w:bCs/>
        </w:rPr>
        <w:t>vascular resistance index</w:t>
      </w:r>
      <w:r w:rsidRPr="008F20DF">
        <w:rPr>
          <w:rFonts w:ascii="Book Antiqua" w:eastAsia="宋体" w:hAnsi="Book Antiqua"/>
        </w:rPr>
        <w:t xml:space="preserve">; CVP: </w:t>
      </w:r>
      <w:r w:rsidR="008F20DF" w:rsidRPr="008F20DF">
        <w:rPr>
          <w:rFonts w:ascii="Book Antiqua" w:hAnsi="Book Antiqua"/>
          <w:bCs/>
        </w:rPr>
        <w:t xml:space="preserve">Central </w:t>
      </w:r>
      <w:r w:rsidRPr="008F20DF">
        <w:rPr>
          <w:rFonts w:ascii="Book Antiqua" w:hAnsi="Book Antiqua"/>
          <w:bCs/>
        </w:rPr>
        <w:t>venous pressure.</w:t>
      </w:r>
    </w:p>
    <w:p w14:paraId="5F259988" w14:textId="77777777" w:rsidR="007824EE" w:rsidRDefault="007824EE">
      <w:pPr>
        <w:rPr>
          <w:rFonts w:ascii="Book Antiqua" w:hAnsi="Book Antiqua"/>
          <w:bCs/>
        </w:rPr>
      </w:pPr>
      <w:r>
        <w:rPr>
          <w:rFonts w:ascii="Book Antiqua" w:hAnsi="Book Antiqua"/>
          <w:bCs/>
        </w:rPr>
        <w:br w:type="page"/>
      </w:r>
    </w:p>
    <w:p w14:paraId="342D13F8" w14:textId="77777777" w:rsidR="007824EE" w:rsidRDefault="007824EE" w:rsidP="007824EE">
      <w:pPr>
        <w:jc w:val="center"/>
        <w:rPr>
          <w:rFonts w:ascii="Book Antiqua" w:hAnsi="Book Antiqua"/>
        </w:rPr>
      </w:pPr>
    </w:p>
    <w:p w14:paraId="4063ED55" w14:textId="77777777" w:rsidR="007824EE" w:rsidRDefault="007824EE" w:rsidP="007824EE">
      <w:pPr>
        <w:jc w:val="center"/>
        <w:rPr>
          <w:rFonts w:ascii="Book Antiqua" w:hAnsi="Book Antiqua"/>
        </w:rPr>
      </w:pPr>
    </w:p>
    <w:p w14:paraId="5494A05B" w14:textId="77777777" w:rsidR="007824EE" w:rsidRDefault="007824EE" w:rsidP="007824EE">
      <w:pPr>
        <w:jc w:val="center"/>
        <w:rPr>
          <w:rFonts w:ascii="Book Antiqua" w:hAnsi="Book Antiqua"/>
        </w:rPr>
      </w:pPr>
    </w:p>
    <w:p w14:paraId="64D8B207" w14:textId="77777777" w:rsidR="007824EE" w:rsidRDefault="007824EE" w:rsidP="007824EE">
      <w:pPr>
        <w:jc w:val="center"/>
        <w:rPr>
          <w:rFonts w:ascii="Book Antiqua" w:hAnsi="Book Antiqua"/>
        </w:rPr>
      </w:pPr>
    </w:p>
    <w:p w14:paraId="683290C1" w14:textId="234CCE27" w:rsidR="007824EE" w:rsidRDefault="007824EE" w:rsidP="007824EE">
      <w:pPr>
        <w:jc w:val="center"/>
        <w:rPr>
          <w:rFonts w:ascii="Book Antiqua" w:hAnsi="Book Antiqua"/>
        </w:rPr>
      </w:pPr>
      <w:r>
        <w:rPr>
          <w:rFonts w:ascii="Book Antiqua" w:hAnsi="Book Antiqua"/>
          <w:noProof/>
          <w:lang w:eastAsia="zh-CN"/>
        </w:rPr>
        <w:drawing>
          <wp:inline distT="0" distB="0" distL="0" distR="0" wp14:anchorId="658A4FB5" wp14:editId="0074FE4F">
            <wp:extent cx="2498090" cy="1442085"/>
            <wp:effectExtent l="0" t="0" r="0" b="57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76E830A0" w14:textId="77777777" w:rsidR="007824EE" w:rsidRDefault="007824EE" w:rsidP="007824EE">
      <w:pPr>
        <w:jc w:val="center"/>
        <w:rPr>
          <w:rFonts w:ascii="Book Antiqua" w:hAnsi="Book Antiqua"/>
        </w:rPr>
      </w:pPr>
    </w:p>
    <w:p w14:paraId="449E5546" w14:textId="77777777" w:rsidR="007824EE" w:rsidRDefault="007824EE" w:rsidP="007824E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3A2E88" w14:textId="77777777" w:rsidR="007824EE" w:rsidRDefault="007824EE" w:rsidP="007824E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17D18E" w14:textId="77777777" w:rsidR="007824EE" w:rsidRDefault="007824EE" w:rsidP="007824E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CEE643" w14:textId="77777777" w:rsidR="007824EE" w:rsidRDefault="007824EE" w:rsidP="007824E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648296" w14:textId="77777777" w:rsidR="007824EE" w:rsidRDefault="007824EE" w:rsidP="007824E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F2A40F" w14:textId="77777777" w:rsidR="007824EE" w:rsidRDefault="007824EE" w:rsidP="007824E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98CBF1F" w14:textId="77777777" w:rsidR="007824EE" w:rsidRDefault="007824EE" w:rsidP="007824EE">
      <w:pPr>
        <w:jc w:val="center"/>
        <w:rPr>
          <w:rFonts w:ascii="Book Antiqua" w:hAnsi="Book Antiqua"/>
        </w:rPr>
      </w:pPr>
    </w:p>
    <w:p w14:paraId="178CE2C7" w14:textId="77777777" w:rsidR="007824EE" w:rsidRDefault="007824EE" w:rsidP="007824EE">
      <w:pPr>
        <w:jc w:val="center"/>
        <w:rPr>
          <w:rFonts w:ascii="Book Antiqua" w:hAnsi="Book Antiqua"/>
        </w:rPr>
      </w:pPr>
    </w:p>
    <w:p w14:paraId="12E4AFF5" w14:textId="77777777" w:rsidR="007824EE" w:rsidRDefault="007824EE" w:rsidP="007824EE">
      <w:pPr>
        <w:jc w:val="center"/>
        <w:rPr>
          <w:rFonts w:ascii="Book Antiqua" w:hAnsi="Book Antiqua"/>
        </w:rPr>
      </w:pPr>
    </w:p>
    <w:p w14:paraId="6A3EFE4D" w14:textId="5EF2ADB9" w:rsidR="007824EE" w:rsidRDefault="007824EE" w:rsidP="007824EE">
      <w:pPr>
        <w:jc w:val="center"/>
        <w:rPr>
          <w:rFonts w:ascii="Book Antiqua" w:hAnsi="Book Antiqua"/>
        </w:rPr>
      </w:pPr>
      <w:r>
        <w:rPr>
          <w:rFonts w:ascii="Book Antiqua" w:hAnsi="Book Antiqua"/>
          <w:noProof/>
          <w:lang w:eastAsia="zh-CN"/>
        </w:rPr>
        <w:drawing>
          <wp:inline distT="0" distB="0" distL="0" distR="0" wp14:anchorId="0620D236" wp14:editId="66A83B2A">
            <wp:extent cx="1447800"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0DAEC7F0" w14:textId="77777777" w:rsidR="007824EE" w:rsidRDefault="007824EE" w:rsidP="007824EE">
      <w:pPr>
        <w:jc w:val="center"/>
        <w:rPr>
          <w:rFonts w:ascii="Book Antiqua" w:hAnsi="Book Antiqua"/>
        </w:rPr>
      </w:pPr>
    </w:p>
    <w:p w14:paraId="0538EE40" w14:textId="77777777" w:rsidR="007824EE" w:rsidRDefault="007824EE" w:rsidP="007824EE">
      <w:pPr>
        <w:jc w:val="center"/>
        <w:rPr>
          <w:rFonts w:ascii="Book Antiqua" w:hAnsi="Book Antiqua"/>
        </w:rPr>
      </w:pPr>
    </w:p>
    <w:p w14:paraId="7418B93B" w14:textId="77777777" w:rsidR="007824EE" w:rsidRDefault="007824EE" w:rsidP="007824EE">
      <w:pPr>
        <w:jc w:val="center"/>
        <w:rPr>
          <w:rFonts w:ascii="Book Antiqua" w:hAnsi="Book Antiqua"/>
        </w:rPr>
      </w:pPr>
    </w:p>
    <w:p w14:paraId="7386FE2C" w14:textId="77777777" w:rsidR="007824EE" w:rsidRDefault="007824EE" w:rsidP="007824EE">
      <w:pPr>
        <w:jc w:val="right"/>
        <w:rPr>
          <w:rFonts w:ascii="Book Antiqua" w:hAnsi="Book Antiqua"/>
          <w:color w:val="000000" w:themeColor="text1"/>
        </w:rPr>
      </w:pPr>
    </w:p>
    <w:p w14:paraId="1CD1D3D9" w14:textId="77777777" w:rsidR="007824EE" w:rsidRDefault="007824EE" w:rsidP="007824E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5B41D25" w14:textId="77777777" w:rsidR="00A77B3E" w:rsidRPr="008F20DF" w:rsidRDefault="00A77B3E" w:rsidP="008F20DF">
      <w:pPr>
        <w:snapToGrid w:val="0"/>
        <w:spacing w:line="360" w:lineRule="auto"/>
        <w:jc w:val="both"/>
        <w:rPr>
          <w:rFonts w:ascii="Book Antiqua" w:eastAsia="宋体" w:hAnsi="Book Antiqua"/>
        </w:rPr>
      </w:pPr>
      <w:bookmarkStart w:id="17" w:name="_GoBack"/>
      <w:bookmarkEnd w:id="17"/>
    </w:p>
    <w:sectPr w:rsidR="00A77B3E" w:rsidRPr="008F20DF" w:rsidSect="008F20DF">
      <w:type w:val="continuous"/>
      <w:pgSz w:w="14175"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AAB2A" w14:textId="77777777" w:rsidR="008B4ABF" w:rsidRDefault="008B4ABF" w:rsidP="008F20DF">
      <w:r>
        <w:separator/>
      </w:r>
    </w:p>
  </w:endnote>
  <w:endnote w:type="continuationSeparator" w:id="0">
    <w:p w14:paraId="0D96BADF" w14:textId="77777777" w:rsidR="008B4ABF" w:rsidRDefault="008B4ABF" w:rsidP="008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6236"/>
      <w:docPartObj>
        <w:docPartGallery w:val="Page Numbers (Bottom of Page)"/>
        <w:docPartUnique/>
      </w:docPartObj>
    </w:sdtPr>
    <w:sdtEndPr/>
    <w:sdtContent>
      <w:sdt>
        <w:sdtPr>
          <w:id w:val="-1769616900"/>
          <w:docPartObj>
            <w:docPartGallery w:val="Page Numbers (Top of Page)"/>
            <w:docPartUnique/>
          </w:docPartObj>
        </w:sdtPr>
        <w:sdtEndPr/>
        <w:sdtContent>
          <w:p w14:paraId="33A6A512" w14:textId="77777777" w:rsidR="008F20DF" w:rsidRDefault="008F20D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0847">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0847">
              <w:rPr>
                <w:b/>
                <w:bCs/>
                <w:noProof/>
              </w:rPr>
              <w:t>17</w:t>
            </w:r>
            <w:r>
              <w:rPr>
                <w:b/>
                <w:bCs/>
                <w:sz w:val="24"/>
                <w:szCs w:val="24"/>
              </w:rPr>
              <w:fldChar w:fldCharType="end"/>
            </w:r>
          </w:p>
        </w:sdtContent>
      </w:sdt>
    </w:sdtContent>
  </w:sdt>
  <w:p w14:paraId="1B177FB4" w14:textId="77777777" w:rsidR="008F20DF" w:rsidRDefault="008F20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70FF" w14:textId="77777777" w:rsidR="008B4ABF" w:rsidRDefault="008B4ABF" w:rsidP="008F20DF">
      <w:r>
        <w:separator/>
      </w:r>
    </w:p>
  </w:footnote>
  <w:footnote w:type="continuationSeparator" w:id="0">
    <w:p w14:paraId="562BB196" w14:textId="77777777" w:rsidR="008B4ABF" w:rsidRDefault="008B4ABF" w:rsidP="008F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D38"/>
    <w:rsid w:val="00086011"/>
    <w:rsid w:val="00086166"/>
    <w:rsid w:val="000967BF"/>
    <w:rsid w:val="000D4E8C"/>
    <w:rsid w:val="0022300C"/>
    <w:rsid w:val="002A6065"/>
    <w:rsid w:val="002C268C"/>
    <w:rsid w:val="0045498F"/>
    <w:rsid w:val="004608FB"/>
    <w:rsid w:val="004F2F28"/>
    <w:rsid w:val="00515095"/>
    <w:rsid w:val="00565ADD"/>
    <w:rsid w:val="005B353A"/>
    <w:rsid w:val="005B4422"/>
    <w:rsid w:val="00616AB3"/>
    <w:rsid w:val="0066324D"/>
    <w:rsid w:val="007824EE"/>
    <w:rsid w:val="00795554"/>
    <w:rsid w:val="007C558C"/>
    <w:rsid w:val="0081420F"/>
    <w:rsid w:val="008B4ABF"/>
    <w:rsid w:val="008D15FE"/>
    <w:rsid w:val="008F20DF"/>
    <w:rsid w:val="009B03C6"/>
    <w:rsid w:val="00A50FF5"/>
    <w:rsid w:val="00A77B3E"/>
    <w:rsid w:val="00A9181B"/>
    <w:rsid w:val="00AA7BDD"/>
    <w:rsid w:val="00AE2DD3"/>
    <w:rsid w:val="00C417CB"/>
    <w:rsid w:val="00C51303"/>
    <w:rsid w:val="00C5621B"/>
    <w:rsid w:val="00CA2A55"/>
    <w:rsid w:val="00D10847"/>
    <w:rsid w:val="00DA5B9B"/>
    <w:rsid w:val="00E6653A"/>
    <w:rsid w:val="00F229FD"/>
    <w:rsid w:val="00F27FC9"/>
    <w:rsid w:val="00F72005"/>
    <w:rsid w:val="00F75085"/>
    <w:rsid w:val="00FD0331"/>
    <w:rsid w:val="00FF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table" w:styleId="a3">
    <w:name w:val="Table Grid"/>
    <w:basedOn w:val="a1"/>
    <w:uiPriority w:val="39"/>
    <w:rsid w:val="0081420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F2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20DF"/>
    <w:rPr>
      <w:sz w:val="18"/>
      <w:szCs w:val="18"/>
    </w:rPr>
  </w:style>
  <w:style w:type="paragraph" w:styleId="a5">
    <w:name w:val="footer"/>
    <w:basedOn w:val="a"/>
    <w:link w:val="Char0"/>
    <w:uiPriority w:val="99"/>
    <w:unhideWhenUsed/>
    <w:rsid w:val="008F20DF"/>
    <w:pPr>
      <w:tabs>
        <w:tab w:val="center" w:pos="4153"/>
        <w:tab w:val="right" w:pos="8306"/>
      </w:tabs>
      <w:snapToGrid w:val="0"/>
    </w:pPr>
    <w:rPr>
      <w:sz w:val="18"/>
      <w:szCs w:val="18"/>
    </w:rPr>
  </w:style>
  <w:style w:type="character" w:customStyle="1" w:styleId="Char0">
    <w:name w:val="页脚 Char"/>
    <w:basedOn w:val="a0"/>
    <w:link w:val="a5"/>
    <w:uiPriority w:val="99"/>
    <w:rsid w:val="008F20DF"/>
    <w:rPr>
      <w:sz w:val="18"/>
      <w:szCs w:val="18"/>
    </w:rPr>
  </w:style>
  <w:style w:type="character" w:styleId="a6">
    <w:name w:val="annotation reference"/>
    <w:basedOn w:val="a0"/>
    <w:semiHidden/>
    <w:unhideWhenUsed/>
    <w:rsid w:val="005B353A"/>
    <w:rPr>
      <w:sz w:val="21"/>
      <w:szCs w:val="21"/>
    </w:rPr>
  </w:style>
  <w:style w:type="paragraph" w:styleId="a7">
    <w:name w:val="annotation text"/>
    <w:basedOn w:val="a"/>
    <w:link w:val="Char1"/>
    <w:semiHidden/>
    <w:unhideWhenUsed/>
    <w:rsid w:val="005B353A"/>
  </w:style>
  <w:style w:type="character" w:customStyle="1" w:styleId="Char1">
    <w:name w:val="批注文字 Char"/>
    <w:basedOn w:val="a0"/>
    <w:link w:val="a7"/>
    <w:semiHidden/>
    <w:rsid w:val="005B353A"/>
    <w:rPr>
      <w:sz w:val="24"/>
      <w:szCs w:val="24"/>
    </w:rPr>
  </w:style>
  <w:style w:type="paragraph" w:styleId="a8">
    <w:name w:val="annotation subject"/>
    <w:basedOn w:val="a7"/>
    <w:next w:val="a7"/>
    <w:link w:val="Char2"/>
    <w:semiHidden/>
    <w:unhideWhenUsed/>
    <w:rsid w:val="005B353A"/>
    <w:rPr>
      <w:b/>
      <w:bCs/>
    </w:rPr>
  </w:style>
  <w:style w:type="character" w:customStyle="1" w:styleId="Char2">
    <w:name w:val="批注主题 Char"/>
    <w:basedOn w:val="Char1"/>
    <w:link w:val="a8"/>
    <w:semiHidden/>
    <w:rsid w:val="005B353A"/>
    <w:rPr>
      <w:b/>
      <w:bCs/>
      <w:sz w:val="24"/>
      <w:szCs w:val="24"/>
    </w:rPr>
  </w:style>
  <w:style w:type="paragraph" w:styleId="a9">
    <w:name w:val="Revision"/>
    <w:hidden/>
    <w:uiPriority w:val="99"/>
    <w:semiHidden/>
    <w:rsid w:val="005B353A"/>
    <w:rPr>
      <w:sz w:val="24"/>
      <w:szCs w:val="24"/>
    </w:rPr>
  </w:style>
  <w:style w:type="paragraph" w:styleId="aa">
    <w:name w:val="Balloon Text"/>
    <w:basedOn w:val="a"/>
    <w:link w:val="Char3"/>
    <w:semiHidden/>
    <w:unhideWhenUsed/>
    <w:rsid w:val="005B353A"/>
    <w:rPr>
      <w:sz w:val="18"/>
      <w:szCs w:val="18"/>
    </w:rPr>
  </w:style>
  <w:style w:type="character" w:customStyle="1" w:styleId="Char3">
    <w:name w:val="批注框文本 Char"/>
    <w:basedOn w:val="a0"/>
    <w:link w:val="aa"/>
    <w:semiHidden/>
    <w:rsid w:val="005B35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table" w:styleId="a3">
    <w:name w:val="Table Grid"/>
    <w:basedOn w:val="a1"/>
    <w:uiPriority w:val="39"/>
    <w:rsid w:val="0081420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F2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20DF"/>
    <w:rPr>
      <w:sz w:val="18"/>
      <w:szCs w:val="18"/>
    </w:rPr>
  </w:style>
  <w:style w:type="paragraph" w:styleId="a5">
    <w:name w:val="footer"/>
    <w:basedOn w:val="a"/>
    <w:link w:val="Char0"/>
    <w:uiPriority w:val="99"/>
    <w:unhideWhenUsed/>
    <w:rsid w:val="008F20DF"/>
    <w:pPr>
      <w:tabs>
        <w:tab w:val="center" w:pos="4153"/>
        <w:tab w:val="right" w:pos="8306"/>
      </w:tabs>
      <w:snapToGrid w:val="0"/>
    </w:pPr>
    <w:rPr>
      <w:sz w:val="18"/>
      <w:szCs w:val="18"/>
    </w:rPr>
  </w:style>
  <w:style w:type="character" w:customStyle="1" w:styleId="Char0">
    <w:name w:val="页脚 Char"/>
    <w:basedOn w:val="a0"/>
    <w:link w:val="a5"/>
    <w:uiPriority w:val="99"/>
    <w:rsid w:val="008F20DF"/>
    <w:rPr>
      <w:sz w:val="18"/>
      <w:szCs w:val="18"/>
    </w:rPr>
  </w:style>
  <w:style w:type="character" w:styleId="a6">
    <w:name w:val="annotation reference"/>
    <w:basedOn w:val="a0"/>
    <w:semiHidden/>
    <w:unhideWhenUsed/>
    <w:rsid w:val="005B353A"/>
    <w:rPr>
      <w:sz w:val="21"/>
      <w:szCs w:val="21"/>
    </w:rPr>
  </w:style>
  <w:style w:type="paragraph" w:styleId="a7">
    <w:name w:val="annotation text"/>
    <w:basedOn w:val="a"/>
    <w:link w:val="Char1"/>
    <w:semiHidden/>
    <w:unhideWhenUsed/>
    <w:rsid w:val="005B353A"/>
  </w:style>
  <w:style w:type="character" w:customStyle="1" w:styleId="Char1">
    <w:name w:val="批注文字 Char"/>
    <w:basedOn w:val="a0"/>
    <w:link w:val="a7"/>
    <w:semiHidden/>
    <w:rsid w:val="005B353A"/>
    <w:rPr>
      <w:sz w:val="24"/>
      <w:szCs w:val="24"/>
    </w:rPr>
  </w:style>
  <w:style w:type="paragraph" w:styleId="a8">
    <w:name w:val="annotation subject"/>
    <w:basedOn w:val="a7"/>
    <w:next w:val="a7"/>
    <w:link w:val="Char2"/>
    <w:semiHidden/>
    <w:unhideWhenUsed/>
    <w:rsid w:val="005B353A"/>
    <w:rPr>
      <w:b/>
      <w:bCs/>
    </w:rPr>
  </w:style>
  <w:style w:type="character" w:customStyle="1" w:styleId="Char2">
    <w:name w:val="批注主题 Char"/>
    <w:basedOn w:val="Char1"/>
    <w:link w:val="a8"/>
    <w:semiHidden/>
    <w:rsid w:val="005B353A"/>
    <w:rPr>
      <w:b/>
      <w:bCs/>
      <w:sz w:val="24"/>
      <w:szCs w:val="24"/>
    </w:rPr>
  </w:style>
  <w:style w:type="paragraph" w:styleId="a9">
    <w:name w:val="Revision"/>
    <w:hidden/>
    <w:uiPriority w:val="99"/>
    <w:semiHidden/>
    <w:rsid w:val="005B353A"/>
    <w:rPr>
      <w:sz w:val="24"/>
      <w:szCs w:val="24"/>
    </w:rPr>
  </w:style>
  <w:style w:type="paragraph" w:styleId="aa">
    <w:name w:val="Balloon Text"/>
    <w:basedOn w:val="a"/>
    <w:link w:val="Char3"/>
    <w:semiHidden/>
    <w:unhideWhenUsed/>
    <w:rsid w:val="005B353A"/>
    <w:rPr>
      <w:sz w:val="18"/>
      <w:szCs w:val="18"/>
    </w:rPr>
  </w:style>
  <w:style w:type="character" w:customStyle="1" w:styleId="Char3">
    <w:name w:val="批注框文本 Char"/>
    <w:basedOn w:val="a0"/>
    <w:link w:val="aa"/>
    <w:semiHidden/>
    <w:rsid w:val="005B35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1446">
      <w:bodyDiv w:val="1"/>
      <w:marLeft w:val="0"/>
      <w:marRight w:val="0"/>
      <w:marTop w:val="0"/>
      <w:marBottom w:val="0"/>
      <w:divBdr>
        <w:top w:val="none" w:sz="0" w:space="0" w:color="auto"/>
        <w:left w:val="none" w:sz="0" w:space="0" w:color="auto"/>
        <w:bottom w:val="none" w:sz="0" w:space="0" w:color="auto"/>
        <w:right w:val="none" w:sz="0" w:space="0" w:color="auto"/>
      </w:divBdr>
    </w:div>
    <w:div w:id="98562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9</cp:revision>
  <dcterms:created xsi:type="dcterms:W3CDTF">2021-03-27T09:58:00Z</dcterms:created>
  <dcterms:modified xsi:type="dcterms:W3CDTF">2021-04-21T06:52:00Z</dcterms:modified>
</cp:coreProperties>
</file>