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F614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Name of Journal: </w:t>
      </w:r>
      <w:r w:rsidRPr="00482086">
        <w:rPr>
          <w:rFonts w:ascii="Book Antiqua" w:eastAsia="Book Antiqua" w:hAnsi="Book Antiqua" w:cs="Book Antiqua"/>
          <w:i/>
          <w:color w:val="000000"/>
        </w:rPr>
        <w:t>World Journal of Clinical Cases</w:t>
      </w:r>
    </w:p>
    <w:p w14:paraId="28D31AB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NO: </w:t>
      </w:r>
      <w:r w:rsidRPr="00482086">
        <w:rPr>
          <w:rFonts w:ascii="Book Antiqua" w:eastAsia="Book Antiqua" w:hAnsi="Book Antiqua" w:cs="Book Antiqua"/>
          <w:color w:val="000000"/>
        </w:rPr>
        <w:t>64563</w:t>
      </w:r>
    </w:p>
    <w:p w14:paraId="45B57E81"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Type: </w:t>
      </w:r>
      <w:r w:rsidRPr="00482086">
        <w:rPr>
          <w:rFonts w:ascii="Book Antiqua" w:eastAsia="Book Antiqua" w:hAnsi="Book Antiqua" w:cs="Book Antiqua"/>
          <w:color w:val="000000"/>
        </w:rPr>
        <w:t>CASE REPORT</w:t>
      </w:r>
    </w:p>
    <w:p w14:paraId="5EC2FD64" w14:textId="77777777" w:rsidR="00A77B3E" w:rsidRPr="00482086" w:rsidRDefault="00A77B3E" w:rsidP="00482086">
      <w:pPr>
        <w:spacing w:line="360" w:lineRule="auto"/>
        <w:jc w:val="both"/>
        <w:rPr>
          <w:rFonts w:ascii="Book Antiqua" w:hAnsi="Book Antiqua"/>
        </w:rPr>
      </w:pPr>
    </w:p>
    <w:p w14:paraId="797FE00F" w14:textId="108A50F9"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Neuromuscular electrical stimulation for a dysphagic stroke patient with</w:t>
      </w:r>
      <w:r w:rsidR="00CE42ED">
        <w:rPr>
          <w:rFonts w:ascii="Book Antiqua" w:eastAsia="Book Antiqua" w:hAnsi="Book Antiqua" w:cs="Book Antiqua"/>
          <w:b/>
          <w:color w:val="000000"/>
        </w:rPr>
        <w:t xml:space="preserve"> </w:t>
      </w:r>
      <w:r w:rsidRPr="00482086">
        <w:rPr>
          <w:rFonts w:ascii="Book Antiqua" w:eastAsia="Book Antiqua" w:hAnsi="Book Antiqua" w:cs="Book Antiqua"/>
          <w:b/>
          <w:color w:val="000000"/>
        </w:rPr>
        <w:t>cardiac pacemaker using magnet mode change: A case report</w:t>
      </w:r>
    </w:p>
    <w:p w14:paraId="39C38D85" w14:textId="77777777" w:rsidR="00A77B3E" w:rsidRPr="00482086" w:rsidRDefault="00A77B3E" w:rsidP="00482086">
      <w:pPr>
        <w:spacing w:line="360" w:lineRule="auto"/>
        <w:jc w:val="both"/>
        <w:rPr>
          <w:rFonts w:ascii="Book Antiqua" w:hAnsi="Book Antiqua"/>
        </w:rPr>
      </w:pPr>
    </w:p>
    <w:p w14:paraId="1E18FAB7" w14:textId="22D4C292" w:rsidR="00A77B3E" w:rsidRPr="00482086" w:rsidRDefault="00745550" w:rsidP="00482086">
      <w:pPr>
        <w:spacing w:line="360" w:lineRule="auto"/>
        <w:jc w:val="both"/>
        <w:rPr>
          <w:rFonts w:ascii="Book Antiqua" w:hAnsi="Book Antiqua"/>
        </w:rPr>
      </w:pPr>
      <w:r w:rsidRPr="00482086">
        <w:rPr>
          <w:rFonts w:ascii="Book Antiqua" w:eastAsia="Book Antiqua" w:hAnsi="Book Antiqua" w:cs="Book Antiqua"/>
          <w:color w:val="000000"/>
        </w:rPr>
        <w:t xml:space="preserve">Kim </w:t>
      </w:r>
      <w:r w:rsidR="007E5D8A">
        <w:rPr>
          <w:rFonts w:ascii="Book Antiqua" w:eastAsia="Book Antiqua" w:hAnsi="Book Antiqua" w:cs="Book Antiqua"/>
          <w:color w:val="000000"/>
        </w:rPr>
        <w:t xml:space="preserve">M </w:t>
      </w:r>
      <w:r w:rsidRPr="00482086">
        <w:rPr>
          <w:rFonts w:ascii="Book Antiqua" w:eastAsia="Book Antiqua" w:hAnsi="Book Antiqua" w:cs="Book Antiqua"/>
          <w:i/>
          <w:iCs/>
          <w:color w:val="000000"/>
        </w:rPr>
        <w:t>et al</w:t>
      </w:r>
      <w:r w:rsidR="007E5D8A">
        <w:rPr>
          <w:rFonts w:ascii="Book Antiqua" w:eastAsia="Book Antiqua" w:hAnsi="Book Antiqua" w:cs="Book Antiqua"/>
          <w:color w:val="000000"/>
        </w:rPr>
        <w:t>.</w:t>
      </w:r>
      <w:r w:rsidRPr="00482086">
        <w:rPr>
          <w:rFonts w:ascii="Book Antiqua" w:eastAsia="Book Antiqua" w:hAnsi="Book Antiqua" w:cs="Book Antiqua"/>
          <w:color w:val="000000"/>
        </w:rPr>
        <w:t xml:space="preserve"> </w:t>
      </w:r>
      <w:r w:rsidR="00FA517A" w:rsidRPr="00482086">
        <w:rPr>
          <w:rFonts w:ascii="Book Antiqua" w:eastAsia="Book Antiqua" w:hAnsi="Book Antiqua" w:cs="Book Antiqua"/>
          <w:color w:val="000000"/>
        </w:rPr>
        <w:t>Applying magnet on pacemaker for safe NMES</w:t>
      </w:r>
    </w:p>
    <w:p w14:paraId="3F56F853" w14:textId="77777777" w:rsidR="00A77B3E" w:rsidRPr="00482086" w:rsidRDefault="00A77B3E" w:rsidP="00482086">
      <w:pPr>
        <w:spacing w:line="360" w:lineRule="auto"/>
        <w:jc w:val="both"/>
        <w:rPr>
          <w:rFonts w:ascii="Book Antiqua" w:hAnsi="Book Antiqua"/>
        </w:rPr>
      </w:pPr>
    </w:p>
    <w:p w14:paraId="06816AB0"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color w:val="000000"/>
        </w:rPr>
        <w:t>Myeongkyu</w:t>
      </w:r>
      <w:proofErr w:type="spellEnd"/>
      <w:r w:rsidRPr="00482086">
        <w:rPr>
          <w:rFonts w:ascii="Book Antiqua" w:eastAsia="Book Antiqua" w:hAnsi="Book Antiqua" w:cs="Book Antiqua"/>
          <w:color w:val="000000"/>
        </w:rPr>
        <w:t xml:space="preserve"> Kim, </w:t>
      </w:r>
      <w:proofErr w:type="spellStart"/>
      <w:r w:rsidRPr="00482086">
        <w:rPr>
          <w:rFonts w:ascii="Book Antiqua" w:eastAsia="Book Antiqua" w:hAnsi="Book Antiqua" w:cs="Book Antiqua"/>
          <w:color w:val="000000"/>
        </w:rPr>
        <w:t>Jin</w:t>
      </w:r>
      <w:proofErr w:type="spellEnd"/>
      <w:r w:rsidRPr="00482086">
        <w:rPr>
          <w:rFonts w:ascii="Book Antiqua" w:eastAsia="Book Antiqua" w:hAnsi="Book Antiqua" w:cs="Book Antiqua"/>
          <w:color w:val="000000"/>
        </w:rPr>
        <w:t>-Kyu Park, Ji Young Lee, Mi Jung Kim</w:t>
      </w:r>
    </w:p>
    <w:p w14:paraId="2DE68FF2" w14:textId="77777777" w:rsidR="00A77B3E" w:rsidRPr="00482086" w:rsidRDefault="00A77B3E" w:rsidP="00482086">
      <w:pPr>
        <w:spacing w:line="360" w:lineRule="auto"/>
        <w:jc w:val="both"/>
        <w:rPr>
          <w:rFonts w:ascii="Book Antiqua" w:hAnsi="Book Antiqua"/>
        </w:rPr>
      </w:pPr>
    </w:p>
    <w:p w14:paraId="012CFEA0"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b/>
          <w:bCs/>
          <w:color w:val="000000"/>
        </w:rPr>
        <w:t>Myeongkyu</w:t>
      </w:r>
      <w:proofErr w:type="spellEnd"/>
      <w:r w:rsidRPr="00482086">
        <w:rPr>
          <w:rFonts w:ascii="Book Antiqua" w:eastAsia="Book Antiqua" w:hAnsi="Book Antiqua" w:cs="Book Antiqua"/>
          <w:b/>
          <w:bCs/>
          <w:color w:val="000000"/>
        </w:rPr>
        <w:t xml:space="preserve"> Kim, Mi Jung Kim, </w:t>
      </w:r>
      <w:r w:rsidRPr="00482086">
        <w:rPr>
          <w:rFonts w:ascii="Book Antiqua" w:eastAsia="Book Antiqua" w:hAnsi="Book Antiqua" w:cs="Book Antiqua"/>
          <w:color w:val="000000"/>
        </w:rPr>
        <w:t xml:space="preserve">Department of Rehabilitation Medicine,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3630ED15" w14:textId="77777777" w:rsidR="00A77B3E" w:rsidRPr="00482086" w:rsidRDefault="00A77B3E" w:rsidP="00482086">
      <w:pPr>
        <w:spacing w:line="360" w:lineRule="auto"/>
        <w:jc w:val="both"/>
        <w:rPr>
          <w:rFonts w:ascii="Book Antiqua" w:hAnsi="Book Antiqua"/>
        </w:rPr>
      </w:pPr>
    </w:p>
    <w:p w14:paraId="0E0417DF"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b/>
          <w:bCs/>
          <w:color w:val="000000"/>
        </w:rPr>
        <w:t>Jin</w:t>
      </w:r>
      <w:proofErr w:type="spellEnd"/>
      <w:r w:rsidRPr="00482086">
        <w:rPr>
          <w:rFonts w:ascii="Book Antiqua" w:eastAsia="Book Antiqua" w:hAnsi="Book Antiqua" w:cs="Book Antiqua"/>
          <w:b/>
          <w:bCs/>
          <w:color w:val="000000"/>
        </w:rPr>
        <w:t xml:space="preserve">-Kyu Park, </w:t>
      </w:r>
      <w:r w:rsidRPr="00482086">
        <w:rPr>
          <w:rFonts w:ascii="Book Antiqua" w:eastAsia="Book Antiqua" w:hAnsi="Book Antiqua" w:cs="Book Antiqua"/>
          <w:color w:val="000000"/>
        </w:rPr>
        <w:t xml:space="preserve">Department of Internal </w:t>
      </w:r>
      <w:r w:rsidRPr="0003523A">
        <w:rPr>
          <w:rFonts w:ascii="Book Antiqua" w:eastAsia="Book Antiqua" w:hAnsi="Book Antiqua" w:cs="Book Antiqua"/>
          <w:caps/>
          <w:color w:val="000000"/>
        </w:rPr>
        <w:t>m</w:t>
      </w:r>
      <w:r w:rsidRPr="00482086">
        <w:rPr>
          <w:rFonts w:ascii="Book Antiqua" w:eastAsia="Book Antiqua" w:hAnsi="Book Antiqua" w:cs="Book Antiqua"/>
          <w:color w:val="000000"/>
        </w:rPr>
        <w:t xml:space="preserve">edicine-Cardiology,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4E1491C4" w14:textId="77777777" w:rsidR="00A77B3E" w:rsidRPr="00482086" w:rsidRDefault="00A77B3E" w:rsidP="00482086">
      <w:pPr>
        <w:spacing w:line="360" w:lineRule="auto"/>
        <w:jc w:val="both"/>
        <w:rPr>
          <w:rFonts w:ascii="Book Antiqua" w:hAnsi="Book Antiqua"/>
        </w:rPr>
      </w:pPr>
    </w:p>
    <w:p w14:paraId="0628D82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Ji Young Lee, </w:t>
      </w:r>
      <w:r w:rsidRPr="00482086">
        <w:rPr>
          <w:rFonts w:ascii="Book Antiqua" w:eastAsia="Book Antiqua" w:hAnsi="Book Antiqua" w:cs="Book Antiqua"/>
          <w:color w:val="000000"/>
        </w:rPr>
        <w:t xml:space="preserve">Department of Radiology,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67FA3D97" w14:textId="77777777" w:rsidR="00A77B3E" w:rsidRPr="00482086" w:rsidRDefault="00A77B3E" w:rsidP="00482086">
      <w:pPr>
        <w:spacing w:line="360" w:lineRule="auto"/>
        <w:jc w:val="both"/>
        <w:rPr>
          <w:rFonts w:ascii="Book Antiqua" w:hAnsi="Book Antiqua"/>
        </w:rPr>
      </w:pPr>
    </w:p>
    <w:p w14:paraId="0619C4B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Author contributions: </w:t>
      </w:r>
      <w:r w:rsidRPr="00482086">
        <w:rPr>
          <w:rFonts w:ascii="Book Antiqua" w:eastAsia="Book Antiqua" w:hAnsi="Book Antiqua" w:cs="Book Antiqua"/>
          <w:color w:val="000000"/>
        </w:rPr>
        <w:t>Kim M and Kim MJ contributed the conceptualization; Kim M wrote original draft preparation; Park JK, Lee JY reviewed the literature and contributed to manuscript drafting; Lee JY analyzed and interpreted the imaging findings; Kim MJ edited the manuscript; Kim MJ was responsible for the revision of the manuscript for important intellectual content; all authors issued final approval for the version to be submitted.</w:t>
      </w:r>
    </w:p>
    <w:p w14:paraId="259D5C4E" w14:textId="77777777" w:rsidR="00A77B3E" w:rsidRPr="00482086" w:rsidRDefault="00A77B3E" w:rsidP="00482086">
      <w:pPr>
        <w:spacing w:line="360" w:lineRule="auto"/>
        <w:jc w:val="both"/>
        <w:rPr>
          <w:rFonts w:ascii="Book Antiqua" w:hAnsi="Book Antiqua"/>
        </w:rPr>
      </w:pPr>
    </w:p>
    <w:p w14:paraId="20EAE76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lastRenderedPageBreak/>
        <w:t xml:space="preserve">Corresponding author: Mi Jung Kim, MD, PhD, Professor, </w:t>
      </w:r>
      <w:r w:rsidRPr="00482086">
        <w:rPr>
          <w:rFonts w:ascii="Book Antiqua" w:eastAsia="Book Antiqua" w:hAnsi="Book Antiqua" w:cs="Book Antiqua"/>
          <w:color w:val="000000"/>
        </w:rPr>
        <w:t xml:space="preserve">Department of Rehabilitation Medicine,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222-1, </w:t>
      </w:r>
      <w:proofErr w:type="spellStart"/>
      <w:r w:rsidRPr="00482086">
        <w:rPr>
          <w:rFonts w:ascii="Book Antiqua" w:eastAsia="Book Antiqua" w:hAnsi="Book Antiqua" w:cs="Book Antiqua"/>
          <w:color w:val="000000"/>
        </w:rPr>
        <w:t>Wangsimni-ro</w:t>
      </w:r>
      <w:proofErr w:type="spellEnd"/>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Seongdong-gu</w:t>
      </w:r>
      <w:proofErr w:type="spellEnd"/>
      <w:r w:rsidRPr="00482086">
        <w:rPr>
          <w:rFonts w:ascii="Book Antiqua" w:eastAsia="Book Antiqua" w:hAnsi="Book Antiqua" w:cs="Book Antiqua"/>
          <w:color w:val="000000"/>
        </w:rPr>
        <w:t>, Seoul 04763, South Korea. kimmjreh@hanyang.ac.kr</w:t>
      </w:r>
    </w:p>
    <w:p w14:paraId="6EBCA77F" w14:textId="77777777" w:rsidR="00A77B3E" w:rsidRPr="00482086" w:rsidRDefault="00A77B3E" w:rsidP="00482086">
      <w:pPr>
        <w:spacing w:line="360" w:lineRule="auto"/>
        <w:jc w:val="both"/>
        <w:rPr>
          <w:rFonts w:ascii="Book Antiqua" w:hAnsi="Book Antiqua"/>
        </w:rPr>
      </w:pPr>
    </w:p>
    <w:p w14:paraId="567292B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Received: </w:t>
      </w:r>
      <w:r w:rsidRPr="00482086">
        <w:rPr>
          <w:rFonts w:ascii="Book Antiqua" w:eastAsia="Book Antiqua" w:hAnsi="Book Antiqua" w:cs="Book Antiqua"/>
          <w:color w:val="000000"/>
        </w:rPr>
        <w:t>February 22, 2021</w:t>
      </w:r>
    </w:p>
    <w:p w14:paraId="04747A8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Revised: </w:t>
      </w:r>
      <w:r w:rsidRPr="00482086">
        <w:rPr>
          <w:rFonts w:ascii="Book Antiqua" w:eastAsia="Book Antiqua" w:hAnsi="Book Antiqua" w:cs="Book Antiqua"/>
          <w:color w:val="000000"/>
        </w:rPr>
        <w:t>April 17, 2021</w:t>
      </w:r>
    </w:p>
    <w:p w14:paraId="038DA8BF" w14:textId="0A4D58E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Accepted: </w:t>
      </w:r>
      <w:r w:rsidR="00685265" w:rsidRPr="00685265">
        <w:rPr>
          <w:rFonts w:ascii="Book Antiqua" w:eastAsia="Book Antiqua" w:hAnsi="Book Antiqua" w:cs="Book Antiqua"/>
          <w:color w:val="000000"/>
        </w:rPr>
        <w:t>May 15, 2021</w:t>
      </w:r>
    </w:p>
    <w:p w14:paraId="6C8F6C1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Published online: </w:t>
      </w:r>
    </w:p>
    <w:p w14:paraId="5532C436" w14:textId="77777777" w:rsidR="00A77B3E" w:rsidRPr="00482086" w:rsidRDefault="00A77B3E" w:rsidP="00482086">
      <w:pPr>
        <w:spacing w:line="360" w:lineRule="auto"/>
        <w:jc w:val="both"/>
        <w:rPr>
          <w:rFonts w:ascii="Book Antiqua" w:hAnsi="Book Antiqua"/>
        </w:rPr>
        <w:sectPr w:rsidR="00A77B3E" w:rsidRPr="00482086">
          <w:footerReference w:type="default" r:id="rId6"/>
          <w:pgSz w:w="12240" w:h="15840"/>
          <w:pgMar w:top="1440" w:right="1440" w:bottom="1440" w:left="1440" w:header="720" w:footer="720" w:gutter="0"/>
          <w:cols w:space="720"/>
          <w:docGrid w:linePitch="360"/>
        </w:sectPr>
      </w:pPr>
    </w:p>
    <w:p w14:paraId="179E304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lastRenderedPageBreak/>
        <w:t>Abstract</w:t>
      </w:r>
    </w:p>
    <w:p w14:paraId="2AADB88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BACKGROUND</w:t>
      </w:r>
    </w:p>
    <w:p w14:paraId="658DE6F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Electromagnetic interference (EMI), means disturbance to the operation of implanted electrical devices caused by external sources. If cardiac pacemaker is implanted into the body, the risk of EMI should be considered when performing neuromuscular electrical stimulation (NMES). So far, no case has been reported that clinical magnets are used to safely manage the EMI risk of patients with cardiac pacemaker in NMES.</w:t>
      </w:r>
    </w:p>
    <w:p w14:paraId="0FE37C16" w14:textId="77777777" w:rsidR="00A77B3E" w:rsidRPr="00482086" w:rsidRDefault="00A77B3E" w:rsidP="00482086">
      <w:pPr>
        <w:spacing w:line="360" w:lineRule="auto"/>
        <w:jc w:val="both"/>
        <w:rPr>
          <w:rFonts w:ascii="Book Antiqua" w:hAnsi="Book Antiqua"/>
        </w:rPr>
      </w:pPr>
    </w:p>
    <w:p w14:paraId="251C1B5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CASE SUMMARY</w:t>
      </w:r>
    </w:p>
    <w:p w14:paraId="425230D9"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A 72-year-old male with swallowing disorder due to pure motor lacunar syndrome was transferred to rehabilitation department six days after the symptom onset. EMI risk needed be considered when implementing NMES on pharyngeal muscles, since cardiac pacemaker was implanted on his left chest due to the sick sinus syndrome. In the first NMES, the function of the pacemaker was directly monitored using telemetric instruments. From the second day, by a simple method of placing a magnet on the pacemaker, we chose to move the pacemaker into a mode that the device was not influenced by external stimulus. This magnet method has been used repeatedly for a year for the safe NMES treatment. We could remove Levin tube four months after the initial symptom and dysphagia related symptoms had not been noted during two-year follow-up period.</w:t>
      </w:r>
    </w:p>
    <w:p w14:paraId="6628D6E9" w14:textId="77777777" w:rsidR="00A77B3E" w:rsidRPr="00482086" w:rsidRDefault="00A77B3E" w:rsidP="00482086">
      <w:pPr>
        <w:spacing w:line="360" w:lineRule="auto"/>
        <w:jc w:val="both"/>
        <w:rPr>
          <w:rFonts w:ascii="Book Antiqua" w:hAnsi="Book Antiqua"/>
        </w:rPr>
      </w:pPr>
    </w:p>
    <w:p w14:paraId="47C99FE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CONCLUSION</w:t>
      </w:r>
    </w:p>
    <w:p w14:paraId="1D094DE5"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This report is the first case of dysphagia rehabilitation that EMI risk was handled using mode change of pacemaker with magnet. This method is unfamiliar to doctors, but safe and easy approach. This paper could be guidance for clinicians who need to treat patients with EMI risk.</w:t>
      </w:r>
    </w:p>
    <w:p w14:paraId="08FE1B44" w14:textId="77777777" w:rsidR="00A77B3E" w:rsidRPr="00482086" w:rsidRDefault="00A77B3E" w:rsidP="00482086">
      <w:pPr>
        <w:spacing w:line="360" w:lineRule="auto"/>
        <w:jc w:val="both"/>
        <w:rPr>
          <w:rFonts w:ascii="Book Antiqua" w:hAnsi="Book Antiqua"/>
        </w:rPr>
      </w:pPr>
    </w:p>
    <w:p w14:paraId="1768C7B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Key Words: </w:t>
      </w:r>
      <w:r w:rsidRPr="00482086">
        <w:rPr>
          <w:rFonts w:ascii="Book Antiqua" w:eastAsia="Book Antiqua" w:hAnsi="Book Antiqua" w:cs="Book Antiqua"/>
          <w:color w:val="000000"/>
        </w:rPr>
        <w:t>Dysphagia rehabilitation; Electromagnetic interference; Neuromuscular electrical stimulation; Pacemaker; Magnet; Case report</w:t>
      </w:r>
    </w:p>
    <w:p w14:paraId="29C259F3" w14:textId="77777777" w:rsidR="00A77B3E" w:rsidRPr="00482086" w:rsidRDefault="00A77B3E" w:rsidP="00482086">
      <w:pPr>
        <w:spacing w:line="360" w:lineRule="auto"/>
        <w:jc w:val="both"/>
        <w:rPr>
          <w:rFonts w:ascii="Book Antiqua" w:hAnsi="Book Antiqua"/>
        </w:rPr>
      </w:pPr>
    </w:p>
    <w:p w14:paraId="20018809" w14:textId="79A98D96"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Kim M, Park JK, Lee JY, Kim MJ. Neuromuscular electrical stimulation for a dysphagic stroke patient with</w:t>
      </w:r>
      <w:r w:rsidR="00CE42ED">
        <w:rPr>
          <w:rFonts w:ascii="Book Antiqua" w:eastAsia="Book Antiqua" w:hAnsi="Book Antiqua" w:cs="Book Antiqua"/>
          <w:color w:val="000000"/>
        </w:rPr>
        <w:t xml:space="preserve"> </w:t>
      </w:r>
      <w:r w:rsidRPr="00482086">
        <w:rPr>
          <w:rFonts w:ascii="Book Antiqua" w:eastAsia="Book Antiqua" w:hAnsi="Book Antiqua" w:cs="Book Antiqua"/>
          <w:color w:val="000000"/>
        </w:rPr>
        <w:t xml:space="preserve">cardiac pacemaker using magnet mode change: A case report. </w:t>
      </w:r>
      <w:r w:rsidRPr="00482086">
        <w:rPr>
          <w:rFonts w:ascii="Book Antiqua" w:eastAsia="Book Antiqua" w:hAnsi="Book Antiqua" w:cs="Book Antiqua"/>
          <w:i/>
          <w:iCs/>
          <w:color w:val="000000"/>
        </w:rPr>
        <w:t>World J Clin Cases</w:t>
      </w:r>
      <w:r w:rsidRPr="00482086">
        <w:rPr>
          <w:rFonts w:ascii="Book Antiqua" w:eastAsia="Book Antiqua" w:hAnsi="Book Antiqua" w:cs="Book Antiqua"/>
          <w:color w:val="000000"/>
        </w:rPr>
        <w:t xml:space="preserve"> 2021; In press</w:t>
      </w:r>
    </w:p>
    <w:p w14:paraId="75CC830E" w14:textId="77777777" w:rsidR="00A77B3E" w:rsidRPr="00482086" w:rsidRDefault="00A77B3E" w:rsidP="00482086">
      <w:pPr>
        <w:spacing w:line="360" w:lineRule="auto"/>
        <w:jc w:val="both"/>
        <w:rPr>
          <w:rFonts w:ascii="Book Antiqua" w:hAnsi="Book Antiqua"/>
        </w:rPr>
      </w:pPr>
    </w:p>
    <w:p w14:paraId="41CC9C5C" w14:textId="70035B5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Core Tip: </w:t>
      </w:r>
      <w:r w:rsidRPr="00482086">
        <w:rPr>
          <w:rFonts w:ascii="Book Antiqua" w:eastAsia="Book Antiqua" w:hAnsi="Book Antiqua" w:cs="Book Antiqua"/>
          <w:color w:val="000000"/>
        </w:rPr>
        <w:t>Electromagnetic interference (EMI), means disturbance generated by external source to implanted devices’ function. It should be considered when conducting neuromuscular electrical stimulation to patient with cardiac pacemaker. In this paper, we reported that mode change using magnet allowed us to safely perform dysphagia rehabilitation and manage EMI risk in stroke patient with cardiac pacemaker. This approach is unfamiliar to physicians, but we hope that this paper could be guidance for clinicians who need to treat patients with risk above.</w:t>
      </w:r>
    </w:p>
    <w:p w14:paraId="61973B07" w14:textId="77777777" w:rsidR="00A77B3E" w:rsidRPr="00482086" w:rsidRDefault="00A77B3E" w:rsidP="00482086">
      <w:pPr>
        <w:spacing w:line="360" w:lineRule="auto"/>
        <w:jc w:val="both"/>
        <w:rPr>
          <w:rFonts w:ascii="Book Antiqua" w:hAnsi="Book Antiqua"/>
        </w:rPr>
      </w:pPr>
    </w:p>
    <w:p w14:paraId="01C071E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INTRODUCTION</w:t>
      </w:r>
    </w:p>
    <w:p w14:paraId="4EDF910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Electromagnetic interference (EMI), in medical field, means disturbance generated by external source to implanted electrical devices’ function. It should be taken into account when medical practice has a possible risk of </w:t>
      </w:r>
      <w:proofErr w:type="gramStart"/>
      <w:r w:rsidRPr="00482086">
        <w:rPr>
          <w:rFonts w:ascii="Book Antiqua" w:eastAsia="Book Antiqua" w:hAnsi="Book Antiqua" w:cs="Book Antiqua"/>
          <w:color w:val="000000"/>
        </w:rPr>
        <w:t>EMI</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xml:space="preserve">. Cardiac pacemaker or implantable cardioverter defibrillator (ICD) may misinterpret EMI as emergency condition and make inappropriate response. The interference sources can be extracorporeal shock-wave lithotripsy, magnetic resonance imaging, electrocauterization, microwave diathermy, radiofrequency ablation, electrical dental devices, and electrolysis, </w:t>
      </w:r>
      <w:proofErr w:type="spellStart"/>
      <w:proofErr w:type="gramStart"/>
      <w:r w:rsidRPr="00482086">
        <w:rPr>
          <w:rFonts w:ascii="Book Antiqua" w:eastAsia="Book Antiqua" w:hAnsi="Book Antiqua" w:cs="Book Antiqua"/>
          <w:i/>
          <w:iCs/>
          <w:color w:val="000000"/>
        </w:rPr>
        <w:t>etc</w:t>
      </w:r>
      <w:proofErr w:type="spellEnd"/>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2-5]</w:t>
      </w:r>
      <w:r w:rsidRPr="00482086">
        <w:rPr>
          <w:rFonts w:ascii="Book Antiqua" w:eastAsia="Book Antiqua" w:hAnsi="Book Antiqua" w:cs="Book Antiqua"/>
          <w:color w:val="000000"/>
        </w:rPr>
        <w:t>.</w:t>
      </w:r>
    </w:p>
    <w:p w14:paraId="71CA8929"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It has been known that the cardiac pacemaker’s mode can be changed using magnets for EMI management, but clinicians were unaccustomed to use this information and relevant case papers about patients with dysphagia have never been reported. Therefore, this is the first case report using magnets to reduce EMI risk when applying neuromuscular electrical stimulation (NMES) to dysphagic stroke patient with cardiac pacemaker. This report aimed to introduce the case and provide guidance on the use of clinical magnets to manage EMI risk of cardiac pacemaker. This study was approved by </w:t>
      </w:r>
      <w:r w:rsidRPr="00482086">
        <w:rPr>
          <w:rFonts w:ascii="Book Antiqua" w:eastAsia="Book Antiqua" w:hAnsi="Book Antiqua" w:cs="Book Antiqua"/>
          <w:color w:val="000000"/>
        </w:rPr>
        <w:lastRenderedPageBreak/>
        <w:t xml:space="preserve">the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Medical Center Institutional Review Board (No. HYUH 2021-03-007).</w:t>
      </w:r>
    </w:p>
    <w:p w14:paraId="01FCEAC6" w14:textId="77777777" w:rsidR="00A77B3E" w:rsidRPr="00482086" w:rsidRDefault="00A77B3E" w:rsidP="00482086">
      <w:pPr>
        <w:spacing w:line="360" w:lineRule="auto"/>
        <w:ind w:firstLine="240"/>
        <w:jc w:val="both"/>
        <w:rPr>
          <w:rFonts w:ascii="Book Antiqua" w:hAnsi="Book Antiqua"/>
        </w:rPr>
      </w:pPr>
    </w:p>
    <w:p w14:paraId="5EC77197"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CASE PRESENTATION</w:t>
      </w:r>
    </w:p>
    <w:p w14:paraId="245D888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Chief complaints</w:t>
      </w:r>
    </w:p>
    <w:p w14:paraId="334B3EE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A 72-year-old male visited emergency department with chief complaint of dysphagia. Levin tube was applied for diet on admission day and he transferred to rehabilitation department on 6th hospital day.</w:t>
      </w:r>
    </w:p>
    <w:p w14:paraId="68B986B9" w14:textId="77777777" w:rsidR="00A77B3E" w:rsidRPr="00482086" w:rsidRDefault="00A77B3E" w:rsidP="00482086">
      <w:pPr>
        <w:spacing w:line="360" w:lineRule="auto"/>
        <w:jc w:val="both"/>
        <w:rPr>
          <w:rFonts w:ascii="Book Antiqua" w:hAnsi="Book Antiqua"/>
        </w:rPr>
      </w:pPr>
    </w:p>
    <w:p w14:paraId="307260B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History of present illness</w:t>
      </w:r>
    </w:p>
    <w:p w14:paraId="2EF62454"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patient had no clinical presentation.</w:t>
      </w:r>
    </w:p>
    <w:p w14:paraId="33DC730C" w14:textId="77777777" w:rsidR="00A77B3E" w:rsidRPr="00482086" w:rsidRDefault="00A77B3E" w:rsidP="00482086">
      <w:pPr>
        <w:spacing w:line="360" w:lineRule="auto"/>
        <w:jc w:val="both"/>
        <w:rPr>
          <w:rFonts w:ascii="Book Antiqua" w:hAnsi="Book Antiqua"/>
        </w:rPr>
      </w:pPr>
    </w:p>
    <w:p w14:paraId="2B36669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History of past illness</w:t>
      </w:r>
    </w:p>
    <w:p w14:paraId="610B1A94" w14:textId="0B6E448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The patient was diagnosed as sick sinus syndrome and DDD type cardiac pacemaker (ACCOLADE™ MRI L331, Boston scientific, </w:t>
      </w:r>
      <w:r w:rsidR="002C4138" w:rsidRPr="002C4138">
        <w:rPr>
          <w:rFonts w:ascii="Book Antiqua" w:eastAsia="Book Antiqua" w:hAnsi="Book Antiqua" w:cs="Book Antiqua"/>
          <w:color w:val="000000"/>
        </w:rPr>
        <w:t>United States</w:t>
      </w:r>
      <w:r w:rsidRPr="00482086">
        <w:rPr>
          <w:rFonts w:ascii="Book Antiqua" w:eastAsia="Book Antiqua" w:hAnsi="Book Antiqua" w:cs="Book Antiqua"/>
          <w:color w:val="000000"/>
        </w:rPr>
        <w:t xml:space="preserve">) was implanted in the chest 14 </w:t>
      </w:r>
      <w:proofErr w:type="spellStart"/>
      <w:r w:rsidRPr="00482086">
        <w:rPr>
          <w:rFonts w:ascii="Book Antiqua" w:eastAsia="Book Antiqua" w:hAnsi="Book Antiqua" w:cs="Book Antiqua"/>
          <w:color w:val="000000"/>
        </w:rPr>
        <w:t>mo</w:t>
      </w:r>
      <w:proofErr w:type="spellEnd"/>
      <w:r w:rsidRPr="00482086">
        <w:rPr>
          <w:rFonts w:ascii="Book Antiqua" w:eastAsia="Book Antiqua" w:hAnsi="Book Antiqua" w:cs="Book Antiqua"/>
          <w:color w:val="000000"/>
        </w:rPr>
        <w:t xml:space="preserve"> ago (Figure</w:t>
      </w:r>
      <w:r w:rsidR="0040497A">
        <w:rPr>
          <w:rFonts w:ascii="Book Antiqua" w:eastAsia="Book Antiqua" w:hAnsi="Book Antiqua" w:cs="Book Antiqua"/>
          <w:color w:val="000000"/>
        </w:rPr>
        <w:t xml:space="preserve"> </w:t>
      </w:r>
      <w:r w:rsidRPr="00482086">
        <w:rPr>
          <w:rFonts w:ascii="Book Antiqua" w:eastAsia="Book Antiqua" w:hAnsi="Book Antiqua" w:cs="Book Antiqua"/>
          <w:color w:val="000000"/>
        </w:rPr>
        <w:t>1).</w:t>
      </w:r>
    </w:p>
    <w:p w14:paraId="02078A8B" w14:textId="77777777" w:rsidR="00A77B3E" w:rsidRPr="00482086" w:rsidRDefault="00A77B3E" w:rsidP="00482086">
      <w:pPr>
        <w:spacing w:line="360" w:lineRule="auto"/>
        <w:jc w:val="both"/>
        <w:rPr>
          <w:rFonts w:ascii="Book Antiqua" w:hAnsi="Book Antiqua"/>
        </w:rPr>
      </w:pPr>
    </w:p>
    <w:p w14:paraId="765AA3C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Personal and family history</w:t>
      </w:r>
    </w:p>
    <w:p w14:paraId="0E48F1D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patient had no specific personal and family history.</w:t>
      </w:r>
    </w:p>
    <w:p w14:paraId="1F739875" w14:textId="77777777" w:rsidR="00A77B3E" w:rsidRPr="00482086" w:rsidRDefault="00A77B3E" w:rsidP="00482086">
      <w:pPr>
        <w:spacing w:line="360" w:lineRule="auto"/>
        <w:jc w:val="both"/>
        <w:rPr>
          <w:rFonts w:ascii="Book Antiqua" w:hAnsi="Book Antiqua"/>
        </w:rPr>
      </w:pPr>
    </w:p>
    <w:p w14:paraId="30AC8CE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Physical examination</w:t>
      </w:r>
    </w:p>
    <w:p w14:paraId="66A76AC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Medical Research Council scale of left upper and lower extremity was grossly four </w:t>
      </w:r>
      <w:proofErr w:type="gramStart"/>
      <w:r w:rsidRPr="00482086">
        <w:rPr>
          <w:rFonts w:ascii="Book Antiqua" w:eastAsia="Book Antiqua" w:hAnsi="Book Antiqua" w:cs="Book Antiqua"/>
          <w:color w:val="000000"/>
        </w:rPr>
        <w:t>grade</w:t>
      </w:r>
      <w:proofErr w:type="gramEnd"/>
      <w:r w:rsidRPr="00482086">
        <w:rPr>
          <w:rFonts w:ascii="Book Antiqua" w:eastAsia="Book Antiqua" w:hAnsi="Book Antiqua" w:cs="Book Antiqua"/>
          <w:color w:val="000000"/>
        </w:rPr>
        <w:t>. He did not complain of sensory symptom. Cranial nerve and cerebellar functions were intact.</w:t>
      </w:r>
    </w:p>
    <w:p w14:paraId="3FB8A98A" w14:textId="77777777" w:rsidR="00A77B3E" w:rsidRPr="00482086" w:rsidRDefault="00A77B3E" w:rsidP="00482086">
      <w:pPr>
        <w:spacing w:line="360" w:lineRule="auto"/>
        <w:jc w:val="both"/>
        <w:rPr>
          <w:rFonts w:ascii="Book Antiqua" w:hAnsi="Book Antiqua"/>
        </w:rPr>
      </w:pPr>
    </w:p>
    <w:p w14:paraId="2A4CEB0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Laboratory examinations</w:t>
      </w:r>
    </w:p>
    <w:p w14:paraId="63E1217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Serum C-reactive protein level was 7.2 mg/dL on 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and mild cough and sputum was accompanied, but lab data and symptoms were getting better without antibiotics administration.</w:t>
      </w:r>
    </w:p>
    <w:p w14:paraId="4ECEB038" w14:textId="77777777" w:rsidR="00A77B3E" w:rsidRPr="00482086" w:rsidRDefault="00A77B3E" w:rsidP="00482086">
      <w:pPr>
        <w:spacing w:line="360" w:lineRule="auto"/>
        <w:jc w:val="both"/>
        <w:rPr>
          <w:rFonts w:ascii="Book Antiqua" w:hAnsi="Book Antiqua"/>
        </w:rPr>
      </w:pPr>
    </w:p>
    <w:p w14:paraId="6A4B3F3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Imaging examinations</w:t>
      </w:r>
    </w:p>
    <w:p w14:paraId="63C4156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His brain computed tomography showed no abnormal findings. And there was no focal lesion for the symptoms on brain diffusion weighted image without multifocal T2 high signal intensities at bilateral periventricular white matter.</w:t>
      </w:r>
    </w:p>
    <w:p w14:paraId="747567F4" w14:textId="77777777" w:rsidR="00A77B3E" w:rsidRPr="00482086" w:rsidRDefault="00A77B3E" w:rsidP="00482086">
      <w:pPr>
        <w:spacing w:line="360" w:lineRule="auto"/>
        <w:jc w:val="both"/>
        <w:rPr>
          <w:rFonts w:ascii="Book Antiqua" w:hAnsi="Book Antiqua"/>
        </w:rPr>
      </w:pPr>
    </w:p>
    <w:p w14:paraId="5721F88C"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FINAL DIAGNOSIS</w:t>
      </w:r>
    </w:p>
    <w:p w14:paraId="4D48E4E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final diagnosis of the presented case is a pure motor lacunar syndrome based on clinical symptoms.</w:t>
      </w:r>
    </w:p>
    <w:p w14:paraId="00826E27" w14:textId="77777777" w:rsidR="00A77B3E" w:rsidRPr="00482086" w:rsidRDefault="00A77B3E" w:rsidP="00482086">
      <w:pPr>
        <w:spacing w:line="360" w:lineRule="auto"/>
        <w:jc w:val="both"/>
        <w:rPr>
          <w:rFonts w:ascii="Book Antiqua" w:hAnsi="Book Antiqua"/>
        </w:rPr>
      </w:pPr>
    </w:p>
    <w:p w14:paraId="26C887C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TREATMENT</w:t>
      </w:r>
    </w:p>
    <w:p w14:paraId="760E1E02" w14:textId="7C9CE862"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Rehabilitation program after transferring to rehabilitation department was consisted of occupational therapy, activity of daily living training for patient’s left upper extremity weakness and gait training for left lower extremities weakness. </w:t>
      </w:r>
      <w:proofErr w:type="spellStart"/>
      <w:r w:rsidRPr="00482086">
        <w:rPr>
          <w:rFonts w:ascii="Book Antiqua" w:eastAsia="Book Antiqua" w:hAnsi="Book Antiqua" w:cs="Book Antiqua"/>
          <w:color w:val="000000"/>
        </w:rPr>
        <w:t>Oromotor</w:t>
      </w:r>
      <w:proofErr w:type="spellEnd"/>
      <w:r w:rsidRPr="00482086">
        <w:rPr>
          <w:rFonts w:ascii="Book Antiqua" w:eastAsia="Book Antiqua" w:hAnsi="Book Antiqua" w:cs="Book Antiqua"/>
          <w:color w:val="000000"/>
        </w:rPr>
        <w:t xml:space="preserve"> facilitation technique for dysphagia was also started after first </w:t>
      </w:r>
      <w:proofErr w:type="spellStart"/>
      <w:r w:rsidR="003D73D4" w:rsidRPr="003D73D4">
        <w:rPr>
          <w:rFonts w:ascii="Book Antiqua" w:eastAsia="Book Antiqua" w:hAnsi="Book Antiqua" w:cs="Book Antiqua"/>
          <w:color w:val="000000"/>
        </w:rPr>
        <w:t>videofluoroscopic</w:t>
      </w:r>
      <w:proofErr w:type="spellEnd"/>
      <w:r w:rsidR="003D73D4" w:rsidRPr="003D73D4">
        <w:rPr>
          <w:rFonts w:ascii="Book Antiqua" w:eastAsia="Book Antiqua" w:hAnsi="Book Antiqua" w:cs="Book Antiqua"/>
          <w:color w:val="000000"/>
        </w:rPr>
        <w:t xml:space="preserve"> swallowing study </w:t>
      </w:r>
      <w:r w:rsidR="003D73D4">
        <w:rPr>
          <w:rFonts w:ascii="Book Antiqua" w:eastAsia="Book Antiqua" w:hAnsi="Book Antiqua" w:cs="Book Antiqua"/>
          <w:color w:val="000000"/>
        </w:rPr>
        <w:t>(</w:t>
      </w:r>
      <w:r w:rsidRPr="00482086">
        <w:rPr>
          <w:rFonts w:ascii="Book Antiqua" w:eastAsia="Book Antiqua" w:hAnsi="Book Antiqua" w:cs="Book Antiqua"/>
          <w:color w:val="000000"/>
        </w:rPr>
        <w:t>VFSS</w:t>
      </w:r>
      <w:r w:rsidR="003D73D4">
        <w:rPr>
          <w:rFonts w:ascii="Book Antiqua" w:eastAsia="Book Antiqua" w:hAnsi="Book Antiqua" w:cs="Book Antiqua"/>
          <w:color w:val="000000"/>
        </w:rPr>
        <w:t>)</w:t>
      </w:r>
      <w:r w:rsidRPr="00482086">
        <w:rPr>
          <w:rFonts w:ascii="Book Antiqua" w:eastAsia="Book Antiqua" w:hAnsi="Book Antiqua" w:cs="Book Antiqua"/>
          <w:color w:val="000000"/>
        </w:rPr>
        <w:t>. We also intended to do NMES of pharyngeal muscle for dysphasia, but it was needed to delay considering EMI to cardiac pacemaker in his chest.</w:t>
      </w:r>
    </w:p>
    <w:p w14:paraId="16A21EF7" w14:textId="1E4EF92F" w:rsidR="00A77B3E" w:rsidRPr="00482086" w:rsidRDefault="00FA517A" w:rsidP="00482086">
      <w:pPr>
        <w:spacing w:line="360" w:lineRule="auto"/>
        <w:ind w:firstLineChars="100" w:firstLine="240"/>
        <w:jc w:val="both"/>
        <w:rPr>
          <w:rFonts w:ascii="Book Antiqua" w:hAnsi="Book Antiqua"/>
        </w:rPr>
      </w:pPr>
      <w:r w:rsidRPr="00482086">
        <w:rPr>
          <w:rFonts w:ascii="Book Antiqua" w:eastAsia="Book Antiqua" w:hAnsi="Book Antiqua" w:cs="Book Antiqua"/>
          <w:color w:val="000000"/>
        </w:rPr>
        <w:t>We contacted cardiology department and pacemaker manufacturer, and discussed about the plan for the treatment. After explaining treatment process and possible complications to the patient and obtaining the written consent from the patient on 13</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first NMES was carried out for 30 </w:t>
      </w:r>
      <w:r w:rsidR="00745550" w:rsidRPr="00482086">
        <w:rPr>
          <w:rFonts w:ascii="Book Antiqua" w:eastAsia="Book Antiqua" w:hAnsi="Book Antiqua" w:cs="Book Antiqua"/>
          <w:color w:val="000000"/>
        </w:rPr>
        <w:t>min</w:t>
      </w:r>
      <w:r w:rsidRPr="00482086">
        <w:rPr>
          <w:rFonts w:ascii="Book Antiqua" w:eastAsia="Book Antiqua" w:hAnsi="Book Antiqua" w:cs="Book Antiqua"/>
          <w:color w:val="000000"/>
        </w:rPr>
        <w:t xml:space="preserve"> after the technician from the company changed pacemaker’s mode using telemetric devices, so that EMI did not interfere with the device function. The first treatment session was performed with in-situ monitoring of cardiologist to manage the possible emergency situation. NMES device was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(DJO LLC, </w:t>
      </w:r>
      <w:r w:rsidR="00745550" w:rsidRPr="00482086">
        <w:rPr>
          <w:rFonts w:ascii="Book Antiqua" w:eastAsia="Book Antiqua" w:hAnsi="Book Antiqua" w:cs="Book Antiqua"/>
          <w:color w:val="000000"/>
        </w:rPr>
        <w:t>United States</w:t>
      </w:r>
      <w:r w:rsidRPr="00482086">
        <w:rPr>
          <w:rFonts w:ascii="Book Antiqua" w:eastAsia="Book Antiqua" w:hAnsi="Book Antiqua" w:cs="Book Antiqua"/>
          <w:color w:val="000000"/>
        </w:rPr>
        <w:t>) and current intensity was set 7.0 mA.</w:t>
      </w:r>
    </w:p>
    <w:p w14:paraId="648A98B5" w14:textId="77777777" w:rsidR="00A77B3E" w:rsidRPr="00482086" w:rsidRDefault="00FA517A" w:rsidP="00482086">
      <w:pPr>
        <w:spacing w:line="360" w:lineRule="auto"/>
        <w:ind w:firstLineChars="100" w:firstLine="240"/>
        <w:jc w:val="both"/>
        <w:rPr>
          <w:rFonts w:ascii="Book Antiqua" w:hAnsi="Book Antiqua"/>
        </w:rPr>
      </w:pPr>
      <w:r w:rsidRPr="00482086">
        <w:rPr>
          <w:rFonts w:ascii="Book Antiqua" w:eastAsia="Book Antiqua" w:hAnsi="Book Antiqua" w:cs="Book Antiqua"/>
          <w:color w:val="000000"/>
        </w:rPr>
        <w:t xml:space="preserve">We could not find any problems due to treatment on the patient and decided to maintain NMES for this patient with careful monitoring. However, this approach was difficult to sustain in terms of time and cost and required a great deal of effort from many people. Therefore, from the next day, we taped magnet on the pacemaker to </w:t>
      </w:r>
      <w:r w:rsidRPr="00482086">
        <w:rPr>
          <w:rFonts w:ascii="Book Antiqua" w:eastAsia="Book Antiqua" w:hAnsi="Book Antiqua" w:cs="Book Antiqua"/>
          <w:color w:val="000000"/>
        </w:rPr>
        <w:lastRenderedPageBreak/>
        <w:t>change pacemaker mode to fixed asynchronous mode (Figure 3). Until his discharge on 37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NMES therapy was applied daily with magnet mode change under attendance of doctor. Electrocardiogram was checked after every NMES session.</w:t>
      </w:r>
    </w:p>
    <w:p w14:paraId="341153B0" w14:textId="77777777" w:rsidR="00A77B3E" w:rsidRPr="00482086" w:rsidRDefault="00A77B3E" w:rsidP="00482086">
      <w:pPr>
        <w:spacing w:line="360" w:lineRule="auto"/>
        <w:ind w:firstLine="120"/>
        <w:jc w:val="both"/>
        <w:rPr>
          <w:rFonts w:ascii="Book Antiqua" w:hAnsi="Book Antiqua"/>
        </w:rPr>
      </w:pPr>
    </w:p>
    <w:p w14:paraId="17C44B0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OUTCOME AND FOLLOW-UP</w:t>
      </w:r>
    </w:p>
    <w:p w14:paraId="607FE978" w14:textId="1489B16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After discharge, the patient visited outpatient clinic five times per a week and get NMES with magnet mode change for 30 </w:t>
      </w:r>
      <w:r w:rsidR="00745550" w:rsidRPr="00482086">
        <w:rPr>
          <w:rFonts w:ascii="Book Antiqua" w:eastAsia="Book Antiqua" w:hAnsi="Book Antiqua" w:cs="Book Antiqua"/>
          <w:color w:val="000000"/>
        </w:rPr>
        <w:t>min</w:t>
      </w:r>
      <w:r w:rsidRPr="00482086">
        <w:rPr>
          <w:rFonts w:ascii="Book Antiqua" w:eastAsia="Book Antiqua" w:hAnsi="Book Antiqua" w:cs="Book Antiqua"/>
          <w:color w:val="000000"/>
        </w:rPr>
        <w:t xml:space="preserve"> in each visit. All the follow up VFSS results are in </w:t>
      </w:r>
      <w:r w:rsidR="002C4138" w:rsidRPr="00482086">
        <w:rPr>
          <w:rFonts w:ascii="Book Antiqua" w:eastAsia="Book Antiqua" w:hAnsi="Book Antiqua" w:cs="Book Antiqua"/>
          <w:color w:val="000000"/>
        </w:rPr>
        <w:t>T</w:t>
      </w:r>
      <w:r w:rsidRPr="00482086">
        <w:rPr>
          <w:rFonts w:ascii="Book Antiqua" w:eastAsia="Book Antiqua" w:hAnsi="Book Antiqua" w:cs="Book Antiqua"/>
          <w:color w:val="000000"/>
        </w:rPr>
        <w:t>able 1. Levin tube was removed and oral feeding was restarted with soft food by with reference to the result of the 4</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conducted 105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first symptom. Little amount of aspiration of thin liquid, thick liquid, pudding and soft food was seen and dysarthria was not observed at this exam. The 5</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implemented 165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onset showed mild penetration only without any sign of aspiration of thin liquid, pudding and solid food. Frequency of treatment was reduced to twice a week after this test. Only mild penetration of thin and thick liquid was observed in the 6</w:t>
      </w:r>
      <w:r w:rsidRPr="00FA3385">
        <w:rPr>
          <w:rFonts w:ascii="Book Antiqua" w:eastAsia="Book Antiqua" w:hAnsi="Book Antiqua" w:cs="Book Antiqua"/>
          <w:color w:val="000000"/>
          <w:vertAlign w:val="superscript"/>
        </w:rPr>
        <w:t xml:space="preserve">th </w:t>
      </w:r>
      <w:r w:rsidRPr="00482086">
        <w:rPr>
          <w:rFonts w:ascii="Book Antiqua" w:eastAsia="Book Antiqua" w:hAnsi="Book Antiqua" w:cs="Book Antiqua"/>
          <w:color w:val="000000"/>
        </w:rPr>
        <w:t xml:space="preserve">VFSS conducted 270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onset, so that the patient was guided to visit the hospital once a week to take NMES treatment. Three months later, the 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showed the same result, and NMES was stopped. Since then, he visited the hospital every six months. During the two-year follow-up period, the patient lived without any dysphagia related symptoms.</w:t>
      </w:r>
    </w:p>
    <w:p w14:paraId="262C7FD4" w14:textId="77777777" w:rsidR="00A77B3E" w:rsidRPr="00482086" w:rsidRDefault="00A77B3E" w:rsidP="00482086">
      <w:pPr>
        <w:spacing w:line="360" w:lineRule="auto"/>
        <w:jc w:val="both"/>
        <w:rPr>
          <w:rFonts w:ascii="Book Antiqua" w:hAnsi="Book Antiqua"/>
        </w:rPr>
      </w:pPr>
    </w:p>
    <w:p w14:paraId="1430BCB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DISCUSSION</w:t>
      </w:r>
    </w:p>
    <w:p w14:paraId="2CC36928" w14:textId="040E4E6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In this case, we altered the pacemaker mode and monitor its function with manufacturer’s device in the first NMES session. </w:t>
      </w:r>
      <w:proofErr w:type="gramStart"/>
      <w:r w:rsidRPr="00482086">
        <w:rPr>
          <w:rFonts w:ascii="Book Antiqua" w:eastAsia="Book Antiqua" w:hAnsi="Book Antiqua" w:cs="Book Antiqua"/>
          <w:color w:val="000000"/>
        </w:rPr>
        <w:t>But,</w:t>
      </w:r>
      <w:proofErr w:type="gramEnd"/>
      <w:r w:rsidRPr="00482086">
        <w:rPr>
          <w:rFonts w:ascii="Book Antiqua" w:eastAsia="Book Antiqua" w:hAnsi="Book Antiqua" w:cs="Book Antiqua"/>
          <w:color w:val="000000"/>
        </w:rPr>
        <w:t xml:space="preserve"> this is time-consuming process which may delay treatment timing, and always needed trained technicians. For this reason, we decided to use magnets to manage EMI risk from the second treatment session. Historically, magnets were used to check remaining battery life and to induce pacemaker to asynchronous mode when EMI was </w:t>
      </w:r>
      <w:proofErr w:type="gramStart"/>
      <w:r w:rsidRPr="00482086">
        <w:rPr>
          <w:rFonts w:ascii="Book Antiqua" w:eastAsia="Book Antiqua" w:hAnsi="Book Antiqua" w:cs="Book Antiqua"/>
          <w:color w:val="000000"/>
        </w:rPr>
        <w:t>suspected</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6]</w:t>
      </w:r>
      <w:r w:rsidRPr="00482086">
        <w:rPr>
          <w:rFonts w:ascii="Book Antiqua" w:eastAsia="Book Antiqua" w:hAnsi="Book Antiqua" w:cs="Book Antiqua"/>
          <w:color w:val="000000"/>
        </w:rPr>
        <w:t xml:space="preserve">. Those are now available using telemetric communication devices with technical progress; however, still most pacemakers have a switch in the circuit that respond to </w:t>
      </w:r>
      <w:proofErr w:type="gramStart"/>
      <w:r w:rsidRPr="00482086">
        <w:rPr>
          <w:rFonts w:ascii="Book Antiqua" w:eastAsia="Book Antiqua" w:hAnsi="Book Antiqua" w:cs="Book Antiqua"/>
          <w:color w:val="000000"/>
        </w:rPr>
        <w:t>magnets</w:t>
      </w:r>
      <w:r w:rsidR="00382258">
        <w:rPr>
          <w:rFonts w:ascii="Book Antiqua" w:eastAsia="Book Antiqua" w:hAnsi="Book Antiqua" w:cs="Book Antiqua"/>
          <w:color w:val="000000"/>
          <w:vertAlign w:val="superscript"/>
        </w:rPr>
        <w:t>[</w:t>
      </w:r>
      <w:proofErr w:type="gramEnd"/>
      <w:r w:rsidR="00382258">
        <w:rPr>
          <w:rFonts w:ascii="Book Antiqua" w:eastAsia="Book Antiqua" w:hAnsi="Book Antiqua" w:cs="Book Antiqua"/>
          <w:color w:val="000000"/>
          <w:vertAlign w:val="superscript"/>
        </w:rPr>
        <w:t>1,</w:t>
      </w:r>
      <w:r w:rsidRPr="00482086">
        <w:rPr>
          <w:rFonts w:ascii="Book Antiqua" w:eastAsia="Book Antiqua" w:hAnsi="Book Antiqua" w:cs="Book Antiqua"/>
          <w:color w:val="000000"/>
          <w:vertAlign w:val="superscript"/>
        </w:rPr>
        <w:t>6]</w:t>
      </w:r>
      <w:r w:rsidRPr="00482086">
        <w:rPr>
          <w:rFonts w:ascii="Book Antiqua" w:eastAsia="Book Antiqua" w:hAnsi="Book Antiqua" w:cs="Book Antiqua"/>
          <w:color w:val="000000"/>
        </w:rPr>
        <w:t>.</w:t>
      </w:r>
    </w:p>
    <w:p w14:paraId="5FA5E65E"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lastRenderedPageBreak/>
        <w:t xml:space="preserve">In the model that the patient </w:t>
      </w:r>
      <w:proofErr w:type="gramStart"/>
      <w:r w:rsidRPr="00482086">
        <w:rPr>
          <w:rFonts w:ascii="Book Antiqua" w:eastAsia="Book Antiqua" w:hAnsi="Book Antiqua" w:cs="Book Antiqua"/>
          <w:color w:val="000000"/>
        </w:rPr>
        <w:t>were</w:t>
      </w:r>
      <w:proofErr w:type="gramEnd"/>
      <w:r w:rsidRPr="00482086">
        <w:rPr>
          <w:rFonts w:ascii="Book Antiqua" w:eastAsia="Book Antiqua" w:hAnsi="Book Antiqua" w:cs="Book Antiqua"/>
          <w:color w:val="000000"/>
        </w:rPr>
        <w:t xml:space="preserve"> using, clinical magnet alters pacemaker mode DDD to DOO. This asynchronous mode maintains fixed pace making with 100ms AV delay and ignores inappropriate interference of electrical devices and currents. After the treatment, removal of magnet simply reverts its action to preprogramed </w:t>
      </w:r>
      <w:proofErr w:type="gramStart"/>
      <w:r w:rsidRPr="00482086">
        <w:rPr>
          <w:rFonts w:ascii="Book Antiqua" w:eastAsia="Book Antiqua" w:hAnsi="Book Antiqua" w:cs="Book Antiqua"/>
          <w:color w:val="000000"/>
        </w:rPr>
        <w:t>state</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7]</w:t>
      </w:r>
      <w:r w:rsidRPr="00482086">
        <w:rPr>
          <w:rFonts w:ascii="Book Antiqua" w:eastAsia="Book Antiqua" w:hAnsi="Book Antiqua" w:cs="Book Antiqua"/>
          <w:color w:val="000000"/>
        </w:rPr>
        <w:t>. There was no cardiac symptom of this patient in every treatment session.</w:t>
      </w:r>
    </w:p>
    <w:p w14:paraId="7A837EE2"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There are limited papers about interference between NMES to pharyngeal muscles and cardiac pacemaker; however, we can find some articles about applying transcutaneous electrical nerve stimulation (TENS) to patients with pacemaker or ICD. American heart association (AHA) mentioned that TENS, which uses similar devices with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has low risk and rarely inhibits device pacing. However, AHA recommended not to use TENS on the torso if pacemaker or ICD is </w:t>
      </w:r>
      <w:proofErr w:type="gramStart"/>
      <w:r w:rsidRPr="00482086">
        <w:rPr>
          <w:rFonts w:ascii="Book Antiqua" w:eastAsia="Book Antiqua" w:hAnsi="Book Antiqua" w:cs="Book Antiqua"/>
          <w:color w:val="000000"/>
        </w:rPr>
        <w:t>implanted</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2]</w:t>
      </w:r>
      <w:r w:rsidRPr="00482086">
        <w:rPr>
          <w:rFonts w:ascii="Book Antiqua" w:eastAsia="Book Antiqua" w:hAnsi="Book Antiqua" w:cs="Book Antiqua"/>
          <w:color w:val="000000"/>
        </w:rPr>
        <w:t xml:space="preserve">. Some researchers reported that TENS caused dysfunction of pacemaker when </w:t>
      </w:r>
      <w:proofErr w:type="spellStart"/>
      <w:r w:rsidRPr="00482086">
        <w:rPr>
          <w:rFonts w:ascii="Book Antiqua" w:eastAsia="Book Antiqua" w:hAnsi="Book Antiqua" w:cs="Book Antiqua"/>
          <w:color w:val="000000"/>
        </w:rPr>
        <w:t>holter</w:t>
      </w:r>
      <w:proofErr w:type="spellEnd"/>
      <w:r w:rsidRPr="00482086">
        <w:rPr>
          <w:rFonts w:ascii="Book Antiqua" w:eastAsia="Book Antiqua" w:hAnsi="Book Antiqua" w:cs="Book Antiqua"/>
          <w:color w:val="000000"/>
        </w:rPr>
        <w:t xml:space="preserve"> monitoring was analyzed which could not be noticed by </w:t>
      </w:r>
      <w:proofErr w:type="gramStart"/>
      <w:r w:rsidRPr="00482086">
        <w:rPr>
          <w:rFonts w:ascii="Book Antiqua" w:eastAsia="Book Antiqua" w:hAnsi="Book Antiqua" w:cs="Book Antiqua"/>
          <w:color w:val="000000"/>
        </w:rPr>
        <w:t>electrocardiogram</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8]</w:t>
      </w:r>
      <w:r w:rsidRPr="00482086">
        <w:rPr>
          <w:rFonts w:ascii="Book Antiqua" w:eastAsia="Book Antiqua" w:hAnsi="Book Antiqua" w:cs="Book Antiqua"/>
          <w:color w:val="000000"/>
        </w:rPr>
        <w:t xml:space="preserve">. Food and Drug Administration stated that implanted electrical devices are contraindication for use of powered muscle stimulators, but not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therapy due to its low use of current, but still needs caution.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manufacturer recommends that clinicians should proceed with caution and monitor any signs of possible interference, even though likelihood of EMI is </w:t>
      </w:r>
      <w:proofErr w:type="gramStart"/>
      <w:r w:rsidRPr="00482086">
        <w:rPr>
          <w:rFonts w:ascii="Book Antiqua" w:eastAsia="Book Antiqua" w:hAnsi="Book Antiqua" w:cs="Book Antiqua"/>
          <w:color w:val="000000"/>
        </w:rPr>
        <w:t>small</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9]</w:t>
      </w:r>
      <w:r w:rsidRPr="00482086">
        <w:rPr>
          <w:rFonts w:ascii="Book Antiqua" w:eastAsia="Book Antiqua" w:hAnsi="Book Antiqua" w:cs="Book Antiqua"/>
          <w:color w:val="000000"/>
        </w:rPr>
        <w:t>.</w:t>
      </w:r>
    </w:p>
    <w:p w14:paraId="21A7A308"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Magnetic mode was available since early models of pacemaker were developed, but its use is very limited. Only limited paper mentioned that magnet could be used to reduce EMI </w:t>
      </w:r>
      <w:proofErr w:type="gramStart"/>
      <w:r w:rsidRPr="00482086">
        <w:rPr>
          <w:rFonts w:ascii="Book Antiqua" w:eastAsia="Book Antiqua" w:hAnsi="Book Antiqua" w:cs="Book Antiqua"/>
          <w:color w:val="000000"/>
        </w:rPr>
        <w:t>risk</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and there were no articles stated that magnet could be applied to NMES of pharyngeal muscles. In reality, the use of magnet in hospital for EMI is rare probably due to doctor’s unfamiliarity. For this reason, this first case report, NMES to dysphagic patient with magnet mode change of pacemaker, can be a guidance to make a plan for patients under the risk of EMI in various conditions.</w:t>
      </w:r>
    </w:p>
    <w:p w14:paraId="3726385B"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There are some implications about EMI and pacemaker magnet mode issue. First, clinicians should check pacemaker device’s brand and its setting before magnet application. When magnetic field is detected, pacemaker devices change its mode as preprogrammed, and all of these settings are different from its manufacturers and </w:t>
      </w:r>
      <w:r w:rsidRPr="00482086">
        <w:rPr>
          <w:rFonts w:ascii="Book Antiqua" w:eastAsia="Book Antiqua" w:hAnsi="Book Antiqua" w:cs="Book Antiqua"/>
          <w:color w:val="000000"/>
        </w:rPr>
        <w:lastRenderedPageBreak/>
        <w:t xml:space="preserve">technicians’ choice. For example, the pacemaker made by Boston scientific that case patient used have three magnetic mode; “Off” (magnet has no effect), “Store Electrogram”, and “Pace Async” (nominal setting); however, different models have different </w:t>
      </w:r>
      <w:proofErr w:type="gramStart"/>
      <w:r w:rsidRPr="00482086">
        <w:rPr>
          <w:rFonts w:ascii="Book Antiqua" w:eastAsia="Book Antiqua" w:hAnsi="Book Antiqua" w:cs="Book Antiqua"/>
          <w:color w:val="000000"/>
        </w:rPr>
        <w:t>modes</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7]</w:t>
      </w:r>
      <w:r w:rsidRPr="00482086">
        <w:rPr>
          <w:rFonts w:ascii="Book Antiqua" w:eastAsia="Book Antiqua" w:hAnsi="Book Antiqua" w:cs="Book Antiqua"/>
          <w:color w:val="000000"/>
        </w:rPr>
        <w:t xml:space="preserve">. In addition, since each manufacturer produces magnets suitable for their own pacemakers and guides how to use them though websites, it is important to check </w:t>
      </w:r>
      <w:proofErr w:type="gramStart"/>
      <w:r w:rsidRPr="00482086">
        <w:rPr>
          <w:rFonts w:ascii="Book Antiqua" w:eastAsia="Book Antiqua" w:hAnsi="Book Antiqua" w:cs="Book Antiqua"/>
          <w:color w:val="000000"/>
        </w:rPr>
        <w:t>this contents</w:t>
      </w:r>
      <w:proofErr w:type="gramEnd"/>
      <w:r w:rsidRPr="00482086">
        <w:rPr>
          <w:rFonts w:ascii="Book Antiqua" w:eastAsia="Book Antiqua" w:hAnsi="Book Antiqua" w:cs="Book Antiqua"/>
          <w:color w:val="000000"/>
        </w:rPr>
        <w:t xml:space="preserve"> before using magnet. Second, we recommend using telemetric devices for mode change at least at the first NMES session for dysphagia treatment. So that clinicians can check its previous mode and monitor patient’s symptoms and responses under altered mode. Third, even though magnet can be applied in various EMI risk conditions including NMES treatment, we need to be aware that there are situations that magnets are difficult to apply, and that unexpected and dangerous situations can occur. For instance, magnet position might be unstable in non-supine </w:t>
      </w:r>
      <w:proofErr w:type="gramStart"/>
      <w:r w:rsidRPr="00482086">
        <w:rPr>
          <w:rFonts w:ascii="Book Antiqua" w:eastAsia="Book Antiqua" w:hAnsi="Book Antiqua" w:cs="Book Antiqua"/>
          <w:color w:val="000000"/>
        </w:rPr>
        <w:t>surgeries</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xml:space="preserve">. There was also reported case about unexpected asystole occurred while using magnets to switch pacemaker modes during surgical </w:t>
      </w:r>
      <w:proofErr w:type="gramStart"/>
      <w:r w:rsidRPr="00482086">
        <w:rPr>
          <w:rFonts w:ascii="Book Antiqua" w:eastAsia="Book Antiqua" w:hAnsi="Book Antiqua" w:cs="Book Antiqua"/>
          <w:color w:val="000000"/>
        </w:rPr>
        <w:t>operation</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10]</w:t>
      </w:r>
      <w:r w:rsidRPr="00482086">
        <w:rPr>
          <w:rFonts w:ascii="Book Antiqua" w:eastAsia="Book Antiqua" w:hAnsi="Book Antiqua" w:cs="Book Antiqua"/>
          <w:color w:val="000000"/>
        </w:rPr>
        <w:t>. Therefore, clinicians can effectively and safely use clinical magnets when carefully monitoring the condition of patients for unforeseen situations. Fourth, further studies and cases are necessary to broaden magnet application in various situations where EMI is expected. In particular, case reports about occurred EMI are frequently made, but there are no reports on how to preventively manage risk of EMI. Although it is stable and safe method to lower unexpected risk, there are scarce papers about magnet use under the possible EMI. When pacemaker or ICD is in the body, in case of NMES, nerve conduction study, or electrocautery which requires electrical stimulation or repetitive transcranial magnetic stimulation (</w:t>
      </w:r>
      <w:proofErr w:type="spellStart"/>
      <w:r w:rsidRPr="00482086">
        <w:rPr>
          <w:rFonts w:ascii="Book Antiqua" w:eastAsia="Book Antiqua" w:hAnsi="Book Antiqua" w:cs="Book Antiqua"/>
          <w:color w:val="000000"/>
        </w:rPr>
        <w:t>rTMS</w:t>
      </w:r>
      <w:proofErr w:type="spellEnd"/>
      <w:r w:rsidRPr="00482086">
        <w:rPr>
          <w:rFonts w:ascii="Book Antiqua" w:eastAsia="Book Antiqua" w:hAnsi="Book Antiqua" w:cs="Book Antiqua"/>
          <w:color w:val="000000"/>
        </w:rPr>
        <w:t xml:space="preserve">) which makes change of magnetic field, magnet approach can be useful to minimize EMI risk. More cases and research papers should be accumulated to better understand the advantages and weaknesses of using clinical magnets. </w:t>
      </w:r>
    </w:p>
    <w:p w14:paraId="504CDBB7" w14:textId="77777777" w:rsidR="00A77B3E" w:rsidRPr="00482086" w:rsidRDefault="00A77B3E" w:rsidP="00482086">
      <w:pPr>
        <w:spacing w:line="360" w:lineRule="auto"/>
        <w:ind w:firstLine="240"/>
        <w:jc w:val="both"/>
        <w:rPr>
          <w:rFonts w:ascii="Book Antiqua" w:hAnsi="Book Antiqua"/>
        </w:rPr>
      </w:pPr>
    </w:p>
    <w:p w14:paraId="2F95E17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CONCLUSION</w:t>
      </w:r>
    </w:p>
    <w:p w14:paraId="23F7278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lastRenderedPageBreak/>
        <w:t>This is the first reported case that mode change of pacemaker with magnet was utilized for safe NMES and dysphagia rehabilitation. This approach is unfamiliar to physicians, but it should be considered for safe treatment of patient with EMI risk. Further investigation regarding appropriate protocols for clinical magnet use is needed.</w:t>
      </w:r>
    </w:p>
    <w:p w14:paraId="5BB3968B" w14:textId="77777777" w:rsidR="00A77B3E" w:rsidRPr="00482086" w:rsidRDefault="00A77B3E" w:rsidP="00482086">
      <w:pPr>
        <w:spacing w:line="360" w:lineRule="auto"/>
        <w:jc w:val="both"/>
        <w:rPr>
          <w:rFonts w:ascii="Book Antiqua" w:hAnsi="Book Antiqua"/>
        </w:rPr>
      </w:pPr>
    </w:p>
    <w:p w14:paraId="13A3370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REFERENCES</w:t>
      </w:r>
    </w:p>
    <w:p w14:paraId="7783BE6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1 </w:t>
      </w:r>
      <w:r w:rsidRPr="00482086">
        <w:rPr>
          <w:rFonts w:ascii="Book Antiqua" w:eastAsia="Book Antiqua" w:hAnsi="Book Antiqua" w:cs="Book Antiqua"/>
          <w:b/>
          <w:bCs/>
          <w:color w:val="000000"/>
        </w:rPr>
        <w:t>Jacob S</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Panaich</w:t>
      </w:r>
      <w:proofErr w:type="spellEnd"/>
      <w:r w:rsidRPr="00482086">
        <w:rPr>
          <w:rFonts w:ascii="Book Antiqua" w:eastAsia="Book Antiqua" w:hAnsi="Book Antiqua" w:cs="Book Antiqua"/>
          <w:color w:val="000000"/>
        </w:rPr>
        <w:t xml:space="preserve"> SS, Maheshwari R, Haddad JW, </w:t>
      </w:r>
      <w:proofErr w:type="spellStart"/>
      <w:r w:rsidRPr="00482086">
        <w:rPr>
          <w:rFonts w:ascii="Book Antiqua" w:eastAsia="Book Antiqua" w:hAnsi="Book Antiqua" w:cs="Book Antiqua"/>
          <w:color w:val="000000"/>
        </w:rPr>
        <w:t>Padanilam</w:t>
      </w:r>
      <w:proofErr w:type="spellEnd"/>
      <w:r w:rsidRPr="00482086">
        <w:rPr>
          <w:rFonts w:ascii="Book Antiqua" w:eastAsia="Book Antiqua" w:hAnsi="Book Antiqua" w:cs="Book Antiqua"/>
          <w:color w:val="000000"/>
        </w:rPr>
        <w:t xml:space="preserve"> BJ, John SK. Clinical applications of magnets on cardiac rhythm management devices. </w:t>
      </w:r>
      <w:proofErr w:type="spellStart"/>
      <w:r w:rsidRPr="00482086">
        <w:rPr>
          <w:rFonts w:ascii="Book Antiqua" w:eastAsia="Book Antiqua" w:hAnsi="Book Antiqua" w:cs="Book Antiqua"/>
          <w:i/>
          <w:iCs/>
          <w:color w:val="000000"/>
        </w:rPr>
        <w:t>Europace</w:t>
      </w:r>
      <w:proofErr w:type="spellEnd"/>
      <w:r w:rsidRPr="00482086">
        <w:rPr>
          <w:rFonts w:ascii="Book Antiqua" w:eastAsia="Book Antiqua" w:hAnsi="Book Antiqua" w:cs="Book Antiqua"/>
          <w:color w:val="000000"/>
        </w:rPr>
        <w:t xml:space="preserve"> 2011; </w:t>
      </w:r>
      <w:r w:rsidRPr="00482086">
        <w:rPr>
          <w:rFonts w:ascii="Book Antiqua" w:eastAsia="Book Antiqua" w:hAnsi="Book Antiqua" w:cs="Book Antiqua"/>
          <w:b/>
          <w:bCs/>
          <w:color w:val="000000"/>
        </w:rPr>
        <w:t>13</w:t>
      </w:r>
      <w:r w:rsidRPr="00482086">
        <w:rPr>
          <w:rFonts w:ascii="Book Antiqua" w:eastAsia="Book Antiqua" w:hAnsi="Book Antiqua" w:cs="Book Antiqua"/>
          <w:color w:val="000000"/>
        </w:rPr>
        <w:t>: 1222-1230 [PMID: 21616944 DOI: 10.1093/</w:t>
      </w:r>
      <w:proofErr w:type="spellStart"/>
      <w:r w:rsidRPr="00482086">
        <w:rPr>
          <w:rFonts w:ascii="Book Antiqua" w:eastAsia="Book Antiqua" w:hAnsi="Book Antiqua" w:cs="Book Antiqua"/>
          <w:color w:val="000000"/>
        </w:rPr>
        <w:t>europace</w:t>
      </w:r>
      <w:proofErr w:type="spellEnd"/>
      <w:r w:rsidRPr="00482086">
        <w:rPr>
          <w:rFonts w:ascii="Book Antiqua" w:eastAsia="Book Antiqua" w:hAnsi="Book Antiqua" w:cs="Book Antiqua"/>
          <w:color w:val="000000"/>
        </w:rPr>
        <w:t>/eur137]</w:t>
      </w:r>
    </w:p>
    <w:p w14:paraId="142D00C4" w14:textId="481A0081" w:rsidR="00A77B3E" w:rsidRPr="00482086" w:rsidRDefault="00FA517A" w:rsidP="00482086">
      <w:pPr>
        <w:spacing w:line="360" w:lineRule="auto"/>
        <w:jc w:val="both"/>
        <w:rPr>
          <w:rFonts w:ascii="Book Antiqua" w:hAnsi="Book Antiqua"/>
        </w:rPr>
      </w:pPr>
      <w:r w:rsidRPr="00572F1E">
        <w:rPr>
          <w:rFonts w:ascii="Book Antiqua" w:eastAsia="Book Antiqua" w:hAnsi="Book Antiqua" w:cs="Book Antiqua"/>
          <w:color w:val="000000"/>
          <w:highlight w:val="yellow"/>
        </w:rPr>
        <w:t xml:space="preserve">2 </w:t>
      </w:r>
      <w:r w:rsidRPr="00572F1E">
        <w:rPr>
          <w:rFonts w:ascii="Book Antiqua" w:eastAsia="Book Antiqua" w:hAnsi="Book Antiqua" w:cs="Book Antiqua"/>
          <w:b/>
          <w:color w:val="000000"/>
          <w:highlight w:val="yellow"/>
        </w:rPr>
        <w:t>American heart association</w:t>
      </w:r>
      <w:r w:rsidRPr="00572F1E">
        <w:rPr>
          <w:rFonts w:ascii="Book Antiqua" w:eastAsia="Book Antiqua" w:hAnsi="Book Antiqua" w:cs="Book Antiqua"/>
          <w:color w:val="000000"/>
          <w:highlight w:val="yellow"/>
        </w:rPr>
        <w:t xml:space="preserve">. Devices that May Interfere with ICDs and Pacemakers. Updated 2016. </w:t>
      </w:r>
      <w:r w:rsidR="00B8744A" w:rsidRPr="00572F1E">
        <w:rPr>
          <w:rFonts w:ascii="Book Antiqua" w:eastAsia="Book Antiqua" w:hAnsi="Book Antiqua" w:cs="Book Antiqua"/>
          <w:color w:val="000000"/>
          <w:highlight w:val="yellow"/>
        </w:rPr>
        <w:t>[cite</w:t>
      </w:r>
      <w:r w:rsidR="000C4ACE" w:rsidRPr="00572F1E">
        <w:rPr>
          <w:rFonts w:ascii="Book Antiqua" w:eastAsia="Book Antiqua" w:hAnsi="Book Antiqua" w:cs="Book Antiqua"/>
          <w:color w:val="000000"/>
          <w:highlight w:val="yellow"/>
        </w:rPr>
        <w:t>d</w:t>
      </w:r>
      <w:r w:rsidR="00B8744A" w:rsidRPr="00572F1E">
        <w:rPr>
          <w:rFonts w:ascii="Book Antiqua" w:eastAsia="Book Antiqua" w:hAnsi="Book Antiqua" w:cs="Book Antiqua"/>
          <w:color w:val="000000"/>
          <w:highlight w:val="yellow"/>
        </w:rPr>
        <w:t xml:space="preserve"> 22 February, 2021] </w:t>
      </w:r>
      <w:r w:rsidRPr="00572F1E">
        <w:rPr>
          <w:rFonts w:ascii="Book Antiqua" w:eastAsia="Book Antiqua" w:hAnsi="Book Antiqua" w:cs="Book Antiqua"/>
          <w:color w:val="000000"/>
          <w:highlight w:val="yellow"/>
        </w:rPr>
        <w:t>Available from: https://www.heart.org/en/health-topics/arrhythmia/prevention--treatment-of-arrhythmia/devices-that-may-interfere-with-icds-and- s</w:t>
      </w:r>
    </w:p>
    <w:p w14:paraId="1D831647"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3 </w:t>
      </w:r>
      <w:r w:rsidRPr="00482086">
        <w:rPr>
          <w:rFonts w:ascii="Book Antiqua" w:eastAsia="Book Antiqua" w:hAnsi="Book Antiqua" w:cs="Book Antiqua"/>
          <w:b/>
          <w:bCs/>
          <w:color w:val="000000"/>
        </w:rPr>
        <w:t>Cheng A</w:t>
      </w:r>
      <w:r w:rsidRPr="00482086">
        <w:rPr>
          <w:rFonts w:ascii="Book Antiqua" w:eastAsia="Book Antiqua" w:hAnsi="Book Antiqua" w:cs="Book Antiqua"/>
          <w:color w:val="000000"/>
        </w:rPr>
        <w:t xml:space="preserve">, Nazarian S, </w:t>
      </w:r>
      <w:proofErr w:type="spellStart"/>
      <w:r w:rsidRPr="00482086">
        <w:rPr>
          <w:rFonts w:ascii="Book Antiqua" w:eastAsia="Book Antiqua" w:hAnsi="Book Antiqua" w:cs="Book Antiqua"/>
          <w:color w:val="000000"/>
        </w:rPr>
        <w:t>Spragg</w:t>
      </w:r>
      <w:proofErr w:type="spellEnd"/>
      <w:r w:rsidRPr="00482086">
        <w:rPr>
          <w:rFonts w:ascii="Book Antiqua" w:eastAsia="Book Antiqua" w:hAnsi="Book Antiqua" w:cs="Book Antiqua"/>
          <w:color w:val="000000"/>
        </w:rPr>
        <w:t xml:space="preserve"> DD, </w:t>
      </w:r>
      <w:proofErr w:type="spellStart"/>
      <w:r w:rsidRPr="00482086">
        <w:rPr>
          <w:rFonts w:ascii="Book Antiqua" w:eastAsia="Book Antiqua" w:hAnsi="Book Antiqua" w:cs="Book Antiqua"/>
          <w:color w:val="000000"/>
        </w:rPr>
        <w:t>Bilchick</w:t>
      </w:r>
      <w:proofErr w:type="spellEnd"/>
      <w:r w:rsidRPr="00482086">
        <w:rPr>
          <w:rFonts w:ascii="Book Antiqua" w:eastAsia="Book Antiqua" w:hAnsi="Book Antiqua" w:cs="Book Antiqua"/>
          <w:color w:val="000000"/>
        </w:rPr>
        <w:t xml:space="preserve"> K, </w:t>
      </w:r>
      <w:proofErr w:type="spellStart"/>
      <w:r w:rsidRPr="00482086">
        <w:rPr>
          <w:rFonts w:ascii="Book Antiqua" w:eastAsia="Book Antiqua" w:hAnsi="Book Antiqua" w:cs="Book Antiqua"/>
          <w:color w:val="000000"/>
        </w:rPr>
        <w:t>Tandri</w:t>
      </w:r>
      <w:proofErr w:type="spellEnd"/>
      <w:r w:rsidRPr="00482086">
        <w:rPr>
          <w:rFonts w:ascii="Book Antiqua" w:eastAsia="Book Antiqua" w:hAnsi="Book Antiqua" w:cs="Book Antiqua"/>
          <w:color w:val="000000"/>
        </w:rPr>
        <w:t xml:space="preserve"> H, Mark L, Halperin H, Calkins H, Berger RD, </w:t>
      </w:r>
      <w:proofErr w:type="spellStart"/>
      <w:r w:rsidRPr="00482086">
        <w:rPr>
          <w:rFonts w:ascii="Book Antiqua" w:eastAsia="Book Antiqua" w:hAnsi="Book Antiqua" w:cs="Book Antiqua"/>
          <w:color w:val="000000"/>
        </w:rPr>
        <w:t>Henrikson</w:t>
      </w:r>
      <w:proofErr w:type="spellEnd"/>
      <w:r w:rsidRPr="00482086">
        <w:rPr>
          <w:rFonts w:ascii="Book Antiqua" w:eastAsia="Book Antiqua" w:hAnsi="Book Antiqua" w:cs="Book Antiqua"/>
          <w:color w:val="000000"/>
        </w:rPr>
        <w:t xml:space="preserve"> CA. Effects of surgical and endoscopic electrocautery on modern-day permanent pacemaker and implantable cardioverter-defibrillator systems. </w:t>
      </w:r>
      <w:r w:rsidRPr="00482086">
        <w:rPr>
          <w:rFonts w:ascii="Book Antiqua" w:eastAsia="Book Antiqua" w:hAnsi="Book Antiqua" w:cs="Book Antiqua"/>
          <w:i/>
          <w:iCs/>
          <w:color w:val="000000"/>
        </w:rPr>
        <w:t xml:space="preserve">Pacing Clin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2008; </w:t>
      </w:r>
      <w:r w:rsidRPr="00482086">
        <w:rPr>
          <w:rFonts w:ascii="Book Antiqua" w:eastAsia="Book Antiqua" w:hAnsi="Book Antiqua" w:cs="Book Antiqua"/>
          <w:b/>
          <w:bCs/>
          <w:color w:val="000000"/>
        </w:rPr>
        <w:t>31</w:t>
      </w:r>
      <w:r w:rsidRPr="00482086">
        <w:rPr>
          <w:rFonts w:ascii="Book Antiqua" w:eastAsia="Book Antiqua" w:hAnsi="Book Antiqua" w:cs="Book Antiqua"/>
          <w:color w:val="000000"/>
        </w:rPr>
        <w:t>: 344-350 [PMID: 18307631 DOI: 10.1111/j.1540-8159.</w:t>
      </w:r>
      <w:proofErr w:type="gramStart"/>
      <w:r w:rsidRPr="00482086">
        <w:rPr>
          <w:rFonts w:ascii="Book Antiqua" w:eastAsia="Book Antiqua" w:hAnsi="Book Antiqua" w:cs="Book Antiqua"/>
          <w:color w:val="000000"/>
        </w:rPr>
        <w:t>2008.00996.x</w:t>
      </w:r>
      <w:proofErr w:type="gramEnd"/>
      <w:r w:rsidRPr="00482086">
        <w:rPr>
          <w:rFonts w:ascii="Book Antiqua" w:eastAsia="Book Antiqua" w:hAnsi="Book Antiqua" w:cs="Book Antiqua"/>
          <w:color w:val="000000"/>
        </w:rPr>
        <w:t>]</w:t>
      </w:r>
    </w:p>
    <w:p w14:paraId="48FA68A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4 </w:t>
      </w:r>
      <w:proofErr w:type="spellStart"/>
      <w:r w:rsidRPr="00482086">
        <w:rPr>
          <w:rFonts w:ascii="Book Antiqua" w:eastAsia="Book Antiqua" w:hAnsi="Book Antiqua" w:cs="Book Antiqua"/>
          <w:b/>
          <w:bCs/>
          <w:color w:val="000000"/>
        </w:rPr>
        <w:t>Sadoul</w:t>
      </w:r>
      <w:proofErr w:type="spellEnd"/>
      <w:r w:rsidRPr="00482086">
        <w:rPr>
          <w:rFonts w:ascii="Book Antiqua" w:eastAsia="Book Antiqua" w:hAnsi="Book Antiqua" w:cs="Book Antiqua"/>
          <w:b/>
          <w:bCs/>
          <w:color w:val="000000"/>
        </w:rPr>
        <w:t xml:space="preserve"> N</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Blankoff</w:t>
      </w:r>
      <w:proofErr w:type="spellEnd"/>
      <w:r w:rsidRPr="00482086">
        <w:rPr>
          <w:rFonts w:ascii="Book Antiqua" w:eastAsia="Book Antiqua" w:hAnsi="Book Antiqua" w:cs="Book Antiqua"/>
          <w:color w:val="000000"/>
        </w:rPr>
        <w:t xml:space="preserve"> I, de </w:t>
      </w:r>
      <w:proofErr w:type="spellStart"/>
      <w:r w:rsidRPr="00482086">
        <w:rPr>
          <w:rFonts w:ascii="Book Antiqua" w:eastAsia="Book Antiqua" w:hAnsi="Book Antiqua" w:cs="Book Antiqua"/>
          <w:color w:val="000000"/>
        </w:rPr>
        <w:t>Chillou</w:t>
      </w:r>
      <w:proofErr w:type="spellEnd"/>
      <w:r w:rsidRPr="00482086">
        <w:rPr>
          <w:rFonts w:ascii="Book Antiqua" w:eastAsia="Book Antiqua" w:hAnsi="Book Antiqua" w:cs="Book Antiqua"/>
          <w:color w:val="000000"/>
        </w:rPr>
        <w:t xml:space="preserve"> C, </w:t>
      </w:r>
      <w:proofErr w:type="spellStart"/>
      <w:r w:rsidRPr="00482086">
        <w:rPr>
          <w:rFonts w:ascii="Book Antiqua" w:eastAsia="Book Antiqua" w:hAnsi="Book Antiqua" w:cs="Book Antiqua"/>
          <w:color w:val="000000"/>
        </w:rPr>
        <w:t>Beurrier</w:t>
      </w:r>
      <w:proofErr w:type="spellEnd"/>
      <w:r w:rsidRPr="00482086">
        <w:rPr>
          <w:rFonts w:ascii="Book Antiqua" w:eastAsia="Book Antiqua" w:hAnsi="Book Antiqua" w:cs="Book Antiqua"/>
          <w:color w:val="000000"/>
        </w:rPr>
        <w:t xml:space="preserve"> D, Messier M, Bizeau O, </w:t>
      </w:r>
      <w:proofErr w:type="spellStart"/>
      <w:r w:rsidRPr="00482086">
        <w:rPr>
          <w:rFonts w:ascii="Book Antiqua" w:eastAsia="Book Antiqua" w:hAnsi="Book Antiqua" w:cs="Book Antiqua"/>
          <w:color w:val="000000"/>
        </w:rPr>
        <w:t>Magnin</w:t>
      </w:r>
      <w:proofErr w:type="spellEnd"/>
      <w:r w:rsidRPr="00482086">
        <w:rPr>
          <w:rFonts w:ascii="Book Antiqua" w:eastAsia="Book Antiqua" w:hAnsi="Book Antiqua" w:cs="Book Antiqua"/>
          <w:color w:val="000000"/>
        </w:rPr>
        <w:t xml:space="preserve"> I, </w:t>
      </w:r>
      <w:proofErr w:type="spellStart"/>
      <w:r w:rsidRPr="00482086">
        <w:rPr>
          <w:rFonts w:ascii="Book Antiqua" w:eastAsia="Book Antiqua" w:hAnsi="Book Antiqua" w:cs="Book Antiqua"/>
          <w:color w:val="000000"/>
        </w:rPr>
        <w:t>Dodinot</w:t>
      </w:r>
      <w:proofErr w:type="spellEnd"/>
      <w:r w:rsidRPr="00482086">
        <w:rPr>
          <w:rFonts w:ascii="Book Antiqua" w:eastAsia="Book Antiqua" w:hAnsi="Book Antiqua" w:cs="Book Antiqua"/>
          <w:color w:val="000000"/>
        </w:rPr>
        <w:t xml:space="preserve"> B, </w:t>
      </w:r>
      <w:proofErr w:type="spellStart"/>
      <w:r w:rsidRPr="00482086">
        <w:rPr>
          <w:rFonts w:ascii="Book Antiqua" w:eastAsia="Book Antiqua" w:hAnsi="Book Antiqua" w:cs="Book Antiqua"/>
          <w:color w:val="000000"/>
        </w:rPr>
        <w:t>Aliot</w:t>
      </w:r>
      <w:proofErr w:type="spellEnd"/>
      <w:r w:rsidRPr="00482086">
        <w:rPr>
          <w:rFonts w:ascii="Book Antiqua" w:eastAsia="Book Antiqua" w:hAnsi="Book Antiqua" w:cs="Book Antiqua"/>
          <w:color w:val="000000"/>
        </w:rPr>
        <w:t xml:space="preserve"> E. Effects of radiofrequency catheter ablation on patients with permanent pacemakers. </w:t>
      </w:r>
      <w:r w:rsidRPr="00482086">
        <w:rPr>
          <w:rFonts w:ascii="Book Antiqua" w:eastAsia="Book Antiqua" w:hAnsi="Book Antiqua" w:cs="Book Antiqua"/>
          <w:i/>
          <w:iCs/>
          <w:color w:val="000000"/>
        </w:rPr>
        <w:t xml:space="preserve">J </w:t>
      </w:r>
      <w:proofErr w:type="spellStart"/>
      <w:r w:rsidRPr="00482086">
        <w:rPr>
          <w:rFonts w:ascii="Book Antiqua" w:eastAsia="Book Antiqua" w:hAnsi="Book Antiqua" w:cs="Book Antiqua"/>
          <w:i/>
          <w:iCs/>
          <w:color w:val="000000"/>
        </w:rPr>
        <w:t>Interv</w:t>
      </w:r>
      <w:proofErr w:type="spellEnd"/>
      <w:r w:rsidRPr="00482086">
        <w:rPr>
          <w:rFonts w:ascii="Book Antiqua" w:eastAsia="Book Antiqua" w:hAnsi="Book Antiqua" w:cs="Book Antiqua"/>
          <w:i/>
          <w:iCs/>
          <w:color w:val="000000"/>
        </w:rPr>
        <w:t xml:space="preserve"> Card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1997; </w:t>
      </w:r>
      <w:r w:rsidRPr="00482086">
        <w:rPr>
          <w:rFonts w:ascii="Book Antiqua" w:eastAsia="Book Antiqua" w:hAnsi="Book Antiqua" w:cs="Book Antiqua"/>
          <w:b/>
          <w:bCs/>
          <w:color w:val="000000"/>
        </w:rPr>
        <w:t>1</w:t>
      </w:r>
      <w:r w:rsidRPr="00482086">
        <w:rPr>
          <w:rFonts w:ascii="Book Antiqua" w:eastAsia="Book Antiqua" w:hAnsi="Book Antiqua" w:cs="Book Antiqua"/>
          <w:color w:val="000000"/>
        </w:rPr>
        <w:t>: 227-233 [PMID: 9869976 DOI: 10.1023/a:1009721023732]</w:t>
      </w:r>
    </w:p>
    <w:p w14:paraId="498E883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5 </w:t>
      </w:r>
      <w:r w:rsidRPr="00482086">
        <w:rPr>
          <w:rFonts w:ascii="Book Antiqua" w:eastAsia="Book Antiqua" w:hAnsi="Book Antiqua" w:cs="Book Antiqua"/>
          <w:b/>
          <w:bCs/>
          <w:color w:val="000000"/>
        </w:rPr>
        <w:t>Miller CS</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Leonelli</w:t>
      </w:r>
      <w:proofErr w:type="spellEnd"/>
      <w:r w:rsidRPr="00482086">
        <w:rPr>
          <w:rFonts w:ascii="Book Antiqua" w:eastAsia="Book Antiqua" w:hAnsi="Book Antiqua" w:cs="Book Antiqua"/>
          <w:color w:val="000000"/>
        </w:rPr>
        <w:t xml:space="preserve"> FM, Latham E. Selective interference with pacemaker activity by electrical dental devices. </w:t>
      </w:r>
      <w:r w:rsidRPr="00482086">
        <w:rPr>
          <w:rFonts w:ascii="Book Antiqua" w:eastAsia="Book Antiqua" w:hAnsi="Book Antiqua" w:cs="Book Antiqua"/>
          <w:i/>
          <w:iCs/>
          <w:color w:val="000000"/>
        </w:rPr>
        <w:t xml:space="preserve">Oral Surg Oral Med Oral </w:t>
      </w:r>
      <w:proofErr w:type="spellStart"/>
      <w:r w:rsidRPr="00482086">
        <w:rPr>
          <w:rFonts w:ascii="Book Antiqua" w:eastAsia="Book Antiqua" w:hAnsi="Book Antiqua" w:cs="Book Antiqua"/>
          <w:i/>
          <w:iCs/>
          <w:color w:val="000000"/>
        </w:rPr>
        <w:t>Pathol</w:t>
      </w:r>
      <w:proofErr w:type="spellEnd"/>
      <w:r w:rsidRPr="00482086">
        <w:rPr>
          <w:rFonts w:ascii="Book Antiqua" w:eastAsia="Book Antiqua" w:hAnsi="Book Antiqua" w:cs="Book Antiqua"/>
          <w:i/>
          <w:iCs/>
          <w:color w:val="000000"/>
        </w:rPr>
        <w:t xml:space="preserve"> Oral </w:t>
      </w:r>
      <w:proofErr w:type="spellStart"/>
      <w:r w:rsidRPr="00482086">
        <w:rPr>
          <w:rFonts w:ascii="Book Antiqua" w:eastAsia="Book Antiqua" w:hAnsi="Book Antiqua" w:cs="Book Antiqua"/>
          <w:i/>
          <w:iCs/>
          <w:color w:val="000000"/>
        </w:rPr>
        <w:t>Radiol</w:t>
      </w:r>
      <w:proofErr w:type="spellEnd"/>
      <w:r w:rsidRPr="00482086">
        <w:rPr>
          <w:rFonts w:ascii="Book Antiqua" w:eastAsia="Book Antiqua" w:hAnsi="Book Antiqua" w:cs="Book Antiqua"/>
          <w:i/>
          <w:iCs/>
          <w:color w:val="000000"/>
        </w:rPr>
        <w:t xml:space="preserve"> </w:t>
      </w:r>
      <w:proofErr w:type="spellStart"/>
      <w:r w:rsidRPr="00482086">
        <w:rPr>
          <w:rFonts w:ascii="Book Antiqua" w:eastAsia="Book Antiqua" w:hAnsi="Book Antiqua" w:cs="Book Antiqua"/>
          <w:i/>
          <w:iCs/>
          <w:color w:val="000000"/>
        </w:rPr>
        <w:t>Endod</w:t>
      </w:r>
      <w:proofErr w:type="spellEnd"/>
      <w:r w:rsidRPr="00482086">
        <w:rPr>
          <w:rFonts w:ascii="Book Antiqua" w:eastAsia="Book Antiqua" w:hAnsi="Book Antiqua" w:cs="Book Antiqua"/>
          <w:color w:val="000000"/>
        </w:rPr>
        <w:t xml:space="preserve"> 1998; </w:t>
      </w:r>
      <w:r w:rsidRPr="00482086">
        <w:rPr>
          <w:rFonts w:ascii="Book Antiqua" w:eastAsia="Book Antiqua" w:hAnsi="Book Antiqua" w:cs="Book Antiqua"/>
          <w:b/>
          <w:bCs/>
          <w:color w:val="000000"/>
        </w:rPr>
        <w:t>85</w:t>
      </w:r>
      <w:r w:rsidRPr="00482086">
        <w:rPr>
          <w:rFonts w:ascii="Book Antiqua" w:eastAsia="Book Antiqua" w:hAnsi="Book Antiqua" w:cs="Book Antiqua"/>
          <w:color w:val="000000"/>
        </w:rPr>
        <w:t>: 33-36 [PMID: 9474611 DOI: 10.1016/s1079-2104(98)90394-8]</w:t>
      </w:r>
    </w:p>
    <w:p w14:paraId="7C0D92B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6 </w:t>
      </w:r>
      <w:proofErr w:type="spellStart"/>
      <w:r w:rsidRPr="00482086">
        <w:rPr>
          <w:rFonts w:ascii="Book Antiqua" w:eastAsia="Book Antiqua" w:hAnsi="Book Antiqua" w:cs="Book Antiqua"/>
          <w:b/>
          <w:bCs/>
          <w:color w:val="000000"/>
        </w:rPr>
        <w:t>Jongnarangsin</w:t>
      </w:r>
      <w:proofErr w:type="spellEnd"/>
      <w:r w:rsidRPr="00482086">
        <w:rPr>
          <w:rFonts w:ascii="Book Antiqua" w:eastAsia="Book Antiqua" w:hAnsi="Book Antiqua" w:cs="Book Antiqua"/>
          <w:b/>
          <w:bCs/>
          <w:color w:val="000000"/>
        </w:rPr>
        <w:t xml:space="preserve"> K</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Thaker</w:t>
      </w:r>
      <w:proofErr w:type="spellEnd"/>
      <w:r w:rsidRPr="00482086">
        <w:rPr>
          <w:rFonts w:ascii="Book Antiqua" w:eastAsia="Book Antiqua" w:hAnsi="Book Antiqua" w:cs="Book Antiqua"/>
          <w:color w:val="000000"/>
        </w:rPr>
        <w:t xml:space="preserve"> JP, Thakur RK. Pacemakers and magnets: an arranged marriage. </w:t>
      </w:r>
      <w:r w:rsidRPr="00482086">
        <w:rPr>
          <w:rFonts w:ascii="Book Antiqua" w:eastAsia="Book Antiqua" w:hAnsi="Book Antiqua" w:cs="Book Antiqua"/>
          <w:i/>
          <w:iCs/>
          <w:color w:val="000000"/>
        </w:rPr>
        <w:t>Heart Rhythm</w:t>
      </w:r>
      <w:r w:rsidRPr="00482086">
        <w:rPr>
          <w:rFonts w:ascii="Book Antiqua" w:eastAsia="Book Antiqua" w:hAnsi="Book Antiqua" w:cs="Book Antiqua"/>
          <w:color w:val="000000"/>
        </w:rPr>
        <w:t xml:space="preserve"> 2009; </w:t>
      </w:r>
      <w:r w:rsidRPr="00482086">
        <w:rPr>
          <w:rFonts w:ascii="Book Antiqua" w:eastAsia="Book Antiqua" w:hAnsi="Book Antiqua" w:cs="Book Antiqua"/>
          <w:b/>
          <w:bCs/>
          <w:color w:val="000000"/>
        </w:rPr>
        <w:t>6</w:t>
      </w:r>
      <w:r w:rsidRPr="00482086">
        <w:rPr>
          <w:rFonts w:ascii="Book Antiqua" w:eastAsia="Book Antiqua" w:hAnsi="Book Antiqua" w:cs="Book Antiqua"/>
          <w:color w:val="000000"/>
        </w:rPr>
        <w:t>: 1437-1438 [PMID: 19716347 DOI: 10.1016/j.hrthm.2009.07.032]</w:t>
      </w:r>
    </w:p>
    <w:p w14:paraId="2FC2F277" w14:textId="7D7D39A9" w:rsidR="00A77B3E" w:rsidRPr="00482086" w:rsidRDefault="00FA517A" w:rsidP="00482086">
      <w:pPr>
        <w:spacing w:line="360" w:lineRule="auto"/>
        <w:jc w:val="both"/>
        <w:rPr>
          <w:rFonts w:ascii="Book Antiqua" w:hAnsi="Book Antiqua"/>
        </w:rPr>
      </w:pPr>
      <w:r w:rsidRPr="001B2904">
        <w:rPr>
          <w:rFonts w:ascii="Book Antiqua" w:eastAsia="Book Antiqua" w:hAnsi="Book Antiqua" w:cs="Book Antiqua"/>
          <w:color w:val="000000"/>
          <w:highlight w:val="yellow"/>
        </w:rPr>
        <w:lastRenderedPageBreak/>
        <w:t xml:space="preserve">7 </w:t>
      </w:r>
      <w:r w:rsidRPr="001B2904">
        <w:rPr>
          <w:rFonts w:ascii="Book Antiqua" w:eastAsia="Book Antiqua" w:hAnsi="Book Antiqua" w:cs="Book Antiqua"/>
          <w:b/>
          <w:color w:val="000000"/>
          <w:highlight w:val="yellow"/>
        </w:rPr>
        <w:t xml:space="preserve">Boston </w:t>
      </w:r>
      <w:r w:rsidRPr="001B2904">
        <w:rPr>
          <w:rFonts w:ascii="Book Antiqua" w:eastAsia="Book Antiqua" w:hAnsi="Book Antiqua" w:cs="Book Antiqua"/>
          <w:b/>
          <w:caps/>
          <w:color w:val="000000"/>
          <w:highlight w:val="yellow"/>
        </w:rPr>
        <w:t>s</w:t>
      </w:r>
      <w:r w:rsidRPr="001B2904">
        <w:rPr>
          <w:rFonts w:ascii="Book Antiqua" w:eastAsia="Book Antiqua" w:hAnsi="Book Antiqua" w:cs="Book Antiqua"/>
          <w:b/>
          <w:color w:val="000000"/>
          <w:highlight w:val="yellow"/>
        </w:rPr>
        <w:t>cientific</w:t>
      </w:r>
      <w:r w:rsidRPr="001B2904">
        <w:rPr>
          <w:rFonts w:ascii="Book Antiqua" w:eastAsia="Book Antiqua" w:hAnsi="Book Antiqua" w:cs="Book Antiqua"/>
          <w:color w:val="000000"/>
          <w:highlight w:val="yellow"/>
        </w:rPr>
        <w:t>. Magnet Use with Boston Scientific Pacemakers and CRT-Ps. Updated 2013.</w:t>
      </w:r>
      <w:r w:rsidR="002F78F3" w:rsidRPr="001B2904">
        <w:rPr>
          <w:rFonts w:ascii="Book Antiqua" w:eastAsia="Book Antiqua" w:hAnsi="Book Antiqua" w:cs="Book Antiqua"/>
          <w:color w:val="000000"/>
          <w:highlight w:val="yellow"/>
        </w:rPr>
        <w:t xml:space="preserve"> [cite</w:t>
      </w:r>
      <w:r w:rsidR="000C4ACE" w:rsidRPr="001B2904">
        <w:rPr>
          <w:rFonts w:ascii="Book Antiqua" w:eastAsia="Book Antiqua" w:hAnsi="Book Antiqua" w:cs="Book Antiqua"/>
          <w:color w:val="000000"/>
          <w:highlight w:val="yellow"/>
        </w:rPr>
        <w:t>d</w:t>
      </w:r>
      <w:r w:rsidR="002F78F3" w:rsidRPr="001B2904">
        <w:rPr>
          <w:rFonts w:ascii="Book Antiqua" w:eastAsia="Book Antiqua" w:hAnsi="Book Antiqua" w:cs="Book Antiqua"/>
          <w:color w:val="000000"/>
          <w:highlight w:val="yellow"/>
        </w:rPr>
        <w:t xml:space="preserve"> 22 February, 2021]</w:t>
      </w:r>
      <w:r w:rsidRPr="001B2904">
        <w:rPr>
          <w:rFonts w:ascii="Book Antiqua" w:eastAsia="Book Antiqua" w:hAnsi="Book Antiqua" w:cs="Book Antiqua"/>
          <w:color w:val="000000"/>
          <w:highlight w:val="yellow"/>
        </w:rPr>
        <w:t xml:space="preserve"> Available from: https://www.bostonscientific.com/content/dam/bostonscientific/quality/education-resources/english/ACL_Magnet_Use_Pacemakers_CRTPs_20131220.pdf</w:t>
      </w:r>
    </w:p>
    <w:p w14:paraId="64DC93AC"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8 </w:t>
      </w:r>
      <w:r w:rsidRPr="00482086">
        <w:rPr>
          <w:rFonts w:ascii="Book Antiqua" w:eastAsia="Book Antiqua" w:hAnsi="Book Antiqua" w:cs="Book Antiqua"/>
          <w:b/>
          <w:bCs/>
          <w:color w:val="000000"/>
        </w:rPr>
        <w:t>Chen D</w:t>
      </w:r>
      <w:r w:rsidRPr="00482086">
        <w:rPr>
          <w:rFonts w:ascii="Book Antiqua" w:eastAsia="Book Antiqua" w:hAnsi="Book Antiqua" w:cs="Book Antiqua"/>
          <w:color w:val="000000"/>
        </w:rPr>
        <w:t xml:space="preserve">, Philip M, Philip PA, Monga TN. Cardiac pacemaker inhibition by transcutaneous electrical nerve stimulation. </w:t>
      </w:r>
      <w:r w:rsidRPr="00482086">
        <w:rPr>
          <w:rFonts w:ascii="Book Antiqua" w:eastAsia="Book Antiqua" w:hAnsi="Book Antiqua" w:cs="Book Antiqua"/>
          <w:i/>
          <w:iCs/>
          <w:color w:val="000000"/>
        </w:rPr>
        <w:t xml:space="preserve">Arch Phys Med </w:t>
      </w:r>
      <w:proofErr w:type="spellStart"/>
      <w:r w:rsidRPr="00482086">
        <w:rPr>
          <w:rFonts w:ascii="Book Antiqua" w:eastAsia="Book Antiqua" w:hAnsi="Book Antiqua" w:cs="Book Antiqua"/>
          <w:i/>
          <w:iCs/>
          <w:color w:val="000000"/>
        </w:rPr>
        <w:t>Rehabil</w:t>
      </w:r>
      <w:proofErr w:type="spellEnd"/>
      <w:r w:rsidRPr="00482086">
        <w:rPr>
          <w:rFonts w:ascii="Book Antiqua" w:eastAsia="Book Antiqua" w:hAnsi="Book Antiqua" w:cs="Book Antiqua"/>
          <w:color w:val="000000"/>
        </w:rPr>
        <w:t xml:space="preserve"> 1990; </w:t>
      </w:r>
      <w:r w:rsidRPr="00482086">
        <w:rPr>
          <w:rFonts w:ascii="Book Antiqua" w:eastAsia="Book Antiqua" w:hAnsi="Book Antiqua" w:cs="Book Antiqua"/>
          <w:b/>
          <w:bCs/>
          <w:color w:val="000000"/>
        </w:rPr>
        <w:t>71</w:t>
      </w:r>
      <w:r w:rsidRPr="00482086">
        <w:rPr>
          <w:rFonts w:ascii="Book Antiqua" w:eastAsia="Book Antiqua" w:hAnsi="Book Antiqua" w:cs="Book Antiqua"/>
          <w:color w:val="000000"/>
        </w:rPr>
        <w:t>: 27-30 [PMID: 2136990]</w:t>
      </w:r>
    </w:p>
    <w:p w14:paraId="7D1A2285" w14:textId="7CE1CCDD" w:rsidR="00A77B3E" w:rsidRPr="00482086" w:rsidRDefault="00FA517A" w:rsidP="00482086">
      <w:pPr>
        <w:spacing w:line="360" w:lineRule="auto"/>
        <w:jc w:val="both"/>
        <w:rPr>
          <w:rFonts w:ascii="Book Antiqua" w:hAnsi="Book Antiqua"/>
        </w:rPr>
      </w:pPr>
      <w:r w:rsidRPr="001B2904">
        <w:rPr>
          <w:rFonts w:ascii="Book Antiqua" w:eastAsia="Book Antiqua" w:hAnsi="Book Antiqua" w:cs="Book Antiqua"/>
          <w:color w:val="000000"/>
          <w:highlight w:val="yellow"/>
        </w:rPr>
        <w:t xml:space="preserve">9 </w:t>
      </w:r>
      <w:r w:rsidRPr="001B2904">
        <w:rPr>
          <w:rFonts w:ascii="Book Antiqua" w:eastAsia="Book Antiqua" w:hAnsi="Book Antiqua" w:cs="Book Antiqua"/>
          <w:b/>
          <w:color w:val="000000"/>
          <w:highlight w:val="yellow"/>
        </w:rPr>
        <w:t xml:space="preserve">DJO </w:t>
      </w:r>
      <w:r w:rsidRPr="001B2904">
        <w:rPr>
          <w:rFonts w:ascii="Book Antiqua" w:eastAsia="Book Antiqua" w:hAnsi="Book Antiqua" w:cs="Book Antiqua"/>
          <w:b/>
          <w:caps/>
          <w:color w:val="000000"/>
          <w:highlight w:val="yellow"/>
        </w:rPr>
        <w:t>g</w:t>
      </w:r>
      <w:r w:rsidRPr="001B2904">
        <w:rPr>
          <w:rFonts w:ascii="Book Antiqua" w:eastAsia="Book Antiqua" w:hAnsi="Book Antiqua" w:cs="Book Antiqua"/>
          <w:b/>
          <w:color w:val="000000"/>
          <w:highlight w:val="yellow"/>
        </w:rPr>
        <w:t>lobal</w:t>
      </w:r>
      <w:r w:rsidRPr="001B2904">
        <w:rPr>
          <w:rFonts w:ascii="Book Antiqua" w:eastAsia="Book Antiqua" w:hAnsi="Book Antiqua" w:cs="Book Antiqua"/>
          <w:color w:val="000000"/>
          <w:highlight w:val="yellow"/>
        </w:rPr>
        <w:t xml:space="preserve">. Safety Issues regarding the use of </w:t>
      </w:r>
      <w:proofErr w:type="spellStart"/>
      <w:r w:rsidRPr="001B2904">
        <w:rPr>
          <w:rFonts w:ascii="Book Antiqua" w:eastAsia="Book Antiqua" w:hAnsi="Book Antiqua" w:cs="Book Antiqua"/>
          <w:color w:val="000000"/>
          <w:highlight w:val="yellow"/>
        </w:rPr>
        <w:t>VitalStim</w:t>
      </w:r>
      <w:proofErr w:type="spellEnd"/>
      <w:r w:rsidRPr="001B2904">
        <w:rPr>
          <w:rFonts w:ascii="Book Antiqua" w:eastAsia="Book Antiqua" w:hAnsi="Book Antiqua" w:cs="Book Antiqua"/>
          <w:color w:val="000000"/>
          <w:highlight w:val="yellow"/>
        </w:rPr>
        <w:t xml:space="preserve"> Therapy. Updated 2008. </w:t>
      </w:r>
      <w:r w:rsidR="00C96230" w:rsidRPr="001B2904">
        <w:rPr>
          <w:rFonts w:ascii="Book Antiqua" w:eastAsia="Book Antiqua" w:hAnsi="Book Antiqua" w:cs="Book Antiqua"/>
          <w:color w:val="000000"/>
          <w:highlight w:val="yellow"/>
        </w:rPr>
        <w:t>[cite</w:t>
      </w:r>
      <w:r w:rsidR="000C4ACE" w:rsidRPr="001B2904">
        <w:rPr>
          <w:rFonts w:ascii="Book Antiqua" w:eastAsia="Book Antiqua" w:hAnsi="Book Antiqua" w:cs="Book Antiqua"/>
          <w:color w:val="000000"/>
          <w:highlight w:val="yellow"/>
        </w:rPr>
        <w:t>d</w:t>
      </w:r>
      <w:r w:rsidR="00C96230" w:rsidRPr="001B2904">
        <w:rPr>
          <w:rFonts w:ascii="Book Antiqua" w:eastAsia="Book Antiqua" w:hAnsi="Book Antiqua" w:cs="Book Antiqua"/>
          <w:color w:val="000000"/>
          <w:highlight w:val="yellow"/>
        </w:rPr>
        <w:t xml:space="preserve"> 22 February, 2021] </w:t>
      </w:r>
      <w:r w:rsidRPr="001B2904">
        <w:rPr>
          <w:rFonts w:ascii="Book Antiqua" w:eastAsia="Book Antiqua" w:hAnsi="Book Antiqua" w:cs="Book Antiqua"/>
          <w:color w:val="000000"/>
          <w:highlight w:val="yellow"/>
        </w:rPr>
        <w:t>Available from: https://www.djoglobal.com/sites/default/files/vitalstim/VitalStim_Contraindications_Precautions.pdf</w:t>
      </w:r>
    </w:p>
    <w:p w14:paraId="6EAB3DE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10 </w:t>
      </w:r>
      <w:r w:rsidRPr="00482086">
        <w:rPr>
          <w:rFonts w:ascii="Book Antiqua" w:eastAsia="Book Antiqua" w:hAnsi="Book Antiqua" w:cs="Book Antiqua"/>
          <w:b/>
          <w:bCs/>
          <w:color w:val="000000"/>
        </w:rPr>
        <w:t>Ip JE</w:t>
      </w:r>
      <w:r w:rsidRPr="00482086">
        <w:rPr>
          <w:rFonts w:ascii="Book Antiqua" w:eastAsia="Book Antiqua" w:hAnsi="Book Antiqua" w:cs="Book Antiqua"/>
          <w:color w:val="000000"/>
        </w:rPr>
        <w:t xml:space="preserve">, Liu TJ, Chen CL, </w:t>
      </w:r>
      <w:proofErr w:type="spellStart"/>
      <w:r w:rsidRPr="00482086">
        <w:rPr>
          <w:rFonts w:ascii="Book Antiqua" w:eastAsia="Book Antiqua" w:hAnsi="Book Antiqua" w:cs="Book Antiqua"/>
          <w:color w:val="000000"/>
        </w:rPr>
        <w:t>Lerman</w:t>
      </w:r>
      <w:proofErr w:type="spellEnd"/>
      <w:r w:rsidRPr="00482086">
        <w:rPr>
          <w:rFonts w:ascii="Book Antiqua" w:eastAsia="Book Antiqua" w:hAnsi="Book Antiqua" w:cs="Book Antiqua"/>
          <w:color w:val="000000"/>
        </w:rPr>
        <w:t xml:space="preserve"> BB. Asystole during pacemaker magnet application. </w:t>
      </w:r>
      <w:r w:rsidRPr="00482086">
        <w:rPr>
          <w:rFonts w:ascii="Book Antiqua" w:eastAsia="Book Antiqua" w:hAnsi="Book Antiqua" w:cs="Book Antiqua"/>
          <w:i/>
          <w:iCs/>
          <w:color w:val="000000"/>
        </w:rPr>
        <w:t xml:space="preserve">Pacing Clin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2017; </w:t>
      </w:r>
      <w:r w:rsidRPr="00482086">
        <w:rPr>
          <w:rFonts w:ascii="Book Antiqua" w:eastAsia="Book Antiqua" w:hAnsi="Book Antiqua" w:cs="Book Antiqua"/>
          <w:b/>
          <w:bCs/>
          <w:color w:val="000000"/>
        </w:rPr>
        <w:t>40</w:t>
      </w:r>
      <w:r w:rsidRPr="00482086">
        <w:rPr>
          <w:rFonts w:ascii="Book Antiqua" w:eastAsia="Book Antiqua" w:hAnsi="Book Antiqua" w:cs="Book Antiqua"/>
          <w:color w:val="000000"/>
        </w:rPr>
        <w:t>: 1176-1179 [PMID: 28369968 DOI: 10.1111/pace.13084]</w:t>
      </w:r>
    </w:p>
    <w:p w14:paraId="3A71BA6E" w14:textId="77777777" w:rsidR="00A77B3E" w:rsidRPr="00482086" w:rsidRDefault="00A77B3E" w:rsidP="00482086">
      <w:pPr>
        <w:spacing w:line="360" w:lineRule="auto"/>
        <w:jc w:val="both"/>
        <w:rPr>
          <w:rFonts w:ascii="Book Antiqua" w:hAnsi="Book Antiqua"/>
        </w:rPr>
        <w:sectPr w:rsidR="00A77B3E" w:rsidRPr="00482086">
          <w:pgSz w:w="12240" w:h="15840"/>
          <w:pgMar w:top="1440" w:right="1440" w:bottom="1440" w:left="1440" w:header="720" w:footer="720" w:gutter="0"/>
          <w:cols w:space="720"/>
          <w:docGrid w:linePitch="360"/>
        </w:sectPr>
      </w:pPr>
    </w:p>
    <w:p w14:paraId="3809D1C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lastRenderedPageBreak/>
        <w:t>Footnotes</w:t>
      </w:r>
    </w:p>
    <w:p w14:paraId="6BC15B2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Informed consent statement: </w:t>
      </w:r>
      <w:r w:rsidRPr="00482086">
        <w:rPr>
          <w:rFonts w:ascii="Book Antiqua" w:eastAsia="Book Antiqua" w:hAnsi="Book Antiqua" w:cs="Book Antiqua"/>
          <w:color w:val="000000"/>
        </w:rPr>
        <w:t>Informed written consent was obtained from the patient for publication of this report and any accompanying images.</w:t>
      </w:r>
    </w:p>
    <w:p w14:paraId="73D349F9" w14:textId="77777777" w:rsidR="00A77B3E" w:rsidRPr="00482086" w:rsidRDefault="00A77B3E" w:rsidP="00482086">
      <w:pPr>
        <w:spacing w:line="360" w:lineRule="auto"/>
        <w:jc w:val="both"/>
        <w:rPr>
          <w:rFonts w:ascii="Book Antiqua" w:hAnsi="Book Antiqua"/>
        </w:rPr>
      </w:pPr>
    </w:p>
    <w:p w14:paraId="0BC9CF12"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Conflict-of-interest statement: </w:t>
      </w:r>
      <w:r w:rsidRPr="00482086">
        <w:rPr>
          <w:rFonts w:ascii="Book Antiqua" w:eastAsia="Book Antiqua" w:hAnsi="Book Antiqua" w:cs="Book Antiqua"/>
          <w:color w:val="000000"/>
        </w:rPr>
        <w:t>The authors have no conflicts of interest to declare.</w:t>
      </w:r>
    </w:p>
    <w:p w14:paraId="58199185" w14:textId="77777777" w:rsidR="00A77B3E" w:rsidRPr="00482086" w:rsidRDefault="00A77B3E" w:rsidP="00482086">
      <w:pPr>
        <w:spacing w:line="360" w:lineRule="auto"/>
        <w:jc w:val="both"/>
        <w:rPr>
          <w:rFonts w:ascii="Book Antiqua" w:hAnsi="Book Antiqua"/>
        </w:rPr>
      </w:pPr>
    </w:p>
    <w:p w14:paraId="67F08D0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CARE Checklist (2016) statement: </w:t>
      </w:r>
      <w:r w:rsidRPr="00482086">
        <w:rPr>
          <w:rFonts w:ascii="Book Antiqua" w:eastAsia="Book Antiqua" w:hAnsi="Book Antiqua" w:cs="Book Antiqua"/>
          <w:color w:val="000000"/>
        </w:rPr>
        <w:t>The authors have read the CARE Checklist (2016), and the manuscript was prepared and revised according to the CARE Checklist (2016).</w:t>
      </w:r>
    </w:p>
    <w:p w14:paraId="126047F4" w14:textId="77777777" w:rsidR="00A77B3E" w:rsidRPr="00482086" w:rsidRDefault="00A77B3E" w:rsidP="00482086">
      <w:pPr>
        <w:spacing w:line="360" w:lineRule="auto"/>
        <w:jc w:val="both"/>
        <w:rPr>
          <w:rFonts w:ascii="Book Antiqua" w:hAnsi="Book Antiqua"/>
        </w:rPr>
      </w:pPr>
    </w:p>
    <w:p w14:paraId="12B5046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Open-Access: </w:t>
      </w:r>
      <w:r w:rsidRPr="004820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2086">
        <w:rPr>
          <w:rFonts w:ascii="Book Antiqua" w:eastAsia="Book Antiqua" w:hAnsi="Book Antiqua" w:cs="Book Antiqua"/>
          <w:color w:val="000000"/>
        </w:rPr>
        <w:t>NonCommercial</w:t>
      </w:r>
      <w:proofErr w:type="spellEnd"/>
      <w:r w:rsidRPr="004820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76B610" w14:textId="77777777" w:rsidR="00A77B3E" w:rsidRPr="00482086" w:rsidRDefault="00A77B3E" w:rsidP="00482086">
      <w:pPr>
        <w:spacing w:line="360" w:lineRule="auto"/>
        <w:jc w:val="both"/>
        <w:rPr>
          <w:rFonts w:ascii="Book Antiqua" w:hAnsi="Book Antiqua"/>
        </w:rPr>
      </w:pPr>
    </w:p>
    <w:p w14:paraId="76336B10" w14:textId="53D4A4D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source: </w:t>
      </w:r>
      <w:r w:rsidRPr="00482086">
        <w:rPr>
          <w:rFonts w:ascii="Book Antiqua" w:eastAsia="Book Antiqua" w:hAnsi="Book Antiqua" w:cs="Book Antiqua"/>
          <w:color w:val="000000"/>
        </w:rPr>
        <w:t xml:space="preserve">Unsolicited </w:t>
      </w:r>
      <w:r w:rsidR="00482086" w:rsidRPr="00482086">
        <w:rPr>
          <w:rFonts w:ascii="Book Antiqua" w:eastAsia="Book Antiqua" w:hAnsi="Book Antiqua" w:cs="Book Antiqua"/>
          <w:color w:val="000000"/>
        </w:rPr>
        <w:t>m</w:t>
      </w:r>
      <w:r w:rsidRPr="00482086">
        <w:rPr>
          <w:rFonts w:ascii="Book Antiqua" w:eastAsia="Book Antiqua" w:hAnsi="Book Antiqua" w:cs="Book Antiqua"/>
          <w:color w:val="000000"/>
        </w:rPr>
        <w:t>anuscript</w:t>
      </w:r>
    </w:p>
    <w:p w14:paraId="2D9F2A31" w14:textId="77777777" w:rsidR="00A77B3E" w:rsidRPr="00482086" w:rsidRDefault="00A77B3E" w:rsidP="00482086">
      <w:pPr>
        <w:spacing w:line="360" w:lineRule="auto"/>
        <w:jc w:val="both"/>
        <w:rPr>
          <w:rFonts w:ascii="Book Antiqua" w:hAnsi="Book Antiqua"/>
        </w:rPr>
      </w:pPr>
    </w:p>
    <w:p w14:paraId="4E226A7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Peer-review started: </w:t>
      </w:r>
      <w:r w:rsidRPr="00482086">
        <w:rPr>
          <w:rFonts w:ascii="Book Antiqua" w:eastAsia="Book Antiqua" w:hAnsi="Book Antiqua" w:cs="Book Antiqua"/>
          <w:color w:val="000000"/>
        </w:rPr>
        <w:t>February 22, 2021</w:t>
      </w:r>
    </w:p>
    <w:p w14:paraId="195C7C0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First decision: </w:t>
      </w:r>
      <w:r w:rsidRPr="00482086">
        <w:rPr>
          <w:rFonts w:ascii="Book Antiqua" w:eastAsia="Book Antiqua" w:hAnsi="Book Antiqua" w:cs="Book Antiqua"/>
          <w:color w:val="000000"/>
        </w:rPr>
        <w:t>April 14, 2021</w:t>
      </w:r>
    </w:p>
    <w:p w14:paraId="0C0EF5F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Article in press: </w:t>
      </w:r>
    </w:p>
    <w:p w14:paraId="34FF6511" w14:textId="77777777" w:rsidR="00A77B3E" w:rsidRPr="00482086" w:rsidRDefault="00A77B3E" w:rsidP="00482086">
      <w:pPr>
        <w:spacing w:line="360" w:lineRule="auto"/>
        <w:jc w:val="both"/>
        <w:rPr>
          <w:rFonts w:ascii="Book Antiqua" w:hAnsi="Book Antiqua"/>
        </w:rPr>
      </w:pPr>
    </w:p>
    <w:p w14:paraId="44D51092"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Specialty type: </w:t>
      </w:r>
      <w:r w:rsidRPr="00482086">
        <w:rPr>
          <w:rFonts w:ascii="Book Antiqua" w:eastAsia="Book Antiqua" w:hAnsi="Book Antiqua" w:cs="Book Antiqua"/>
          <w:color w:val="000000"/>
        </w:rPr>
        <w:t>Rehabilitation</w:t>
      </w:r>
    </w:p>
    <w:p w14:paraId="3CE9913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Country/Territory of origin: </w:t>
      </w:r>
      <w:r w:rsidRPr="00482086">
        <w:rPr>
          <w:rFonts w:ascii="Book Antiqua" w:eastAsia="Book Antiqua" w:hAnsi="Book Antiqua" w:cs="Book Antiqua"/>
          <w:color w:val="000000"/>
        </w:rPr>
        <w:t>South Korea</w:t>
      </w:r>
    </w:p>
    <w:p w14:paraId="6776006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Peer-review report’s scientific quality classification</w:t>
      </w:r>
    </w:p>
    <w:p w14:paraId="34FADD3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A (Excellent): A</w:t>
      </w:r>
    </w:p>
    <w:p w14:paraId="17065B3C"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B (Very good): B</w:t>
      </w:r>
    </w:p>
    <w:p w14:paraId="69E6B9C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C (Good): C, C</w:t>
      </w:r>
    </w:p>
    <w:p w14:paraId="5370FA5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lastRenderedPageBreak/>
        <w:t>Grade D (Fair): 0</w:t>
      </w:r>
    </w:p>
    <w:p w14:paraId="30413559"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E (Poor): 0</w:t>
      </w:r>
    </w:p>
    <w:p w14:paraId="50A86B53" w14:textId="77777777" w:rsidR="00A77B3E" w:rsidRPr="00482086" w:rsidRDefault="00A77B3E" w:rsidP="00482086">
      <w:pPr>
        <w:spacing w:line="360" w:lineRule="auto"/>
        <w:jc w:val="both"/>
        <w:rPr>
          <w:rFonts w:ascii="Book Antiqua" w:hAnsi="Book Antiqua"/>
        </w:rPr>
      </w:pPr>
    </w:p>
    <w:p w14:paraId="682A40BE" w14:textId="77777777" w:rsidR="00A77B3E" w:rsidRPr="00482086" w:rsidRDefault="00FA517A" w:rsidP="00482086">
      <w:pPr>
        <w:spacing w:line="360" w:lineRule="auto"/>
        <w:jc w:val="both"/>
        <w:rPr>
          <w:rFonts w:ascii="Book Antiqua" w:hAnsi="Book Antiqua"/>
        </w:rPr>
        <w:sectPr w:rsidR="00A77B3E" w:rsidRPr="00482086">
          <w:pgSz w:w="12240" w:h="15840"/>
          <w:pgMar w:top="1440" w:right="1440" w:bottom="1440" w:left="1440" w:header="720" w:footer="720" w:gutter="0"/>
          <w:cols w:space="720"/>
          <w:docGrid w:linePitch="360"/>
        </w:sectPr>
      </w:pPr>
      <w:r w:rsidRPr="00482086">
        <w:rPr>
          <w:rFonts w:ascii="Book Antiqua" w:eastAsia="Book Antiqua" w:hAnsi="Book Antiqua" w:cs="Book Antiqua"/>
          <w:b/>
          <w:color w:val="000000"/>
        </w:rPr>
        <w:t xml:space="preserve">P-Reviewer: </w:t>
      </w:r>
      <w:r w:rsidRPr="00482086">
        <w:rPr>
          <w:rFonts w:ascii="Book Antiqua" w:eastAsia="Book Antiqua" w:hAnsi="Book Antiqua" w:cs="Book Antiqua"/>
          <w:color w:val="000000"/>
        </w:rPr>
        <w:t>Ge X, Oley MH, Tanabe H, Tang SH</w:t>
      </w:r>
      <w:r w:rsidRPr="00482086">
        <w:rPr>
          <w:rFonts w:ascii="Book Antiqua" w:eastAsia="Book Antiqua" w:hAnsi="Book Antiqua" w:cs="Book Antiqua"/>
          <w:b/>
          <w:color w:val="000000"/>
        </w:rPr>
        <w:t xml:space="preserve"> S-Editor: </w:t>
      </w:r>
      <w:r w:rsidRPr="00482086">
        <w:rPr>
          <w:rFonts w:ascii="Book Antiqua" w:eastAsia="Book Antiqua" w:hAnsi="Book Antiqua" w:cs="Book Antiqua"/>
          <w:color w:val="000000"/>
        </w:rPr>
        <w:t>Gong ZM</w:t>
      </w:r>
      <w:r w:rsidRPr="00482086">
        <w:rPr>
          <w:rFonts w:ascii="Book Antiqua" w:eastAsia="Book Antiqua" w:hAnsi="Book Antiqua" w:cs="Book Antiqua"/>
          <w:b/>
          <w:color w:val="000000"/>
        </w:rPr>
        <w:t xml:space="preserve"> L-Editor:  P-Editor: </w:t>
      </w:r>
    </w:p>
    <w:p w14:paraId="3802A0F3" w14:textId="5101B50B" w:rsidR="00A77B3E" w:rsidRPr="00482086" w:rsidRDefault="00FA517A" w:rsidP="00482086">
      <w:pPr>
        <w:spacing w:line="360" w:lineRule="auto"/>
        <w:jc w:val="both"/>
        <w:rPr>
          <w:rFonts w:ascii="Book Antiqua" w:eastAsia="Book Antiqua" w:hAnsi="Book Antiqua" w:cs="Book Antiqua"/>
          <w:b/>
          <w:color w:val="000000"/>
        </w:rPr>
      </w:pPr>
      <w:r w:rsidRPr="00482086">
        <w:rPr>
          <w:rFonts w:ascii="Book Antiqua" w:eastAsia="Book Antiqua" w:hAnsi="Book Antiqua" w:cs="Book Antiqua"/>
          <w:b/>
          <w:color w:val="000000"/>
        </w:rPr>
        <w:lastRenderedPageBreak/>
        <w:t>Figure Legends</w:t>
      </w:r>
    </w:p>
    <w:p w14:paraId="498B4C73" w14:textId="7E74B0F7" w:rsidR="00482086" w:rsidRPr="00482086" w:rsidRDefault="00482086" w:rsidP="00482086">
      <w:pPr>
        <w:spacing w:line="360" w:lineRule="auto"/>
        <w:jc w:val="both"/>
        <w:rPr>
          <w:rFonts w:ascii="Book Antiqua" w:hAnsi="Book Antiqua"/>
        </w:rPr>
      </w:pPr>
      <w:r w:rsidRPr="00482086">
        <w:rPr>
          <w:rFonts w:ascii="Book Antiqua" w:hAnsi="Book Antiqua"/>
          <w:noProof/>
          <w:lang w:eastAsia="zh-CN"/>
        </w:rPr>
        <w:drawing>
          <wp:inline distT="0" distB="0" distL="0" distR="0" wp14:anchorId="5DB5E159" wp14:editId="259309A5">
            <wp:extent cx="2878455" cy="2413000"/>
            <wp:effectExtent l="0" t="0" r="0" b="6350"/>
            <wp:docPr id="4" name="그림 3" descr="C:\Users\gram\Desktop\WJCC 제출용\제출\Figure 1.tif"/>
            <wp:cNvGraphicFramePr/>
            <a:graphic xmlns:a="http://schemas.openxmlformats.org/drawingml/2006/main">
              <a:graphicData uri="http://schemas.openxmlformats.org/drawingml/2006/picture">
                <pic:pic xmlns:pic="http://schemas.openxmlformats.org/drawingml/2006/picture">
                  <pic:nvPicPr>
                    <pic:cNvPr id="4" name="그림 3" descr="C:\Users\gram\Desktop\WJCC 제출용\제출\Figure 1.tif"/>
                    <pic:cNvPicPr/>
                  </pic:nvPicPr>
                  <pic:blipFill>
                    <a:blip r:embed="rId7" cstate="print"/>
                    <a:srcRect/>
                    <a:stretch>
                      <a:fillRect/>
                    </a:stretch>
                  </pic:blipFill>
                  <pic:spPr bwMode="auto">
                    <a:xfrm>
                      <a:off x="0" y="0"/>
                      <a:ext cx="2878455" cy="2413000"/>
                    </a:xfrm>
                    <a:prstGeom prst="rect">
                      <a:avLst/>
                    </a:prstGeom>
                    <a:noFill/>
                    <a:ln w="9525">
                      <a:noFill/>
                      <a:miter lim="800000"/>
                      <a:headEnd/>
                      <a:tailEnd/>
                    </a:ln>
                  </pic:spPr>
                </pic:pic>
              </a:graphicData>
            </a:graphic>
          </wp:inline>
        </w:drawing>
      </w:r>
    </w:p>
    <w:p w14:paraId="57E561A5" w14:textId="0233B9DF" w:rsidR="00482086" w:rsidRPr="00482086" w:rsidRDefault="00FA517A" w:rsidP="00482086">
      <w:pPr>
        <w:spacing w:line="360" w:lineRule="auto"/>
        <w:jc w:val="both"/>
        <w:rPr>
          <w:rFonts w:ascii="Book Antiqua" w:eastAsia="Book Antiqua" w:hAnsi="Book Antiqua" w:cs="Book Antiqua"/>
          <w:color w:val="000000"/>
        </w:rPr>
      </w:pPr>
      <w:r w:rsidRPr="00482086">
        <w:rPr>
          <w:rFonts w:ascii="Book Antiqua" w:eastAsia="Book Antiqua" w:hAnsi="Book Antiqua" w:cs="Book Antiqua"/>
          <w:b/>
          <w:bCs/>
          <w:color w:val="000000"/>
        </w:rPr>
        <w:t xml:space="preserve">Figure 1 An AP view on first </w:t>
      </w:r>
      <w:proofErr w:type="spellStart"/>
      <w:r w:rsidR="00FE560E" w:rsidRPr="00FE560E">
        <w:rPr>
          <w:rFonts w:ascii="Book Antiqua" w:eastAsia="Book Antiqua" w:hAnsi="Book Antiqua" w:cs="Book Antiqua"/>
          <w:b/>
          <w:bCs/>
          <w:color w:val="000000"/>
        </w:rPr>
        <w:t>videofluoroscopic</w:t>
      </w:r>
      <w:proofErr w:type="spellEnd"/>
      <w:r w:rsidR="00FE560E" w:rsidRPr="00FE560E">
        <w:rPr>
          <w:rFonts w:ascii="Book Antiqua" w:eastAsia="Book Antiqua" w:hAnsi="Book Antiqua" w:cs="Book Antiqua"/>
          <w:b/>
          <w:bCs/>
          <w:color w:val="000000"/>
        </w:rPr>
        <w:t xml:space="preserve"> swallowing study</w:t>
      </w:r>
      <w:r w:rsidRPr="00482086">
        <w:rPr>
          <w:rFonts w:ascii="Book Antiqua" w:eastAsia="Book Antiqua" w:hAnsi="Book Antiqua" w:cs="Book Antiqua"/>
          <w:b/>
          <w:bCs/>
          <w:color w:val="000000"/>
        </w:rPr>
        <w:t xml:space="preserve">. </w:t>
      </w:r>
      <w:r w:rsidRPr="00482086">
        <w:rPr>
          <w:rFonts w:ascii="Book Antiqua" w:eastAsia="Book Antiqua" w:hAnsi="Book Antiqua" w:cs="Book Antiqua"/>
          <w:color w:val="000000"/>
        </w:rPr>
        <w:t>The picture showed implanted cardiac pacemaker and its two leads toward right atrium and right ventricle.</w:t>
      </w:r>
    </w:p>
    <w:p w14:paraId="5BD5C7D1" w14:textId="7116A150" w:rsidR="00A77B3E" w:rsidRPr="00482086" w:rsidRDefault="00482086" w:rsidP="00482086">
      <w:pPr>
        <w:spacing w:line="360" w:lineRule="auto"/>
        <w:jc w:val="both"/>
        <w:rPr>
          <w:rFonts w:ascii="Book Antiqua" w:hAnsi="Book Antiqua"/>
        </w:rPr>
      </w:pPr>
      <w:r w:rsidRPr="00482086">
        <w:rPr>
          <w:rFonts w:ascii="Book Antiqua" w:eastAsia="Book Antiqua" w:hAnsi="Book Antiqua" w:cs="Book Antiqua"/>
          <w:color w:val="000000"/>
        </w:rPr>
        <w:br w:type="page"/>
      </w:r>
      <w:r w:rsidRPr="00482086">
        <w:rPr>
          <w:rFonts w:ascii="Book Antiqua" w:eastAsia="Book Antiqua" w:hAnsi="Book Antiqua" w:cs="Book Antiqua"/>
          <w:noProof/>
          <w:color w:val="000000"/>
          <w:lang w:eastAsia="zh-CN"/>
        </w:rPr>
        <w:lastRenderedPageBreak/>
        <w:drawing>
          <wp:inline distT="0" distB="0" distL="0" distR="0" wp14:anchorId="0C375F12" wp14:editId="4346E352">
            <wp:extent cx="2878455" cy="2379345"/>
            <wp:effectExtent l="0" t="0" r="0" b="1905"/>
            <wp:docPr id="3" name="그림 2" descr="C:\Users\gram\Desktop\WJCC 제출용\제출\Figure 2.tif"/>
            <wp:cNvGraphicFramePr/>
            <a:graphic xmlns:a="http://schemas.openxmlformats.org/drawingml/2006/main">
              <a:graphicData uri="http://schemas.openxmlformats.org/drawingml/2006/picture">
                <pic:pic xmlns:pic="http://schemas.openxmlformats.org/drawingml/2006/picture">
                  <pic:nvPicPr>
                    <pic:cNvPr id="3" name="그림 2" descr="C:\Users\gram\Desktop\WJCC 제출용\제출\Figure 2.tif"/>
                    <pic:cNvPicPr/>
                  </pic:nvPicPr>
                  <pic:blipFill>
                    <a:blip r:embed="rId8" cstate="print"/>
                    <a:srcRect/>
                    <a:stretch>
                      <a:fillRect/>
                    </a:stretch>
                  </pic:blipFill>
                  <pic:spPr bwMode="auto">
                    <a:xfrm>
                      <a:off x="0" y="0"/>
                      <a:ext cx="2878455" cy="2379345"/>
                    </a:xfrm>
                    <a:prstGeom prst="rect">
                      <a:avLst/>
                    </a:prstGeom>
                    <a:noFill/>
                    <a:ln w="9525">
                      <a:noFill/>
                      <a:miter lim="800000"/>
                      <a:headEnd/>
                      <a:tailEnd/>
                    </a:ln>
                  </pic:spPr>
                </pic:pic>
              </a:graphicData>
            </a:graphic>
          </wp:inline>
        </w:drawing>
      </w:r>
    </w:p>
    <w:p w14:paraId="15DFC8D7" w14:textId="69FBAE07" w:rsidR="00482086" w:rsidRPr="00482086" w:rsidRDefault="00FA517A" w:rsidP="00482086">
      <w:pPr>
        <w:spacing w:line="360" w:lineRule="auto"/>
        <w:jc w:val="both"/>
        <w:rPr>
          <w:rFonts w:ascii="Book Antiqua" w:eastAsia="Book Antiqua" w:hAnsi="Book Antiqua" w:cs="Book Antiqua"/>
          <w:color w:val="000000"/>
        </w:rPr>
      </w:pPr>
      <w:r w:rsidRPr="00482086">
        <w:rPr>
          <w:rFonts w:ascii="Book Antiqua" w:eastAsia="Book Antiqua" w:hAnsi="Book Antiqua" w:cs="Book Antiqua"/>
          <w:b/>
          <w:bCs/>
          <w:color w:val="000000"/>
        </w:rPr>
        <w:t xml:space="preserve">Figure 2 A lateral view on first </w:t>
      </w:r>
      <w:proofErr w:type="spellStart"/>
      <w:r w:rsidR="002D1690" w:rsidRPr="002D1690">
        <w:rPr>
          <w:rFonts w:ascii="Book Antiqua" w:eastAsia="Book Antiqua" w:hAnsi="Book Antiqua" w:cs="Book Antiqua"/>
          <w:b/>
          <w:bCs/>
          <w:color w:val="000000"/>
        </w:rPr>
        <w:t>videofluoroscopic</w:t>
      </w:r>
      <w:proofErr w:type="spellEnd"/>
      <w:r w:rsidR="002D1690" w:rsidRPr="002D1690">
        <w:rPr>
          <w:rFonts w:ascii="Book Antiqua" w:eastAsia="Book Antiqua" w:hAnsi="Book Antiqua" w:cs="Book Antiqua"/>
          <w:b/>
          <w:bCs/>
          <w:color w:val="000000"/>
        </w:rPr>
        <w:t xml:space="preserve"> swallowing study</w:t>
      </w:r>
      <w:r w:rsidRPr="00482086">
        <w:rPr>
          <w:rFonts w:ascii="Book Antiqua" w:eastAsia="Book Antiqua" w:hAnsi="Book Antiqua" w:cs="Book Antiqua"/>
          <w:b/>
          <w:bCs/>
          <w:color w:val="000000"/>
        </w:rPr>
        <w:t xml:space="preserve">. </w:t>
      </w:r>
      <w:r w:rsidRPr="00482086">
        <w:rPr>
          <w:rFonts w:ascii="Book Antiqua" w:eastAsia="Book Antiqua" w:hAnsi="Book Antiqua" w:cs="Book Antiqua"/>
          <w:color w:val="000000"/>
        </w:rPr>
        <w:t>The picture showed aspirated thin water to trachea.</w:t>
      </w:r>
    </w:p>
    <w:p w14:paraId="0FFDFDE7" w14:textId="769EA5C3" w:rsidR="00A77B3E" w:rsidRPr="00482086" w:rsidRDefault="00482086" w:rsidP="00482086">
      <w:pPr>
        <w:spacing w:line="360" w:lineRule="auto"/>
        <w:jc w:val="both"/>
        <w:rPr>
          <w:rFonts w:ascii="Book Antiqua" w:hAnsi="Book Antiqua"/>
        </w:rPr>
      </w:pPr>
      <w:r w:rsidRPr="00482086">
        <w:rPr>
          <w:rFonts w:ascii="Book Antiqua" w:eastAsia="Book Antiqua" w:hAnsi="Book Antiqua" w:cs="Book Antiqua"/>
          <w:color w:val="000000"/>
        </w:rPr>
        <w:br w:type="page"/>
      </w:r>
      <w:r w:rsidRPr="00482086">
        <w:rPr>
          <w:rFonts w:ascii="Book Antiqua" w:eastAsia="Book Antiqua" w:hAnsi="Book Antiqua" w:cs="Book Antiqua"/>
          <w:noProof/>
          <w:color w:val="000000"/>
          <w:lang w:eastAsia="zh-CN"/>
        </w:rPr>
        <w:lastRenderedPageBreak/>
        <w:drawing>
          <wp:inline distT="0" distB="0" distL="0" distR="0" wp14:anchorId="3F4A1E6E" wp14:editId="197E2DB7">
            <wp:extent cx="3598545" cy="3877945"/>
            <wp:effectExtent l="0" t="0" r="1905" b="8255"/>
            <wp:docPr id="2" name="그림 1" descr="C:\Users\gram\Desktop\dysphagia case - jkms\제출용 자료들\Figure 3.tif"/>
            <wp:cNvGraphicFramePr/>
            <a:graphic xmlns:a="http://schemas.openxmlformats.org/drawingml/2006/main">
              <a:graphicData uri="http://schemas.openxmlformats.org/drawingml/2006/picture">
                <pic:pic xmlns:pic="http://schemas.openxmlformats.org/drawingml/2006/picture">
                  <pic:nvPicPr>
                    <pic:cNvPr id="2" name="그림 1" descr="C:\Users\gram\Desktop\dysphagia case - jkms\제출용 자료들\Figure 3.tif"/>
                    <pic:cNvPicPr/>
                  </pic:nvPicPr>
                  <pic:blipFill>
                    <a:blip r:embed="rId9" cstate="print"/>
                    <a:srcRect/>
                    <a:stretch>
                      <a:fillRect/>
                    </a:stretch>
                  </pic:blipFill>
                  <pic:spPr bwMode="auto">
                    <a:xfrm>
                      <a:off x="0" y="0"/>
                      <a:ext cx="3598545" cy="3877945"/>
                    </a:xfrm>
                    <a:prstGeom prst="rect">
                      <a:avLst/>
                    </a:prstGeom>
                    <a:noFill/>
                    <a:ln w="9525">
                      <a:noFill/>
                      <a:miter lim="800000"/>
                      <a:headEnd/>
                      <a:tailEnd/>
                    </a:ln>
                  </pic:spPr>
                </pic:pic>
              </a:graphicData>
            </a:graphic>
          </wp:inline>
        </w:drawing>
      </w:r>
    </w:p>
    <w:p w14:paraId="4528A809" w14:textId="6AA86628" w:rsidR="00482086" w:rsidRPr="00482086" w:rsidRDefault="00FA517A" w:rsidP="00482086">
      <w:pPr>
        <w:spacing w:line="360" w:lineRule="auto"/>
        <w:jc w:val="both"/>
        <w:rPr>
          <w:rFonts w:ascii="Book Antiqua" w:eastAsia="Book Antiqua" w:hAnsi="Book Antiqua" w:cs="Book Antiqua"/>
          <w:b/>
          <w:bCs/>
          <w:color w:val="000000"/>
        </w:rPr>
      </w:pPr>
      <w:r w:rsidRPr="00482086">
        <w:rPr>
          <w:rFonts w:ascii="Book Antiqua" w:eastAsia="Book Antiqua" w:hAnsi="Book Antiqua" w:cs="Book Antiqua"/>
          <w:b/>
          <w:bCs/>
          <w:color w:val="000000"/>
        </w:rPr>
        <w:t xml:space="preserve">Figure 3 </w:t>
      </w:r>
      <w:r w:rsidRPr="00FA517A">
        <w:rPr>
          <w:rFonts w:ascii="Book Antiqua" w:eastAsia="Book Antiqua" w:hAnsi="Book Antiqua" w:cs="Book Antiqua"/>
          <w:b/>
          <w:bCs/>
          <w:color w:val="000000"/>
        </w:rPr>
        <w:t>Neuromuscular electrical stimulation</w:t>
      </w:r>
      <w:r w:rsidRPr="00482086">
        <w:rPr>
          <w:rFonts w:ascii="Book Antiqua" w:eastAsia="Book Antiqua" w:hAnsi="Book Antiqua" w:cs="Book Antiqua"/>
          <w:b/>
          <w:bCs/>
          <w:color w:val="000000"/>
        </w:rPr>
        <w:t xml:space="preserve"> treatment with clinical magnet application.</w:t>
      </w:r>
    </w:p>
    <w:p w14:paraId="619F883B" w14:textId="486E268A" w:rsidR="00482086" w:rsidRPr="00482086" w:rsidRDefault="00482086" w:rsidP="00482086">
      <w:pPr>
        <w:pStyle w:val="a3"/>
        <w:adjustRightInd w:val="0"/>
        <w:spacing w:line="360" w:lineRule="auto"/>
        <w:rPr>
          <w:rFonts w:ascii="Book Antiqua" w:eastAsia="Malgun Gothic" w:hAnsi="Book Antiqua" w:cs="Times New Roman"/>
          <w:b/>
          <w:bCs/>
          <w:sz w:val="24"/>
          <w:szCs w:val="24"/>
        </w:rPr>
      </w:pPr>
      <w:r w:rsidRPr="00482086">
        <w:rPr>
          <w:rFonts w:ascii="Book Antiqua" w:eastAsia="Book Antiqua" w:hAnsi="Book Antiqua" w:cs="Book Antiqua"/>
          <w:b/>
          <w:bCs/>
          <w:sz w:val="24"/>
          <w:szCs w:val="24"/>
        </w:rPr>
        <w:br w:type="page"/>
      </w:r>
      <w:r w:rsidRPr="00482086">
        <w:rPr>
          <w:rFonts w:ascii="Book Antiqua" w:eastAsia="Malgun Gothic" w:hAnsi="Book Antiqua" w:cs="Times New Roman"/>
          <w:b/>
          <w:bCs/>
          <w:sz w:val="24"/>
          <w:szCs w:val="24"/>
        </w:rPr>
        <w:lastRenderedPageBreak/>
        <w:t xml:space="preserve">Table 1 All </w:t>
      </w:r>
      <w:proofErr w:type="spellStart"/>
      <w:r w:rsidR="00AE2984" w:rsidRPr="00AE2984">
        <w:rPr>
          <w:rFonts w:ascii="Book Antiqua" w:eastAsia="Malgun Gothic" w:hAnsi="Book Antiqua" w:cs="Times New Roman"/>
          <w:b/>
          <w:bCs/>
          <w:sz w:val="24"/>
          <w:szCs w:val="24"/>
        </w:rPr>
        <w:t>videofluoroscopic</w:t>
      </w:r>
      <w:proofErr w:type="spellEnd"/>
      <w:r w:rsidR="00AE2984" w:rsidRPr="00AE2984">
        <w:rPr>
          <w:rFonts w:ascii="Book Antiqua" w:eastAsia="Malgun Gothic" w:hAnsi="Book Antiqua" w:cs="Times New Roman"/>
          <w:b/>
          <w:bCs/>
          <w:sz w:val="24"/>
          <w:szCs w:val="24"/>
        </w:rPr>
        <w:t xml:space="preserve"> swallowing study</w:t>
      </w:r>
      <w:r w:rsidRPr="00482086">
        <w:rPr>
          <w:rFonts w:ascii="Book Antiqua" w:eastAsia="Malgun Gothic" w:hAnsi="Book Antiqua" w:cs="Times New Roman"/>
          <w:b/>
          <w:bCs/>
          <w:sz w:val="24"/>
          <w:szCs w:val="24"/>
        </w:rPr>
        <w:t xml:space="preserve"> results after initial symptom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01"/>
        <w:gridCol w:w="1559"/>
        <w:gridCol w:w="6582"/>
      </w:tblGrid>
      <w:tr w:rsidR="00482086" w:rsidRPr="00482086" w14:paraId="14E91903" w14:textId="77777777" w:rsidTr="00F34704">
        <w:trPr>
          <w:trHeight w:val="613"/>
        </w:trPr>
        <w:tc>
          <w:tcPr>
            <w:tcW w:w="1101" w:type="dxa"/>
            <w:tcBorders>
              <w:bottom w:val="single" w:sz="4" w:space="0" w:color="auto"/>
            </w:tcBorders>
          </w:tcPr>
          <w:p w14:paraId="403A2AA8"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p>
        </w:tc>
        <w:tc>
          <w:tcPr>
            <w:tcW w:w="1559" w:type="dxa"/>
            <w:tcBorders>
              <w:bottom w:val="single" w:sz="4" w:space="0" w:color="auto"/>
            </w:tcBorders>
            <w:shd w:val="clear" w:color="auto" w:fill="auto"/>
            <w:vAlign w:val="center"/>
          </w:tcPr>
          <w:p w14:paraId="1283461A"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r w:rsidRPr="00482086">
              <w:rPr>
                <w:rFonts w:ascii="Book Antiqua" w:eastAsia="Gulim" w:hAnsi="Book Antiqua"/>
                <w:b/>
                <w:bCs/>
                <w:color w:val="000000"/>
                <w:shd w:val="clear" w:color="auto" w:fill="FFFFFF"/>
              </w:rPr>
              <w:t xml:space="preserve">Days after initial symptom  </w:t>
            </w:r>
          </w:p>
        </w:tc>
        <w:tc>
          <w:tcPr>
            <w:tcW w:w="6582" w:type="dxa"/>
            <w:tcBorders>
              <w:bottom w:val="single" w:sz="4" w:space="0" w:color="auto"/>
            </w:tcBorders>
            <w:shd w:val="clear" w:color="auto" w:fill="auto"/>
            <w:vAlign w:val="center"/>
          </w:tcPr>
          <w:p w14:paraId="51250978"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r w:rsidRPr="00482086">
              <w:rPr>
                <w:rFonts w:ascii="Book Antiqua" w:eastAsia="Gulim" w:hAnsi="Book Antiqua"/>
                <w:b/>
                <w:bCs/>
                <w:color w:val="000000"/>
                <w:shd w:val="clear" w:color="auto" w:fill="FFFFFF"/>
              </w:rPr>
              <w:t>Results</w:t>
            </w:r>
          </w:p>
        </w:tc>
      </w:tr>
      <w:tr w:rsidR="00482086" w:rsidRPr="00482086" w14:paraId="2F6DFA8C" w14:textId="77777777" w:rsidTr="00F34704">
        <w:trPr>
          <w:trHeight w:val="1123"/>
        </w:trPr>
        <w:tc>
          <w:tcPr>
            <w:tcW w:w="1101" w:type="dxa"/>
            <w:tcBorders>
              <w:bottom w:val="nil"/>
            </w:tcBorders>
            <w:vAlign w:val="center"/>
          </w:tcPr>
          <w:p w14:paraId="4D714874"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1</w:t>
            </w:r>
            <w:r w:rsidRPr="00482086">
              <w:rPr>
                <w:rFonts w:ascii="Book Antiqua" w:eastAsia="Gulim" w:hAnsi="Book Antiqua"/>
                <w:color w:val="000000"/>
                <w:shd w:val="clear" w:color="auto" w:fill="FFFFFF"/>
                <w:vertAlign w:val="superscript"/>
              </w:rPr>
              <w:t>st</w:t>
            </w:r>
            <w:r w:rsidRPr="00482086">
              <w:rPr>
                <w:rFonts w:ascii="Book Antiqua" w:eastAsia="Gulim" w:hAnsi="Book Antiqua"/>
                <w:color w:val="000000"/>
                <w:shd w:val="clear" w:color="auto" w:fill="FFFFFF"/>
              </w:rPr>
              <w:t xml:space="preserve"> VFSS</w:t>
            </w:r>
          </w:p>
        </w:tc>
        <w:tc>
          <w:tcPr>
            <w:tcW w:w="1559" w:type="dxa"/>
            <w:tcBorders>
              <w:bottom w:val="nil"/>
            </w:tcBorders>
            <w:shd w:val="clear" w:color="auto" w:fill="auto"/>
            <w:vAlign w:val="center"/>
          </w:tcPr>
          <w:p w14:paraId="0DF5651B" w14:textId="6E83515E"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11 </w:t>
            </w:r>
            <w:r>
              <w:rPr>
                <w:rFonts w:ascii="Book Antiqua" w:eastAsia="Gulim" w:hAnsi="Book Antiqua"/>
                <w:color w:val="000000"/>
                <w:shd w:val="clear" w:color="auto" w:fill="FFFFFF"/>
              </w:rPr>
              <w:t>d</w:t>
            </w:r>
          </w:p>
        </w:tc>
        <w:tc>
          <w:tcPr>
            <w:tcW w:w="6582" w:type="dxa"/>
            <w:tcBorders>
              <w:bottom w:val="nil"/>
            </w:tcBorders>
            <w:shd w:val="clear" w:color="auto" w:fill="auto"/>
            <w:vAlign w:val="center"/>
          </w:tcPr>
          <w:p w14:paraId="1A3483EB" w14:textId="209B9B05"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Large amount of aspiration at thin liquid </w:t>
            </w:r>
          </w:p>
          <w:p w14:paraId="6BB5904E" w14:textId="558669F4"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5D129B7C" w14:textId="77777777" w:rsidTr="00F34704">
        <w:trPr>
          <w:trHeight w:val="1123"/>
        </w:trPr>
        <w:tc>
          <w:tcPr>
            <w:tcW w:w="1101" w:type="dxa"/>
            <w:tcBorders>
              <w:top w:val="nil"/>
              <w:bottom w:val="nil"/>
            </w:tcBorders>
            <w:vAlign w:val="center"/>
          </w:tcPr>
          <w:p w14:paraId="29318A3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2</w:t>
            </w:r>
            <w:r w:rsidRPr="00482086">
              <w:rPr>
                <w:rFonts w:ascii="Book Antiqua" w:eastAsia="Gulim" w:hAnsi="Book Antiqua"/>
                <w:color w:val="000000"/>
                <w:shd w:val="clear" w:color="auto" w:fill="FFFFFF"/>
                <w:vertAlign w:val="superscript"/>
              </w:rPr>
              <w:t>nd</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6C90A3D7" w14:textId="1B48810B"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32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03EA67F8" w14:textId="18537A45"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Large amount of aspiration at thin liquid </w:t>
            </w:r>
          </w:p>
          <w:p w14:paraId="52A3481E" w14:textId="1AE0F487"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12193D94" w14:textId="77777777" w:rsidTr="00F34704">
        <w:trPr>
          <w:trHeight w:val="1123"/>
        </w:trPr>
        <w:tc>
          <w:tcPr>
            <w:tcW w:w="1101" w:type="dxa"/>
            <w:tcBorders>
              <w:top w:val="nil"/>
              <w:bottom w:val="nil"/>
            </w:tcBorders>
            <w:vAlign w:val="center"/>
          </w:tcPr>
          <w:p w14:paraId="2DE3D62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3</w:t>
            </w:r>
            <w:r w:rsidRPr="00482086">
              <w:rPr>
                <w:rFonts w:ascii="Book Antiqua" w:eastAsia="Gulim" w:hAnsi="Book Antiqua"/>
                <w:color w:val="000000"/>
                <w:shd w:val="clear" w:color="auto" w:fill="FFFFFF"/>
                <w:vertAlign w:val="superscript"/>
              </w:rPr>
              <w:t>rd</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189BD53D" w14:textId="4478DD53"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76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2D503FAE" w14:textId="4311AE2B"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Small amount of aspiration at thin liquid and pudding </w:t>
            </w:r>
          </w:p>
          <w:p w14:paraId="7AA7CABA" w14:textId="4A257AB3"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326E60B4" w14:textId="77777777" w:rsidTr="00F34704">
        <w:trPr>
          <w:trHeight w:val="1123"/>
        </w:trPr>
        <w:tc>
          <w:tcPr>
            <w:tcW w:w="1101" w:type="dxa"/>
            <w:tcBorders>
              <w:top w:val="nil"/>
              <w:bottom w:val="nil"/>
            </w:tcBorders>
            <w:vAlign w:val="center"/>
          </w:tcPr>
          <w:p w14:paraId="6D5C21EB"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4</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028E1555" w14:textId="15FC03CD"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105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1FD51328" w14:textId="0A06F65B"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Little aspiration at thin liquid, thick liquid, pudding and soft food</w:t>
            </w:r>
          </w:p>
          <w:p w14:paraId="4C4C9EA1" w14:textId="15D6CE66"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5360214D" w14:textId="77777777" w:rsidTr="00F34704">
        <w:trPr>
          <w:trHeight w:val="1123"/>
        </w:trPr>
        <w:tc>
          <w:tcPr>
            <w:tcW w:w="1101" w:type="dxa"/>
            <w:tcBorders>
              <w:top w:val="nil"/>
              <w:bottom w:val="nil"/>
            </w:tcBorders>
            <w:vAlign w:val="center"/>
          </w:tcPr>
          <w:p w14:paraId="4F80A78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5</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15A84448" w14:textId="7B362734"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165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73504E40" w14:textId="6BE1A28A"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pudding and solid food</w:t>
            </w:r>
          </w:p>
          <w:p w14:paraId="6AD6F41E" w14:textId="0009902E"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59DA1DB0" w14:textId="77777777" w:rsidTr="00F34704">
        <w:trPr>
          <w:trHeight w:val="1123"/>
        </w:trPr>
        <w:tc>
          <w:tcPr>
            <w:tcW w:w="1101" w:type="dxa"/>
            <w:tcBorders>
              <w:top w:val="nil"/>
              <w:bottom w:val="nil"/>
            </w:tcBorders>
            <w:vAlign w:val="center"/>
          </w:tcPr>
          <w:p w14:paraId="29EA714C"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6</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220940C9" w14:textId="579467EC"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270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58072022" w14:textId="7B29720E"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and thick liquid</w:t>
            </w:r>
          </w:p>
          <w:p w14:paraId="24688C46" w14:textId="6EB39A0A"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34DED2D4" w14:textId="77777777" w:rsidTr="00F34704">
        <w:trPr>
          <w:trHeight w:val="1123"/>
        </w:trPr>
        <w:tc>
          <w:tcPr>
            <w:tcW w:w="1101" w:type="dxa"/>
            <w:tcBorders>
              <w:top w:val="nil"/>
            </w:tcBorders>
            <w:vAlign w:val="center"/>
          </w:tcPr>
          <w:p w14:paraId="1FB1D4FD"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7</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tcBorders>
            <w:shd w:val="clear" w:color="auto" w:fill="auto"/>
            <w:vAlign w:val="center"/>
          </w:tcPr>
          <w:p w14:paraId="04449E8B" w14:textId="51AB4433"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360 </w:t>
            </w:r>
            <w:r>
              <w:rPr>
                <w:rFonts w:ascii="Book Antiqua" w:eastAsia="Gulim" w:hAnsi="Book Antiqua"/>
                <w:color w:val="000000"/>
                <w:shd w:val="clear" w:color="auto" w:fill="FFFFFF"/>
              </w:rPr>
              <w:t>d</w:t>
            </w:r>
          </w:p>
        </w:tc>
        <w:tc>
          <w:tcPr>
            <w:tcW w:w="6582" w:type="dxa"/>
            <w:tcBorders>
              <w:top w:val="nil"/>
            </w:tcBorders>
            <w:shd w:val="clear" w:color="auto" w:fill="auto"/>
            <w:vAlign w:val="center"/>
          </w:tcPr>
          <w:p w14:paraId="5782E98D" w14:textId="2E903E52"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and thick liquid</w:t>
            </w:r>
          </w:p>
          <w:p w14:paraId="5446A2C2" w14:textId="32602C4C"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bl>
    <w:p w14:paraId="55658BC0" w14:textId="7D532897" w:rsidR="006C4A51" w:rsidRPr="00B155BD" w:rsidRDefault="00FC4DCF" w:rsidP="00B155BD">
      <w:pPr>
        <w:pStyle w:val="a3"/>
        <w:adjustRightInd w:val="0"/>
        <w:spacing w:line="360" w:lineRule="auto"/>
        <w:rPr>
          <w:rFonts w:ascii="Book Antiqua" w:eastAsia="Malgun Gothic" w:hAnsi="Book Antiqua" w:cs="Times New Roman"/>
          <w:bCs/>
          <w:sz w:val="24"/>
          <w:szCs w:val="24"/>
        </w:rPr>
      </w:pPr>
      <w:r w:rsidRPr="002D1690">
        <w:rPr>
          <w:rFonts w:ascii="Book Antiqua" w:eastAsia="Gulim" w:hAnsi="Book Antiqua"/>
          <w:sz w:val="24"/>
          <w:szCs w:val="24"/>
          <w:shd w:val="clear" w:color="auto" w:fill="FFFFFF"/>
        </w:rPr>
        <w:t>VFSS</w:t>
      </w:r>
      <w:r w:rsidRPr="002D1690">
        <w:rPr>
          <w:rFonts w:ascii="Book Antiqua" w:eastAsia="Malgun Gothic" w:hAnsi="Book Antiqua" w:cs="Times New Roman"/>
          <w:bCs/>
          <w:sz w:val="24"/>
          <w:szCs w:val="24"/>
        </w:rPr>
        <w:t xml:space="preserve">: </w:t>
      </w:r>
      <w:proofErr w:type="spellStart"/>
      <w:r w:rsidRPr="002D1690">
        <w:rPr>
          <w:rFonts w:ascii="Book Antiqua" w:eastAsia="Malgun Gothic" w:hAnsi="Book Antiqua" w:cs="Times New Roman"/>
          <w:bCs/>
          <w:caps/>
          <w:sz w:val="24"/>
          <w:szCs w:val="24"/>
        </w:rPr>
        <w:t>v</w:t>
      </w:r>
      <w:r w:rsidRPr="002D1690">
        <w:rPr>
          <w:rFonts w:ascii="Book Antiqua" w:eastAsia="Malgun Gothic" w:hAnsi="Book Antiqua" w:cs="Times New Roman"/>
          <w:bCs/>
          <w:sz w:val="24"/>
          <w:szCs w:val="24"/>
        </w:rPr>
        <w:t>ideofluoroscopic</w:t>
      </w:r>
      <w:proofErr w:type="spellEnd"/>
      <w:r w:rsidRPr="002D1690">
        <w:rPr>
          <w:rFonts w:ascii="Book Antiqua" w:eastAsia="Malgun Gothic" w:hAnsi="Book Antiqua" w:cs="Times New Roman"/>
          <w:bCs/>
          <w:sz w:val="24"/>
          <w:szCs w:val="24"/>
        </w:rPr>
        <w:t xml:space="preserve"> swallowing study.</w:t>
      </w:r>
    </w:p>
    <w:p w14:paraId="0C1A0D9B" w14:textId="77777777" w:rsidR="00A77B3E" w:rsidRPr="006C4A51" w:rsidRDefault="00A77B3E" w:rsidP="006C4A51">
      <w:pPr>
        <w:jc w:val="center"/>
        <w:rPr>
          <w:rFonts w:ascii="Book Antiqua" w:hAnsi="Book Antiqua"/>
        </w:rPr>
      </w:pPr>
    </w:p>
    <w:sectPr w:rsidR="00A77B3E" w:rsidRPr="006C4A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8AC1" w14:textId="77777777" w:rsidR="005A2727" w:rsidRDefault="005A2727" w:rsidP="002C4138">
      <w:r>
        <w:separator/>
      </w:r>
    </w:p>
  </w:endnote>
  <w:endnote w:type="continuationSeparator" w:id="0">
    <w:p w14:paraId="4487B3E8" w14:textId="77777777" w:rsidR="005A2727" w:rsidRDefault="005A2727" w:rsidP="002C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646698"/>
      <w:docPartObj>
        <w:docPartGallery w:val="Page Numbers (Bottom of Page)"/>
        <w:docPartUnique/>
      </w:docPartObj>
    </w:sdtPr>
    <w:sdtEndPr/>
    <w:sdtContent>
      <w:sdt>
        <w:sdtPr>
          <w:id w:val="-1705238520"/>
          <w:docPartObj>
            <w:docPartGallery w:val="Page Numbers (Top of Page)"/>
            <w:docPartUnique/>
          </w:docPartObj>
        </w:sdtPr>
        <w:sdtEndPr/>
        <w:sdtContent>
          <w:p w14:paraId="557A320A" w14:textId="33693EFE" w:rsidR="006C4A51" w:rsidRDefault="006C4A51" w:rsidP="006C4A5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3523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3523A">
              <w:rPr>
                <w:b/>
                <w:bCs/>
                <w:noProof/>
              </w:rPr>
              <w:t>17</w:t>
            </w:r>
            <w:r>
              <w:rPr>
                <w:b/>
                <w:bCs/>
                <w:sz w:val="24"/>
                <w:szCs w:val="24"/>
              </w:rPr>
              <w:fldChar w:fldCharType="end"/>
            </w:r>
          </w:p>
        </w:sdtContent>
      </w:sdt>
    </w:sdtContent>
  </w:sdt>
  <w:p w14:paraId="79E86250" w14:textId="77777777" w:rsidR="006C4A51" w:rsidRDefault="006C4A5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CAEE" w14:textId="77777777" w:rsidR="005A2727" w:rsidRDefault="005A2727" w:rsidP="002C4138">
      <w:r>
        <w:separator/>
      </w:r>
    </w:p>
  </w:footnote>
  <w:footnote w:type="continuationSeparator" w:id="0">
    <w:p w14:paraId="4A51E361" w14:textId="77777777" w:rsidR="005A2727" w:rsidRDefault="005A2727" w:rsidP="002C41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23A"/>
    <w:rsid w:val="000935CF"/>
    <w:rsid w:val="000C4ACE"/>
    <w:rsid w:val="000C7063"/>
    <w:rsid w:val="000D7B5D"/>
    <w:rsid w:val="000E320A"/>
    <w:rsid w:val="00101D29"/>
    <w:rsid w:val="00117DAB"/>
    <w:rsid w:val="001215C5"/>
    <w:rsid w:val="0012383D"/>
    <w:rsid w:val="00143D18"/>
    <w:rsid w:val="00176DAB"/>
    <w:rsid w:val="001B2904"/>
    <w:rsid w:val="00200510"/>
    <w:rsid w:val="002068DC"/>
    <w:rsid w:val="002712F8"/>
    <w:rsid w:val="002C4138"/>
    <w:rsid w:val="002D1690"/>
    <w:rsid w:val="002F78F3"/>
    <w:rsid w:val="0037420A"/>
    <w:rsid w:val="00382258"/>
    <w:rsid w:val="003D4FBB"/>
    <w:rsid w:val="003D73D4"/>
    <w:rsid w:val="0040497A"/>
    <w:rsid w:val="00427FD1"/>
    <w:rsid w:val="00482086"/>
    <w:rsid w:val="004845C3"/>
    <w:rsid w:val="004B40C2"/>
    <w:rsid w:val="004E4E4E"/>
    <w:rsid w:val="004F1698"/>
    <w:rsid w:val="00545522"/>
    <w:rsid w:val="00572F1E"/>
    <w:rsid w:val="00594E71"/>
    <w:rsid w:val="005A2727"/>
    <w:rsid w:val="00685265"/>
    <w:rsid w:val="006C4A51"/>
    <w:rsid w:val="00745550"/>
    <w:rsid w:val="00795441"/>
    <w:rsid w:val="007A31F2"/>
    <w:rsid w:val="007C1CC2"/>
    <w:rsid w:val="007E5D8A"/>
    <w:rsid w:val="008311D3"/>
    <w:rsid w:val="0087216E"/>
    <w:rsid w:val="008A1C52"/>
    <w:rsid w:val="00935346"/>
    <w:rsid w:val="00956A28"/>
    <w:rsid w:val="00A71E95"/>
    <w:rsid w:val="00A77B3E"/>
    <w:rsid w:val="00AE2984"/>
    <w:rsid w:val="00B155BD"/>
    <w:rsid w:val="00B158C5"/>
    <w:rsid w:val="00B8744A"/>
    <w:rsid w:val="00BF6688"/>
    <w:rsid w:val="00C96230"/>
    <w:rsid w:val="00CA2A55"/>
    <w:rsid w:val="00CD0E4B"/>
    <w:rsid w:val="00CE42ED"/>
    <w:rsid w:val="00D921B8"/>
    <w:rsid w:val="00DA7E25"/>
    <w:rsid w:val="00E67013"/>
    <w:rsid w:val="00E85757"/>
    <w:rsid w:val="00F57449"/>
    <w:rsid w:val="00FA3385"/>
    <w:rsid w:val="00FA517A"/>
    <w:rsid w:val="00FC4DCF"/>
    <w:rsid w:val="00FE5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75A04"/>
  <w15:docId w15:val="{AACF9DD1-2A0B-4C66-9202-EDA8FBE9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link w:val="Char"/>
    <w:rsid w:val="00482086"/>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3"/>
    <w:rsid w:val="00482086"/>
    <w:rPr>
      <w:rFonts w:ascii="Batang" w:eastAsia="Batang" w:hAnsi="Batang" w:cs="Gulim"/>
      <w:color w:val="000000"/>
      <w:lang w:eastAsia="ko-KR"/>
    </w:rPr>
  </w:style>
  <w:style w:type="paragraph" w:styleId="a4">
    <w:name w:val="header"/>
    <w:basedOn w:val="a"/>
    <w:link w:val="a5"/>
    <w:unhideWhenUsed/>
    <w:rsid w:val="002C413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C4138"/>
    <w:rPr>
      <w:sz w:val="18"/>
      <w:szCs w:val="18"/>
    </w:rPr>
  </w:style>
  <w:style w:type="paragraph" w:styleId="a6">
    <w:name w:val="footer"/>
    <w:basedOn w:val="a"/>
    <w:link w:val="a7"/>
    <w:uiPriority w:val="99"/>
    <w:unhideWhenUsed/>
    <w:rsid w:val="002C4138"/>
    <w:pPr>
      <w:tabs>
        <w:tab w:val="center" w:pos="4153"/>
        <w:tab w:val="right" w:pos="8306"/>
      </w:tabs>
      <w:snapToGrid w:val="0"/>
    </w:pPr>
    <w:rPr>
      <w:sz w:val="18"/>
      <w:szCs w:val="18"/>
    </w:rPr>
  </w:style>
  <w:style w:type="character" w:customStyle="1" w:styleId="a7">
    <w:name w:val="页脚 字符"/>
    <w:basedOn w:val="a0"/>
    <w:link w:val="a6"/>
    <w:uiPriority w:val="99"/>
    <w:rsid w:val="002C41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2021-05-15T03:46:00Z</dcterms:created>
  <dcterms:modified xsi:type="dcterms:W3CDTF">2021-05-15T03:46:00Z</dcterms:modified>
</cp:coreProperties>
</file>