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bookmarkStart w:id="4" w:name="_GoBack"/>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64582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Manuscript Type: </w:t>
      </w:r>
      <w:r>
        <w:rPr>
          <w:rFonts w:hint="eastAsia" w:ascii="Book Antiqua" w:hAnsi="Book Antiqua" w:cs="Book Antiqua"/>
          <w:color w:val="000000"/>
          <w:lang w:eastAsia="zh-CN"/>
        </w:rPr>
        <w:t>MINI</w:t>
      </w:r>
      <w:r>
        <w:rPr>
          <w:rFonts w:ascii="Book Antiqua" w:hAnsi="Book Antiqua" w:eastAsia="Book Antiqua" w:cs="Book Antiqua"/>
          <w:color w:val="000000"/>
        </w:rPr>
        <w:t>REVIEW</w:t>
      </w:r>
      <w:r>
        <w:rPr>
          <w:rFonts w:hint="eastAsia" w:ascii="Book Antiqua" w:hAnsi="Book Antiqua" w:cs="Book Antiqua"/>
          <w:color w:val="000000"/>
          <w:lang w:eastAsia="zh-CN"/>
        </w:rPr>
        <w: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Challenges in the discontinuation of chronic hepatitis B antiviral agents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Kaewdech </w:t>
      </w:r>
      <w:r>
        <w:rPr>
          <w:rFonts w:hint="eastAsia" w:ascii="Book Antiqua" w:hAnsi="Book Antiqua" w:cs="Book Antiqua"/>
          <w:color w:val="000000"/>
          <w:lang w:eastAsia="zh-CN"/>
        </w:rPr>
        <w:t xml:space="preserve">A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Challenges in NA discontinuation in CHB</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Apichat Kaewdech, Pimsiri Sripongpun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Apichat Kaewdech, Pimsiri Sripongpun, </w:t>
      </w:r>
      <w:r>
        <w:rPr>
          <w:rFonts w:hint="eastAsia" w:ascii="Book Antiqua" w:hAnsi="Book Antiqua" w:cs="Book Antiqua"/>
          <w:bCs/>
          <w:color w:val="000000"/>
          <w:lang w:eastAsia="zh-CN"/>
        </w:rPr>
        <w:t xml:space="preserve">Department of </w:t>
      </w:r>
      <w:r>
        <w:rPr>
          <w:rFonts w:ascii="Book Antiqua" w:hAnsi="Book Antiqua" w:eastAsia="Book Antiqua" w:cs="Book Antiqua"/>
          <w:color w:val="000000"/>
        </w:rPr>
        <w:t xml:space="preserve">Internal </w:t>
      </w:r>
      <w:r>
        <w:rPr>
          <w:rFonts w:hint="eastAsia" w:ascii="Book Antiqua" w:hAnsi="Book Antiqua" w:cs="Book Antiqua"/>
          <w:color w:val="000000"/>
          <w:lang w:eastAsia="zh-CN"/>
        </w:rPr>
        <w:t>M</w:t>
      </w:r>
      <w:r>
        <w:rPr>
          <w:rFonts w:ascii="Book Antiqua" w:hAnsi="Book Antiqua" w:eastAsia="Book Antiqua" w:cs="Book Antiqua"/>
          <w:color w:val="000000"/>
        </w:rPr>
        <w:t>edicine, Faculty of Medicine, Prince of Songkla University, Hat Yai 90110, Songkhla, Thailand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Kaewdech A and Sripongpun P made a substantial contribution to the review concept and drafting of the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Sripongpun P made a critical revision of the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A</w:t>
      </w:r>
      <w:r>
        <w:rPr>
          <w:rFonts w:ascii="Book Antiqua" w:hAnsi="Book Antiqua" w:eastAsia="Book Antiqua" w:cs="Book Antiqua"/>
          <w:color w:val="000000"/>
        </w:rPr>
        <w:t>ll authors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Pimsiri Sripongpun, MD, Assistant Professor, </w:t>
      </w:r>
      <w:r>
        <w:rPr>
          <w:rFonts w:hint="eastAsia" w:ascii="Book Antiqua" w:hAnsi="Book Antiqua" w:cs="Book Antiqua"/>
          <w:bCs/>
          <w:color w:val="000000"/>
          <w:lang w:eastAsia="zh-CN"/>
        </w:rPr>
        <w:t>Department of</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 xml:space="preserve">Internal </w:t>
      </w:r>
      <w:r>
        <w:rPr>
          <w:rFonts w:hint="eastAsia" w:ascii="Book Antiqua" w:hAnsi="Book Antiqua" w:cs="Book Antiqua"/>
          <w:color w:val="000000"/>
          <w:lang w:eastAsia="zh-CN"/>
        </w:rPr>
        <w:t>M</w:t>
      </w:r>
      <w:r>
        <w:rPr>
          <w:rFonts w:ascii="Book Antiqua" w:hAnsi="Book Antiqua" w:eastAsia="Book Antiqua" w:cs="Book Antiqua"/>
          <w:color w:val="000000"/>
        </w:rPr>
        <w:t xml:space="preserve">edicine, Faculty of Medicine, Prince of Songkla University, </w:t>
      </w:r>
      <w:r>
        <w:rPr>
          <w:rFonts w:ascii="Book Antiqua" w:hAnsi="Book Antiqua" w:cs="Book Antiqua"/>
          <w:bCs/>
          <w:color w:val="000000"/>
          <w:lang w:eastAsia="zh-CN"/>
        </w:rPr>
        <w:t xml:space="preserve">15 Kanchanavanich Road, </w:t>
      </w:r>
      <w:r>
        <w:rPr>
          <w:rFonts w:ascii="Book Antiqua" w:hAnsi="Book Antiqua" w:eastAsia="Book Antiqua" w:cs="Book Antiqua"/>
          <w:color w:val="000000"/>
        </w:rPr>
        <w:t>Hat Yai 90110, Songkhla, Thailand. spimsiri@medicine.psu.ac.th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21,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7,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bookmarkStart w:id="0" w:name="OLE_LINK33"/>
      <w:bookmarkStart w:id="1" w:name="OLE_LINK15"/>
      <w:bookmarkStart w:id="2" w:name="OLE_LINK48"/>
      <w:r>
        <w:rPr>
          <w:rFonts w:ascii="Book Antiqua" w:hAnsi="Book Antiqua" w:eastAsia="宋体"/>
          <w:color w:val="000000" w:themeColor="text1"/>
          <w14:textFill>
            <w14:solidFill>
              <w14:schemeClr w14:val="tx1"/>
            </w14:solidFill>
          </w14:textFill>
        </w:rPr>
        <w:t>J</w:t>
      </w:r>
      <w:r>
        <w:rPr>
          <w:rFonts w:hint="eastAsia" w:ascii="Book Antiqua" w:hAnsi="Book Antiqua" w:eastAsia="宋体"/>
          <w:color w:val="000000" w:themeColor="text1"/>
          <w14:textFill>
            <w14:solidFill>
              <w14:schemeClr w14:val="tx1"/>
            </w14:solidFill>
          </w14:textFill>
        </w:rPr>
        <w:t>u</w:t>
      </w:r>
      <w:r>
        <w:rPr>
          <w:rFonts w:ascii="Book Antiqua" w:hAnsi="Book Antiqua" w:eastAsia="宋体"/>
          <w:color w:val="000000" w:themeColor="text1"/>
          <w14:textFill>
            <w14:solidFill>
              <w14:schemeClr w14:val="tx1"/>
            </w14:solidFill>
          </w14:textFill>
        </w:rPr>
        <w:t>ly 28, 2021</w:t>
      </w:r>
      <w:bookmarkEnd w:id="0"/>
      <w:bookmarkEnd w:id="1"/>
      <w:bookmarkEnd w:id="2"/>
    </w:p>
    <w:p>
      <w:pPr>
        <w:spacing w:line="360" w:lineRule="auto"/>
        <w:jc w:val="both"/>
        <w:rPr>
          <w:rFonts w:ascii="Book Antiqua" w:hAnsi="Book Antiqua"/>
          <w:lang w:eastAsia="zh-CN"/>
        </w:rPr>
      </w:pPr>
      <w:r>
        <w:rPr>
          <w:rFonts w:ascii="Book Antiqua" w:hAnsi="Book Antiqua" w:eastAsia="Book Antiqua" w:cs="Book Antiqua"/>
          <w:b/>
          <w:bCs/>
          <w:color w:val="000000"/>
        </w:rPr>
        <w:t>Published online:</w:t>
      </w:r>
      <w:r>
        <w:rPr>
          <w:rFonts w:hint="eastAsia" w:ascii="Book Antiqua" w:hAnsi="Book Antiqua" w:cs="Book Antiqua"/>
          <w:b/>
          <w:bCs/>
          <w:color w:val="000000"/>
          <w:lang w:eastAsia="zh-CN"/>
        </w:rPr>
        <w:t xml:space="preserve"> </w:t>
      </w:r>
      <w:r>
        <w:rPr>
          <w:rFonts w:ascii="Book Antiqua" w:hAnsi="Book Antiqua" w:cs="Book Antiqua"/>
          <w:bCs/>
          <w:color w:val="000000"/>
          <w:lang w:eastAsia="zh-CN"/>
        </w:rPr>
        <w:t>September 27, 2021</w:t>
      </w:r>
    </w:p>
    <w:p>
      <w:pPr>
        <w:spacing w:line="360" w:lineRule="auto"/>
        <w:jc w:val="both"/>
        <w:rPr>
          <w:rFonts w:ascii="Book Antiqua" w:hAnsi="Book Antiqua"/>
          <w:lang w:eastAsia="zh-CN"/>
        </w:rPr>
      </w:pPr>
    </w:p>
    <w:p>
      <w:pPr>
        <w:spacing w:line="360" w:lineRule="auto"/>
        <w:jc w:val="both"/>
        <w:rPr>
          <w:rFonts w:ascii="Book Antiqua" w:hAnsi="Book Antiqua"/>
          <w:lang w:eastAsia="zh-CN"/>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lang w:eastAsia="zh-CN"/>
        </w:rPr>
      </w:pPr>
      <w:r>
        <w:rPr>
          <w:rFonts w:ascii="Book Antiqua" w:hAnsi="Book Antiqua" w:eastAsia="Book Antiqua" w:cs="Book Antiqua"/>
          <w:color w:val="000000"/>
        </w:rPr>
        <w:t xml:space="preserve">Long-term antiviral treatment of chronic hepatitis B patients has been proven to be beneficial in reducing liver-related complications. However, lengthy periods of daily administration of medication have some inevitable drawbacks, including decreased medication adherence, increased cost of treatment, and possible long-term side effects. Currently, discontinuation of antiviral agent has become the strategy of interest to many hepatologists, as it might alleviate the aforementioned drawbacks and increase the probability of achieving functional cure. This review focuses on the current evidence of the outcomes following stopping antiviral treatment and the factors associated with subsequent </w:t>
      </w:r>
      <w:r>
        <w:rPr>
          <w:rFonts w:hint="eastAsia" w:ascii="Book Antiqua" w:hAnsi="Book Antiqua" w:cs="Book Antiqua"/>
          <w:color w:val="000000"/>
          <w:lang w:eastAsia="zh-CN"/>
        </w:rPr>
        <w:t>h</w:t>
      </w:r>
      <w:r>
        <w:rPr>
          <w:rFonts w:ascii="Book Antiqua" w:hAnsi="Book Antiqua" w:eastAsia="Book Antiqua" w:cs="Book Antiqua"/>
          <w:color w:val="000000"/>
        </w:rPr>
        <w:t>epatitis B virus relapse, hepatitis B surface antigen clearance, and unmet needs.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Viral hepatitis B; Relapse; Retreatment; SCALE-B; Stop treatment strategy; Nucleoside analogs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cs="Book Antiqua"/>
          <w:b/>
          <w:color w:val="000000"/>
          <w:lang w:eastAsia="zh-CN"/>
        </w:rPr>
        <w:t>Citation:</w:t>
      </w:r>
      <w:r>
        <w:rPr>
          <w:rFonts w:hint="eastAsia" w:ascii="Book Antiqua" w:hAnsi="Book Antiqua" w:cs="Book Antiqua"/>
          <w:b/>
          <w:color w:val="000000"/>
          <w:lang w:val="en-US" w:eastAsia="zh-CN"/>
        </w:rPr>
        <w:t xml:space="preserve"> </w:t>
      </w:r>
      <w:r>
        <w:rPr>
          <w:rFonts w:ascii="Book Antiqua" w:hAnsi="Book Antiqua" w:eastAsia="Book Antiqua" w:cs="Book Antiqua"/>
          <w:color w:val="000000"/>
        </w:rPr>
        <w:t xml:space="preserve">Kaewdech A, Sripongpun P. Challenges in the discontinuation of chronic hepatitis B antiviral agent.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13(</w:t>
      </w:r>
      <w:r>
        <w:rPr>
          <w:rFonts w:hint="eastAsia" w:ascii="Book Antiqua" w:hAnsi="Book Antiqua" w:cs="Book Antiqua"/>
          <w:color w:val="000000"/>
          <w:lang w:eastAsia="zh-CN"/>
        </w:rPr>
        <w:t>9</w:t>
      </w:r>
      <w:r>
        <w:rPr>
          <w:rFonts w:ascii="Book Antiqua" w:hAnsi="Book Antiqua" w:eastAsia="Book Antiqua" w:cs="Book Antiqua"/>
          <w:color w:val="000000"/>
        </w:rPr>
        <w:t xml:space="preserve">): </w:t>
      </w:r>
      <w:r>
        <w:rPr>
          <w:rFonts w:hint="eastAsia" w:ascii="Book Antiqua" w:hAnsi="Book Antiqua"/>
          <w:sz w:val="24"/>
          <w:szCs w:val="24"/>
          <w:lang w:val="en-US" w:eastAsia="zh-CN"/>
        </w:rPr>
        <w:t>1042-1057</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https://www.wjgnet.com/1948-5182/full/v13/i</w:t>
      </w:r>
      <w:r>
        <w:rPr>
          <w:rFonts w:hint="eastAsia" w:ascii="Book Antiqua" w:hAnsi="Book Antiqua" w:cs="Book Antiqua"/>
          <w:color w:val="000000"/>
          <w:lang w:eastAsia="zh-CN"/>
        </w:rPr>
        <w:t>9</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1042</w:t>
      </w:r>
      <w:r>
        <w:rPr>
          <w:rFonts w:ascii="Book Antiqua" w:hAnsi="Book Antiqua" w:eastAsia="Book Antiqua" w:cs="Book Antiqua"/>
          <w:color w:val="000000"/>
        </w:rPr>
        <w:t>.htm</w:t>
      </w:r>
    </w:p>
    <w:p>
      <w:pPr>
        <w:spacing w:line="360" w:lineRule="auto"/>
        <w:jc w:val="both"/>
        <w:rPr>
          <w:rFonts w:hint="default" w:ascii="Book Antiqua" w:hAnsi="Book Antiqua" w:eastAsia="宋体"/>
          <w:lang w:val="en-US" w:eastAsia="zh-CN"/>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https://dx.doi.org/10.4254/wjh.v13.i</w:t>
      </w:r>
      <w:r>
        <w:rPr>
          <w:rFonts w:hint="eastAsia" w:ascii="Book Antiqua" w:hAnsi="Book Antiqua" w:cs="Book Antiqua"/>
          <w:color w:val="000000"/>
          <w:lang w:eastAsia="zh-CN"/>
        </w:rPr>
        <w:t>9</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1042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Stop strategy is one of the options to get closer to functional cure with a finite duration of treatment in chronic hepatitis B patients.</w:t>
      </w:r>
      <w:r>
        <w:rPr>
          <w:rFonts w:hint="eastAsia" w:ascii="Book Antiqua" w:hAnsi="Book Antiqua"/>
          <w:lang w:eastAsia="zh-CN"/>
        </w:rPr>
        <w:t xml:space="preserve"> </w:t>
      </w:r>
      <w:r>
        <w:rPr>
          <w:rFonts w:ascii="Book Antiqua" w:hAnsi="Book Antiqua" w:eastAsia="Book Antiqua" w:cs="Book Antiqua"/>
          <w:color w:val="000000"/>
        </w:rPr>
        <w:t>Virological relapse and clinical relapse are common after stopping antiviral agent.</w:t>
      </w:r>
      <w:r>
        <w:rPr>
          <w:rFonts w:hint="eastAsia" w:ascii="Book Antiqua" w:hAnsi="Book Antiqua"/>
          <w:lang w:eastAsia="zh-CN"/>
        </w:rPr>
        <w:t xml:space="preserve"> </w:t>
      </w:r>
      <w:r>
        <w:rPr>
          <w:rFonts w:ascii="Book Antiqua" w:hAnsi="Book Antiqua" w:eastAsia="Book Antiqua" w:cs="Book Antiqua"/>
          <w:color w:val="000000"/>
        </w:rPr>
        <w:t xml:space="preserve">Half the patients with </w:t>
      </w:r>
      <w:r>
        <w:rPr>
          <w:rFonts w:ascii="Book Antiqua" w:hAnsi="Book Antiqua" w:cs="Book Antiqua"/>
          <w:color w:val="000000"/>
          <w:lang w:eastAsia="zh-CN"/>
        </w:rPr>
        <w:t>clinical relapse</w:t>
      </w:r>
      <w:r>
        <w:rPr>
          <w:rFonts w:ascii="Book Antiqua" w:hAnsi="Book Antiqua" w:eastAsia="Book Antiqua" w:cs="Book Antiqua"/>
          <w:color w:val="000000"/>
        </w:rPr>
        <w:t xml:space="preserve"> require retreatment.</w:t>
      </w:r>
      <w:r>
        <w:rPr>
          <w:rFonts w:hint="eastAsia" w:ascii="Book Antiqua" w:hAnsi="Book Antiqua"/>
          <w:lang w:eastAsia="zh-CN"/>
        </w:rPr>
        <w:t xml:space="preserve"> </w:t>
      </w:r>
      <w:r>
        <w:rPr>
          <w:rFonts w:ascii="Book Antiqua" w:hAnsi="Book Antiqua" w:eastAsia="Book Antiqua" w:cs="Book Antiqua"/>
          <w:color w:val="000000"/>
        </w:rPr>
        <w:t xml:space="preserve">Novel biomarkers and the SCALE-B score predict </w:t>
      </w:r>
      <w:r>
        <w:rPr>
          <w:rFonts w:ascii="Book Antiqua" w:hAnsi="Book Antiqua" w:cs="Book Antiqua"/>
          <w:color w:val="000000"/>
          <w:lang w:eastAsia="zh-CN"/>
        </w:rPr>
        <w:t>clinical relapse</w:t>
      </w:r>
      <w:r>
        <w:rPr>
          <w:rFonts w:ascii="Book Antiqua" w:hAnsi="Book Antiqua" w:eastAsia="Book Antiqua" w:cs="Book Antiqua"/>
          <w:color w:val="000000"/>
        </w:rPr>
        <w:t xml:space="preserve"> and hepatitis B surface antigen clearance.</w:t>
      </w:r>
      <w:r>
        <w:rPr>
          <w:rFonts w:hint="eastAsia" w:ascii="Book Antiqua" w:hAnsi="Book Antiqua"/>
          <w:lang w:eastAsia="zh-CN"/>
        </w:rPr>
        <w:t xml:space="preserve"> </w:t>
      </w:r>
      <w:r>
        <w:rPr>
          <w:rFonts w:ascii="Book Antiqua" w:hAnsi="Book Antiqua"/>
          <w:lang w:eastAsia="zh-CN"/>
        </w:rPr>
        <w:t xml:space="preserve">Knowing </w:t>
      </w:r>
      <w:r>
        <w:rPr>
          <w:rFonts w:ascii="Book Antiqua" w:hAnsi="Book Antiqua" w:eastAsia="Book Antiqua" w:cs="Book Antiqua"/>
          <w:color w:val="000000"/>
        </w:rPr>
        <w:t>when to restart treatment and novel sensitive biomarkers are unmet needs.</w:t>
      </w:r>
    </w:p>
    <w:p>
      <w:pPr>
        <w:spacing w:line="360" w:lineRule="auto"/>
        <w:jc w:val="both"/>
        <w:rPr>
          <w:rFonts w:ascii="Book Antiqua" w:hAnsi="Book Antiqua"/>
        </w:rPr>
      </w:pPr>
      <w:r>
        <w:rPr>
          <w:rFonts w:ascii="Book Antiqua" w:hAnsi="Book Antiqua"/>
          <w:lang w:eastAsia="zh-CN"/>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Hepatitis B virus (HBV) infection is a major health problem globally; approximately 292 million people are affected by this virus</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Patients with chronic hepatitis B (CHB) infection are at risk of developing long-term liver-related complications, </w:t>
      </w:r>
      <w:r>
        <w:rPr>
          <w:rFonts w:ascii="Book Antiqua" w:hAnsi="Book Antiqua" w:eastAsia="Book Antiqua" w:cs="Book Antiqua"/>
          <w:i/>
          <w:iCs/>
          <w:color w:val="000000"/>
        </w:rPr>
        <w:t>e.g.</w:t>
      </w:r>
      <w:r>
        <w:rPr>
          <w:rFonts w:ascii="Book Antiqua" w:hAnsi="Book Antiqua" w:eastAsia="Book Antiqua" w:cs="Book Antiqua"/>
          <w:color w:val="000000"/>
        </w:rPr>
        <w:t>, cirrhosis, decompensation, and malignant liver tumors</w:t>
      </w:r>
      <w:r>
        <w:rPr>
          <w:rFonts w:ascii="Book Antiqua" w:hAnsi="Book Antiqua" w:eastAsia="Book Antiqua" w:cs="Book Antiqua"/>
          <w:color w:val="000000"/>
          <w:vertAlign w:val="superscript"/>
        </w:rPr>
        <w:t>[2]</w:t>
      </w:r>
      <w:r>
        <w:rPr>
          <w:rFonts w:ascii="Book Antiqua" w:hAnsi="Book Antiqua" w:eastAsia="Book Antiqua" w:cs="Book Antiqua"/>
          <w:color w:val="000000"/>
        </w:rPr>
        <w:t>. Although the prevalence of CHB infection has declined as a result of immunization programs, the majority of Southeast Asian countries are still categorized as intermediately to highly endemic areas</w:t>
      </w:r>
      <w:r>
        <w:rPr>
          <w:rFonts w:ascii="Book Antiqua" w:hAnsi="Book Antiqua" w:eastAsia="Book Antiqua" w:cs="Book Antiqua"/>
          <w:color w:val="000000"/>
          <w:vertAlign w:val="superscript"/>
        </w:rPr>
        <w:t>[3]</w:t>
      </w:r>
      <w:r>
        <w:rPr>
          <w:rFonts w:ascii="Book Antiqua" w:hAnsi="Book Antiqua" w:eastAsia="Book Antiqua" w:cs="Book Antiqua"/>
          <w:color w:val="000000"/>
        </w:rPr>
        <w:t>. HBV replication occurs through the formation of covalently closed circular DNA (cccDNA), and the persistence of intrahepatic cccDNA is the major reason for disease chronicity and a major obstacle for the eradication of HBV</w:t>
      </w:r>
      <w:r>
        <w:rPr>
          <w:rFonts w:ascii="Book Antiqua" w:hAnsi="Book Antiqua" w:eastAsia="Book Antiqua" w:cs="Book Antiqua"/>
          <w:color w:val="000000"/>
          <w:vertAlign w:val="superscript"/>
        </w:rPr>
        <w:t>[4]</w:t>
      </w:r>
      <w:r>
        <w:rPr>
          <w:rFonts w:ascii="Book Antiqua" w:hAnsi="Book Antiqua" w:eastAsia="Book Antiqua" w:cs="Book Antiqua"/>
          <w:color w:val="000000"/>
        </w:rPr>
        <w:t>. However, the measurement of intrahepatic cccDNA is not practical in clinical practice as it can only be done through liver biopsy.</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Long-term nucleos(t)ide analogs (NA) inhibit the reverse transcriptase activity of viral polymerase and effectively inhibit HBV replication, reverse liver fibrosis, and reduce the risk of hepatocellular carcinoma (HCC)</w:t>
      </w:r>
      <w:r>
        <w:rPr>
          <w:rFonts w:ascii="Book Antiqua" w:hAnsi="Book Antiqua" w:eastAsia="Book Antiqua" w:cs="Book Antiqua"/>
          <w:color w:val="000000"/>
          <w:vertAlign w:val="superscript"/>
        </w:rPr>
        <w:t>[5,6]</w:t>
      </w:r>
      <w:r>
        <w:rPr>
          <w:rFonts w:ascii="Book Antiqua" w:hAnsi="Book Antiqua" w:eastAsia="Book Antiqua" w:cs="Book Antiqua"/>
          <w:color w:val="000000"/>
        </w:rPr>
        <w:t>. However, N</w:t>
      </w:r>
      <w:r>
        <w:rPr>
          <w:rFonts w:ascii="Book Antiqua" w:hAnsi="Book Antiqua" w:cs="Book Antiqua"/>
          <w:color w:val="000000"/>
          <w:lang w:eastAsia="zh-CN"/>
        </w:rPr>
        <w:t>A</w:t>
      </w:r>
      <w:r>
        <w:rPr>
          <w:rFonts w:ascii="Book Antiqua" w:hAnsi="Book Antiqua" w:eastAsia="Book Antiqua" w:cs="Book Antiqua"/>
          <w:color w:val="000000"/>
        </w:rPr>
        <w:t xml:space="preserve"> have no direct effect on intrahepatic cccDNA </w:t>
      </w:r>
      <w:r>
        <w:rPr>
          <w:rFonts w:hint="eastAsia" w:ascii="Book Antiqua" w:hAnsi="Book Antiqua" w:cs="Book Antiqua"/>
          <w:color w:val="000000"/>
          <w:lang w:eastAsia="zh-CN"/>
        </w:rPr>
        <w:t>or</w:t>
      </w:r>
      <w:r>
        <w:rPr>
          <w:rFonts w:ascii="Book Antiqua" w:hAnsi="Book Antiqua" w:eastAsia="Book Antiqua" w:cs="Book Antiqua"/>
          <w:color w:val="000000"/>
        </w:rPr>
        <w:t xml:space="preserve"> virus transcription in the liver. Therefore, because functional </w:t>
      </w:r>
      <w:r>
        <w:rPr>
          <w:rFonts w:hint="eastAsia" w:ascii="Book Antiqua" w:hAnsi="Book Antiqua" w:cs="Book Antiqua"/>
          <w:color w:val="000000"/>
          <w:lang w:eastAsia="zh-CN"/>
        </w:rPr>
        <w:t>cure</w:t>
      </w:r>
      <w:r>
        <w:rPr>
          <w:rFonts w:ascii="Book Antiqua" w:hAnsi="Book Antiqua" w:eastAsia="Book Antiqua" w:cs="Book Antiqua"/>
          <w:color w:val="000000"/>
        </w:rPr>
        <w:t>,</w:t>
      </w:r>
      <w:r>
        <w:rPr>
          <w:rFonts w:ascii="Book Antiqua" w:hAnsi="Book Antiqua" w:cs="Book Antiqua"/>
          <w:color w:val="000000"/>
          <w:lang w:eastAsia="zh-CN"/>
        </w:rPr>
        <w:t xml:space="preserve"> defined as</w:t>
      </w:r>
      <w:r>
        <w:rPr>
          <w:rFonts w:ascii="Book Antiqua" w:hAnsi="Book Antiqua" w:eastAsia="Book Antiqua" w:cs="Book Antiqua"/>
          <w:color w:val="000000"/>
        </w:rPr>
        <w:t xml:space="preserve"> hepatitis B surface antigen (HBsAg) clearance with or without anti</w:t>
      </w:r>
      <w:r>
        <w:rPr>
          <w:rFonts w:hint="eastAsia" w:ascii="Book Antiqua" w:hAnsi="Book Antiqua" w:cs="Book Antiqua"/>
          <w:color w:val="000000"/>
          <w:lang w:eastAsia="zh-CN"/>
        </w:rPr>
        <w:t>-</w:t>
      </w:r>
      <w:r>
        <w:rPr>
          <w:rFonts w:ascii="Book Antiqua" w:hAnsi="Book Antiqua" w:eastAsia="Book Antiqua" w:cs="Book Antiqua"/>
          <w:color w:val="000000"/>
        </w:rPr>
        <w:t>H</w:t>
      </w:r>
      <w:r>
        <w:rPr>
          <w:rFonts w:ascii="Book Antiqua" w:hAnsi="Book Antiqua" w:cs="Book Antiqua"/>
          <w:color w:val="000000"/>
          <w:lang w:eastAsia="zh-CN"/>
        </w:rPr>
        <w:t>Bs</w:t>
      </w:r>
      <w:r>
        <w:rPr>
          <w:rFonts w:ascii="Book Antiqua" w:hAnsi="Book Antiqua" w:eastAsia="Book Antiqua" w:cs="Book Antiqua"/>
          <w:color w:val="000000"/>
        </w:rPr>
        <w:t xml:space="preserve"> seroconversion, is not often achieved, and most patients need long-term or even lifelong N</w:t>
      </w:r>
      <w:r>
        <w:rPr>
          <w:rFonts w:ascii="Book Antiqua" w:hAnsi="Book Antiqua" w:cs="Book Antiqua"/>
          <w:color w:val="000000"/>
          <w:lang w:eastAsia="zh-CN"/>
        </w:rPr>
        <w:t>A</w:t>
      </w:r>
      <w:r>
        <w:rPr>
          <w:rFonts w:ascii="Book Antiqua" w:hAnsi="Book Antiqua" w:eastAsia="Book Antiqua" w:cs="Book Antiqua"/>
          <w:color w:val="000000"/>
        </w:rPr>
        <w:t xml:space="preserve"> therapy</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Currently, the best time to stop N</w:t>
      </w:r>
      <w:r>
        <w:rPr>
          <w:rFonts w:ascii="Book Antiqua" w:hAnsi="Book Antiqua" w:cs="Book Antiqua"/>
          <w:color w:val="000000"/>
          <w:lang w:eastAsia="zh-CN"/>
        </w:rPr>
        <w:t>A</w:t>
      </w:r>
      <w:r>
        <w:rPr>
          <w:rFonts w:ascii="Book Antiqua" w:hAnsi="Book Antiqua" w:eastAsia="Book Antiqua" w:cs="Book Antiqua"/>
          <w:color w:val="000000"/>
        </w:rPr>
        <w:t xml:space="preserve"> therapy before HBsAg clearance is still uncertain because of the high rates of nontreatment recurrence. For instance, the pooled analysis of a systematic review showed a virological relapse (VR) rate of about 50% to 60% within 12 to 36 mo after drug withdrawal</w:t>
      </w:r>
      <w:r>
        <w:rPr>
          <w:rFonts w:ascii="Book Antiqua" w:hAnsi="Book Antiqua" w:eastAsia="Book Antiqua" w:cs="Book Antiqua"/>
          <w:color w:val="000000"/>
          <w:vertAlign w:val="superscript"/>
        </w:rPr>
        <w:t>[8]</w:t>
      </w:r>
      <w:r>
        <w:rPr>
          <w:rFonts w:ascii="Book Antiqua" w:hAnsi="Book Antiqua" w:eastAsia="Book Antiqua" w:cs="Book Antiqua"/>
          <w:color w:val="000000"/>
        </w:rPr>
        <w:t>. Although recent clinical guidelines suggest that some patients may stop taking N</w:t>
      </w:r>
      <w:r>
        <w:rPr>
          <w:rFonts w:ascii="Book Antiqua" w:hAnsi="Book Antiqua" w:cs="Book Antiqua"/>
          <w:color w:val="000000"/>
          <w:lang w:eastAsia="zh-CN"/>
        </w:rPr>
        <w:t>A</w:t>
      </w:r>
      <w:r>
        <w:rPr>
          <w:rFonts w:ascii="Book Antiqua" w:hAnsi="Book Antiqua" w:eastAsia="Book Antiqua" w:cs="Book Antiqua"/>
          <w:color w:val="000000"/>
        </w:rPr>
        <w:t xml:space="preserve"> before achieving HBsAg serum clearance</w:t>
      </w:r>
      <w:r>
        <w:rPr>
          <w:rFonts w:ascii="Book Antiqua" w:hAnsi="Book Antiqua" w:eastAsia="Book Antiqua" w:cs="Book Antiqua"/>
          <w:color w:val="000000"/>
          <w:vertAlign w:val="superscript"/>
        </w:rPr>
        <w:t>[9–11</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sensitive and reliable biomarkers for identifying patients with low recurrence risk have not yet been established</w:t>
      </w:r>
      <w:r>
        <w:rPr>
          <w:rFonts w:ascii="Book Antiqua" w:hAnsi="Book Antiqua" w:eastAsia="Book Antiqua" w:cs="Book Antiqua"/>
          <w:color w:val="000000"/>
          <w:vertAlign w:val="superscript"/>
        </w:rPr>
        <w:t>[12,13]</w:t>
      </w:r>
      <w:r>
        <w:rPr>
          <w:rFonts w:ascii="Book Antiqua" w:hAnsi="Book Antiqua" w:eastAsia="Book Antiqua" w:cs="Book Antiqua"/>
          <w:color w:val="000000"/>
        </w:rPr>
        <w:t>. This review focuses on both benefits and risks of discontinuing antiviral agents, as well as the current recommendations, factors, and novel biomarkers for predicting outcomes following NA cessation, and unfulfilled demands.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 xml:space="preserve">ADVANTAGES </w:t>
      </w:r>
      <w:r>
        <w:rPr>
          <w:rFonts w:ascii="Book Antiqua" w:hAnsi="Book Antiqua" w:eastAsia="Book Antiqua" w:cs="Book Antiqua"/>
          <w:b/>
          <w:bCs/>
          <w:i/>
          <w:caps/>
          <w:color w:val="000000"/>
          <w:u w:val="single"/>
        </w:rPr>
        <w:t>VS</w:t>
      </w:r>
      <w:r>
        <w:rPr>
          <w:rFonts w:ascii="Book Antiqua" w:hAnsi="Book Antiqua" w:eastAsia="Book Antiqua" w:cs="Book Antiqua"/>
          <w:b/>
          <w:bCs/>
          <w:caps/>
          <w:color w:val="000000"/>
          <w:u w:val="single"/>
        </w:rPr>
        <w:t xml:space="preserve"> DISADVANTAGES OF ANTIVIRAL AGENT DISCONTINUATION</w:t>
      </w:r>
    </w:p>
    <w:p>
      <w:pPr>
        <w:spacing w:line="360" w:lineRule="auto"/>
        <w:jc w:val="both"/>
        <w:rPr>
          <w:rFonts w:ascii="Book Antiqua" w:hAnsi="Book Antiqua"/>
        </w:rPr>
      </w:pPr>
      <w:r>
        <w:rPr>
          <w:rFonts w:ascii="Book Antiqua" w:hAnsi="Book Antiqua" w:eastAsia="Book Antiqua" w:cs="Book Antiqua"/>
          <w:color w:val="000000"/>
        </w:rPr>
        <w:t>Benefit and risk concerns of CHB antiviral cessation are summarized in Figure 1.</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Advantages</w:t>
      </w:r>
    </w:p>
    <w:p>
      <w:pPr>
        <w:spacing w:line="360" w:lineRule="auto"/>
        <w:jc w:val="both"/>
        <w:rPr>
          <w:rFonts w:ascii="Book Antiqua" w:hAnsi="Book Antiqua"/>
          <w:lang w:eastAsia="zh-CN"/>
        </w:rPr>
      </w:pPr>
      <w:r>
        <w:rPr>
          <w:rFonts w:ascii="Book Antiqua" w:hAnsi="Book Antiqua" w:eastAsia="Book Antiqua" w:cs="Book Antiqua"/>
          <w:b/>
          <w:bCs/>
          <w:iCs/>
          <w:color w:val="000000"/>
        </w:rPr>
        <w:t>Increased HBsAg loss</w:t>
      </w:r>
      <w:r>
        <w:rPr>
          <w:rFonts w:hint="eastAsia" w:ascii="Book Antiqua" w:hAnsi="Book Antiqua" w:cs="Book Antiqua"/>
          <w:b/>
          <w:bCs/>
          <w:iCs/>
          <w:color w:val="000000"/>
          <w:lang w:eastAsia="zh-CN"/>
        </w:rPr>
        <w:t>:</w:t>
      </w:r>
      <w:r>
        <w:rPr>
          <w:rFonts w:hint="eastAsia" w:ascii="Book Antiqua" w:hAnsi="Book Antiqua"/>
          <w:lang w:eastAsia="zh-CN"/>
        </w:rPr>
        <w:t xml:space="preserve"> </w:t>
      </w:r>
      <w:r>
        <w:rPr>
          <w:rFonts w:ascii="Book Antiqua" w:hAnsi="Book Antiqua" w:eastAsia="Book Antiqua" w:cs="Book Antiqua"/>
          <w:color w:val="000000"/>
        </w:rPr>
        <w:t>The ultimate goal of CHB treatment is clearance of intrahepatic cccDNA. Nonetheless, this endpoint seems to be unrealistic with the current treatment options</w:t>
      </w:r>
      <w:r>
        <w:rPr>
          <w:rFonts w:ascii="Book Antiqua" w:hAnsi="Book Antiqua" w:eastAsia="Book Antiqua" w:cs="Book Antiqua"/>
          <w:color w:val="000000"/>
          <w:vertAlign w:val="superscript"/>
        </w:rPr>
        <w:t>[9–11]</w:t>
      </w:r>
      <w:r>
        <w:rPr>
          <w:rFonts w:ascii="Book Antiqua" w:hAnsi="Book Antiqua" w:eastAsia="Book Antiqua" w:cs="Book Antiqua"/>
          <w:color w:val="000000"/>
        </w:rPr>
        <w:t xml:space="preserve">. A more pragmatic endpoint is HBsAg loss with undetectable HBV DNA or a so called “functional cure,” yet HBsAg loss is rarely achieved with long-term NA therapy. In a French study of 18 CHB patients with NA treatment, the annual decrease of HBsAg levels was only 0.084 </w:t>
      </w:r>
      <w:r>
        <w:rPr>
          <w:rFonts w:hint="eastAsia" w:ascii="Book Antiqua" w:hAnsi="Book Antiqua" w:cs="Book Antiqua"/>
          <w:color w:val="000000"/>
          <w:lang w:eastAsia="zh-CN"/>
        </w:rPr>
        <w:t>l</w:t>
      </w:r>
      <w:r>
        <w:rPr>
          <w:rFonts w:ascii="Book Antiqua" w:hAnsi="Book Antiqua" w:eastAsia="Book Antiqua" w:cs="Book Antiqua"/>
          <w:color w:val="000000"/>
        </w:rPr>
        <w:t>og</w:t>
      </w:r>
      <w:r>
        <w:rPr>
          <w:rFonts w:ascii="Book Antiqua" w:hAnsi="Book Antiqua" w:eastAsia="Book Antiqua" w:cs="Book Antiqua"/>
          <w:color w:val="000000"/>
          <w:vertAlign w:val="subscript"/>
        </w:rPr>
        <w:t>10</w:t>
      </w:r>
      <w:r>
        <w:rPr>
          <w:rFonts w:ascii="Book Antiqua" w:hAnsi="Book Antiqua" w:eastAsia="Book Antiqua" w:cs="Book Antiqua"/>
          <w:color w:val="000000"/>
        </w:rPr>
        <w:t xml:space="preserve"> IU/mL</w:t>
      </w:r>
      <w:r>
        <w:rPr>
          <w:rFonts w:ascii="Book Antiqua" w:hAnsi="Book Antiqua" w:eastAsia="Book Antiqua" w:cs="Book Antiqua"/>
          <w:color w:val="000000"/>
          <w:vertAlign w:val="superscript"/>
        </w:rPr>
        <w:t>[14]</w:t>
      </w:r>
      <w:r>
        <w:rPr>
          <w:rFonts w:ascii="Book Antiqua" w:hAnsi="Book Antiqua" w:eastAsia="Book Antiqua" w:cs="Book Antiqua"/>
          <w:color w:val="000000"/>
        </w:rPr>
        <w:t>, with a study-derived model predicting that HBsAg loss after continuous treatment with NA would be achieved in 52.2 years.</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 xml:space="preserve">On the other hand, cessation of NA therapy may increase HBsAg clearance. An initial study by Hadziyannis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showed a high rate of HBsAg loss of 39.4% at 6 years after stopped adefovir (ADV) in </w:t>
      </w:r>
      <w:r>
        <w:rPr>
          <w:rFonts w:hint="eastAsia" w:ascii="Book Antiqua" w:hAnsi="Book Antiqua" w:cs="Book Antiqua"/>
          <w:color w:val="000000"/>
          <w:lang w:eastAsia="zh-CN"/>
        </w:rPr>
        <w:t>h</w:t>
      </w:r>
      <w:r>
        <w:rPr>
          <w:rFonts w:ascii="Book Antiqua" w:hAnsi="Book Antiqua" w:eastAsia="Book Antiqua" w:cs="Book Antiqua"/>
          <w:color w:val="000000"/>
        </w:rPr>
        <w:t>epatitis B e-antigen (HBeAg) negative CHB patients. That study was followed by a peak of interest in NA discontinuation</w:t>
      </w:r>
      <w:r>
        <w:rPr>
          <w:rFonts w:ascii="Book Antiqua" w:hAnsi="Book Antiqua" w:eastAsia="Book Antiqua" w:cs="Book Antiqua"/>
          <w:color w:val="000000"/>
          <w:vertAlign w:val="superscript"/>
        </w:rPr>
        <w:t>[15]</w:t>
      </w:r>
      <w:r>
        <w:rPr>
          <w:rFonts w:ascii="Book Antiqua" w:hAnsi="Book Antiqua" w:eastAsia="Book Antiqua" w:cs="Book Antiqua"/>
          <w:color w:val="000000"/>
        </w:rPr>
        <w:t>. A recent systematic review including 1085 patients reported a rate of HBsAg loss of approximately 8%</w:t>
      </w:r>
      <w:r>
        <w:rPr>
          <w:rFonts w:ascii="Book Antiqua" w:hAnsi="Book Antiqua" w:eastAsia="Book Antiqua" w:cs="Book Antiqua"/>
          <w:color w:val="000000"/>
          <w:vertAlign w:val="superscript"/>
        </w:rPr>
        <w:t>[8]</w:t>
      </w:r>
      <w:r>
        <w:rPr>
          <w:rFonts w:ascii="Book Antiqua" w:hAnsi="Book Antiqua" w:eastAsia="Book Antiqua" w:cs="Book Antiqua"/>
          <w:color w:val="000000"/>
        </w:rPr>
        <w:t>. In contrast, a subsequent study reported HBsAg loss in a minority of patients on continuous NA therapy, approximately 2.1% after 10 years of follow-up</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Finite duration</w:t>
      </w:r>
      <w:r>
        <w:rPr>
          <w:rFonts w:hint="eastAsia" w:ascii="Book Antiqua" w:hAnsi="Book Antiqua" w:cs="Book Antiqua"/>
          <w:b/>
          <w:bCs/>
          <w:iCs/>
          <w:color w:val="000000"/>
          <w:lang w:eastAsia="zh-CN"/>
        </w:rPr>
        <w:t>:</w:t>
      </w:r>
      <w:r>
        <w:rPr>
          <w:rFonts w:hint="eastAsia" w:ascii="Book Antiqua" w:hAnsi="Book Antiqua"/>
          <w:lang w:eastAsia="zh-CN"/>
        </w:rPr>
        <w:t xml:space="preserve"> </w:t>
      </w:r>
      <w:r>
        <w:rPr>
          <w:rFonts w:ascii="Book Antiqua" w:hAnsi="Book Antiqua" w:eastAsia="Book Antiqua" w:cs="Book Antiqua"/>
          <w:color w:val="000000"/>
        </w:rPr>
        <w:t>Generally, long-term treatment with NA is required, in contrast to the definable duration of interferon-based therapy, 12 mo in HBeAg-negative, and 6-12 mo in HBeAg-positive patients</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Even though the side effects after several years of medication are very few, they can be problematic in real-life practice. An attempt to define a limited duration of NA therapy was first proposed in the </w:t>
      </w:r>
      <w:r>
        <w:rPr>
          <w:rFonts w:ascii="Book Antiqua" w:hAnsi="Book Antiqua" w:cs="Cordia New"/>
        </w:rPr>
        <w:t>Asian Pacific Association for the Study of the Liver</w:t>
      </w:r>
      <w:r>
        <w:rPr>
          <w:rFonts w:ascii="Book Antiqua" w:hAnsi="Book Antiqua" w:eastAsia="Book Antiqua" w:cs="Book Antiqua"/>
          <w:color w:val="000000"/>
        </w:rPr>
        <w:t xml:space="preserve"> (APASL) 2008 guidelines</w:t>
      </w:r>
      <w:r>
        <w:rPr>
          <w:rFonts w:ascii="Book Antiqua" w:hAnsi="Book Antiqua" w:eastAsia="Book Antiqua" w:cs="Book Antiqua"/>
          <w:color w:val="000000"/>
          <w:vertAlign w:val="superscript"/>
        </w:rPr>
        <w:t>[18]</w:t>
      </w:r>
      <w:r>
        <w:rPr>
          <w:rFonts w:ascii="Book Antiqua" w:hAnsi="Book Antiqua" w:eastAsia="Book Antiqua" w:cs="Book Antiqua"/>
          <w:color w:val="000000"/>
        </w:rPr>
        <w:t>. Finite duration may increase drug adherence, lower the chances of developing side effects from the drug, and reduce costs</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Increased adherence</w:t>
      </w:r>
      <w:r>
        <w:rPr>
          <w:rFonts w:hint="eastAsia" w:ascii="Book Antiqua" w:hAnsi="Book Antiqua" w:cs="Book Antiqua"/>
          <w:b/>
          <w:bCs/>
          <w:iCs/>
          <w:color w:val="000000"/>
          <w:lang w:eastAsia="zh-CN"/>
        </w:rPr>
        <w:t>:</w:t>
      </w:r>
      <w:r>
        <w:rPr>
          <w:rFonts w:hint="eastAsia" w:ascii="Book Antiqua" w:hAnsi="Book Antiqua"/>
          <w:lang w:eastAsia="zh-CN"/>
        </w:rPr>
        <w:t xml:space="preserve"> </w:t>
      </w:r>
      <w:r>
        <w:rPr>
          <w:rFonts w:ascii="Book Antiqua" w:hAnsi="Book Antiqua" w:eastAsia="Book Antiqua" w:cs="Book Antiqua"/>
          <w:color w:val="000000"/>
        </w:rPr>
        <w:t>Longer use of NA treatment is associated with lower medication compliance.</w:t>
      </w:r>
      <w:r>
        <w:rPr>
          <w:rFonts w:ascii="Book Antiqua" w:hAnsi="Book Antiqua" w:eastAsia="Book Antiqua" w:cs="Book Antiqua"/>
          <w:b/>
          <w:bCs/>
          <w:color w:val="000000"/>
        </w:rPr>
        <w:t xml:space="preserve"> </w:t>
      </w:r>
      <w:r>
        <w:rPr>
          <w:rFonts w:ascii="Book Antiqua" w:hAnsi="Book Antiqua" w:eastAsia="Book Antiqua" w:cs="Book Antiqua"/>
          <w:color w:val="000000"/>
        </w:rPr>
        <w:t>Drug adherence is of concern in real-life practice</w:t>
      </w:r>
      <w:r>
        <w:rPr>
          <w:rFonts w:ascii="Book Antiqua" w:hAnsi="Book Antiqua" w:eastAsia="Book Antiqua" w:cs="Book Antiqua"/>
          <w:color w:val="000000"/>
          <w:vertAlign w:val="superscript"/>
        </w:rPr>
        <w:t>[20]</w:t>
      </w:r>
      <w:r>
        <w:rPr>
          <w:rFonts w:ascii="Book Antiqua" w:hAnsi="Book Antiqua" w:eastAsia="Book Antiqua" w:cs="Book Antiqua"/>
          <w:color w:val="000000"/>
        </w:rPr>
        <w:t>. Poor antiviral agent compliance is associated with emerging resistance, particularly in agents with a low genetic barrier</w:t>
      </w:r>
      <w:r>
        <w:rPr>
          <w:rFonts w:ascii="Book Antiqua" w:hAnsi="Book Antiqua" w:eastAsia="Book Antiqua" w:cs="Book Antiqua"/>
          <w:color w:val="000000"/>
          <w:vertAlign w:val="superscript"/>
        </w:rPr>
        <w:t>[21]</w:t>
      </w:r>
      <w:r>
        <w:rPr>
          <w:rFonts w:ascii="Book Antiqua" w:hAnsi="Book Antiqua" w:eastAsia="Book Antiqua" w:cs="Book Antiqua"/>
          <w:color w:val="000000"/>
        </w:rPr>
        <w:t>. A large retrospective study that included 11,100 CHB patients in the United States found a rate of adherence of 87%</w:t>
      </w:r>
      <w:r>
        <w:rPr>
          <w:rFonts w:ascii="Book Antiqua" w:hAnsi="Book Antiqua" w:eastAsia="Book Antiqua" w:cs="Book Antiqua"/>
          <w:color w:val="000000"/>
          <w:vertAlign w:val="superscript"/>
        </w:rPr>
        <w:t>[20]</w:t>
      </w:r>
      <w:r>
        <w:rPr>
          <w:rFonts w:ascii="Book Antiqua" w:hAnsi="Book Antiqua" w:eastAsia="Book Antiqua" w:cs="Book Antiqua"/>
          <w:color w:val="000000"/>
        </w:rPr>
        <w:t>. Moreover, a systematic review and meta-analysis included of 30 studies reported that the long-term adherence rate was only 74.7% after a median follow-up of 16 mo</w:t>
      </w:r>
      <w:r>
        <w:rPr>
          <w:rFonts w:ascii="Book Antiqua" w:hAnsi="Book Antiqua" w:eastAsia="Book Antiqua" w:cs="Book Antiqua"/>
          <w:color w:val="000000"/>
          <w:vertAlign w:val="superscript"/>
        </w:rPr>
        <w:t>[22]</w:t>
      </w:r>
      <w:r>
        <w:rPr>
          <w:rFonts w:ascii="Book Antiqua" w:hAnsi="Book Antiqua" w:eastAsia="Book Antiqua" w:cs="Book Antiqua"/>
          <w:color w:val="000000"/>
        </w:rPr>
        <w:t>. Notably, it was suboptimal compared with a good adherence rate of 95% defined in previous studies</w:t>
      </w:r>
      <w:r>
        <w:rPr>
          <w:rFonts w:ascii="Book Antiqua" w:hAnsi="Book Antiqua" w:eastAsia="Book Antiqua" w:cs="Book Antiqua"/>
          <w:color w:val="000000"/>
          <w:vertAlign w:val="superscript"/>
        </w:rPr>
        <w:t>[20,23–25]</w:t>
      </w:r>
      <w:r>
        <w:rPr>
          <w:rFonts w:ascii="Book Antiqua" w:hAnsi="Book Antiqua" w:eastAsia="Book Antiqua" w:cs="Book Antiqua"/>
          <w:color w:val="000000"/>
        </w:rPr>
        <w:t>. Compliance to antiviral agent use may improve with finite duration of treatment.</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Decreased side effects</w:t>
      </w:r>
      <w:r>
        <w:rPr>
          <w:rFonts w:hint="eastAsia" w:ascii="Book Antiqua" w:hAnsi="Book Antiqua" w:cs="Book Antiqua"/>
          <w:b/>
          <w:bCs/>
          <w:iCs/>
          <w:color w:val="000000"/>
          <w:lang w:eastAsia="zh-CN"/>
        </w:rPr>
        <w:t>:</w:t>
      </w:r>
      <w:r>
        <w:rPr>
          <w:rFonts w:ascii="Book Antiqua" w:hAnsi="Book Antiqua" w:eastAsia="Book Antiqua" w:cs="Book Antiqua"/>
          <w:color w:val="000000"/>
        </w:rPr>
        <w:t xml:space="preserve"> A recent systematic review indicated adverse events associated with NA were not common. However, some events were fatal, especially mitochondrial toxicity</w:t>
      </w:r>
      <w:r>
        <w:rPr>
          <w:rFonts w:ascii="Book Antiqua" w:hAnsi="Book Antiqua" w:eastAsia="Book Antiqua" w:cs="Book Antiqua"/>
          <w:color w:val="000000"/>
          <w:vertAlign w:val="superscript"/>
        </w:rPr>
        <w:t>[26]</w:t>
      </w:r>
      <w:r>
        <w:rPr>
          <w:rFonts w:ascii="Book Antiqua" w:hAnsi="Book Antiqua" w:eastAsia="Book Antiqua" w:cs="Book Antiqua"/>
          <w:color w:val="000000"/>
        </w:rPr>
        <w:t>. Long-term treatment with NA potentiates renal and bone side effects, particularly in tenofovir disoproxil fumarate (TDF) and ADV users. In addition to the well-known side effects of tubular dysfunction and Fanconi syndrome associated with TDF and ADV, the real-world data also found that the estimated glomerular filtration rate (eGFR) declined more quickly in TDF and ADV users than in untreated CHB patients</w:t>
      </w:r>
      <w:r>
        <w:rPr>
          <w:rFonts w:ascii="Book Antiqua" w:hAnsi="Book Antiqua" w:eastAsia="Book Antiqua" w:cs="Book Antiqua"/>
          <w:color w:val="000000"/>
          <w:vertAlign w:val="superscript"/>
        </w:rPr>
        <w:t>[27]</w:t>
      </w:r>
      <w:r>
        <w:rPr>
          <w:rFonts w:ascii="Book Antiqua" w:hAnsi="Book Antiqua" w:eastAsia="Book Antiqua" w:cs="Book Antiqua"/>
          <w:color w:val="000000"/>
        </w:rPr>
        <w:t>. Despite the observation in recent registration trials that tenofovir alafenamide (TAF) had significantly lower rates of bone mineral density and eGFR reduction compared with TDF</w:t>
      </w:r>
      <w:r>
        <w:rPr>
          <w:rFonts w:ascii="Book Antiqua" w:hAnsi="Book Antiqua" w:eastAsia="Book Antiqua" w:cs="Book Antiqua"/>
          <w:color w:val="000000"/>
          <w:vertAlign w:val="superscript"/>
        </w:rPr>
        <w:t>[28,29]</w:t>
      </w:r>
      <w:r>
        <w:rPr>
          <w:rFonts w:ascii="Book Antiqua" w:hAnsi="Book Antiqua" w:eastAsia="Book Antiqua" w:cs="Book Antiqua"/>
          <w:color w:val="000000"/>
        </w:rPr>
        <w:t>, making it is safer for long-term use, the reported safety data were from follow-up of no longer than 96 w</w:t>
      </w:r>
      <w:r>
        <w:rPr>
          <w:rFonts w:hint="eastAsia" w:ascii="Book Antiqua" w:hAnsi="Book Antiqua" w:cs="Book Antiqua"/>
          <w:color w:val="000000"/>
          <w:lang w:eastAsia="zh-CN"/>
        </w:rPr>
        <w:t>k</w:t>
      </w:r>
      <w:r>
        <w:rPr>
          <w:rFonts w:ascii="Book Antiqua" w:hAnsi="Book Antiqua" w:eastAsia="Book Antiqua" w:cs="Book Antiqua"/>
          <w:color w:val="000000"/>
          <w:vertAlign w:val="superscript"/>
        </w:rPr>
        <w:t>[30]</w:t>
      </w:r>
      <w:r>
        <w:rPr>
          <w:rFonts w:ascii="Book Antiqua" w:hAnsi="Book Antiqua" w:eastAsia="Book Antiqua" w:cs="Book Antiqua"/>
          <w:color w:val="000000"/>
        </w:rPr>
        <w:t>. Therefore, whether TAF is truly safe for extended treatment is yet to be confirmed. Nonetheless, as shorter time of exposure to NA would decrease the risk of side effects.</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Cost savings</w:t>
      </w:r>
      <w:r>
        <w:rPr>
          <w:rFonts w:hint="eastAsia" w:ascii="Book Antiqua" w:hAnsi="Book Antiqua" w:cs="Book Antiqua"/>
          <w:b/>
          <w:bCs/>
          <w:iCs/>
          <w:color w:val="000000"/>
          <w:lang w:eastAsia="zh-CN"/>
        </w:rPr>
        <w:t>:</w:t>
      </w:r>
      <w:r>
        <w:rPr>
          <w:rFonts w:hint="eastAsia" w:ascii="Book Antiqua" w:hAnsi="Book Antiqua"/>
          <w:lang w:eastAsia="zh-CN"/>
        </w:rPr>
        <w:t xml:space="preserve"> </w:t>
      </w:r>
      <w:r>
        <w:rPr>
          <w:rFonts w:ascii="Book Antiqua" w:hAnsi="Book Antiqua" w:eastAsia="Book Antiqua" w:cs="Book Antiqua"/>
          <w:color w:val="000000"/>
        </w:rPr>
        <w:t>As mentioned above, hepatitis B treatment with NA might be a long-term therapy. According to a survey in Singapore, fewer than half the patients preferred lifelong treatment</w:t>
      </w:r>
      <w:r>
        <w:rPr>
          <w:rFonts w:ascii="Book Antiqua" w:hAnsi="Book Antiqua" w:eastAsia="Book Antiqua" w:cs="Book Antiqua"/>
          <w:color w:val="000000"/>
          <w:vertAlign w:val="superscript"/>
        </w:rPr>
        <w:t>[31]</w:t>
      </w:r>
      <w:r>
        <w:rPr>
          <w:rFonts w:ascii="Book Antiqua" w:hAnsi="Book Antiqua" w:eastAsia="Book Antiqua" w:cs="Book Antiqua"/>
          <w:color w:val="000000"/>
        </w:rPr>
        <w:t>. One of the most concerns of lifelong therapy is the cost of treatment. Moreover, only about a quarter of the patients were willing to pay for lifelong therapy, with an acceptable daily cost of 8 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S</w:t>
      </w:r>
      <w:r>
        <w:rPr>
          <w:rFonts w:hint="eastAsia" w:ascii="Book Antiqua" w:hAnsi="Book Antiqua" w:cs="Book Antiqua"/>
          <w:color w:val="000000"/>
          <w:lang w:eastAsia="zh-CN"/>
        </w:rPr>
        <w:t>tates</w:t>
      </w:r>
      <w:r>
        <w:rPr>
          <w:rFonts w:ascii="Book Antiqua" w:hAnsi="Book Antiqua" w:eastAsia="Book Antiqua" w:cs="Book Antiqua"/>
          <w:color w:val="000000"/>
        </w:rPr>
        <w:t xml:space="preserve"> dollars.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Disadvantages</w:t>
      </w: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Clinical flare and decompensation following off-therapy</w:t>
      </w:r>
      <w:r>
        <w:rPr>
          <w:rFonts w:hint="eastAsia" w:ascii="Book Antiqua" w:hAnsi="Book Antiqua" w:cs="Book Antiqua"/>
          <w:b/>
          <w:bCs/>
          <w:iCs/>
          <w:color w:val="000000"/>
          <w:lang w:eastAsia="zh-CN"/>
        </w:rPr>
        <w:t>:</w:t>
      </w:r>
      <w:r>
        <w:rPr>
          <w:rFonts w:hint="eastAsia" w:ascii="Book Antiqua" w:hAnsi="Book Antiqua"/>
          <w:lang w:eastAsia="zh-CN"/>
        </w:rPr>
        <w:t xml:space="preserve"> </w:t>
      </w:r>
      <w:r>
        <w:rPr>
          <w:rFonts w:ascii="Book Antiqua" w:hAnsi="Book Antiqua" w:eastAsia="Book Antiqua" w:cs="Book Antiqua"/>
          <w:color w:val="000000"/>
        </w:rPr>
        <w:t xml:space="preserve">The concerning issue after NA discontinuation is HBV flare, especially clinical relapse (CR). Most studies defined CR as an off-therapy HBV DNA &gt; 2000 IU/mL plus an </w:t>
      </w:r>
      <w:r>
        <w:rPr>
          <w:rFonts w:hint="eastAsia" w:ascii="Book Antiqua" w:hAnsi="Book Antiqua" w:cs="Cordia New"/>
          <w:lang w:eastAsia="zh-CN"/>
        </w:rPr>
        <w:t>a</w:t>
      </w:r>
      <w:r>
        <w:rPr>
          <w:rFonts w:ascii="Book Antiqua" w:hAnsi="Book Antiqua" w:cs="Cordia New"/>
        </w:rPr>
        <w:t>lanine aminotransferase</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ALT</w:t>
      </w:r>
      <w:r>
        <w:rPr>
          <w:rFonts w:hint="eastAsia" w:ascii="Book Antiqua" w:hAnsi="Book Antiqua" w:cs="Book Antiqua"/>
          <w:color w:val="000000"/>
          <w:lang w:eastAsia="zh-CN"/>
        </w:rPr>
        <w:t>)</w:t>
      </w:r>
      <w:r>
        <w:rPr>
          <w:rFonts w:ascii="Book Antiqua" w:hAnsi="Book Antiqua" w:eastAsia="Book Antiqua" w:cs="Book Antiqua"/>
          <w:color w:val="000000"/>
        </w:rPr>
        <w:t xml:space="preserve"> level &gt; 2 times the upper limit of normal (ULN)</w:t>
      </w:r>
      <w:r>
        <w:rPr>
          <w:rFonts w:ascii="Book Antiqua" w:hAnsi="Book Antiqua" w:eastAsia="Book Antiqua" w:cs="Book Antiqua"/>
          <w:color w:val="000000"/>
          <w:vertAlign w:val="superscript"/>
        </w:rPr>
        <w:t>[8,32]</w:t>
      </w:r>
      <w:r>
        <w:rPr>
          <w:rFonts w:ascii="Book Antiqua" w:hAnsi="Book Antiqua" w:eastAsia="Book Antiqua" w:cs="Book Antiqua"/>
          <w:color w:val="000000"/>
        </w:rPr>
        <w:t>. The overall CR rate from a pooled data analysis with a follow-up ranging from 12-69 mo duration after NA discontinuation was 34.6% in which CR was higher in HBeAg-negative patients (43.7%) than in HBeAg-positive (23.8%)</w:t>
      </w:r>
      <w:r>
        <w:rPr>
          <w:rFonts w:ascii="Book Antiqua" w:hAnsi="Book Antiqua" w:eastAsia="Book Antiqua" w:cs="Book Antiqua"/>
          <w:color w:val="000000"/>
          <w:vertAlign w:val="superscript"/>
        </w:rPr>
        <w:t>[8]</w:t>
      </w:r>
      <w:r>
        <w:rPr>
          <w:rFonts w:ascii="Book Antiqua" w:hAnsi="Book Antiqua" w:eastAsia="Book Antiqua" w:cs="Book Antiqua"/>
          <w:color w:val="000000"/>
        </w:rPr>
        <w:t>. CR, particularly severe CR, may lead to jaundice, prolonged prothrombin time (PT), or eventually liver failure. In our study in Thai patients, two noncirrhotic HBeAg-negative patients developed jaundice (classified as severe CR) 3 mo after NA discontinuation</w:t>
      </w:r>
      <w:r>
        <w:rPr>
          <w:rFonts w:ascii="Book Antiqua" w:hAnsi="Book Antiqua" w:eastAsia="Book Antiqua" w:cs="Book Antiqua"/>
          <w:color w:val="000000"/>
          <w:vertAlign w:val="superscript"/>
        </w:rPr>
        <w:t>[12]</w:t>
      </w:r>
      <w:r>
        <w:rPr>
          <w:rFonts w:ascii="Book Antiqua" w:hAnsi="Book Antiqua" w:eastAsia="Book Antiqua" w:cs="Book Antiqua"/>
          <w:color w:val="000000"/>
        </w:rPr>
        <w:t>. Jaundice and hepatitis resolved in both patients after retreatment. Clinical decompensation and death following NA discontinuation has been reported in Asian studies; decompensation and fatality were observed in 0%-1.58% and 0%-0.19% in noncirrhotic patients at 1-3 years of follow-up, while there was a limited number of studies in cirrhotic patients</w:t>
      </w:r>
      <w:r>
        <w:rPr>
          <w:rFonts w:ascii="Book Antiqua" w:hAnsi="Book Antiqua" w:eastAsia="Book Antiqua" w:cs="Book Antiqua"/>
          <w:color w:val="000000"/>
          <w:vertAlign w:val="superscript"/>
        </w:rPr>
        <w:t>[33–35]</w:t>
      </w:r>
      <w:r>
        <w:rPr>
          <w:rFonts w:ascii="Book Antiqua" w:hAnsi="Book Antiqua" w:eastAsia="Book Antiqua" w:cs="Book Antiqua"/>
          <w:color w:val="000000"/>
        </w:rPr>
        <w:t>. The annual incidence of liver decompensation and death were recently reported to be 2.95% and 1%, respectively in cirrhotic patients who stopped NA</w:t>
      </w:r>
      <w:r>
        <w:rPr>
          <w:rFonts w:ascii="Book Antiqua" w:hAnsi="Book Antiqua" w:eastAsia="Book Antiqua" w:cs="Book Antiqua"/>
          <w:color w:val="000000"/>
          <w:vertAlign w:val="superscript"/>
        </w:rPr>
        <w:t>[33]</w:t>
      </w:r>
      <w:r>
        <w:rPr>
          <w:rFonts w:ascii="Book Antiqua" w:hAnsi="Book Antiqua" w:eastAsia="Book Antiqua" w:cs="Book Antiqua"/>
          <w:color w:val="000000"/>
        </w:rPr>
        <w:t>. Of interest, ENUMERATE study of the patients in the 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S</w:t>
      </w:r>
      <w:r>
        <w:rPr>
          <w:rFonts w:hint="eastAsia" w:ascii="Book Antiqua" w:hAnsi="Book Antiqua" w:cs="Book Antiqua"/>
          <w:color w:val="000000"/>
          <w:lang w:eastAsia="zh-CN"/>
        </w:rPr>
        <w:t>tates</w:t>
      </w:r>
      <w:r>
        <w:rPr>
          <w:rFonts w:ascii="Book Antiqua" w:hAnsi="Book Antiqua" w:eastAsia="Book Antiqua" w:cs="Book Antiqua"/>
          <w:color w:val="000000"/>
        </w:rPr>
        <w:t xml:space="preserve"> reported hepatic decompensation in five of 61 entecavir-treated patients (8.2%) after a median follow-up of 4 years</w:t>
      </w:r>
      <w:r>
        <w:rPr>
          <w:rFonts w:ascii="Book Antiqua" w:hAnsi="Book Antiqua" w:eastAsia="Book Antiqua" w:cs="Book Antiqua"/>
          <w:color w:val="000000"/>
          <w:vertAlign w:val="superscript"/>
        </w:rPr>
        <w:t>[36]</w:t>
      </w:r>
      <w:r>
        <w:rPr>
          <w:rFonts w:ascii="Book Antiqua" w:hAnsi="Book Antiqua" w:eastAsia="Book Antiqua" w:cs="Book Antiqua"/>
          <w:color w:val="000000"/>
        </w:rPr>
        <w:t>. Although not from a head-to-head comparison, the data are of concern because liver decompensation in cirrhotic patients who stopped NA therapy seems to be numerically higher than in those who continued treatment. Thus, the current evidence indicates a need for vigilance after NA discontinuation in cirrhotic patients.</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eastAsia="Book Antiqua" w:cs="Book Antiqua"/>
          <w:b/>
          <w:bCs/>
          <w:iCs/>
          <w:color w:val="000000"/>
        </w:rPr>
        <w:t>HCC risk</w:t>
      </w:r>
      <w:r>
        <w:rPr>
          <w:rFonts w:hint="eastAsia" w:ascii="Book Antiqua" w:hAnsi="Book Antiqua" w:cs="Book Antiqua"/>
          <w:b/>
          <w:bCs/>
          <w:iCs/>
          <w:color w:val="000000"/>
          <w:lang w:eastAsia="zh-CN"/>
        </w:rPr>
        <w:t>:</w:t>
      </w:r>
      <w:r>
        <w:rPr>
          <w:rFonts w:hint="eastAsia" w:ascii="Book Antiqua" w:hAnsi="Book Antiqua"/>
          <w:lang w:eastAsia="zh-CN"/>
        </w:rPr>
        <w:t xml:space="preserve"> </w:t>
      </w:r>
      <w:r>
        <w:rPr>
          <w:rFonts w:ascii="Book Antiqua" w:hAnsi="Book Antiqua" w:eastAsia="Book Antiqua" w:cs="Book Antiqua"/>
          <w:color w:val="000000"/>
        </w:rPr>
        <w:t>There are several well-known benefits of NA treatment in CHB patients</w:t>
      </w:r>
      <w:r>
        <w:rPr>
          <w:rFonts w:ascii="Book Antiqua" w:hAnsi="Book Antiqua" w:eastAsia="Book Antiqua" w:cs="Book Antiqua"/>
          <w:color w:val="000000"/>
          <w:vertAlign w:val="superscript"/>
        </w:rPr>
        <w:t>[9–11]</w:t>
      </w:r>
      <w:r>
        <w:rPr>
          <w:rFonts w:ascii="Book Antiqua" w:hAnsi="Book Antiqua" w:eastAsia="Book Antiqua" w:cs="Book Antiqua"/>
          <w:color w:val="000000"/>
        </w:rPr>
        <w:t>. Antiviral therapy with NA results in viral suppression, fibrosis improvement, and lower risk of HCC development</w:t>
      </w:r>
      <w:r>
        <w:rPr>
          <w:rFonts w:ascii="Book Antiqua" w:hAnsi="Book Antiqua" w:eastAsia="Book Antiqua" w:cs="Book Antiqua"/>
          <w:color w:val="000000"/>
          <w:vertAlign w:val="superscript"/>
        </w:rPr>
        <w:t>[37]</w:t>
      </w:r>
      <w:r>
        <w:rPr>
          <w:rFonts w:ascii="Book Antiqua" w:hAnsi="Book Antiqua" w:eastAsia="Book Antiqua" w:cs="Book Antiqua"/>
          <w:color w:val="000000"/>
        </w:rPr>
        <w:t>. Whether patients who stop NA will experience an increased occurrence of HCC in the future than those with continuous treatment is not clear. Nevertheless, to date, HCC development in patients who discontinued NA is not significantly higher than in those who continued NA treatment</w:t>
      </w:r>
      <w:r>
        <w:rPr>
          <w:rFonts w:ascii="Book Antiqua" w:hAnsi="Book Antiqua" w:eastAsia="Book Antiqua" w:cs="Book Antiqua"/>
          <w:color w:val="000000"/>
          <w:vertAlign w:val="superscript"/>
        </w:rPr>
        <w:t>[33]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GUIDELINE RECOMMENDATIONS</w:t>
      </w:r>
    </w:p>
    <w:p>
      <w:pPr>
        <w:spacing w:line="360" w:lineRule="auto"/>
        <w:jc w:val="both"/>
        <w:rPr>
          <w:rFonts w:ascii="Book Antiqua" w:hAnsi="Book Antiqua"/>
        </w:rPr>
      </w:pPr>
      <w:r>
        <w:rPr>
          <w:rFonts w:ascii="Book Antiqua" w:hAnsi="Book Antiqua" w:eastAsia="Book Antiqua" w:cs="Book Antiqua"/>
          <w:color w:val="000000"/>
        </w:rPr>
        <w:t>Currently, international practice guidelines for CHB management suggest that patients who had consecutive findings of undetectable HBV DNA for a certain duration can stop NA</w:t>
      </w:r>
      <w:r>
        <w:rPr>
          <w:rFonts w:ascii="Book Antiqua" w:hAnsi="Book Antiqua" w:eastAsia="Book Antiqua" w:cs="Book Antiqua"/>
          <w:color w:val="000000"/>
          <w:vertAlign w:val="superscript"/>
        </w:rPr>
        <w:t>[9–11]</w:t>
      </w:r>
      <w:r>
        <w:rPr>
          <w:rFonts w:ascii="Book Antiqua" w:hAnsi="Book Antiqua" w:eastAsia="Book Antiqua" w:cs="Book Antiqua"/>
          <w:color w:val="000000"/>
        </w:rPr>
        <w:t>. The expert consensus from the APASL first mentioned treatment discontinuation in 2008, advocating that NA therapy can be stopped in selected patients because of drug resistance concerns in long-term NA treatment</w:t>
      </w:r>
      <w:r>
        <w:rPr>
          <w:rFonts w:ascii="Book Antiqua" w:hAnsi="Book Antiqua" w:eastAsia="Book Antiqua" w:cs="Book Antiqua"/>
          <w:color w:val="000000"/>
          <w:vertAlign w:val="superscript"/>
        </w:rPr>
        <w:t>[18]</w:t>
      </w:r>
      <w:r>
        <w:rPr>
          <w:rFonts w:ascii="Book Antiqua" w:hAnsi="Book Antiqua" w:eastAsia="Book Antiqua" w:cs="Book Antiqua"/>
          <w:color w:val="000000"/>
        </w:rPr>
        <w:t>. The latest recommendations from international hepatology societies for considering stopping NA therapy are shown in Table 1.</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HBeAg-positive CHB patients, all guidelines allow NA discontinuation in patients who develop HBeAg seroconversion with persistent normal ALT levels and undetectable HBV DNA following consolidation therapy after e-seroconversion for at least 12 mo</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or preferably 3 years in the APASL guidelines</w:t>
      </w:r>
      <w:r>
        <w:rPr>
          <w:rFonts w:ascii="Book Antiqua" w:hAnsi="Book Antiqua" w:eastAsia="Book Antiqua" w:cs="Book Antiqua"/>
          <w:color w:val="000000"/>
          <w:vertAlign w:val="superscript"/>
        </w:rPr>
        <w:t>[11]</w:t>
      </w:r>
      <w:r>
        <w:rPr>
          <w:rFonts w:ascii="Book Antiqua" w:hAnsi="Book Antiqua" w:eastAsia="Book Antiqua" w:cs="Book Antiqua"/>
          <w:color w:val="000000"/>
        </w:rPr>
        <w:t>. For patients who are HBeAg-negative, the APASL guideline states that NA can be withdrawn in noncirrhotic patients after treatment for at least 2 years, with an undetectable HBV DNA documented on three consecutive visits, 6 mo apart, or until HBsAg loss with or without development of anti-HBs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Likewise, the </w:t>
      </w:r>
      <w:r>
        <w:rPr>
          <w:rFonts w:ascii="Book Antiqua" w:hAnsi="Book Antiqua" w:cs="Cordia New"/>
        </w:rPr>
        <w:t>European Association for the Study of the Liver</w:t>
      </w:r>
      <w:r>
        <w:rPr>
          <w:rFonts w:ascii="Book Antiqua" w:hAnsi="Book Antiqua" w:eastAsia="Book Antiqua" w:cs="Book Antiqua"/>
          <w:color w:val="000000"/>
        </w:rPr>
        <w:t xml:space="preserve"> (EASL) allows stopping NA in highly selected patients with 3 years of continuously suppression of HBV DNA in noncirrhotic patients</w:t>
      </w:r>
      <w:r>
        <w:rPr>
          <w:rFonts w:ascii="Book Antiqua" w:hAnsi="Book Antiqua" w:eastAsia="Book Antiqua" w:cs="Book Antiqua"/>
          <w:color w:val="000000"/>
          <w:vertAlign w:val="superscript"/>
        </w:rPr>
        <w:t>[9]</w:t>
      </w:r>
      <w:r>
        <w:rPr>
          <w:rFonts w:ascii="Book Antiqua" w:hAnsi="Book Antiqua" w:eastAsia="Book Antiqua" w:cs="Book Antiqua"/>
          <w:color w:val="000000"/>
        </w:rPr>
        <w:t>. On the contrary, the American Association for the Study of Liver Diseases (AASLD) recommend continuing NA treatment indefinitely unless HBsAg loss is achieved</w:t>
      </w:r>
      <w:r>
        <w:rPr>
          <w:rFonts w:ascii="Book Antiqua" w:hAnsi="Book Antiqua" w:eastAsia="Book Antiqua" w:cs="Book Antiqua"/>
          <w:color w:val="000000"/>
          <w:vertAlign w:val="superscript"/>
        </w:rPr>
        <w:t>[10]</w:t>
      </w:r>
      <w:r>
        <w:rPr>
          <w:rFonts w:ascii="Book Antiqua" w:hAnsi="Book Antiqua" w:eastAsia="Book Antiqua" w:cs="Book Antiqua"/>
          <w:color w:val="000000"/>
        </w:rPr>
        <w:t>. In patients with liver cirrhosis, the APASL recommends that the discontinuation of NA might be considered, but only with close monitoring</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HBV RELAPSE AND PREDICTIVE FACTORS</w:t>
      </w:r>
    </w:p>
    <w:p>
      <w:pPr>
        <w:spacing w:line="360" w:lineRule="auto"/>
        <w:jc w:val="both"/>
        <w:rPr>
          <w:rFonts w:ascii="Book Antiqua" w:hAnsi="Book Antiqua"/>
        </w:rPr>
      </w:pPr>
      <w:r>
        <w:rPr>
          <w:rFonts w:ascii="Book Antiqua" w:hAnsi="Book Antiqua" w:eastAsia="Book Antiqua" w:cs="Book Antiqua"/>
          <w:color w:val="000000"/>
        </w:rPr>
        <w:t xml:space="preserve">HBV relapse is a common event after NA discontinuation and can be simply categorized into virological relapse (VR) and </w:t>
      </w:r>
      <w:r>
        <w:rPr>
          <w:rFonts w:hint="eastAsia" w:ascii="Book Antiqua" w:hAnsi="Book Antiqua" w:cs="Book Antiqua"/>
          <w:color w:val="000000"/>
          <w:lang w:eastAsia="zh-CN"/>
        </w:rPr>
        <w:t>CR</w:t>
      </w:r>
      <w:r>
        <w:rPr>
          <w:rFonts w:ascii="Book Antiqua" w:hAnsi="Book Antiqua" w:eastAsia="Book Antiqua" w:cs="Book Antiqua"/>
          <w:color w:val="000000"/>
        </w:rPr>
        <w:t xml:space="preserve">. Most of the studies defined HBV DNA greater than 2000 IU/mL as the definition of VR, and when in combination with an ALT of at least two times the ULN, CR is recognized. A systematic review by Papatheodoridis </w:t>
      </w:r>
      <w:r>
        <w:rPr>
          <w:rFonts w:ascii="Book Antiqua" w:hAnsi="Book Antiqua" w:eastAsia="Book Antiqua" w:cs="Book Antiqua"/>
          <w:i/>
          <w:iCs/>
          <w:color w:val="000000"/>
        </w:rPr>
        <w:t>et al</w:t>
      </w:r>
      <w:r>
        <w:rPr>
          <w:rFonts w:hint="eastAsia" w:ascii="Book Antiqua" w:hAnsi="Book Antiqua" w:cs="Book Antiqua"/>
          <w:iCs/>
          <w:color w:val="000000"/>
          <w:vertAlign w:val="superscript"/>
          <w:lang w:eastAsia="zh-CN"/>
        </w:rPr>
        <w:t>[8]</w:t>
      </w:r>
      <w:r>
        <w:rPr>
          <w:rFonts w:ascii="Book Antiqua" w:hAnsi="Book Antiqua" w:eastAsia="Book Antiqua" w:cs="Book Antiqua"/>
          <w:color w:val="000000"/>
        </w:rPr>
        <w:t xml:space="preserve">, reported VR rates of 51.4% and 38.2% at 1- and 3-year, respectively, after NA discontinuation. The occurrence of VR was higher in HBeAg-negative patients than in HBeAg-positive patients. The rates were 56.3% </w:t>
      </w:r>
      <w:r>
        <w:rPr>
          <w:rFonts w:ascii="Book Antiqua" w:hAnsi="Book Antiqua" w:eastAsia="Book Antiqua" w:cs="Book Antiqua"/>
          <w:i/>
          <w:iCs/>
          <w:color w:val="000000"/>
        </w:rPr>
        <w:t>vs</w:t>
      </w:r>
      <w:r>
        <w:rPr>
          <w:rFonts w:ascii="Book Antiqua" w:hAnsi="Book Antiqua" w:eastAsia="Book Antiqua" w:cs="Book Antiqua"/>
          <w:color w:val="000000"/>
        </w:rPr>
        <w:t xml:space="preserve"> 37.5% and 69.9% </w:t>
      </w:r>
      <w:r>
        <w:rPr>
          <w:rFonts w:ascii="Book Antiqua" w:hAnsi="Book Antiqua" w:eastAsia="Book Antiqua" w:cs="Book Antiqua"/>
          <w:i/>
          <w:iCs/>
          <w:color w:val="000000"/>
        </w:rPr>
        <w:t>vs</w:t>
      </w:r>
      <w:r>
        <w:rPr>
          <w:rFonts w:ascii="Book Antiqua" w:hAnsi="Book Antiqua" w:eastAsia="Book Antiqua" w:cs="Book Antiqua"/>
          <w:color w:val="000000"/>
        </w:rPr>
        <w:t xml:space="preserve"> 48.5% at 1- and 3-year, respectively. VR commonly occurred when NA was stopped, but VR alone might not have a clinically significant impact. In some patients, VR may be transient, with a spontaneous decline of viral replication resulting from an immune response. In contrast, a CR may require initiation of retreatment, or more importantly lead to severe flare, and hepatic failure. A randomized controlled study by Liem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reported that half the patients developed CR after NA discontinuation</w:t>
      </w:r>
      <w:r>
        <w:rPr>
          <w:rFonts w:ascii="Book Antiqua" w:hAnsi="Book Antiqua" w:eastAsia="Book Antiqua" w:cs="Book Antiqua"/>
          <w:color w:val="000000"/>
          <w:vertAlign w:val="superscript"/>
        </w:rPr>
        <w:t>[39]</w:t>
      </w:r>
      <w:r>
        <w:rPr>
          <w:rFonts w:ascii="Book Antiqua" w:hAnsi="Book Antiqua" w:eastAsia="Book Antiqua" w:cs="Book Antiqua"/>
          <w:color w:val="000000"/>
        </w:rPr>
        <w:t>. Consequently, three-quarters of the patients required retreatment.</w:t>
      </w:r>
      <w:r>
        <w:rPr>
          <w:rFonts w:ascii="Book Antiqua" w:hAnsi="Book Antiqua" w:eastAsia="Book Antiqua" w:cs="Book Antiqua"/>
          <w:b/>
          <w:bCs/>
          <w:color w:val="000000"/>
        </w:rPr>
        <w:t xml:space="preserve"> </w:t>
      </w:r>
      <w:r>
        <w:rPr>
          <w:rFonts w:ascii="Book Antiqua" w:hAnsi="Book Antiqua" w:eastAsia="Book Antiqua" w:cs="Book Antiqua"/>
          <w:color w:val="000000"/>
        </w:rPr>
        <w:t>A summary of the studies reporting the occurrence of VR, CR, and HBsAg loss after NA discontinuation is shown in Table 2.</w:t>
      </w:r>
    </w:p>
    <w:p>
      <w:pPr>
        <w:spacing w:line="360" w:lineRule="auto"/>
        <w:ind w:firstLine="240" w:firstLineChars="100"/>
        <w:jc w:val="both"/>
        <w:rPr>
          <w:rFonts w:ascii="Book Antiqua" w:hAnsi="Book Antiqua"/>
        </w:rPr>
      </w:pPr>
      <w:r>
        <w:rPr>
          <w:rFonts w:ascii="Book Antiqua" w:hAnsi="Book Antiqua" w:eastAsia="Book Antiqua" w:cs="Book Antiqua"/>
          <w:color w:val="000000"/>
        </w:rPr>
        <w:t>Various baseline and on-treatment factors are associated with VR off-therapy patients. At pretreatment, the baseline characteristics of increasing age and male sex have been associated with an increased relapse rate</w:t>
      </w:r>
      <w:r>
        <w:rPr>
          <w:rFonts w:ascii="Book Antiqua" w:hAnsi="Book Antiqua" w:eastAsia="Book Antiqua" w:cs="Book Antiqua"/>
          <w:color w:val="000000"/>
          <w:vertAlign w:val="superscript"/>
        </w:rPr>
        <w:t>[40]</w:t>
      </w:r>
      <w:r>
        <w:rPr>
          <w:rFonts w:ascii="Book Antiqua" w:hAnsi="Book Antiqua" w:eastAsia="Book Antiqua" w:cs="Book Antiqua"/>
          <w:color w:val="000000"/>
        </w:rPr>
        <w:t>. During treatment, extension of consolidation treatment duration by more than 1 to 3 years reduces the risk of VR in both HBeAg-positive and HBeAg-negative patients</w:t>
      </w:r>
      <w:r>
        <w:rPr>
          <w:rFonts w:ascii="Book Antiqua" w:hAnsi="Book Antiqua" w:eastAsia="Book Antiqua" w:cs="Book Antiqua"/>
          <w:color w:val="000000"/>
          <w:vertAlign w:val="superscript"/>
        </w:rPr>
        <w:t>[38]</w:t>
      </w:r>
      <w:r>
        <w:rPr>
          <w:rFonts w:ascii="Book Antiqua" w:hAnsi="Book Antiqua" w:eastAsia="Book Antiqua" w:cs="Book Antiqua"/>
          <w:color w:val="000000"/>
        </w:rPr>
        <w:t>. For that reason, the international guidelines recommend at least 1 year of consolidation therapy, and preferably 3 years in the APASL guidelines</w:t>
      </w:r>
      <w:r>
        <w:rPr>
          <w:rFonts w:ascii="Book Antiqua" w:hAnsi="Book Antiqua" w:eastAsia="Book Antiqua" w:cs="Book Antiqua"/>
          <w:color w:val="000000"/>
          <w:vertAlign w:val="superscript"/>
        </w:rPr>
        <w:t>[11]</w:t>
      </w:r>
      <w:r>
        <w:rPr>
          <w:rFonts w:ascii="Book Antiqua" w:hAnsi="Book Antiqua" w:eastAsia="Book Antiqua" w:cs="Book Antiqua"/>
          <w:color w:val="000000"/>
        </w:rPr>
        <w:t>, after HBeAg seroconversion before considering NA discontinuation in HBeAg-positive patients. Moreover, the end of treatment (EOT) HBsAg level is highly predictive of HBV relapse, a higher level is correlated with a higher HBV relapse rate</w:t>
      </w:r>
      <w:r>
        <w:rPr>
          <w:rFonts w:ascii="Book Antiqua" w:hAnsi="Book Antiqua" w:eastAsia="Book Antiqua" w:cs="Book Antiqua"/>
          <w:color w:val="000000"/>
          <w:vertAlign w:val="superscript"/>
        </w:rPr>
        <w:t>[40,41]</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From our point of view, the CR is more clinically important than VR, as it may be followed by liver-related complications. A study in a Thai cohort demonstrated that EOT hepatitis B</w:t>
      </w:r>
      <w:r>
        <w:rPr>
          <w:rFonts w:hint="eastAsia" w:ascii="Book Antiqua" w:hAnsi="Book Antiqua" w:cs="Book Antiqua"/>
          <w:color w:val="000000"/>
          <w:lang w:eastAsia="zh-CN"/>
        </w:rPr>
        <w:t xml:space="preserve"> </w:t>
      </w:r>
      <w:r>
        <w:rPr>
          <w:rFonts w:ascii="Book Antiqua" w:hAnsi="Book Antiqua" w:eastAsia="Book Antiqua" w:cs="Book Antiqua"/>
          <w:color w:val="000000"/>
        </w:rPr>
        <w:t>core</w:t>
      </w:r>
      <w:r>
        <w:rPr>
          <w:rFonts w:hint="eastAsia" w:ascii="Book Antiqua" w:hAnsi="Book Antiqua" w:cs="Book Antiqua"/>
          <w:color w:val="000000"/>
          <w:lang w:eastAsia="zh-CN"/>
        </w:rPr>
        <w:t>-</w:t>
      </w:r>
      <w:r>
        <w:rPr>
          <w:rFonts w:ascii="Book Antiqua" w:hAnsi="Book Antiqua" w:eastAsia="Book Antiqua" w:cs="Book Antiqua"/>
          <w:color w:val="000000"/>
        </w:rPr>
        <w:t>related antigen (HBcrAg) and HBV RNA level were independent risk factors for the subsequent development of CR</w:t>
      </w:r>
      <w:r>
        <w:rPr>
          <w:rFonts w:ascii="Book Antiqua" w:hAnsi="Book Antiqua" w:eastAsia="Book Antiqua" w:cs="Book Antiqua"/>
          <w:color w:val="000000"/>
          <w:vertAlign w:val="superscript"/>
        </w:rPr>
        <w:t>[12]</w:t>
      </w:r>
      <w:r>
        <w:rPr>
          <w:rFonts w:ascii="Book Antiqua" w:hAnsi="Book Antiqua" w:eastAsia="Book Antiqua" w:cs="Book Antiqua"/>
          <w:color w:val="000000"/>
        </w:rPr>
        <w:t>. A recent meta-analysis including 1573 patients indicated that the higher pretreatment HBsAg levels were associated with shorter consolidation duration and the higher EOT HBsAg levels, especially those &gt; 1000 IU/mL, were independently associated with CR</w:t>
      </w:r>
      <w:r>
        <w:rPr>
          <w:rFonts w:ascii="Book Antiqua" w:hAnsi="Book Antiqua" w:eastAsia="Book Antiqua" w:cs="Book Antiqua"/>
          <w:color w:val="000000"/>
          <w:vertAlign w:val="superscript"/>
        </w:rPr>
        <w:t>[33]</w:t>
      </w:r>
      <w:r>
        <w:rPr>
          <w:rFonts w:ascii="Book Antiqua" w:hAnsi="Book Antiqua" w:eastAsia="Book Antiqua" w:cs="Book Antiqua"/>
          <w:color w:val="000000"/>
        </w:rPr>
        <w:t>. Many studies attempted to find factors associated with VR and CR, and the reported results are summarized in Table 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HB</w:t>
      </w:r>
      <w:r>
        <w:rPr>
          <w:rFonts w:ascii="Book Antiqua" w:hAnsi="Book Antiqua" w:eastAsia="Book Antiqua" w:cs="Book Antiqua"/>
          <w:b/>
          <w:bCs/>
          <w:color w:val="000000"/>
          <w:u w:val="single"/>
        </w:rPr>
        <w:t>s</w:t>
      </w:r>
      <w:r>
        <w:rPr>
          <w:rFonts w:ascii="Book Antiqua" w:hAnsi="Book Antiqua" w:eastAsia="Book Antiqua" w:cs="Book Antiqua"/>
          <w:b/>
          <w:bCs/>
          <w:caps/>
          <w:color w:val="000000"/>
          <w:u w:val="single"/>
        </w:rPr>
        <w:t>A</w:t>
      </w:r>
      <w:r>
        <w:rPr>
          <w:rFonts w:ascii="Book Antiqua" w:hAnsi="Book Antiqua" w:eastAsia="Book Antiqua" w:cs="Book Antiqua"/>
          <w:b/>
          <w:bCs/>
          <w:color w:val="000000"/>
          <w:u w:val="single"/>
        </w:rPr>
        <w:t>g</w:t>
      </w:r>
      <w:r>
        <w:rPr>
          <w:rFonts w:ascii="Book Antiqua" w:hAnsi="Book Antiqua" w:eastAsia="Book Antiqua" w:cs="Book Antiqua"/>
          <w:b/>
          <w:bCs/>
          <w:caps/>
          <w:color w:val="000000"/>
          <w:u w:val="single"/>
        </w:rPr>
        <w:t xml:space="preserve"> CLEARANCE AND PREDICTIVE FACTORS</w:t>
      </w:r>
    </w:p>
    <w:p>
      <w:pPr>
        <w:spacing w:line="360" w:lineRule="auto"/>
        <w:jc w:val="both"/>
        <w:rPr>
          <w:rFonts w:ascii="Book Antiqua" w:hAnsi="Book Antiqua"/>
        </w:rPr>
      </w:pPr>
      <w:r>
        <w:rPr>
          <w:rFonts w:ascii="Book Antiqua" w:hAnsi="Book Antiqua" w:eastAsia="Book Antiqua" w:cs="Book Antiqua"/>
          <w:color w:val="000000"/>
        </w:rPr>
        <w:t>HBsAg clearance is the desired goal of hepatitis B treatment. Nonetheless, as mentioned above, even if possible, it seldom occurs while on NA treatment, and stopping NA may be a strategy to increase the chance of HBsAg loss. A pivotal Greece study with 33 genotype D, HBeAg-negative patients who stopped ADV, HBsAg loss occurred in 13 of 33 patients (39.4%) after a 6-year follow-up</w:t>
      </w:r>
      <w:r>
        <w:rPr>
          <w:rFonts w:ascii="Book Antiqua" w:hAnsi="Book Antiqua" w:eastAsia="Book Antiqua" w:cs="Book Antiqua"/>
          <w:color w:val="000000"/>
          <w:vertAlign w:val="superscript"/>
        </w:rPr>
        <w:t>[15]</w:t>
      </w:r>
      <w:r>
        <w:rPr>
          <w:rFonts w:ascii="Book Antiqua" w:hAnsi="Book Antiqua" w:eastAsia="Book Antiqua" w:cs="Book Antiqua"/>
          <w:color w:val="000000"/>
        </w:rPr>
        <w:t>. In addition, the first small randomized controlled trial (RCT) from Germany reported HBsAg clearance in 4 of 21 HBeAg-negative CHB patients after 3-year of off-therapy</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However, another RCT conducted by Liem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[39]</w:t>
      </w:r>
      <w:r>
        <w:rPr>
          <w:rFonts w:ascii="Book Antiqua" w:hAnsi="Book Antiqua" w:eastAsia="Book Antiqua" w:cs="Book Antiqua"/>
          <w:color w:val="000000"/>
        </w:rPr>
        <w:t>, in which the majority of the patients were Asian,</w:t>
      </w:r>
      <w:r>
        <w:rPr>
          <w:rFonts w:hint="eastAsia" w:ascii="Book Antiqua" w:hAnsi="Book Antiqua" w:cs="Book Antiqua"/>
          <w:color w:val="000000"/>
          <w:lang w:eastAsia="zh-CN"/>
        </w:rPr>
        <w:t xml:space="preserve"> </w:t>
      </w:r>
      <w:r>
        <w:rPr>
          <w:rFonts w:ascii="Book Antiqua" w:hAnsi="Book Antiqua" w:eastAsia="Book Antiqua" w:cs="Book Antiqua"/>
          <w:color w:val="000000"/>
        </w:rPr>
        <w:t>HBsAg loss occurred in only one patient 1.5 years after NA cessation</w:t>
      </w:r>
      <w:r>
        <w:rPr>
          <w:rFonts w:ascii="Book Antiqua" w:hAnsi="Book Antiqua" w:eastAsia="Book Antiqua" w:cs="Book Antiqua"/>
          <w:color w:val="000000"/>
          <w:vertAlign w:val="superscript"/>
        </w:rPr>
        <w:t>[39]</w:t>
      </w:r>
      <w:r>
        <w:rPr>
          <w:rFonts w:ascii="Book Antiqua" w:hAnsi="Book Antiqua" w:eastAsia="Book Antiqua" w:cs="Book Antiqua"/>
          <w:color w:val="000000"/>
        </w:rPr>
        <w:t>. Ethnicity and HBV genotype may affect the rate of HBsAg loss.</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A large retrospective Taiwanese study that included 691 patients, demonstrated a shorter time to undetectable HBV DNA (especially if assayed less than 12 wk after NA initiation), on-treatment reduction of HBsAg level of &gt; 1 log</w:t>
      </w:r>
      <w:r>
        <w:rPr>
          <w:rFonts w:ascii="Book Antiqua" w:hAnsi="Book Antiqua" w:eastAsia="Book Antiqua" w:cs="Book Antiqua"/>
          <w:color w:val="000000"/>
          <w:vertAlign w:val="subscript"/>
        </w:rPr>
        <w:t xml:space="preserve">10 </w:t>
      </w:r>
      <w:r>
        <w:rPr>
          <w:rFonts w:ascii="Book Antiqua" w:hAnsi="Book Antiqua" w:eastAsia="Book Antiqua" w:cs="Book Antiqua"/>
          <w:color w:val="000000"/>
        </w:rPr>
        <w:t>IU/mL, and an EOT HBsAg level of &lt; 100 IU/mL were independently associated with an increase in the likelihood of off-therapy HBsAg loss</w:t>
      </w:r>
      <w:r>
        <w:rPr>
          <w:rFonts w:ascii="Book Antiqua" w:hAnsi="Book Antiqua" w:eastAsia="Book Antiqua" w:cs="Book Antiqua"/>
          <w:color w:val="000000"/>
          <w:vertAlign w:val="superscript"/>
        </w:rPr>
        <w:t>[33]</w:t>
      </w:r>
      <w:r>
        <w:rPr>
          <w:rFonts w:ascii="Book Antiqua" w:hAnsi="Book Antiqua" w:eastAsia="Book Antiqua" w:cs="Book Antiqua"/>
          <w:color w:val="000000"/>
        </w:rPr>
        <w:t>. Furthermore, lower pretreatment ALT and HBV DNA levels, lower EOT HBsAg level, and longer treatment duration predicted HBsAg loss in another study</w:t>
      </w:r>
      <w:r>
        <w:rPr>
          <w:rFonts w:ascii="Book Antiqua" w:hAnsi="Book Antiqua" w:eastAsia="Book Antiqua" w:cs="Book Antiqua"/>
          <w:color w:val="000000"/>
          <w:vertAlign w:val="superscript"/>
        </w:rPr>
        <w:t>[40]</w:t>
      </w:r>
      <w:r>
        <w:rPr>
          <w:rFonts w:ascii="Book Antiqua" w:hAnsi="Book Antiqua" w:eastAsia="Book Antiqua" w:cs="Book Antiqua"/>
          <w:color w:val="000000"/>
        </w:rPr>
        <w:t>. The predictive factors for HBsAg loss in off-therapy patients are summarized in Table 4.</w:t>
      </w:r>
    </w:p>
    <w:p>
      <w:pPr>
        <w:spacing w:line="360" w:lineRule="auto"/>
        <w:ind w:firstLine="480" w:firstLineChars="200"/>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aps/>
          <w:color w:val="000000"/>
          <w:u w:val="single"/>
        </w:rPr>
        <w:t xml:space="preserve">NOVEL BIOMARKERS TO PREDICT HBV RELAPSE AND </w:t>
      </w:r>
      <w:r>
        <w:rPr>
          <w:rFonts w:ascii="Book Antiqua" w:hAnsi="Book Antiqua" w:eastAsia="Book Antiqua" w:cs="Book Antiqua"/>
          <w:b/>
          <w:bCs/>
          <w:color w:val="000000"/>
          <w:u w:val="single"/>
        </w:rPr>
        <w:t>HBsAg</w:t>
      </w:r>
      <w:r>
        <w:rPr>
          <w:rFonts w:ascii="Book Antiqua" w:hAnsi="Book Antiqua" w:eastAsia="Book Antiqua" w:cs="Book Antiqua"/>
          <w:b/>
          <w:bCs/>
          <w:caps/>
          <w:color w:val="000000"/>
          <w:u w:val="single"/>
        </w:rPr>
        <w:t xml:space="preserve"> CLEARANCE</w:t>
      </w:r>
    </w:p>
    <w:p>
      <w:pPr>
        <w:spacing w:line="360" w:lineRule="auto"/>
        <w:jc w:val="both"/>
        <w:rPr>
          <w:rFonts w:ascii="Book Antiqua" w:hAnsi="Book Antiqua"/>
        </w:rPr>
      </w:pPr>
      <w:r>
        <w:rPr>
          <w:rFonts w:ascii="Book Antiqua" w:hAnsi="Book Antiqua" w:eastAsia="Book Antiqua" w:cs="Book Antiqua"/>
          <w:b/>
          <w:bCs/>
          <w:i/>
          <w:iCs/>
          <w:color w:val="000000"/>
        </w:rPr>
        <w:t>HBsAg quantification</w:t>
      </w:r>
    </w:p>
    <w:p>
      <w:pPr>
        <w:spacing w:line="360" w:lineRule="auto"/>
        <w:jc w:val="both"/>
        <w:rPr>
          <w:rFonts w:ascii="Book Antiqua" w:hAnsi="Book Antiqua"/>
        </w:rPr>
      </w:pPr>
      <w:r>
        <w:rPr>
          <w:rFonts w:ascii="Book Antiqua" w:hAnsi="Book Antiqua" w:eastAsia="Book Antiqua" w:cs="Book Antiqua"/>
          <w:color w:val="000000"/>
        </w:rPr>
        <w:t>Quantitative serum HBsAg (qHBsAg) has been around in the management of CHB for a while. In untreated patients, serum HBsAg quantification can help to define disease stage, predict spontaneous HBsAg clearance, and predict long-term liver-related complications</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As qHBsAg has been used in the clinical practice nowadays, commercial assay kits are widely available. There is increasing evidence of qHBsAg as a marker to aid physicians in deciding whether to discontinue NA. A Taiwanese study by Chen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found that a cutoff level of &lt; 120 IU/mL predicted HBsAg clearance in HBeAg-negative patients and &lt; 300 IU/mL</w:t>
      </w:r>
      <w:r>
        <w:rPr>
          <w:rFonts w:hint="eastAsia" w:ascii="Book Antiqua" w:hAnsi="Book Antiqua" w:cs="Book Antiqua"/>
          <w:color w:val="000000"/>
          <w:lang w:eastAsia="zh-CN"/>
        </w:rPr>
        <w:t xml:space="preserve"> in </w:t>
      </w:r>
      <w:r>
        <w:rPr>
          <w:rFonts w:ascii="Book Antiqua" w:hAnsi="Book Antiqua" w:eastAsia="Book Antiqua" w:cs="Book Antiqua"/>
          <w:color w:val="000000"/>
        </w:rPr>
        <w:t>HBeAg-positive, respectively</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A systematic review by Liu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indicated that an EOT HBsAg level &lt; 100 IU/mL was the optimal cutoff</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to predict low rates of HBV relapse and a high chance of HBsAg loss. A meta-analysis involving 1573 patients found that the same EOT HBsAg level (&gt;</w:t>
      </w:r>
      <w:r>
        <w:rPr>
          <w:rFonts w:hint="eastAsia" w:ascii="Book Antiqua" w:hAnsi="Book Antiqua" w:cs="Book Antiqua"/>
          <w:color w:val="000000"/>
          <w:lang w:eastAsia="zh-CN"/>
        </w:rPr>
        <w:t xml:space="preserve"> </w:t>
      </w:r>
      <w:r>
        <w:rPr>
          <w:rFonts w:ascii="Book Antiqua" w:hAnsi="Book Antiqua" w:eastAsia="Book Antiqua" w:cs="Book Antiqua"/>
          <w:color w:val="000000"/>
        </w:rPr>
        <w:t>100 IU/mL) was associated with an increased risk of VR and CR, however, it is not predictive of CR in a subgroup of Asian patients</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The finding is consistent with our study in Thai patients in which the HBsAg level was not associated with the development of CR. A recent multicenter study by Sonneveld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found that a cutoff level of &lt; 50 IU/mL was the best for predicting a sustained response and HBsAg loss</w:t>
      </w:r>
      <w:r>
        <w:rPr>
          <w:rFonts w:ascii="Book Antiqua" w:hAnsi="Book Antiqua" w:eastAsia="Book Antiqua" w:cs="Book Antiqua"/>
          <w:color w:val="000000"/>
          <w:vertAlign w:val="superscript"/>
        </w:rPr>
        <w:t>[13]</w:t>
      </w:r>
      <w:r>
        <w:rPr>
          <w:rFonts w:ascii="Book Antiqua" w:hAnsi="Book Antiqua" w:eastAsia="Book Antiqua" w:cs="Book Antiqua"/>
          <w:color w:val="000000"/>
        </w:rPr>
        <w:t>. In conclusion, HBsAg level is a good predictor of HBsAg loss after NA cessation, but its use as a biomarker to predict CR, especially in Asian patients, is still not clear.</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HBcrAg level</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Serum HBcrAg has emerged as a novel biomarker in CHB patients. Serum HBcrAg measurement is the combined assay of hepatitis B core antigen, HBeAg, and p22 protein, and it has been shown to be a potential surrogate marker of intrahepatic cccDNA</w:t>
      </w:r>
      <w:r>
        <w:rPr>
          <w:rFonts w:ascii="Book Antiqua" w:hAnsi="Book Antiqua" w:eastAsia="Book Antiqua" w:cs="Book Antiqua"/>
          <w:color w:val="000000"/>
          <w:vertAlign w:val="superscript"/>
        </w:rPr>
        <w:t>[45,46]</w:t>
      </w:r>
      <w:r>
        <w:rPr>
          <w:rFonts w:ascii="Book Antiqua" w:hAnsi="Book Antiqua" w:eastAsia="Book Antiqua" w:cs="Book Antiqua"/>
          <w:color w:val="000000"/>
        </w:rPr>
        <w:t>. In previous Japanese reports, an increased HBcrAg level was associated with an increase in the rate of off-therapy relapse in NA-treated patients</w:t>
      </w:r>
      <w:r>
        <w:rPr>
          <w:rFonts w:ascii="Book Antiqua" w:hAnsi="Book Antiqua" w:eastAsia="Book Antiqua" w:cs="Book Antiqua"/>
          <w:color w:val="000000"/>
          <w:vertAlign w:val="superscript"/>
        </w:rPr>
        <w:t>[47]</w:t>
      </w:r>
      <w:r>
        <w:rPr>
          <w:rFonts w:ascii="Book Antiqua" w:hAnsi="Book Antiqua" w:eastAsia="Book Antiqua" w:cs="Book Antiqua"/>
          <w:color w:val="000000"/>
        </w:rPr>
        <w:t>. In addition, a multicenter cohort of Taiwanese patients showed that HBcrAg and HBsAg measured at the time of NA discontinuation were predictive of off</w:t>
      </w:r>
      <w:r>
        <w:rPr>
          <w:rFonts w:ascii="Book Antiqua" w:hAnsi="Book Antiqua" w:eastAsia="宋体" w:cs="宋体"/>
          <w:color w:val="000000"/>
          <w:lang w:eastAsia="zh-CN"/>
        </w:rPr>
        <w:t>-</w:t>
      </w:r>
      <w:r>
        <w:rPr>
          <w:rFonts w:ascii="Book Antiqua" w:hAnsi="Book Antiqua" w:eastAsia="Book Antiqua" w:cs="Book Antiqua"/>
          <w:color w:val="000000"/>
        </w:rPr>
        <w:t>therapy relapse</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Moreover, data from CREATE project, a multicenter study including both Asian and Caucasian patients, confirmed the utility of serum HBcrAg. The low cutoff of &lt; 2 </w:t>
      </w:r>
      <w:r>
        <w:rPr>
          <w:rFonts w:hint="eastAsia" w:ascii="Book Antiqua" w:hAnsi="Book Antiqua" w:cs="Book Antiqua"/>
          <w:color w:val="000000"/>
          <w:lang w:eastAsia="zh-CN"/>
        </w:rPr>
        <w:t>l</w:t>
      </w:r>
      <w:r>
        <w:rPr>
          <w:rFonts w:ascii="Book Antiqua" w:hAnsi="Book Antiqua" w:eastAsia="Book Antiqua" w:cs="Book Antiqua"/>
          <w:color w:val="000000"/>
        </w:rPr>
        <w:t>og</w:t>
      </w:r>
      <w:r>
        <w:rPr>
          <w:rFonts w:ascii="Book Antiqua" w:hAnsi="Book Antiqua" w:eastAsia="Book Antiqua" w:cs="Book Antiqua"/>
          <w:color w:val="000000"/>
          <w:vertAlign w:val="subscript"/>
        </w:rPr>
        <w:t xml:space="preserve">10 </w:t>
      </w:r>
      <w:r>
        <w:rPr>
          <w:rFonts w:ascii="Book Antiqua" w:hAnsi="Book Antiqua" w:eastAsia="Book Antiqua" w:cs="Book Antiqua"/>
          <w:color w:val="000000"/>
        </w:rPr>
        <w:t>U/mL was associated with sustained response and HBsAg clearance regardless of HBeAg status and ethnicity</w:t>
      </w:r>
      <w:r>
        <w:rPr>
          <w:rFonts w:ascii="Book Antiqua" w:hAnsi="Book Antiqua" w:eastAsia="Book Antiqua" w:cs="Book Antiqua"/>
          <w:color w:val="000000"/>
          <w:vertAlign w:val="superscript"/>
        </w:rPr>
        <w:t>[13]</w:t>
      </w:r>
      <w:r>
        <w:rPr>
          <w:rFonts w:ascii="Book Antiqua" w:hAnsi="Book Antiqua" w:eastAsia="Book Antiqua" w:cs="Book Antiqua"/>
          <w:color w:val="000000"/>
        </w:rPr>
        <w:t>. A compilation of the clinical applications of HBcrAg in the cessation of NA is shown in Table 5.</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HBV RNA level</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Serum HBV RNA is closely associated with the transcriptional activity of intrahepatic cccDNA and can be quantified by polymerase chain reaction-based techniques</w:t>
      </w:r>
      <w:r>
        <w:rPr>
          <w:rFonts w:ascii="Book Antiqua" w:hAnsi="Book Antiqua" w:eastAsia="Book Antiqua" w:cs="Book Antiqua"/>
          <w:color w:val="000000"/>
          <w:vertAlign w:val="superscript"/>
        </w:rPr>
        <w:t>[31]</w:t>
      </w:r>
      <w:r>
        <w:rPr>
          <w:rFonts w:ascii="Book Antiqua" w:hAnsi="Book Antiqua" w:eastAsia="Book Antiqua" w:cs="Book Antiqua"/>
          <w:color w:val="000000"/>
        </w:rPr>
        <w:t>. Moreover, this novel marker is potentially valuable in monitoring for relapse after NA discontinuation</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A study by Wang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reported that viral rebound occurred in 100% of patients who had detectable HBV RNA at EOT</w:t>
      </w:r>
      <w:r>
        <w:rPr>
          <w:rFonts w:ascii="Book Antiqua" w:hAnsi="Book Antiqua" w:eastAsia="Book Antiqua" w:cs="Book Antiqua"/>
          <w:color w:val="000000"/>
          <w:vertAlign w:val="superscript"/>
        </w:rPr>
        <w:t>[49]</w:t>
      </w:r>
      <w:r>
        <w:rPr>
          <w:rFonts w:ascii="Book Antiqua" w:hAnsi="Book Antiqua" w:eastAsia="Book Antiqua" w:cs="Book Antiqua"/>
          <w:color w:val="000000"/>
        </w:rPr>
        <w:t>. A recent study in HBeAg-positive patients found that positive serum HBV RNA at EOT was associated with the development of off-therapy CR</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50]</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The combination of biomarkers</w:t>
      </w:r>
    </w:p>
    <w:p>
      <w:pPr>
        <w:spacing w:line="360" w:lineRule="auto"/>
        <w:jc w:val="both"/>
        <w:rPr>
          <w:rFonts w:ascii="Book Antiqua" w:hAnsi="Book Antiqua"/>
        </w:rPr>
      </w:pPr>
      <w:r>
        <w:rPr>
          <w:rFonts w:ascii="Book Antiqua" w:hAnsi="Book Antiqua" w:eastAsia="Book Antiqua" w:cs="Book Antiqua"/>
          <w:color w:val="000000"/>
        </w:rPr>
        <w:t>Together, the data suggest that serum qHBsAg, HBcrAg, and HBV RNA, especially at EOT, are predictive of the outcomes following NA cessation. A few studies have explored the usefulness of combining the biomarkers to select the best candidates for stopping NA</w:t>
      </w:r>
      <w:r>
        <w:rPr>
          <w:rFonts w:ascii="Book Antiqua" w:hAnsi="Book Antiqua" w:eastAsia="Book Antiqua" w:cs="Book Antiqua"/>
          <w:color w:val="000000"/>
          <w:vertAlign w:val="superscript"/>
        </w:rPr>
        <w:t>[12,48,51,52]</w:t>
      </w:r>
      <w:r>
        <w:rPr>
          <w:rFonts w:ascii="Book Antiqua" w:hAnsi="Book Antiqua" w:eastAsia="Book Antiqua" w:cs="Book Antiqua"/>
          <w:color w:val="000000"/>
        </w:rPr>
        <w:t>. A post-hoc analysis from China included 130 CHB patients who discontinued NA and serial followed-up HBV DNA, qHBsAg and HBV RNA</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found that the combination of negative HBV DNA and HBV RNA at EOT correlated with lower a CR rate and had an excellent 92% negative predictive value (NPV). Another study, combining qHBsAg, and HBcrAg reported that lower qHBsAg, and HBcrAg levels were associated with lower CR and increased HBsAg clearance</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Furthermore, a combination of the two biomarkers before stopping NA showed that no patients with negative HBV RNA, and HBcrAg &lt; 4 </w:t>
      </w:r>
      <w:r>
        <w:rPr>
          <w:rFonts w:hint="eastAsia" w:ascii="Book Antiqua" w:hAnsi="Book Antiqua" w:cs="Book Antiqua"/>
          <w:color w:val="000000"/>
          <w:lang w:eastAsia="zh-CN"/>
        </w:rPr>
        <w:t>l</w:t>
      </w:r>
      <w:r>
        <w:rPr>
          <w:rFonts w:ascii="Book Antiqua" w:hAnsi="Book Antiqua" w:eastAsia="Book Antiqua" w:cs="Book Antiqua"/>
          <w:color w:val="000000"/>
        </w:rPr>
        <w:t>og</w:t>
      </w:r>
      <w:r>
        <w:rPr>
          <w:rFonts w:ascii="Book Antiqua" w:hAnsi="Book Antiqua" w:eastAsia="Book Antiqua" w:cs="Book Antiqua"/>
          <w:color w:val="000000"/>
          <w:vertAlign w:val="subscript"/>
        </w:rPr>
        <w:t xml:space="preserve">10 </w:t>
      </w:r>
      <w:r>
        <w:rPr>
          <w:rFonts w:ascii="Book Antiqua" w:hAnsi="Book Antiqua" w:eastAsia="Book Antiqua" w:cs="Book Antiqua"/>
          <w:color w:val="000000"/>
        </w:rPr>
        <w:t>U/mL at EOT developed CR</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The result is consistent with that observed in our study of the combination of the three biomarkers, </w:t>
      </w:r>
      <w:r>
        <w:rPr>
          <w:rFonts w:ascii="Book Antiqua" w:hAnsi="Book Antiqua" w:eastAsia="Book Antiqua" w:cs="Book Antiqua"/>
          <w:i/>
          <w:color w:val="000000"/>
        </w:rPr>
        <w:t>i.e.</w:t>
      </w:r>
      <w:r>
        <w:rPr>
          <w:rFonts w:ascii="Book Antiqua" w:hAnsi="Book Antiqua" w:eastAsia="Book Antiqua" w:cs="Book Antiqua"/>
          <w:color w:val="000000"/>
        </w:rPr>
        <w:t xml:space="preserve"> qHBsAg, HBcrAg, and HBV RNA in the prediction of CR after cessation of NA. We found that HBcrAg of &lt; 3 </w:t>
      </w:r>
      <w:r>
        <w:rPr>
          <w:rFonts w:hint="eastAsia" w:ascii="Book Antiqua" w:hAnsi="Book Antiqua" w:cs="Book Antiqua"/>
          <w:color w:val="000000"/>
          <w:lang w:eastAsia="zh-CN"/>
        </w:rPr>
        <w:t>l</w:t>
      </w:r>
      <w:r>
        <w:rPr>
          <w:rFonts w:ascii="Book Antiqua" w:hAnsi="Book Antiqua" w:eastAsia="Book Antiqua" w:cs="Book Antiqua"/>
          <w:color w:val="000000"/>
        </w:rPr>
        <w:t>og</w:t>
      </w:r>
      <w:r>
        <w:rPr>
          <w:rFonts w:ascii="Book Antiqua" w:hAnsi="Book Antiqua" w:eastAsia="Book Antiqua" w:cs="Book Antiqua"/>
          <w:color w:val="000000"/>
          <w:vertAlign w:val="subscript"/>
        </w:rPr>
        <w:t xml:space="preserve">10 </w:t>
      </w:r>
      <w:r>
        <w:rPr>
          <w:rFonts w:ascii="Book Antiqua" w:hAnsi="Book Antiqua" w:eastAsia="Book Antiqua" w:cs="Book Antiqua"/>
          <w:color w:val="000000"/>
        </w:rPr>
        <w:t xml:space="preserve">U/mL and HBV RNA of &lt; 2 </w:t>
      </w:r>
      <w:r>
        <w:rPr>
          <w:rFonts w:hint="eastAsia" w:ascii="Book Antiqua" w:hAnsi="Book Antiqua" w:cs="Book Antiqua"/>
          <w:color w:val="000000"/>
          <w:lang w:eastAsia="zh-CN"/>
        </w:rPr>
        <w:t>l</w:t>
      </w:r>
      <w:r>
        <w:rPr>
          <w:rFonts w:ascii="Book Antiqua" w:hAnsi="Book Antiqua" w:eastAsia="Book Antiqua" w:cs="Book Antiqua"/>
          <w:color w:val="000000"/>
        </w:rPr>
        <w:t>og</w:t>
      </w:r>
      <w:r>
        <w:rPr>
          <w:rFonts w:ascii="Book Antiqua" w:hAnsi="Book Antiqua" w:eastAsia="Book Antiqua" w:cs="Book Antiqua"/>
          <w:color w:val="000000"/>
          <w:vertAlign w:val="subscript"/>
        </w:rPr>
        <w:t xml:space="preserve">10 </w:t>
      </w:r>
      <w:r>
        <w:rPr>
          <w:rFonts w:ascii="Book Antiqua" w:hAnsi="Book Antiqua" w:eastAsia="Book Antiqua" w:cs="Book Antiqua"/>
          <w:color w:val="000000"/>
        </w:rPr>
        <w:t>U/mL had 100% NPV for CR</w:t>
      </w:r>
      <w:r>
        <w:rPr>
          <w:rFonts w:ascii="Book Antiqua" w:hAnsi="Book Antiqua" w:eastAsia="Book Antiqua" w:cs="Book Antiqua"/>
          <w:color w:val="000000"/>
          <w:vertAlign w:val="superscript"/>
        </w:rPr>
        <w:t>[12]</w:t>
      </w:r>
      <w:r>
        <w:rPr>
          <w:rFonts w:ascii="Book Antiqua" w:hAnsi="Book Antiqua" w:eastAsia="Book Antiqua" w:cs="Book Antiqua"/>
          <w:color w:val="000000"/>
        </w:rPr>
        <w:t>. Nonetheless, when combining all three biomarkers, the prediction of CR was not better than that with HBcrAg plus HBV RNA</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SCORING SYSTEMs TO PREDICT HBV RELAPSE AND HB</w:t>
      </w:r>
      <w:r>
        <w:rPr>
          <w:rFonts w:ascii="Book Antiqua" w:hAnsi="Book Antiqua" w:eastAsia="Book Antiqua" w:cs="Book Antiqua"/>
          <w:b/>
          <w:bCs/>
          <w:color w:val="000000"/>
          <w:u w:val="single"/>
        </w:rPr>
        <w:t>s</w:t>
      </w:r>
      <w:r>
        <w:rPr>
          <w:rFonts w:ascii="Book Antiqua" w:hAnsi="Book Antiqua" w:eastAsia="Book Antiqua" w:cs="Book Antiqua"/>
          <w:b/>
          <w:bCs/>
          <w:caps/>
          <w:color w:val="000000"/>
          <w:u w:val="single"/>
        </w:rPr>
        <w:t>A</w:t>
      </w:r>
      <w:r>
        <w:rPr>
          <w:rFonts w:ascii="Book Antiqua" w:hAnsi="Book Antiqua" w:eastAsia="Book Antiqua" w:cs="Book Antiqua"/>
          <w:b/>
          <w:bCs/>
          <w:color w:val="000000"/>
          <w:u w:val="single"/>
        </w:rPr>
        <w:t xml:space="preserve">g </w:t>
      </w:r>
      <w:r>
        <w:rPr>
          <w:rFonts w:ascii="Book Antiqua" w:hAnsi="Book Antiqua" w:eastAsia="Book Antiqua" w:cs="Book Antiqua"/>
          <w:b/>
          <w:bCs/>
          <w:caps/>
          <w:color w:val="000000"/>
          <w:u w:val="single"/>
        </w:rPr>
        <w:t>CLEARANCE</w:t>
      </w:r>
    </w:p>
    <w:p>
      <w:pPr>
        <w:spacing w:line="360" w:lineRule="auto"/>
        <w:jc w:val="both"/>
        <w:rPr>
          <w:rFonts w:ascii="Book Antiqua" w:hAnsi="Book Antiqua"/>
        </w:rPr>
      </w:pPr>
      <w:r>
        <w:rPr>
          <w:rFonts w:ascii="Book Antiqua" w:hAnsi="Book Antiqua" w:eastAsia="Book Antiqua" w:cs="Book Antiqua"/>
          <w:color w:val="000000"/>
        </w:rPr>
        <w:t>Apart from using only biomarkers, previous studies illustrated that other clinical and laboratory parameters were significantly associated with post off-treatment outcomes. Therefore, the development of scoring systems utilizing various variables to predict HBV relapse and HBsAg clearance is foreseeable. The first score to predict CR after NA discontinuation is the Japan society of hepatology (JSH) score that consisted of the HBsAg level and HBcrAg level at the time of cessation. The JSH scores are divided into low, moderate, and high-risk groups for HBV relapse after NA cessation</w:t>
      </w:r>
      <w:r>
        <w:rPr>
          <w:rFonts w:ascii="Book Antiqua" w:hAnsi="Book Antiqua" w:eastAsia="Book Antiqua" w:cs="Book Antiqua"/>
          <w:color w:val="000000"/>
          <w:vertAlign w:val="superscript"/>
        </w:rPr>
        <w:t>[53]</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However, this predictive score is not widely used outside the country of origin.</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SCALE-B scoring system was developed using data from 135 Taiwanese CHB patients</w:t>
      </w:r>
      <w:r>
        <w:rPr>
          <w:rFonts w:ascii="Book Antiqua" w:hAnsi="Book Antiqua" w:eastAsia="Book Antiqua" w:cs="Book Antiqua"/>
          <w:color w:val="000000"/>
          <w:vertAlign w:val="superscript"/>
        </w:rPr>
        <w:t>[48]</w:t>
      </w:r>
      <w:r>
        <w:rPr>
          <w:rFonts w:ascii="Book Antiqua" w:hAnsi="Book Antiqua" w:eastAsia="Book Antiqua" w:cs="Book Antiqua"/>
          <w:color w:val="000000"/>
        </w:rPr>
        <w:t>. The score is comprised of the HBsAg level (S), HBcrAg (C), age (A), ALT (L), and tenofovir (E) for HBV (B) and is calculated as HBsAg (log</w:t>
      </w:r>
      <w:r>
        <w:rPr>
          <w:rFonts w:ascii="Book Antiqua" w:hAnsi="Book Antiqua" w:eastAsia="Book Antiqua" w:cs="Book Antiqua"/>
          <w:color w:val="000000"/>
          <w:vertAlign w:val="subscript"/>
        </w:rPr>
        <w:t xml:space="preserve">10 </w:t>
      </w:r>
      <w:r>
        <w:rPr>
          <w:rFonts w:ascii="Book Antiqua" w:hAnsi="Book Antiqua" w:eastAsia="Book Antiqua" w:cs="Book Antiqua"/>
          <w:color w:val="000000"/>
        </w:rPr>
        <w:t>IU/mL) + 20 × HBcrAg (log</w:t>
      </w:r>
      <w:r>
        <w:rPr>
          <w:rFonts w:ascii="Book Antiqua" w:hAnsi="Book Antiqua" w:eastAsia="Book Antiqua" w:cs="Book Antiqua"/>
          <w:color w:val="000000"/>
          <w:vertAlign w:val="subscript"/>
        </w:rPr>
        <w:t xml:space="preserve">10 </w:t>
      </w:r>
      <w:r>
        <w:rPr>
          <w:rFonts w:ascii="Book Antiqua" w:hAnsi="Book Antiqua" w:eastAsia="Book Antiqua" w:cs="Book Antiqua"/>
          <w:color w:val="000000"/>
        </w:rPr>
        <w:t>U/mL) + 2 × age (yr) + ALT (U/L) + 40 for the use of tenofovir. The scores are divided into three strata, low (&lt; 260 points), intermediate (260-320 points), and high (&gt; 320 points) risk of CR. A score of &lt; 260 points was associated with a subsequent HBsAg loss in 27.1% of the patients at 3 years</w:t>
      </w:r>
      <w:r>
        <w:rPr>
          <w:rFonts w:ascii="Book Antiqua" w:hAnsi="Book Antiqua" w:eastAsia="Book Antiqua" w:cs="Book Antiqua"/>
          <w:color w:val="000000"/>
          <w:vertAlign w:val="superscript"/>
        </w:rPr>
        <w:t>[48]</w:t>
      </w:r>
      <w:r>
        <w:rPr>
          <w:rFonts w:ascii="Book Antiqua" w:hAnsi="Book Antiqua" w:eastAsia="Book Antiqua" w:cs="Book Antiqua"/>
          <w:color w:val="000000"/>
        </w:rPr>
        <w:t>. The SCALE-B score has been validated in a Caucasian population in which it predicted HBsAg clearance, but not relapse</w:t>
      </w:r>
      <w:r>
        <w:rPr>
          <w:rFonts w:ascii="Book Antiqua" w:hAnsi="Book Antiqua" w:eastAsia="Book Antiqua" w:cs="Book Antiqua"/>
          <w:color w:val="000000"/>
          <w:vertAlign w:val="superscript"/>
        </w:rPr>
        <w:t>[54]</w:t>
      </w:r>
      <w:r>
        <w:rPr>
          <w:rFonts w:ascii="Book Antiqua" w:hAnsi="Book Antiqua" w:eastAsia="Book Antiqua" w:cs="Book Antiqua"/>
          <w:color w:val="000000"/>
        </w:rPr>
        <w:t>. Recently, the CREATE study, which included a large number of Asian as well as Caucasian patients reported that the SCALE-B score predicted CR and HBsAg loss regardless of HBeAg status or ethnicity</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jc w:val="both"/>
        <w:rPr>
          <w:rFonts w:ascii="Book Antiqua" w:hAnsi="Book Antiqua" w:cs="Book Antiqua"/>
          <w:b/>
          <w:bCs/>
          <w:caps/>
          <w:color w:val="000000"/>
          <w:u w:val="single"/>
          <w:lang w:eastAsia="zh-CN"/>
        </w:rPr>
      </w:pPr>
    </w:p>
    <w:p>
      <w:pPr>
        <w:spacing w:line="360" w:lineRule="auto"/>
        <w:jc w:val="both"/>
        <w:rPr>
          <w:rFonts w:ascii="Book Antiqua" w:hAnsi="Book Antiqua"/>
        </w:rPr>
      </w:pPr>
      <w:r>
        <w:rPr>
          <w:rFonts w:ascii="Book Antiqua" w:hAnsi="Book Antiqua" w:eastAsia="Book Antiqua" w:cs="Book Antiqua"/>
          <w:b/>
          <w:bCs/>
          <w:caps/>
          <w:color w:val="000000"/>
          <w:u w:val="single"/>
        </w:rPr>
        <w:t>Immune system EFFECTS after discontinuation of ANTIVIRAL AGENTs</w:t>
      </w:r>
    </w:p>
    <w:p>
      <w:pPr>
        <w:spacing w:line="360" w:lineRule="auto"/>
        <w:jc w:val="both"/>
        <w:rPr>
          <w:rFonts w:ascii="Book Antiqua" w:hAnsi="Book Antiqua"/>
        </w:rPr>
      </w:pPr>
      <w:r>
        <w:rPr>
          <w:rFonts w:ascii="Book Antiqua" w:hAnsi="Book Antiqua" w:eastAsia="Book Antiqua" w:cs="Book Antiqua"/>
          <w:color w:val="000000"/>
        </w:rPr>
        <w:t>T cells contribute to the control of HBV infection by killing infected hepatocytes</w:t>
      </w:r>
      <w:r>
        <w:rPr>
          <w:rFonts w:ascii="Book Antiqua" w:hAnsi="Book Antiqua" w:eastAsia="Book Antiqua" w:cs="Book Antiqua"/>
          <w:color w:val="000000"/>
          <w:vertAlign w:val="superscript"/>
        </w:rPr>
        <w:t>[55]</w:t>
      </w:r>
      <w:r>
        <w:rPr>
          <w:rFonts w:ascii="Book Antiqua" w:hAnsi="Book Antiqua" w:eastAsia="Book Antiqua" w:cs="Book Antiqua"/>
          <w:color w:val="000000"/>
        </w:rPr>
        <w:t>. However, chronic HBV infection can exhaust immune activity, particularly T cell function</w:t>
      </w:r>
      <w:r>
        <w:rPr>
          <w:rFonts w:ascii="Book Antiqua" w:hAnsi="Book Antiqua" w:eastAsia="Book Antiqua" w:cs="Book Antiqua"/>
          <w:color w:val="000000"/>
          <w:vertAlign w:val="superscript"/>
        </w:rPr>
        <w:t>[55]</w:t>
      </w:r>
      <w:r>
        <w:rPr>
          <w:rFonts w:ascii="Book Antiqua" w:hAnsi="Book Antiqua" w:eastAsia="Book Antiqua" w:cs="Book Antiqua"/>
          <w:color w:val="000000"/>
        </w:rPr>
        <w:t>, as the longer time of HBV infection is associated with the length of exposure to high antigenicity</w:t>
      </w:r>
      <w:r>
        <w:rPr>
          <w:rFonts w:ascii="Book Antiqua" w:hAnsi="Book Antiqua" w:eastAsia="Book Antiqua" w:cs="Book Antiqua"/>
          <w:color w:val="000000"/>
          <w:vertAlign w:val="superscript"/>
        </w:rPr>
        <w:t>[56]</w:t>
      </w:r>
      <w:r>
        <w:rPr>
          <w:rFonts w:ascii="Book Antiqua" w:hAnsi="Book Antiqua" w:eastAsia="Book Antiqua" w:cs="Book Antiqua"/>
          <w:color w:val="000000"/>
        </w:rPr>
        <w:t>. With NA therapy, T cell function decreases over time. With discontinuation of NA, T cell function may recover with the increase in the number of active T cells and less exhausted phenotypes</w:t>
      </w:r>
      <w:r>
        <w:rPr>
          <w:rFonts w:ascii="Book Antiqua" w:hAnsi="Book Antiqua" w:eastAsia="Book Antiqua" w:cs="Book Antiqua"/>
          <w:color w:val="000000"/>
          <w:vertAlign w:val="superscript"/>
        </w:rPr>
        <w:t>[57,58]</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After the cessation of NA treatment, the HBV DNA usually becomes detectable and often triggers ALT flares that reflect the immune response. Increased numbers of HBV-specific T cells were observed in patients in virological remission after NA discontinuation</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A study by </w:t>
      </w:r>
      <w:r>
        <w:rPr>
          <w:rFonts w:ascii="Book Antiqua" w:hAnsi="Book Antiqua"/>
          <w:bCs/>
        </w:rPr>
        <w:t>Rinker</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that high function of HBV-specific T</w:t>
      </w:r>
      <w:r>
        <w:rPr>
          <w:rFonts w:hint="eastAsia" w:ascii="Book Antiqua" w:hAnsi="Book Antiqua" w:cs="Book Antiqua"/>
          <w:color w:val="000000"/>
          <w:lang w:eastAsia="zh-CN"/>
        </w:rPr>
        <w:t xml:space="preserve"> </w:t>
      </w:r>
      <w:r>
        <w:rPr>
          <w:rFonts w:ascii="Book Antiqua" w:hAnsi="Book Antiqua" w:eastAsia="Book Antiqua" w:cs="Book Antiqua"/>
          <w:color w:val="000000"/>
        </w:rPr>
        <w:t>cells was observed after NA cessation in patients with subsequent HBsAg loss, especially HBV-specific CD4* T</w:t>
      </w:r>
      <w:r>
        <w:rPr>
          <w:rFonts w:hint="eastAsia" w:ascii="Book Antiqua" w:hAnsi="Book Antiqua" w:cs="Book Antiqua"/>
          <w:color w:val="000000"/>
          <w:lang w:eastAsia="zh-CN"/>
        </w:rPr>
        <w:t xml:space="preserve"> </w:t>
      </w:r>
      <w:r>
        <w:rPr>
          <w:rFonts w:ascii="Book Antiqua" w:hAnsi="Book Antiqua" w:eastAsia="Book Antiqua" w:cs="Book Antiqua"/>
          <w:color w:val="000000"/>
        </w:rPr>
        <w:t>cells</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In addition, T cell function increased after </w:t>
      </w:r>
      <w:r>
        <w:rPr>
          <w:rFonts w:hint="eastAsia" w:ascii="Book Antiqua" w:hAnsi="Book Antiqua" w:eastAsia="Book Antiqua" w:cs="Book Antiqua"/>
          <w:color w:val="000000"/>
        </w:rPr>
        <w:t>p</w:t>
      </w:r>
      <w:r>
        <w:rPr>
          <w:rFonts w:ascii="Book Antiqua" w:hAnsi="Book Antiqua" w:eastAsia="Book Antiqua" w:cs="Book Antiqua"/>
          <w:color w:val="000000"/>
        </w:rPr>
        <w:t>rogrammed death-ligand 1 blockage. More recently, a study by a Spanish group</w:t>
      </w:r>
      <w:r>
        <w:rPr>
          <w:rFonts w:ascii="Book Antiqua" w:hAnsi="Book Antiqua" w:eastAsia="Book Antiqua" w:cs="Book Antiqua"/>
          <w:color w:val="000000"/>
          <w:vertAlign w:val="superscript"/>
        </w:rPr>
        <w:t>[60]</w:t>
      </w:r>
      <w:r>
        <w:rPr>
          <w:rFonts w:ascii="Book Antiqua" w:hAnsi="Book Antiqua" w:eastAsia="Book Antiqua" w:cs="Book Antiqua"/>
          <w:color w:val="000000"/>
        </w:rPr>
        <w:t xml:space="preserve"> reported that an HBsAg level of ≤ 1000 IU/mL, lower cccDNA transcriptional activity, and a higher HBV-specific T cell response were associated with the development of HBsAg loss.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 new concept of the immune response after NA cessation, beneficial flare </w:t>
      </w:r>
      <w:r>
        <w:rPr>
          <w:rFonts w:ascii="Book Antiqua" w:hAnsi="Book Antiqua" w:eastAsia="Book Antiqua" w:cs="Book Antiqua"/>
          <w:i/>
          <w:iCs/>
          <w:color w:val="000000"/>
        </w:rPr>
        <w:t>vs</w:t>
      </w:r>
      <w:r>
        <w:rPr>
          <w:rFonts w:ascii="Book Antiqua" w:hAnsi="Book Antiqua" w:eastAsia="Book Antiqua" w:cs="Book Antiqua"/>
          <w:color w:val="000000"/>
        </w:rPr>
        <w:t xml:space="preserve"> bad flare is of interest, and was introduced by a Taiwanese group</w:t>
      </w:r>
      <w:r>
        <w:rPr>
          <w:rFonts w:ascii="Book Antiqua" w:hAnsi="Book Antiqua" w:eastAsia="Book Antiqua" w:cs="Book Antiqua"/>
          <w:color w:val="000000"/>
          <w:vertAlign w:val="superscript"/>
        </w:rPr>
        <w:t>[61]</w:t>
      </w:r>
      <w:r>
        <w:rPr>
          <w:rFonts w:ascii="Book Antiqua" w:hAnsi="Book Antiqua" w:eastAsia="Book Antiqua" w:cs="Book Antiqua"/>
          <w:color w:val="000000"/>
        </w:rPr>
        <w:t>. HBsAg kinetics may be useful in predicting whether patients will require retreatment after CR. Initiation of retreatment is considered in patients who have an increase in HBsAg level before or during ALT flare, which reflects an ineffective immune response. On the other hand, patients in whom a reduction on the HBsAg level was observed before or during ALT flare may not need retreatment, and spontaneous HBsAg clearance may eventually occur</w:t>
      </w:r>
      <w:r>
        <w:rPr>
          <w:rFonts w:ascii="Book Antiqua" w:hAnsi="Book Antiqua" w:eastAsia="Book Antiqua" w:cs="Book Antiqua"/>
          <w:color w:val="000000"/>
          <w:vertAlign w:val="superscript"/>
        </w:rPr>
        <w:t>[62]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MONITORING /RESTARTing THERAPY AFTER STOPPING ANTIVIRAL AGENT therapy</w:t>
      </w:r>
    </w:p>
    <w:p>
      <w:pPr>
        <w:spacing w:line="360" w:lineRule="auto"/>
        <w:jc w:val="both"/>
        <w:rPr>
          <w:rFonts w:ascii="Book Antiqua" w:hAnsi="Book Antiqua"/>
        </w:rPr>
      </w:pPr>
      <w:r>
        <w:rPr>
          <w:rFonts w:ascii="Book Antiqua" w:hAnsi="Book Antiqua" w:eastAsia="Book Antiqua" w:cs="Book Antiqua"/>
          <w:color w:val="000000"/>
        </w:rPr>
        <w:t>At present, there is no consensus on how to monitor and when to restart NA therapy. Previous studies reported that most HBV relapses occurred within 1 year after the discontinuation of antiviral agents. Most studies recommend careful monitoring, with physical examinations, liver function tests, and serum HBV DNA assays every 1-2 mo for the first 3 mo, every 3 mo for 1 year, and every 6 mo thereafter</w:t>
      </w:r>
      <w:r>
        <w:rPr>
          <w:rFonts w:ascii="Book Antiqua" w:hAnsi="Book Antiqua" w:eastAsia="Book Antiqua" w:cs="Book Antiqua"/>
          <w:color w:val="000000"/>
          <w:vertAlign w:val="superscript"/>
        </w:rPr>
        <w:t>[12–14,63]</w:t>
      </w:r>
      <w:r>
        <w:rPr>
          <w:rFonts w:ascii="Book Antiqua" w:hAnsi="Book Antiqua" w:eastAsia="Book Antiqua" w:cs="Book Antiqua"/>
          <w:color w:val="000000"/>
        </w:rPr>
        <w:t>. If the patient experiences ALT flare, then close follow-up every week with liver function tests and PT are mandatory for deciding whether prompt retreatment is needed.</w:t>
      </w:r>
    </w:p>
    <w:p>
      <w:pPr>
        <w:spacing w:line="360" w:lineRule="auto"/>
        <w:ind w:firstLine="240" w:firstLineChars="100"/>
        <w:jc w:val="both"/>
        <w:rPr>
          <w:rFonts w:ascii="Book Antiqua" w:hAnsi="Book Antiqua"/>
        </w:rPr>
      </w:pPr>
      <w:r>
        <w:rPr>
          <w:rFonts w:ascii="Book Antiqua" w:hAnsi="Book Antiqua" w:eastAsia="Book Antiqua" w:cs="Book Antiqua"/>
          <w:color w:val="000000"/>
        </w:rPr>
        <w:t>Currently, retreatment criteria differ among the studies summarized in Table 6</w:t>
      </w:r>
      <w:r>
        <w:rPr>
          <w:rFonts w:ascii="Book Antiqua" w:hAnsi="Book Antiqua" w:eastAsia="Book Antiqua" w:cs="Book Antiqua"/>
          <w:color w:val="000000"/>
          <w:vertAlign w:val="superscript"/>
        </w:rPr>
        <w:t>[12,13,39,63]</w:t>
      </w:r>
      <w:r>
        <w:rPr>
          <w:rFonts w:ascii="Book Antiqua" w:hAnsi="Book Antiqua" w:eastAsia="Book Antiqua" w:cs="Book Antiqua"/>
          <w:color w:val="000000"/>
        </w:rPr>
        <w:t>. Most suggested that retreatment should be initiated in patients with an ALT level &gt; 10 times above the ULN regardless of bilirubin level, with an ALT level &gt; 5 times above ULN plus a bilirubin &gt; 1.5-2 mg/dL, persistent of ALT level &gt; 5 times the ULN for 4 wk, or an ALT elevation with either a prolonged PT &gt; 2 sec or a bilirubin level &gt;1.5-2 mg/dL. The retreatment strategy is challenging as CR may reflect the immune restoration and reintroduction of NA might alleviate the effect. However, delayed initiation of retreatment can cause severe ALT flare, and eventually liver decompensation. The biomarkers or tools to aid justification of the optimal timing of retreatment are unmet needs.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PERSPECTIVE OF NA DISCONTINUATION in EASTern AND WESTern countries</w:t>
      </w:r>
    </w:p>
    <w:p>
      <w:pPr>
        <w:spacing w:line="360" w:lineRule="auto"/>
        <w:jc w:val="both"/>
        <w:rPr>
          <w:rFonts w:ascii="Book Antiqua" w:hAnsi="Book Antiqua"/>
        </w:rPr>
      </w:pPr>
      <w:r>
        <w:rPr>
          <w:rFonts w:ascii="Book Antiqua" w:hAnsi="Book Antiqua" w:eastAsia="Book Antiqua" w:cs="Book Antiqua"/>
          <w:color w:val="000000"/>
        </w:rPr>
        <w:t>In Asian and Caucasian populations, there are differences in rates of HBsAg clearance and HBV relapse. Caucasians have a higher probability of achieving a functional cure after NA cessation</w:t>
      </w:r>
      <w:r>
        <w:rPr>
          <w:rFonts w:ascii="Book Antiqua" w:hAnsi="Book Antiqua" w:eastAsia="Book Antiqua" w:cs="Book Antiqua"/>
          <w:color w:val="000000"/>
          <w:vertAlign w:val="superscript"/>
        </w:rPr>
        <w:t>[13]</w:t>
      </w:r>
      <w:r>
        <w:rPr>
          <w:rFonts w:ascii="Book Antiqua" w:hAnsi="Book Antiqua" w:eastAsia="Book Antiqua" w:cs="Book Antiqua"/>
          <w:color w:val="000000"/>
        </w:rPr>
        <w:t>. HBsAg clearance has been observed in 19%-29% of Caucasians at 2 years</w:t>
      </w:r>
      <w:r>
        <w:rPr>
          <w:rFonts w:ascii="Book Antiqua" w:hAnsi="Book Antiqua" w:eastAsia="Book Antiqua" w:cs="Book Antiqua"/>
          <w:color w:val="000000"/>
          <w:vertAlign w:val="superscript"/>
        </w:rPr>
        <w:t>[42,64]</w:t>
      </w:r>
      <w:r>
        <w:rPr>
          <w:rFonts w:ascii="Book Antiqua" w:hAnsi="Book Antiqua" w:eastAsia="Book Antiqua" w:cs="Book Antiqua"/>
          <w:color w:val="000000"/>
        </w:rPr>
        <w:t xml:space="preserve"> whereas it had been found in only 1.78%/year in Asians. This phenomenon might be explained by the difference of HBV genotypes between Asians and Caucasians, and the duration of infectivity. In Asians, the most common genotypes are B and C, in contrast to the Caucasians in which genotype D is more common</w:t>
      </w:r>
      <w:r>
        <w:rPr>
          <w:rFonts w:ascii="Book Antiqua" w:hAnsi="Book Antiqua" w:eastAsia="Book Antiqua" w:cs="Book Antiqua"/>
          <w:color w:val="000000"/>
          <w:vertAlign w:val="superscript"/>
        </w:rPr>
        <w:t>[65]</w:t>
      </w:r>
      <w:r>
        <w:rPr>
          <w:rFonts w:ascii="Book Antiqua" w:hAnsi="Book Antiqua" w:eastAsia="Book Antiqua" w:cs="Book Antiqua"/>
          <w:color w:val="000000"/>
        </w:rPr>
        <w:t>. Regarding the duration of infection, most Asian CHB patients are infected perinatally, resulting in a longer extent of chronic infection than in Caucasian patients</w:t>
      </w:r>
      <w:r>
        <w:rPr>
          <w:rFonts w:ascii="Book Antiqua" w:hAnsi="Book Antiqua" w:eastAsia="Book Antiqua" w:cs="Book Antiqua"/>
          <w:color w:val="000000"/>
          <w:vertAlign w:val="superscript"/>
        </w:rPr>
        <w:t>[66]</w:t>
      </w:r>
      <w:r>
        <w:rPr>
          <w:rFonts w:ascii="Book Antiqua" w:hAnsi="Book Antiqua" w:eastAsia="Book Antiqua" w:cs="Book Antiqua"/>
          <w:color w:val="000000"/>
        </w:rPr>
        <w:t>. Therefore, apart from the chance of patients to have drug-free periods, lower long-term side effects and costs, the ultimate benefit of achieving a functional cure after NA cessation is lower in Asians than in Caucasians.</w:t>
      </w:r>
    </w:p>
    <w:p>
      <w:pPr>
        <w:spacing w:line="360" w:lineRule="auto"/>
        <w:ind w:firstLine="240" w:firstLineChars="100"/>
        <w:jc w:val="both"/>
        <w:rPr>
          <w:rFonts w:ascii="Book Antiqua" w:hAnsi="Book Antiqua"/>
        </w:rPr>
      </w:pPr>
      <w:r>
        <w:rPr>
          <w:rFonts w:ascii="Book Antiqua" w:hAnsi="Book Antiqua" w:eastAsia="Book Antiqua" w:cs="Book Antiqua"/>
          <w:color w:val="000000"/>
        </w:rPr>
        <w:t>Another discrepancy between East and West is the consideration of stopping NA in cirrhotic patients. The APASL recommends that in highly selected cirrhotic patients, NA discontinuation may be considered according to the stopping criteria and safety results of previous Asian studies</w:t>
      </w:r>
      <w:r>
        <w:rPr>
          <w:rFonts w:ascii="Book Antiqua" w:hAnsi="Book Antiqua" w:eastAsia="Book Antiqua" w:cs="Book Antiqua"/>
          <w:color w:val="000000"/>
          <w:vertAlign w:val="superscript"/>
        </w:rPr>
        <w:t>[11,33]</w:t>
      </w:r>
      <w:r>
        <w:rPr>
          <w:rFonts w:ascii="Book Antiqua" w:hAnsi="Book Antiqua" w:eastAsia="Book Antiqua" w:cs="Book Antiqua"/>
          <w:color w:val="000000"/>
        </w:rPr>
        <w:t>. On the contrary, the AASLD and EASL do not recommend NA cessation in cirrhotic patients because safety concerns</w:t>
      </w:r>
      <w:r>
        <w:rPr>
          <w:rFonts w:ascii="Book Antiqua" w:hAnsi="Book Antiqua" w:eastAsia="Book Antiqua" w:cs="Book Antiqua"/>
          <w:color w:val="000000"/>
          <w:vertAlign w:val="superscript"/>
        </w:rPr>
        <w:t>[9,10]</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From our perspective, the stop strategy is optimal in highly selected noncirrhotic CHB patients. At present, we propose the ideal candidates for NA discontinuation in CHB patients as shown in Figure 2. The major benefit of this strategy is it enhances the chance of achieving a functional cure faster than continuous long-term NA therapy. However, there are some caveats, including severe CR, liver decompensation, or HCC development to be considered. The current unmet needs for NA discontinuation strategy in CHB patients are the better prediction of the patients who are good candidates for stopping, emerging and more widely available noninvasive biomarkers, and the identification of the best timing to consider retreatment initiation, balancing the chance of achieving functional cure and liver decompensation.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ACKNOWLEDGMENTS</w:t>
      </w:r>
    </w:p>
    <w:p>
      <w:pPr>
        <w:spacing w:line="360" w:lineRule="auto"/>
        <w:jc w:val="both"/>
        <w:rPr>
          <w:rFonts w:ascii="Book Antiqua" w:hAnsi="Book Antiqua"/>
        </w:rPr>
      </w:pPr>
      <w:r>
        <w:rPr>
          <w:rFonts w:ascii="Book Antiqua" w:hAnsi="Book Antiqua" w:eastAsia="Book Antiqua" w:cs="Book Antiqua"/>
          <w:color w:val="000000"/>
        </w:rPr>
        <w:t>The authors thank the Faculty of Medicine, Prince of Songkla University, Hat Yai, Thailand and Thai Association for the Study of the Liver (THASL) for the inspiration and their support for this review. The work is that of the authors only.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3" w:name="OLE_LINK10"/>
      <w:r>
        <w:rPr>
          <w:rFonts w:ascii="Book Antiqua" w:hAnsi="Book Antiqua"/>
        </w:rPr>
        <w:t xml:space="preserve">1 </w:t>
      </w:r>
      <w:r>
        <w:rPr>
          <w:rFonts w:ascii="Book Antiqua" w:hAnsi="Book Antiqua"/>
          <w:b/>
          <w:bCs/>
        </w:rPr>
        <w:t>Polaris Observatory Collaborators</w:t>
      </w:r>
      <w:r>
        <w:rPr>
          <w:rFonts w:ascii="Book Antiqua" w:hAnsi="Book Antiqua"/>
        </w:rPr>
        <w:t xml:space="preserve">. Global prevalence, treatment, and prevention of hepatitis B virus infection in 2016: a modelling study. </w:t>
      </w:r>
      <w:r>
        <w:rPr>
          <w:rFonts w:ascii="Book Antiqua" w:hAnsi="Book Antiqua"/>
          <w:i/>
          <w:iCs/>
        </w:rPr>
        <w:t>Lancet Gastroenterol Hepatol</w:t>
      </w:r>
      <w:r>
        <w:rPr>
          <w:rFonts w:ascii="Book Antiqua" w:hAnsi="Book Antiqua"/>
        </w:rPr>
        <w:t xml:space="preserve"> 2018; </w:t>
      </w:r>
      <w:r>
        <w:rPr>
          <w:rFonts w:ascii="Book Antiqua" w:hAnsi="Book Antiqua"/>
          <w:b/>
          <w:bCs/>
        </w:rPr>
        <w:t>3</w:t>
      </w:r>
      <w:r>
        <w:rPr>
          <w:rFonts w:ascii="Book Antiqua" w:hAnsi="Book Antiqua"/>
        </w:rPr>
        <w:t>: 383-403 [PMID: 29599078 DOI: 10.1016/S2468-1253(18)30056-6]</w:t>
      </w:r>
    </w:p>
    <w:p>
      <w:pPr>
        <w:spacing w:line="360" w:lineRule="auto"/>
        <w:jc w:val="both"/>
        <w:rPr>
          <w:rFonts w:ascii="Book Antiqua" w:hAnsi="Book Antiqua"/>
        </w:rPr>
      </w:pPr>
      <w:r>
        <w:rPr>
          <w:rFonts w:ascii="Book Antiqua" w:hAnsi="Book Antiqua"/>
        </w:rPr>
        <w:t xml:space="preserve">2 </w:t>
      </w:r>
      <w:r>
        <w:rPr>
          <w:rFonts w:ascii="Book Antiqua" w:hAnsi="Book Antiqua"/>
          <w:b/>
          <w:bCs/>
        </w:rPr>
        <w:t>Ganem D</w:t>
      </w:r>
      <w:r>
        <w:rPr>
          <w:rFonts w:ascii="Book Antiqua" w:hAnsi="Book Antiqua"/>
        </w:rPr>
        <w:t xml:space="preserve">, Prince AM. Hepatitis B virus infection--natural history and clinical consequences. </w:t>
      </w:r>
      <w:r>
        <w:rPr>
          <w:rFonts w:ascii="Book Antiqua" w:hAnsi="Book Antiqua"/>
          <w:i/>
          <w:iCs/>
        </w:rPr>
        <w:t>N Engl J Med</w:t>
      </w:r>
      <w:r>
        <w:rPr>
          <w:rFonts w:ascii="Book Antiqua" w:hAnsi="Book Antiqua"/>
        </w:rPr>
        <w:t xml:space="preserve"> 2004; </w:t>
      </w:r>
      <w:r>
        <w:rPr>
          <w:rFonts w:ascii="Book Antiqua" w:hAnsi="Book Antiqua"/>
          <w:b/>
          <w:bCs/>
        </w:rPr>
        <w:t>350</w:t>
      </w:r>
      <w:r>
        <w:rPr>
          <w:rFonts w:ascii="Book Antiqua" w:hAnsi="Book Antiqua"/>
        </w:rPr>
        <w:t>: 1118-1129 [PMID: 15014185 DOI: 10.1056/NEJMra031087]</w:t>
      </w:r>
    </w:p>
    <w:p>
      <w:pPr>
        <w:spacing w:line="360" w:lineRule="auto"/>
        <w:jc w:val="both"/>
        <w:rPr>
          <w:rFonts w:ascii="Book Antiqua" w:hAnsi="Book Antiqua"/>
        </w:rPr>
      </w:pPr>
      <w:r>
        <w:rPr>
          <w:rFonts w:ascii="Book Antiqua" w:hAnsi="Book Antiqua"/>
        </w:rPr>
        <w:t xml:space="preserve">3 </w:t>
      </w:r>
      <w:r>
        <w:rPr>
          <w:rFonts w:ascii="Book Antiqua" w:hAnsi="Book Antiqua"/>
          <w:b/>
          <w:bCs/>
        </w:rPr>
        <w:t>Udompap P</w:t>
      </w:r>
      <w:r>
        <w:rPr>
          <w:rFonts w:ascii="Book Antiqua" w:hAnsi="Book Antiqua"/>
        </w:rPr>
        <w:t xml:space="preserve">, Tanwandee T, Gani R. Affordability of Antiviral Therapy in Asia-Pacific Countries and Its Impact on Public Health Outcomes. </w:t>
      </w:r>
      <w:r>
        <w:rPr>
          <w:rFonts w:ascii="Book Antiqua" w:hAnsi="Book Antiqua"/>
          <w:i/>
          <w:iCs/>
        </w:rPr>
        <w:t>Clin Liver Dis (Hoboken)</w:t>
      </w:r>
      <w:r>
        <w:rPr>
          <w:rFonts w:ascii="Book Antiqua" w:hAnsi="Book Antiqua"/>
        </w:rPr>
        <w:t xml:space="preserve"> 2020; </w:t>
      </w:r>
      <w:r>
        <w:rPr>
          <w:rFonts w:ascii="Book Antiqua" w:hAnsi="Book Antiqua"/>
          <w:b/>
          <w:bCs/>
        </w:rPr>
        <w:t>16</w:t>
      </w:r>
      <w:r>
        <w:rPr>
          <w:rFonts w:ascii="Book Antiqua" w:hAnsi="Book Antiqua"/>
        </w:rPr>
        <w:t>: 249-253 [PMID: 33489097 DOI: 10.1002/cld.977]</w:t>
      </w:r>
    </w:p>
    <w:p>
      <w:pPr>
        <w:spacing w:line="360" w:lineRule="auto"/>
        <w:jc w:val="both"/>
        <w:rPr>
          <w:rFonts w:ascii="Book Antiqua" w:hAnsi="Book Antiqua"/>
        </w:rPr>
      </w:pPr>
      <w:r>
        <w:rPr>
          <w:rFonts w:ascii="Book Antiqua" w:hAnsi="Book Antiqua"/>
        </w:rPr>
        <w:t xml:space="preserve">4 </w:t>
      </w:r>
      <w:r>
        <w:rPr>
          <w:rFonts w:ascii="Book Antiqua" w:hAnsi="Book Antiqua"/>
          <w:b/>
          <w:bCs/>
        </w:rPr>
        <w:t>Kumar R</w:t>
      </w:r>
      <w:r>
        <w:rPr>
          <w:rFonts w:ascii="Book Antiqua" w:hAnsi="Book Antiqua"/>
        </w:rPr>
        <w:t xml:space="preserve">, Pérez-Del-Pulgar S, Testoni B, Lebossé F, Zoulim F. Clinical relevance of the study of hepatitis B virus covalently closed circular DNA. </w:t>
      </w:r>
      <w:r>
        <w:rPr>
          <w:rFonts w:ascii="Book Antiqua" w:hAnsi="Book Antiqua"/>
          <w:i/>
          <w:iCs/>
        </w:rPr>
        <w:t>Liver Int</w:t>
      </w:r>
      <w:r>
        <w:rPr>
          <w:rFonts w:ascii="Book Antiqua" w:hAnsi="Book Antiqua"/>
        </w:rPr>
        <w:t xml:space="preserve"> 2016; </w:t>
      </w:r>
      <w:r>
        <w:rPr>
          <w:rFonts w:ascii="Book Antiqua" w:hAnsi="Book Antiqua"/>
          <w:b/>
          <w:bCs/>
        </w:rPr>
        <w:t>36 Suppl 1</w:t>
      </w:r>
      <w:r>
        <w:rPr>
          <w:rFonts w:ascii="Book Antiqua" w:hAnsi="Book Antiqua"/>
        </w:rPr>
        <w:t>: 72-77 [PMID: 26725901 DOI: 10.1111/liv.13001]</w:t>
      </w:r>
    </w:p>
    <w:p>
      <w:pPr>
        <w:spacing w:line="360" w:lineRule="auto"/>
        <w:jc w:val="both"/>
        <w:rPr>
          <w:rFonts w:ascii="Book Antiqua" w:hAnsi="Book Antiqua"/>
        </w:rPr>
      </w:pPr>
      <w:r>
        <w:rPr>
          <w:rFonts w:ascii="Book Antiqua" w:hAnsi="Book Antiqua"/>
        </w:rPr>
        <w:t xml:space="preserve">5 </w:t>
      </w:r>
      <w:r>
        <w:rPr>
          <w:rFonts w:ascii="Book Antiqua" w:hAnsi="Book Antiqua"/>
          <w:b/>
          <w:bCs/>
        </w:rPr>
        <w:t>Nassal M</w:t>
      </w:r>
      <w:r>
        <w:rPr>
          <w:rFonts w:ascii="Book Antiqua" w:hAnsi="Book Antiqua"/>
        </w:rPr>
        <w:t xml:space="preserve">. HBV cccDNA: viral persistence reservoir and key obstacle for a cure of chronic hepatitis B. </w:t>
      </w:r>
      <w:r>
        <w:rPr>
          <w:rFonts w:ascii="Book Antiqua" w:hAnsi="Book Antiqua"/>
          <w:i/>
          <w:iCs/>
        </w:rPr>
        <w:t>Gut</w:t>
      </w:r>
      <w:r>
        <w:rPr>
          <w:rFonts w:ascii="Book Antiqua" w:hAnsi="Book Antiqua"/>
        </w:rPr>
        <w:t xml:space="preserve"> 2015; </w:t>
      </w:r>
      <w:r>
        <w:rPr>
          <w:rFonts w:ascii="Book Antiqua" w:hAnsi="Book Antiqua"/>
          <w:b/>
          <w:bCs/>
        </w:rPr>
        <w:t>64</w:t>
      </w:r>
      <w:r>
        <w:rPr>
          <w:rFonts w:ascii="Book Antiqua" w:hAnsi="Book Antiqua"/>
        </w:rPr>
        <w:t>: 1972-1984 [PMID: 26048673 DOI: 10.1136/gutjnl-2015-309809]</w:t>
      </w:r>
    </w:p>
    <w:p>
      <w:pPr>
        <w:spacing w:line="360" w:lineRule="auto"/>
        <w:jc w:val="both"/>
        <w:rPr>
          <w:rFonts w:ascii="Book Antiqua" w:hAnsi="Book Antiqua"/>
        </w:rPr>
      </w:pPr>
      <w:r>
        <w:rPr>
          <w:rFonts w:ascii="Book Antiqua" w:hAnsi="Book Antiqua"/>
        </w:rPr>
        <w:t xml:space="preserve">6 </w:t>
      </w:r>
      <w:r>
        <w:rPr>
          <w:rFonts w:ascii="Book Antiqua" w:hAnsi="Book Antiqua"/>
          <w:b/>
          <w:bCs/>
        </w:rPr>
        <w:t>Marcellin P</w:t>
      </w:r>
      <w:r>
        <w:rPr>
          <w:rFonts w:ascii="Book Antiqua" w:hAnsi="Book Antiqua"/>
        </w:rPr>
        <w:t xml:space="preserve">, Gane E, Buti M, Afdhal N, Sievert W, Jacobson IM, Washington MK, Germanidis G, Flaherty JF, Aguilar Schall R, Bornstein JD, Kitrinos KM, Subramanian GM, McHutchison JG, Heathcote EJ. Regression of cirrhosis during treatment with tenofovir disoproxil fumarate for chronic hepatitis B: a 5-year open-label follow-up study. </w:t>
      </w:r>
      <w:r>
        <w:rPr>
          <w:rFonts w:ascii="Book Antiqua" w:hAnsi="Book Antiqua"/>
          <w:i/>
          <w:iCs/>
        </w:rPr>
        <w:t>Lancet</w:t>
      </w:r>
      <w:r>
        <w:rPr>
          <w:rFonts w:ascii="Book Antiqua" w:hAnsi="Book Antiqua"/>
        </w:rPr>
        <w:t xml:space="preserve"> 2013; </w:t>
      </w:r>
      <w:r>
        <w:rPr>
          <w:rFonts w:ascii="Book Antiqua" w:hAnsi="Book Antiqua"/>
          <w:b/>
          <w:bCs/>
        </w:rPr>
        <w:t>381</w:t>
      </w:r>
      <w:r>
        <w:rPr>
          <w:rFonts w:ascii="Book Antiqua" w:hAnsi="Book Antiqua"/>
        </w:rPr>
        <w:t>: 468-475 [PMID: 23234725 DOI: 10.1016/S0140-6736(12)61425-1]</w:t>
      </w:r>
    </w:p>
    <w:p>
      <w:pPr>
        <w:spacing w:line="360" w:lineRule="auto"/>
        <w:jc w:val="both"/>
        <w:rPr>
          <w:rFonts w:ascii="Book Antiqua" w:hAnsi="Book Antiqua"/>
        </w:rPr>
      </w:pPr>
      <w:r>
        <w:rPr>
          <w:rFonts w:ascii="Book Antiqua" w:hAnsi="Book Antiqua"/>
        </w:rPr>
        <w:t xml:space="preserve">7 </w:t>
      </w:r>
      <w:r>
        <w:rPr>
          <w:rFonts w:ascii="Book Antiqua" w:hAnsi="Book Antiqua"/>
          <w:b/>
          <w:bCs/>
        </w:rPr>
        <w:t>Lok AS</w:t>
      </w:r>
      <w:r>
        <w:rPr>
          <w:rFonts w:ascii="Book Antiqua" w:hAnsi="Book Antiqua"/>
        </w:rPr>
        <w:t xml:space="preserve">, McMahon BJ, Brown RS Jr, Wong JB, Ahmed AT, Farah W, Almasri J, Alahdab F, Benkhadra K, Mouchli MA, Singh S, Mohamed EA, Abu Dabrh AM, Prokop LJ, Wang Z, Murad MH, Mohammed K. Antiviral therapy for chronic hepatitis B viral infection in adults: A systematic review and meta-analysis. </w:t>
      </w:r>
      <w:r>
        <w:rPr>
          <w:rFonts w:ascii="Book Antiqua" w:hAnsi="Book Antiqua"/>
          <w:i/>
          <w:iCs/>
        </w:rPr>
        <w:t>Hepatology</w:t>
      </w:r>
      <w:r>
        <w:rPr>
          <w:rFonts w:ascii="Book Antiqua" w:hAnsi="Book Antiqua"/>
        </w:rPr>
        <w:t xml:space="preserve"> 2016; </w:t>
      </w:r>
      <w:r>
        <w:rPr>
          <w:rFonts w:ascii="Book Antiqua" w:hAnsi="Book Antiqua"/>
          <w:b/>
          <w:bCs/>
        </w:rPr>
        <w:t>63</w:t>
      </w:r>
      <w:r>
        <w:rPr>
          <w:rFonts w:ascii="Book Antiqua" w:hAnsi="Book Antiqua"/>
        </w:rPr>
        <w:t>: 284-306 [PMID: 26566246 DOI: 10.1002/hep.28280]</w:t>
      </w:r>
    </w:p>
    <w:p>
      <w:pPr>
        <w:spacing w:line="360" w:lineRule="auto"/>
        <w:jc w:val="both"/>
        <w:rPr>
          <w:rFonts w:ascii="Book Antiqua" w:hAnsi="Book Antiqua"/>
        </w:rPr>
      </w:pPr>
      <w:r>
        <w:rPr>
          <w:rFonts w:ascii="Book Antiqua" w:hAnsi="Book Antiqua"/>
        </w:rPr>
        <w:t xml:space="preserve">8 </w:t>
      </w:r>
      <w:r>
        <w:rPr>
          <w:rFonts w:ascii="Book Antiqua" w:hAnsi="Book Antiqua"/>
          <w:b/>
          <w:bCs/>
        </w:rPr>
        <w:t>Papatheodoridis G</w:t>
      </w:r>
      <w:r>
        <w:rPr>
          <w:rFonts w:ascii="Book Antiqua" w:hAnsi="Book Antiqua"/>
        </w:rPr>
        <w:t xml:space="preserve">, Vlachogiannakos I, Cholongitas E, Wursthorn K, Thomadakis C, Touloumi G, Petersen J. Discontinuation of oral antivirals in chronic hepatitis B: A systematic review. </w:t>
      </w:r>
      <w:r>
        <w:rPr>
          <w:rFonts w:ascii="Book Antiqua" w:hAnsi="Book Antiqua"/>
          <w:i/>
          <w:iCs/>
        </w:rPr>
        <w:t>Hepatology</w:t>
      </w:r>
      <w:r>
        <w:rPr>
          <w:rFonts w:ascii="Book Antiqua" w:hAnsi="Book Antiqua"/>
        </w:rPr>
        <w:t xml:space="preserve"> 2016; </w:t>
      </w:r>
      <w:r>
        <w:rPr>
          <w:rFonts w:ascii="Book Antiqua" w:hAnsi="Book Antiqua"/>
          <w:b/>
          <w:bCs/>
        </w:rPr>
        <w:t>63</w:t>
      </w:r>
      <w:r>
        <w:rPr>
          <w:rFonts w:ascii="Book Antiqua" w:hAnsi="Book Antiqua"/>
        </w:rPr>
        <w:t>: 1481-1492 [PMID: 27100145 DOI: 10.1002/hep.28438]</w:t>
      </w:r>
    </w:p>
    <w:p>
      <w:pPr>
        <w:spacing w:line="360" w:lineRule="auto"/>
        <w:jc w:val="both"/>
        <w:rPr>
          <w:rFonts w:ascii="Book Antiqua" w:hAnsi="Book Antiqua"/>
        </w:rPr>
      </w:pPr>
      <w:r>
        <w:rPr>
          <w:rFonts w:ascii="Book Antiqua" w:hAnsi="Book Antiqua"/>
        </w:rPr>
        <w:t xml:space="preserve">9 </w:t>
      </w:r>
      <w:r>
        <w:rPr>
          <w:rFonts w:ascii="Book Antiqua" w:hAnsi="Book Antiqua"/>
          <w:b/>
        </w:rPr>
        <w:t>European Association for the Study of the Liver</w:t>
      </w:r>
      <w:r>
        <w:rPr>
          <w:rFonts w:ascii="Book Antiqua" w:hAnsi="Book Antiqua"/>
        </w:rPr>
        <w:t xml:space="preserve">. EASL 2017 Clinical Practice Guidelines on the management of hepatitis B virus infection. </w:t>
      </w:r>
      <w:r>
        <w:rPr>
          <w:rFonts w:ascii="Book Antiqua" w:hAnsi="Book Antiqua"/>
          <w:i/>
        </w:rPr>
        <w:t>J Hepatol</w:t>
      </w:r>
      <w:r>
        <w:rPr>
          <w:rFonts w:ascii="Book Antiqua" w:hAnsi="Book Antiqua"/>
        </w:rPr>
        <w:t xml:space="preserve"> 2017; </w:t>
      </w:r>
      <w:r>
        <w:rPr>
          <w:rFonts w:ascii="Book Antiqua" w:hAnsi="Book Antiqua"/>
          <w:b/>
        </w:rPr>
        <w:t>67:</w:t>
      </w:r>
      <w:r>
        <w:rPr>
          <w:rFonts w:ascii="Book Antiqua" w:hAnsi="Book Antiqua"/>
        </w:rPr>
        <w:t xml:space="preserve"> 370-398 [PMID: 28427875 DOI:</w:t>
      </w:r>
      <w:r>
        <w:rPr>
          <w:rFonts w:hint="eastAsia" w:ascii="Book Antiqua" w:hAnsi="Book Antiqua"/>
        </w:rPr>
        <w:t xml:space="preserve"> </w:t>
      </w:r>
      <w:r>
        <w:rPr>
          <w:rFonts w:ascii="Book Antiqua" w:hAnsi="Book Antiqua"/>
        </w:rPr>
        <w:t>10.1016/j.jhep.2017.03.021]</w:t>
      </w:r>
    </w:p>
    <w:p>
      <w:pPr>
        <w:spacing w:line="360" w:lineRule="auto"/>
        <w:jc w:val="both"/>
        <w:rPr>
          <w:rFonts w:ascii="Book Antiqua" w:hAnsi="Book Antiqua"/>
        </w:rPr>
      </w:pPr>
      <w:r>
        <w:rPr>
          <w:rFonts w:ascii="Book Antiqua" w:hAnsi="Book Antiqua"/>
        </w:rPr>
        <w:t xml:space="preserve">10 </w:t>
      </w:r>
      <w:r>
        <w:rPr>
          <w:rFonts w:ascii="Book Antiqua" w:hAnsi="Book Antiqua"/>
          <w:b/>
          <w:bCs/>
        </w:rPr>
        <w:t>Terrault NA</w:t>
      </w:r>
      <w:r>
        <w:rPr>
          <w:rFonts w:ascii="Book Antiqua" w:hAnsi="Book Antiqua"/>
        </w:rPr>
        <w:t xml:space="preserve">, Lok ASF, McMahon BJ, Chang KM, Hwang JP, Jonas MM, Brown RS Jr, Bzowej NH, Wong JB. Update on prevention, diagnosis, and treatment of chronic hepatitis B: AASLD 2018 hepatitis B guidance. </w:t>
      </w:r>
      <w:r>
        <w:rPr>
          <w:rFonts w:ascii="Book Antiqua" w:hAnsi="Book Antiqua"/>
          <w:i/>
          <w:iCs/>
        </w:rPr>
        <w:t>Hepatology</w:t>
      </w:r>
      <w:r>
        <w:rPr>
          <w:rFonts w:ascii="Book Antiqua" w:hAnsi="Book Antiqua"/>
        </w:rPr>
        <w:t xml:space="preserve"> 2018; </w:t>
      </w:r>
      <w:r>
        <w:rPr>
          <w:rFonts w:ascii="Book Antiqua" w:hAnsi="Book Antiqua"/>
          <w:b/>
          <w:bCs/>
        </w:rPr>
        <w:t>67</w:t>
      </w:r>
      <w:r>
        <w:rPr>
          <w:rFonts w:ascii="Book Antiqua" w:hAnsi="Book Antiqua"/>
        </w:rPr>
        <w:t>: 1560-1599 [PMID: 29405329 DOI: 10.1002/hep.29800]</w:t>
      </w:r>
    </w:p>
    <w:p>
      <w:pPr>
        <w:spacing w:line="360" w:lineRule="auto"/>
        <w:jc w:val="both"/>
        <w:rPr>
          <w:rFonts w:ascii="Book Antiqua" w:hAnsi="Book Antiqua"/>
        </w:rPr>
      </w:pPr>
      <w:r>
        <w:rPr>
          <w:rFonts w:ascii="Book Antiqua" w:hAnsi="Book Antiqua"/>
        </w:rPr>
        <w:t xml:space="preserve">11 </w:t>
      </w:r>
      <w:r>
        <w:rPr>
          <w:rFonts w:ascii="Book Antiqua" w:hAnsi="Book Antiqua"/>
          <w:b/>
          <w:bCs/>
        </w:rPr>
        <w:t>Sarin SK</w:t>
      </w:r>
      <w:r>
        <w:rPr>
          <w:rFonts w:ascii="Book Antiqua" w:hAnsi="Book Antiqua"/>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Pr>
          <w:rFonts w:ascii="Book Antiqua" w:hAnsi="Book Antiqua"/>
          <w:i/>
          <w:iCs/>
        </w:rPr>
        <w:t>Hepatol Int</w:t>
      </w:r>
      <w:r>
        <w:rPr>
          <w:rFonts w:ascii="Book Antiqua" w:hAnsi="Book Antiqua"/>
        </w:rPr>
        <w:t xml:space="preserve"> 2016; </w:t>
      </w:r>
      <w:r>
        <w:rPr>
          <w:rFonts w:ascii="Book Antiqua" w:hAnsi="Book Antiqua"/>
          <w:b/>
          <w:bCs/>
        </w:rPr>
        <w:t>10</w:t>
      </w:r>
      <w:r>
        <w:rPr>
          <w:rFonts w:ascii="Book Antiqua" w:hAnsi="Book Antiqua"/>
        </w:rPr>
        <w:t>: 1-98 [PMID: 26563120 DOI: 10.1007/s12072-015-9675-4]</w:t>
      </w:r>
    </w:p>
    <w:p>
      <w:pPr>
        <w:spacing w:line="360" w:lineRule="auto"/>
        <w:jc w:val="both"/>
        <w:rPr>
          <w:rFonts w:ascii="Book Antiqua" w:hAnsi="Book Antiqua"/>
        </w:rPr>
      </w:pPr>
      <w:r>
        <w:rPr>
          <w:rFonts w:ascii="Book Antiqua" w:hAnsi="Book Antiqua"/>
        </w:rPr>
        <w:t xml:space="preserve">12 </w:t>
      </w:r>
      <w:r>
        <w:rPr>
          <w:rFonts w:ascii="Book Antiqua" w:hAnsi="Book Antiqua"/>
          <w:b/>
          <w:bCs/>
        </w:rPr>
        <w:t>Kaewdech A</w:t>
      </w:r>
      <w:r>
        <w:rPr>
          <w:rFonts w:ascii="Book Antiqua" w:hAnsi="Book Antiqua"/>
        </w:rPr>
        <w:t xml:space="preserve">, Tangkijvanich P, Sripongpun P, Witeerungrot T, Jandee S, Tanaka Y, Piratvisuth T. Hepatitis B surface antigen, core-related antigen and HBV RNA: Predicting clinical relapse after NA therapy discontinuation.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2961-2971 [PMID: 32668074 DOI: 10.1111/liv.14606]</w:t>
      </w:r>
    </w:p>
    <w:p>
      <w:pPr>
        <w:spacing w:line="360" w:lineRule="auto"/>
        <w:jc w:val="both"/>
        <w:rPr>
          <w:rFonts w:ascii="Book Antiqua" w:hAnsi="Book Antiqua"/>
        </w:rPr>
      </w:pPr>
      <w:r>
        <w:rPr>
          <w:rFonts w:ascii="Book Antiqua" w:hAnsi="Book Antiqua"/>
        </w:rPr>
        <w:t xml:space="preserve">13 </w:t>
      </w:r>
      <w:r>
        <w:rPr>
          <w:rFonts w:ascii="Book Antiqua" w:hAnsi="Book Antiqua"/>
          <w:b/>
          <w:bCs/>
        </w:rPr>
        <w:t>Sonneveld MJ</w:t>
      </w:r>
      <w:r>
        <w:rPr>
          <w:rFonts w:ascii="Book Antiqua" w:hAnsi="Book Antiqua"/>
        </w:rPr>
        <w:t xml:space="preserve">, Park JY, Kaewdech A, Seto WK, Tanaka Y, Carey I, Papatheodoridi M, van Bömmel F, Berg T, Zoulim F, Ahn SH, Dalekos GN, Erler NS, Höner Zu Siederdissen C, Wedemeyer H, Cornberg M, Yuen MF, Agarwal K, Boonstra A, Buti M, Piratvisuth T, Papatheodoridis G, Maasoumy B; CREATE Study Group. Prediction of Sustained Response After Nucleo(s)tide Analogue Cessation Using HBsAg and HBcrAg Levels: A Multicenter Study (CREATE). </w:t>
      </w:r>
      <w:r>
        <w:rPr>
          <w:rFonts w:ascii="Book Antiqua" w:hAnsi="Book Antiqua"/>
          <w:i/>
          <w:iCs/>
        </w:rPr>
        <w:t>Clin Gastroenterol Hepatol</w:t>
      </w:r>
      <w:r>
        <w:rPr>
          <w:rFonts w:ascii="Book Antiqua" w:hAnsi="Book Antiqua"/>
        </w:rPr>
        <w:t xml:space="preserve"> 2020 [PMID: 33309804 DOI: 10.1016/j.cgh.2020.12.005]</w:t>
      </w:r>
    </w:p>
    <w:p>
      <w:pPr>
        <w:spacing w:line="360" w:lineRule="auto"/>
        <w:jc w:val="both"/>
        <w:rPr>
          <w:rFonts w:ascii="Book Antiqua" w:hAnsi="Book Antiqua"/>
        </w:rPr>
      </w:pPr>
      <w:r>
        <w:rPr>
          <w:rFonts w:ascii="Book Antiqua" w:hAnsi="Book Antiqua"/>
        </w:rPr>
        <w:t xml:space="preserve">14 </w:t>
      </w:r>
      <w:r>
        <w:rPr>
          <w:rFonts w:ascii="Book Antiqua" w:hAnsi="Book Antiqua"/>
          <w:b/>
          <w:bCs/>
        </w:rPr>
        <w:t>Chevaliez S</w:t>
      </w:r>
      <w:r>
        <w:rPr>
          <w:rFonts w:ascii="Book Antiqua" w:hAnsi="Book Antiqua"/>
        </w:rPr>
        <w:t xml:space="preserve">, Hézode C, Bahrami S, Grare M, Pawlotsky JM. Long-term hepatitis B surface antigen (HBsAg) kinetics during nucleoside/nucleotide analogue therapy: finite treatment duration unlikely. </w:t>
      </w:r>
      <w:r>
        <w:rPr>
          <w:rFonts w:ascii="Book Antiqua" w:hAnsi="Book Antiqua"/>
          <w:i/>
          <w:iCs/>
        </w:rPr>
        <w:t>J Hepatol</w:t>
      </w:r>
      <w:r>
        <w:rPr>
          <w:rFonts w:ascii="Book Antiqua" w:hAnsi="Book Antiqua"/>
        </w:rPr>
        <w:t xml:space="preserve"> 2013; </w:t>
      </w:r>
      <w:r>
        <w:rPr>
          <w:rFonts w:ascii="Book Antiqua" w:hAnsi="Book Antiqua"/>
          <w:b/>
          <w:bCs/>
        </w:rPr>
        <w:t>58</w:t>
      </w:r>
      <w:r>
        <w:rPr>
          <w:rFonts w:ascii="Book Antiqua" w:hAnsi="Book Antiqua"/>
        </w:rPr>
        <w:t>: 676-683 [PMID: 23219442 DOI: 10.1016/j.jhep.2012.11.039]</w:t>
      </w:r>
    </w:p>
    <w:p>
      <w:pPr>
        <w:spacing w:line="360" w:lineRule="auto"/>
        <w:jc w:val="both"/>
        <w:rPr>
          <w:rFonts w:ascii="Book Antiqua" w:hAnsi="Book Antiqua"/>
        </w:rPr>
      </w:pPr>
      <w:r>
        <w:rPr>
          <w:rFonts w:ascii="Book Antiqua" w:hAnsi="Book Antiqua"/>
        </w:rPr>
        <w:t xml:space="preserve">15 </w:t>
      </w:r>
      <w:r>
        <w:rPr>
          <w:rFonts w:ascii="Book Antiqua" w:hAnsi="Book Antiqua"/>
          <w:b/>
          <w:bCs/>
        </w:rPr>
        <w:t>Hadziyannis SJ</w:t>
      </w:r>
      <w:r>
        <w:rPr>
          <w:rFonts w:ascii="Book Antiqua" w:hAnsi="Book Antiqua"/>
        </w:rPr>
        <w:t xml:space="preserve">, Sevastianos V, Rapti I, Vassilopoulos D, Hadziyannis E. Sustained responses and loss of HBsAg in HBeAg-negative patients with chronic hepatitis B who stop long-term treatment with adefovir. </w:t>
      </w:r>
      <w:r>
        <w:rPr>
          <w:rFonts w:ascii="Book Antiqua" w:hAnsi="Book Antiqua"/>
          <w:i/>
          <w:iCs/>
        </w:rPr>
        <w:t>Gastroenterology</w:t>
      </w:r>
      <w:r>
        <w:rPr>
          <w:rFonts w:ascii="Book Antiqua" w:hAnsi="Book Antiqua"/>
        </w:rPr>
        <w:t xml:space="preserve"> 2012; </w:t>
      </w:r>
      <w:r>
        <w:rPr>
          <w:rFonts w:ascii="Book Antiqua" w:hAnsi="Book Antiqua"/>
          <w:b/>
          <w:bCs/>
        </w:rPr>
        <w:t>143</w:t>
      </w:r>
      <w:r>
        <w:rPr>
          <w:rFonts w:ascii="Book Antiqua" w:hAnsi="Book Antiqua"/>
        </w:rPr>
        <w:t>: 629-636.e1 [PMID: 22659218 DOI: 10.1053/j.gastro.2012.05.039]</w:t>
      </w:r>
    </w:p>
    <w:p>
      <w:pPr>
        <w:spacing w:line="360" w:lineRule="auto"/>
        <w:jc w:val="both"/>
        <w:rPr>
          <w:rFonts w:ascii="Book Antiqua" w:hAnsi="Book Antiqua"/>
        </w:rPr>
      </w:pPr>
      <w:r>
        <w:rPr>
          <w:rFonts w:ascii="Book Antiqua" w:hAnsi="Book Antiqua"/>
        </w:rPr>
        <w:t xml:space="preserve">16 </w:t>
      </w:r>
      <w:r>
        <w:rPr>
          <w:rFonts w:ascii="Book Antiqua" w:hAnsi="Book Antiqua"/>
          <w:b/>
          <w:bCs/>
        </w:rPr>
        <w:t>Lok AS</w:t>
      </w:r>
      <w:r>
        <w:rPr>
          <w:rFonts w:ascii="Book Antiqua" w:hAnsi="Book Antiqua"/>
        </w:rPr>
        <w:t xml:space="preserve">, Zoulim F, Dusheiko G, Chan HLY, Buti M, Ghany MG, Gaggar A, Yang JC, Wu G, Flaherty JF, Subramanian GM, Locarnini S, Marcellin P. Durability of Hepatitis B Surface Antigen Loss With Nucleotide Analogue and Peginterferon Therapy in Patients With Chronic Hepatitis B. </w:t>
      </w:r>
      <w:r>
        <w:rPr>
          <w:rFonts w:ascii="Book Antiqua" w:hAnsi="Book Antiqua"/>
          <w:i/>
          <w:iCs/>
        </w:rPr>
        <w:t>Hepatol Commun</w:t>
      </w:r>
      <w:r>
        <w:rPr>
          <w:rFonts w:ascii="Book Antiqua" w:hAnsi="Book Antiqua"/>
        </w:rPr>
        <w:t xml:space="preserve"> 2020; </w:t>
      </w:r>
      <w:r>
        <w:rPr>
          <w:rFonts w:ascii="Book Antiqua" w:hAnsi="Book Antiqua"/>
          <w:b/>
          <w:bCs/>
        </w:rPr>
        <w:t>4</w:t>
      </w:r>
      <w:r>
        <w:rPr>
          <w:rFonts w:ascii="Book Antiqua" w:hAnsi="Book Antiqua"/>
        </w:rPr>
        <w:t>: 8-20 [PMID: 31909352 DOI: 10.1002/hep4.1436]</w:t>
      </w:r>
    </w:p>
    <w:p>
      <w:pPr>
        <w:spacing w:line="360" w:lineRule="auto"/>
        <w:jc w:val="both"/>
        <w:rPr>
          <w:rFonts w:ascii="Book Antiqua" w:hAnsi="Book Antiqua"/>
        </w:rPr>
      </w:pPr>
      <w:r>
        <w:rPr>
          <w:rFonts w:ascii="Book Antiqua" w:hAnsi="Book Antiqua"/>
        </w:rPr>
        <w:t xml:space="preserve">17 </w:t>
      </w:r>
      <w:r>
        <w:rPr>
          <w:rFonts w:ascii="Book Antiqua" w:hAnsi="Book Antiqua"/>
          <w:b/>
          <w:bCs/>
        </w:rPr>
        <w:t>Brunetto MR</w:t>
      </w:r>
      <w:r>
        <w:rPr>
          <w:rFonts w:ascii="Book Antiqua" w:hAnsi="Book Antiqua"/>
        </w:rPr>
        <w:t xml:space="preserve">, Bonino F. Interferon therapy of chronic hepatitis B. </w:t>
      </w:r>
      <w:r>
        <w:rPr>
          <w:rFonts w:ascii="Book Antiqua" w:hAnsi="Book Antiqua"/>
          <w:i/>
          <w:iCs/>
        </w:rPr>
        <w:t>Intervirology</w:t>
      </w:r>
      <w:r>
        <w:rPr>
          <w:rFonts w:ascii="Book Antiqua" w:hAnsi="Book Antiqua"/>
        </w:rPr>
        <w:t xml:space="preserve"> 2014; </w:t>
      </w:r>
      <w:r>
        <w:rPr>
          <w:rFonts w:ascii="Book Antiqua" w:hAnsi="Book Antiqua"/>
          <w:b/>
          <w:bCs/>
        </w:rPr>
        <w:t>57</w:t>
      </w:r>
      <w:r>
        <w:rPr>
          <w:rFonts w:ascii="Book Antiqua" w:hAnsi="Book Antiqua"/>
        </w:rPr>
        <w:t>: 163-170 [PMID: 25034484 DOI: 10.1159/000360941]</w:t>
      </w:r>
    </w:p>
    <w:p>
      <w:pPr>
        <w:spacing w:line="360" w:lineRule="auto"/>
        <w:jc w:val="both"/>
        <w:rPr>
          <w:rFonts w:ascii="Book Antiqua" w:hAnsi="Book Antiqua"/>
        </w:rPr>
      </w:pPr>
      <w:r>
        <w:rPr>
          <w:rFonts w:ascii="Book Antiqua" w:hAnsi="Book Antiqua"/>
        </w:rPr>
        <w:t xml:space="preserve">18 </w:t>
      </w:r>
      <w:r>
        <w:rPr>
          <w:rFonts w:ascii="Book Antiqua" w:hAnsi="Book Antiqua"/>
          <w:b/>
          <w:bCs/>
        </w:rPr>
        <w:t>Liaw YF</w:t>
      </w:r>
      <w:r>
        <w:rPr>
          <w:rFonts w:ascii="Book Antiqua" w:hAnsi="Book Antiqua"/>
        </w:rPr>
        <w:t xml:space="preserve">, Leung N, Kao JH, Piratvisuth T, Gane E, Han KH, Guan R, Lau GK, Locarnini S; Chronic Hepatitis B Guideline Working Party of the Asian-Pacific Association for the Study of the Liver. Asian-Pacific consensus statement on the management of chronic hepatitis B: a 2008 update. </w:t>
      </w:r>
      <w:r>
        <w:rPr>
          <w:rFonts w:ascii="Book Antiqua" w:hAnsi="Book Antiqua"/>
          <w:i/>
          <w:iCs/>
        </w:rPr>
        <w:t>Hepatol Int</w:t>
      </w:r>
      <w:r>
        <w:rPr>
          <w:rFonts w:ascii="Book Antiqua" w:hAnsi="Book Antiqua"/>
        </w:rPr>
        <w:t xml:space="preserve"> 2008; </w:t>
      </w:r>
      <w:r>
        <w:rPr>
          <w:rFonts w:ascii="Book Antiqua" w:hAnsi="Book Antiqua"/>
          <w:b/>
          <w:bCs/>
        </w:rPr>
        <w:t>2</w:t>
      </w:r>
      <w:r>
        <w:rPr>
          <w:rFonts w:ascii="Book Antiqua" w:hAnsi="Book Antiqua"/>
        </w:rPr>
        <w:t>: 263-283 [PMID: 19669255 DOI: 10.1007/s12072-008-9080-3]</w:t>
      </w:r>
    </w:p>
    <w:p>
      <w:pPr>
        <w:spacing w:line="360" w:lineRule="auto"/>
        <w:jc w:val="both"/>
        <w:rPr>
          <w:rFonts w:ascii="Book Antiqua" w:hAnsi="Book Antiqua"/>
        </w:rPr>
      </w:pPr>
      <w:r>
        <w:rPr>
          <w:rFonts w:ascii="Book Antiqua" w:hAnsi="Book Antiqua"/>
        </w:rPr>
        <w:t xml:space="preserve">19 </w:t>
      </w:r>
      <w:r>
        <w:rPr>
          <w:rFonts w:ascii="Book Antiqua" w:hAnsi="Book Antiqua"/>
          <w:b/>
          <w:bCs/>
        </w:rPr>
        <w:t>Liaw YF</w:t>
      </w:r>
      <w:r>
        <w:rPr>
          <w:rFonts w:ascii="Book Antiqua" w:hAnsi="Book Antiqua"/>
        </w:rPr>
        <w:t xml:space="preserve">. Finite nucleos(t)ide analog therapy in HBeAg-negative chronic hepatitis B: an emerging paradigm shift. </w:t>
      </w:r>
      <w:r>
        <w:rPr>
          <w:rFonts w:ascii="Book Antiqua" w:hAnsi="Book Antiqua"/>
          <w:i/>
          <w:iCs/>
        </w:rPr>
        <w:t>Hepatol Int</w:t>
      </w:r>
      <w:r>
        <w:rPr>
          <w:rFonts w:ascii="Book Antiqua" w:hAnsi="Book Antiqua"/>
        </w:rPr>
        <w:t xml:space="preserve"> 2019; </w:t>
      </w:r>
      <w:r>
        <w:rPr>
          <w:rFonts w:ascii="Book Antiqua" w:hAnsi="Book Antiqua"/>
          <w:b/>
          <w:bCs/>
        </w:rPr>
        <w:t>13</w:t>
      </w:r>
      <w:r>
        <w:rPr>
          <w:rFonts w:ascii="Book Antiqua" w:hAnsi="Book Antiqua"/>
        </w:rPr>
        <w:t>: 665-673 [PMID: 31559604 DOI: 10.1007/s12072-019-09989-6]</w:t>
      </w:r>
    </w:p>
    <w:p>
      <w:pPr>
        <w:spacing w:line="360" w:lineRule="auto"/>
        <w:jc w:val="both"/>
        <w:rPr>
          <w:rFonts w:ascii="Book Antiqua" w:hAnsi="Book Antiqua"/>
        </w:rPr>
      </w:pPr>
      <w:r>
        <w:rPr>
          <w:rFonts w:ascii="Book Antiqua" w:hAnsi="Book Antiqua"/>
        </w:rPr>
        <w:t xml:space="preserve">20 </w:t>
      </w:r>
      <w:r>
        <w:rPr>
          <w:rFonts w:ascii="Book Antiqua" w:hAnsi="Book Antiqua"/>
          <w:b/>
          <w:bCs/>
        </w:rPr>
        <w:t>Chotiyaputta W</w:t>
      </w:r>
      <w:r>
        <w:rPr>
          <w:rFonts w:ascii="Book Antiqua" w:hAnsi="Book Antiqua"/>
        </w:rPr>
        <w:t xml:space="preserve">, Peterson C, Ditah FA, Goodwin D, Lok AS. Persistence and adherence to nucleos(t)ide analogue treatment for chronic hepatitis B. </w:t>
      </w:r>
      <w:r>
        <w:rPr>
          <w:rFonts w:ascii="Book Antiqua" w:hAnsi="Book Antiqua"/>
          <w:i/>
          <w:iCs/>
        </w:rPr>
        <w:t>J Hepatol</w:t>
      </w:r>
      <w:r>
        <w:rPr>
          <w:rFonts w:ascii="Book Antiqua" w:hAnsi="Book Antiqua"/>
        </w:rPr>
        <w:t xml:space="preserve"> 2011; </w:t>
      </w:r>
      <w:r>
        <w:rPr>
          <w:rFonts w:ascii="Book Antiqua" w:hAnsi="Book Antiqua"/>
          <w:b/>
          <w:bCs/>
        </w:rPr>
        <w:t>54</w:t>
      </w:r>
      <w:r>
        <w:rPr>
          <w:rFonts w:ascii="Book Antiqua" w:hAnsi="Book Antiqua"/>
        </w:rPr>
        <w:t>: 12-18 [PMID: 20888661 DOI: 10.1016/j.jhep.2010.06.016]</w:t>
      </w:r>
    </w:p>
    <w:p>
      <w:pPr>
        <w:spacing w:line="360" w:lineRule="auto"/>
        <w:jc w:val="both"/>
        <w:rPr>
          <w:rFonts w:ascii="Book Antiqua" w:hAnsi="Book Antiqua"/>
        </w:rPr>
      </w:pPr>
      <w:r>
        <w:rPr>
          <w:rFonts w:ascii="Book Antiqua" w:hAnsi="Book Antiqua"/>
        </w:rPr>
        <w:t xml:space="preserve">21 </w:t>
      </w:r>
      <w:r>
        <w:rPr>
          <w:rFonts w:ascii="Book Antiqua" w:hAnsi="Book Antiqua"/>
          <w:b/>
          <w:bCs/>
        </w:rPr>
        <w:t>Thompson AJ</w:t>
      </w:r>
      <w:r>
        <w:rPr>
          <w:rFonts w:ascii="Book Antiqua" w:hAnsi="Book Antiqua"/>
        </w:rPr>
        <w:t xml:space="preserve">, Ayres A, Yuen L, Bartholomeusz A, Bowden DS, Iser DM, Chen RY, Demediuk B, Shaw G, Bell SJ, Watson KJ, Locarnini SA, Desmond PV. Lamivudine resistance in patients with chronic hepatitis B: role of clinical and virological factors. </w:t>
      </w:r>
      <w:r>
        <w:rPr>
          <w:rFonts w:ascii="Book Antiqua" w:hAnsi="Book Antiqua"/>
          <w:i/>
          <w:iCs/>
        </w:rPr>
        <w:t>J Gastroenterol Hepatol</w:t>
      </w:r>
      <w:r>
        <w:rPr>
          <w:rFonts w:ascii="Book Antiqua" w:hAnsi="Book Antiqua"/>
        </w:rPr>
        <w:t xml:space="preserve"> 2007; </w:t>
      </w:r>
      <w:r>
        <w:rPr>
          <w:rFonts w:ascii="Book Antiqua" w:hAnsi="Book Antiqua"/>
          <w:b/>
          <w:bCs/>
        </w:rPr>
        <w:t>22</w:t>
      </w:r>
      <w:r>
        <w:rPr>
          <w:rFonts w:ascii="Book Antiqua" w:hAnsi="Book Antiqua"/>
        </w:rPr>
        <w:t>: 1078-1085 [PMID: 17608854 DOI: 10.1111/j.1440-1746.2006.04630.x]</w:t>
      </w:r>
    </w:p>
    <w:p>
      <w:pPr>
        <w:spacing w:line="360" w:lineRule="auto"/>
        <w:jc w:val="both"/>
        <w:rPr>
          <w:rFonts w:ascii="Book Antiqua" w:hAnsi="Book Antiqua"/>
        </w:rPr>
      </w:pPr>
      <w:r>
        <w:rPr>
          <w:rFonts w:ascii="Book Antiqua" w:hAnsi="Book Antiqua"/>
        </w:rPr>
        <w:t xml:space="preserve">22 </w:t>
      </w:r>
      <w:r>
        <w:rPr>
          <w:rFonts w:ascii="Book Antiqua" w:hAnsi="Book Antiqua"/>
          <w:b/>
          <w:bCs/>
        </w:rPr>
        <w:t>Ford N</w:t>
      </w:r>
      <w:r>
        <w:rPr>
          <w:rFonts w:ascii="Book Antiqua" w:hAnsi="Book Antiqua"/>
        </w:rPr>
        <w:t xml:space="preserve">, Scourse R, Lemoine M, Hutin Y, Bulterys M, Shubber Z, Donchuk D, Wandeler G. Adherence to Nucleos(t)ide Analogue Therapies for Chronic Hepatitis B Infection: A Systematic Review and Meta-Analysis. </w:t>
      </w:r>
      <w:r>
        <w:rPr>
          <w:rFonts w:ascii="Book Antiqua" w:hAnsi="Book Antiqua"/>
          <w:i/>
          <w:iCs/>
        </w:rPr>
        <w:t>Hepatol Commun</w:t>
      </w:r>
      <w:r>
        <w:rPr>
          <w:rFonts w:ascii="Book Antiqua" w:hAnsi="Book Antiqua"/>
        </w:rPr>
        <w:t xml:space="preserve"> 2018; </w:t>
      </w:r>
      <w:r>
        <w:rPr>
          <w:rFonts w:ascii="Book Antiqua" w:hAnsi="Book Antiqua"/>
          <w:b/>
          <w:bCs/>
        </w:rPr>
        <w:t>2</w:t>
      </w:r>
      <w:r>
        <w:rPr>
          <w:rFonts w:ascii="Book Antiqua" w:hAnsi="Book Antiqua"/>
        </w:rPr>
        <w:t>: 1160-1167 [PMID: 30288470 DOI: 10.1002/hep4.1247]</w:t>
      </w:r>
    </w:p>
    <w:p>
      <w:pPr>
        <w:spacing w:line="360" w:lineRule="auto"/>
        <w:jc w:val="both"/>
        <w:rPr>
          <w:rFonts w:ascii="Book Antiqua" w:hAnsi="Book Antiqua"/>
        </w:rPr>
      </w:pPr>
      <w:r>
        <w:rPr>
          <w:rFonts w:ascii="Book Antiqua" w:hAnsi="Book Antiqua"/>
        </w:rPr>
        <w:t xml:space="preserve">23 </w:t>
      </w:r>
      <w:r>
        <w:rPr>
          <w:rFonts w:ascii="Book Antiqua" w:hAnsi="Book Antiqua"/>
          <w:b/>
          <w:bCs/>
        </w:rPr>
        <w:t>Allard N</w:t>
      </w:r>
      <w:r>
        <w:rPr>
          <w:rFonts w:ascii="Book Antiqua" w:hAnsi="Book Antiqua"/>
        </w:rPr>
        <w:t xml:space="preserve">, Dev A, Dwyer J, Srivatsa G, Thompson A, Cowie B. Factors associated with poor adherence to antiviral treatment for hepatitis B. </w:t>
      </w:r>
      <w:r>
        <w:rPr>
          <w:rFonts w:ascii="Book Antiqua" w:hAnsi="Book Antiqua"/>
          <w:i/>
          <w:iCs/>
        </w:rPr>
        <w:t>J Viral Hepat</w:t>
      </w:r>
      <w:r>
        <w:rPr>
          <w:rFonts w:ascii="Book Antiqua" w:hAnsi="Book Antiqua"/>
        </w:rPr>
        <w:t xml:space="preserve"> 2017; </w:t>
      </w:r>
      <w:r>
        <w:rPr>
          <w:rFonts w:ascii="Book Antiqua" w:hAnsi="Book Antiqua"/>
          <w:b/>
          <w:bCs/>
        </w:rPr>
        <w:t>24</w:t>
      </w:r>
      <w:r>
        <w:rPr>
          <w:rFonts w:ascii="Book Antiqua" w:hAnsi="Book Antiqua"/>
        </w:rPr>
        <w:t>: 53-58 [PMID: 27502689 DOI: 10.1111/jvh.12582]</w:t>
      </w:r>
    </w:p>
    <w:p>
      <w:pPr>
        <w:spacing w:line="360" w:lineRule="auto"/>
        <w:jc w:val="both"/>
        <w:rPr>
          <w:rFonts w:ascii="Book Antiqua" w:hAnsi="Book Antiqua"/>
        </w:rPr>
      </w:pPr>
      <w:r>
        <w:rPr>
          <w:rFonts w:ascii="Book Antiqua" w:hAnsi="Book Antiqua"/>
        </w:rPr>
        <w:t xml:space="preserve">24 </w:t>
      </w:r>
      <w:r>
        <w:rPr>
          <w:rFonts w:ascii="Book Antiqua" w:hAnsi="Book Antiqua"/>
          <w:b/>
          <w:bCs/>
        </w:rPr>
        <w:t>Lieveld FI</w:t>
      </w:r>
      <w:r>
        <w:rPr>
          <w:rFonts w:ascii="Book Antiqua" w:hAnsi="Book Antiqua"/>
        </w:rPr>
        <w:t xml:space="preserve">, van Vlerken LG, Siersema PD, van Erpecum KJ. Patient adherence to antiviral treatment for chronic hepatitis B and C: a systematic review. </w:t>
      </w:r>
      <w:r>
        <w:rPr>
          <w:rFonts w:ascii="Book Antiqua" w:hAnsi="Book Antiqua"/>
          <w:i/>
          <w:iCs/>
        </w:rPr>
        <w:t>Ann Hepatol</w:t>
      </w:r>
      <w:r>
        <w:rPr>
          <w:rFonts w:ascii="Book Antiqua" w:hAnsi="Book Antiqua"/>
        </w:rPr>
        <w:t xml:space="preserve"> 2013; </w:t>
      </w:r>
      <w:r>
        <w:rPr>
          <w:rFonts w:ascii="Book Antiqua" w:hAnsi="Book Antiqua"/>
          <w:b/>
          <w:bCs/>
        </w:rPr>
        <w:t>12</w:t>
      </w:r>
      <w:r>
        <w:rPr>
          <w:rFonts w:ascii="Book Antiqua" w:hAnsi="Book Antiqua"/>
        </w:rPr>
        <w:t>: 380-391 [PMID: 23619254 DOI:</w:t>
      </w:r>
      <w:r>
        <w:rPr>
          <w:rFonts w:hint="eastAsia" w:ascii="Book Antiqua" w:hAnsi="Book Antiqua"/>
          <w:lang w:eastAsia="zh-CN"/>
        </w:rPr>
        <w:t xml:space="preserve"> </w:t>
      </w:r>
      <w:r>
        <w:rPr>
          <w:rFonts w:ascii="Book Antiqua" w:hAnsi="Book Antiqua"/>
          <w:lang w:eastAsia="zh-CN"/>
        </w:rPr>
        <w:t>10.1016/S1665-2681(19)31000-2</w:t>
      </w:r>
      <w:r>
        <w:rPr>
          <w:rFonts w:ascii="Book Antiqua" w:hAnsi="Book Antiqua"/>
        </w:rPr>
        <w:t>]</w:t>
      </w:r>
    </w:p>
    <w:p>
      <w:pPr>
        <w:spacing w:line="360" w:lineRule="auto"/>
        <w:jc w:val="both"/>
        <w:rPr>
          <w:rFonts w:ascii="Book Antiqua" w:hAnsi="Book Antiqua"/>
        </w:rPr>
      </w:pPr>
      <w:r>
        <w:rPr>
          <w:rFonts w:ascii="Book Antiqua" w:hAnsi="Book Antiqua"/>
        </w:rPr>
        <w:t xml:space="preserve">25 </w:t>
      </w:r>
      <w:r>
        <w:rPr>
          <w:rFonts w:ascii="Book Antiqua" w:hAnsi="Book Antiqua"/>
          <w:b/>
          <w:bCs/>
        </w:rPr>
        <w:t>Berg T</w:t>
      </w:r>
      <w:r>
        <w:rPr>
          <w:rFonts w:ascii="Book Antiqua" w:hAnsi="Book Antiqua"/>
        </w:rPr>
        <w:t xml:space="preserve">, Marcellin P, Zoulim F, Moller B, Trinh H, Chan S, Suarez E, Lavocat F, Snow-Lampart A, Frederick D, Sorbel J, Borroto-Esoda K, Oldach D, Rousseau F. Tenofovir is effective alone or with emtricitabine in adefovir-treated patients with chronic-hepatitis B virus infection. </w:t>
      </w:r>
      <w:r>
        <w:rPr>
          <w:rFonts w:ascii="Book Antiqua" w:hAnsi="Book Antiqua"/>
          <w:i/>
          <w:iCs/>
        </w:rPr>
        <w:t>Gastroenterology</w:t>
      </w:r>
      <w:r>
        <w:rPr>
          <w:rFonts w:ascii="Book Antiqua" w:hAnsi="Book Antiqua"/>
        </w:rPr>
        <w:t xml:space="preserve"> 2010; </w:t>
      </w:r>
      <w:r>
        <w:rPr>
          <w:rFonts w:ascii="Book Antiqua" w:hAnsi="Book Antiqua"/>
          <w:b/>
          <w:bCs/>
        </w:rPr>
        <w:t>139</w:t>
      </w:r>
      <w:r>
        <w:rPr>
          <w:rFonts w:ascii="Book Antiqua" w:hAnsi="Book Antiqua"/>
        </w:rPr>
        <w:t>: 1207-1217 [PMID: 20600025 DOI: 10.1053/j.gastro.2010.06.053]</w:t>
      </w:r>
    </w:p>
    <w:p>
      <w:pPr>
        <w:spacing w:line="360" w:lineRule="auto"/>
        <w:jc w:val="both"/>
        <w:rPr>
          <w:rFonts w:ascii="Book Antiqua" w:hAnsi="Book Antiqua"/>
        </w:rPr>
      </w:pPr>
      <w:r>
        <w:rPr>
          <w:rFonts w:ascii="Book Antiqua" w:hAnsi="Book Antiqua"/>
        </w:rPr>
        <w:t xml:space="preserve">26 </w:t>
      </w:r>
      <w:r>
        <w:rPr>
          <w:rFonts w:ascii="Book Antiqua" w:hAnsi="Book Antiqua"/>
          <w:b/>
          <w:bCs/>
        </w:rPr>
        <w:t>de Fraga RS</w:t>
      </w:r>
      <w:r>
        <w:rPr>
          <w:rFonts w:ascii="Book Antiqua" w:hAnsi="Book Antiqua"/>
        </w:rPr>
        <w:t xml:space="preserve">, Van Vaisberg V, Mendes LCA, Carrilho FJ, Ono SK. Adverse events of nucleos(t)ide analogues for chronic hepatitis B: a systematic review. </w:t>
      </w:r>
      <w:r>
        <w:rPr>
          <w:rFonts w:ascii="Book Antiqua" w:hAnsi="Book Antiqua"/>
          <w:i/>
          <w:iCs/>
        </w:rPr>
        <w:t>J Gastroenterol</w:t>
      </w:r>
      <w:r>
        <w:rPr>
          <w:rFonts w:ascii="Book Antiqua" w:hAnsi="Book Antiqua"/>
        </w:rPr>
        <w:t xml:space="preserve"> 2020; </w:t>
      </w:r>
      <w:r>
        <w:rPr>
          <w:rFonts w:ascii="Book Antiqua" w:hAnsi="Book Antiqua"/>
          <w:b/>
          <w:bCs/>
        </w:rPr>
        <w:t>55</w:t>
      </w:r>
      <w:r>
        <w:rPr>
          <w:rFonts w:ascii="Book Antiqua" w:hAnsi="Book Antiqua"/>
        </w:rPr>
        <w:t>: 496-514 [PMID: 32185517 DOI: 10.1007/s00535-020-01680-0]</w:t>
      </w:r>
    </w:p>
    <w:p>
      <w:pPr>
        <w:spacing w:line="360" w:lineRule="auto"/>
        <w:jc w:val="both"/>
        <w:rPr>
          <w:rFonts w:ascii="Book Antiqua" w:hAnsi="Book Antiqua"/>
        </w:rPr>
      </w:pPr>
      <w:r>
        <w:rPr>
          <w:rFonts w:ascii="Book Antiqua" w:hAnsi="Book Antiqua"/>
        </w:rPr>
        <w:t xml:space="preserve">27 </w:t>
      </w:r>
      <w:r>
        <w:rPr>
          <w:rFonts w:ascii="Book Antiqua" w:hAnsi="Book Antiqua"/>
          <w:b/>
          <w:bCs/>
        </w:rPr>
        <w:t>Udompap P</w:t>
      </w:r>
      <w:r>
        <w:rPr>
          <w:rFonts w:ascii="Book Antiqua" w:hAnsi="Book Antiqua"/>
        </w:rPr>
        <w:t xml:space="preserve">, Kim D, Ahmed A, Kim WR. Longitudinal trends in renal function in chronic hepatitis B patients receiving oral antiviral treatment. </w:t>
      </w:r>
      <w:r>
        <w:rPr>
          <w:rFonts w:ascii="Book Antiqua" w:hAnsi="Book Antiqua"/>
          <w:i/>
          <w:iCs/>
        </w:rPr>
        <w:t>Aliment Pharmacol Ther</w:t>
      </w:r>
      <w:r>
        <w:rPr>
          <w:rFonts w:ascii="Book Antiqua" w:hAnsi="Book Antiqua"/>
        </w:rPr>
        <w:t xml:space="preserve"> 2018; </w:t>
      </w:r>
      <w:r>
        <w:rPr>
          <w:rFonts w:ascii="Book Antiqua" w:hAnsi="Book Antiqua"/>
          <w:b/>
          <w:bCs/>
        </w:rPr>
        <w:t>48</w:t>
      </w:r>
      <w:r>
        <w:rPr>
          <w:rFonts w:ascii="Book Antiqua" w:hAnsi="Book Antiqua"/>
        </w:rPr>
        <w:t>: 1282-1289 [PMID: 30370967 DOI: 10.1111/apt.15020]</w:t>
      </w:r>
    </w:p>
    <w:p>
      <w:pPr>
        <w:spacing w:line="360" w:lineRule="auto"/>
        <w:jc w:val="both"/>
        <w:rPr>
          <w:rFonts w:ascii="Book Antiqua" w:hAnsi="Book Antiqua"/>
        </w:rPr>
      </w:pPr>
      <w:r>
        <w:rPr>
          <w:rFonts w:ascii="Book Antiqua" w:hAnsi="Book Antiqua"/>
        </w:rPr>
        <w:t xml:space="preserve">28 </w:t>
      </w:r>
      <w:r>
        <w:rPr>
          <w:rFonts w:ascii="Book Antiqua" w:hAnsi="Book Antiqua"/>
          <w:b/>
          <w:bCs/>
        </w:rPr>
        <w:t>Buti M</w:t>
      </w:r>
      <w:r>
        <w:rPr>
          <w:rFonts w:ascii="Book Antiqua" w:hAnsi="Book Antiqua"/>
        </w:rPr>
        <w:t xml:space="preserve">, Gane E, Seto WK, Chan HL, Chuang WL, Stepanova T, Hui AJ, Lim YS, Mehta R, Janssen HL, Acharya SK, Flaherty JF, Massetto B, Cathcart AL, Kim K, Gaggar A, Subramanian GM, McHutchison JG, Pan CQ, Brunetto M, Izumi N, Marcellin P; GS-US-320-0108 Investigators. Tenofovir alafenamide versus tenofovir disoproxil fumarate for the treatment of patients with HBeAg-negative chronic hepatitis B virus infection: a randomised, double-blind, phase 3, non-inferiority trial. </w:t>
      </w:r>
      <w:r>
        <w:rPr>
          <w:rFonts w:ascii="Book Antiqua" w:hAnsi="Book Antiqua"/>
          <w:i/>
          <w:iCs/>
        </w:rPr>
        <w:t>Lancet Gastroenterol Hepatol</w:t>
      </w:r>
      <w:r>
        <w:rPr>
          <w:rFonts w:ascii="Book Antiqua" w:hAnsi="Book Antiqua"/>
        </w:rPr>
        <w:t xml:space="preserve"> 2016; </w:t>
      </w:r>
      <w:r>
        <w:rPr>
          <w:rFonts w:ascii="Book Antiqua" w:hAnsi="Book Antiqua"/>
          <w:b/>
          <w:bCs/>
        </w:rPr>
        <w:t>1</w:t>
      </w:r>
      <w:r>
        <w:rPr>
          <w:rFonts w:ascii="Book Antiqua" w:hAnsi="Book Antiqua"/>
        </w:rPr>
        <w:t>: 196-206 [PMID: 28404092 DOI: 10.1016/S2468-1253(16)30107-8]</w:t>
      </w:r>
    </w:p>
    <w:p>
      <w:pPr>
        <w:spacing w:line="360" w:lineRule="auto"/>
        <w:jc w:val="both"/>
        <w:rPr>
          <w:rFonts w:ascii="Book Antiqua" w:hAnsi="Book Antiqua"/>
        </w:rPr>
      </w:pPr>
      <w:r>
        <w:rPr>
          <w:rFonts w:ascii="Book Antiqua" w:hAnsi="Book Antiqua"/>
        </w:rPr>
        <w:t xml:space="preserve">29 </w:t>
      </w:r>
      <w:r>
        <w:rPr>
          <w:rFonts w:ascii="Book Antiqua" w:hAnsi="Book Antiqua"/>
          <w:b/>
          <w:bCs/>
        </w:rPr>
        <w:t>Chan HL</w:t>
      </w:r>
      <w:r>
        <w:rPr>
          <w:rFonts w:ascii="Book Antiqua" w:hAnsi="Book Antiqua"/>
        </w:rPr>
        <w:t xml:space="preserve">, Fung S, Seto WK, Chuang WL, Chen CY, Kim HJ, Hui AJ, Janssen HL, Chowdhury A, Tsang TY, Mehta R, Gane E, Flaherty JF, Massetto B, Gaggar A, Kitrinos KM, Lin L, Subramanian GM, McHutchison JG, Lim YS, Acharya SK, Agarwal K; GS-US-320-0110 Investigators. Tenofovir alafenamide versus tenofovir disoproxil fumarate for the treatment of HBeAg-positive chronic hepatitis B virus infection: a randomised, double-blind, phase 3, non-inferiority trial. </w:t>
      </w:r>
      <w:r>
        <w:rPr>
          <w:rFonts w:ascii="Book Antiqua" w:hAnsi="Book Antiqua"/>
          <w:i/>
          <w:iCs/>
        </w:rPr>
        <w:t>Lancet Gastroenterol Hepatol</w:t>
      </w:r>
      <w:r>
        <w:rPr>
          <w:rFonts w:ascii="Book Antiqua" w:hAnsi="Book Antiqua"/>
        </w:rPr>
        <w:t xml:space="preserve"> 2016; </w:t>
      </w:r>
      <w:r>
        <w:rPr>
          <w:rFonts w:ascii="Book Antiqua" w:hAnsi="Book Antiqua"/>
          <w:b/>
          <w:bCs/>
        </w:rPr>
        <w:t>1</w:t>
      </w:r>
      <w:r>
        <w:rPr>
          <w:rFonts w:ascii="Book Antiqua" w:hAnsi="Book Antiqua"/>
        </w:rPr>
        <w:t>: 185-195 [PMID: 28404091 DOI: 10.1016/S2468-1253(16)30024-3]</w:t>
      </w:r>
    </w:p>
    <w:p>
      <w:pPr>
        <w:spacing w:line="360" w:lineRule="auto"/>
        <w:jc w:val="both"/>
        <w:rPr>
          <w:rFonts w:ascii="Book Antiqua" w:hAnsi="Book Antiqua"/>
        </w:rPr>
      </w:pPr>
      <w:r>
        <w:rPr>
          <w:rFonts w:ascii="Book Antiqua" w:hAnsi="Book Antiqua"/>
        </w:rPr>
        <w:t xml:space="preserve">30 </w:t>
      </w:r>
      <w:r>
        <w:rPr>
          <w:rFonts w:ascii="Book Antiqua" w:hAnsi="Book Antiqua"/>
          <w:b/>
          <w:bCs/>
        </w:rPr>
        <w:t>Agarwal K</w:t>
      </w:r>
      <w:r>
        <w:rPr>
          <w:rFonts w:ascii="Book Antiqua" w:hAnsi="Book Antiqua"/>
        </w:rPr>
        <w:t>, Brunetto M, Seto WK, Lim YS, Fung S, Marcellin P, Ahn SH, Izumi N, Chuang WL, Bae H, Sharma M, Janssen HLA, Pan CQ, Çelen MK, Furusyo N, Shalimar D, Yoon KT, Trinh H, Flaherty JF, Gaggar A, Lau AH, Cathcart AL, Lin L, Bhardwaj N, Suri V, Mani Subramanian G, Gane EJ, Buti M, Chan HLY; GS-US-320-0110; GS-US-320-0108 Investigators. 96</w:t>
      </w:r>
      <w:r>
        <w:t> </w:t>
      </w:r>
      <w:r>
        <w:rPr>
          <w:rFonts w:ascii="Book Antiqua" w:hAnsi="Book Antiqua"/>
        </w:rPr>
        <w:t xml:space="preserve">weeks treatment of tenofovir alafenamide vs. tenofovir disoproxil fumarate for hepatitis B virus infection. </w:t>
      </w:r>
      <w:r>
        <w:rPr>
          <w:rFonts w:ascii="Book Antiqua" w:hAnsi="Book Antiqua"/>
          <w:i/>
          <w:iCs/>
        </w:rPr>
        <w:t>J Hepatol</w:t>
      </w:r>
      <w:r>
        <w:rPr>
          <w:rFonts w:ascii="Book Antiqua" w:hAnsi="Book Antiqua"/>
        </w:rPr>
        <w:t xml:space="preserve"> 2018; </w:t>
      </w:r>
      <w:r>
        <w:rPr>
          <w:rFonts w:ascii="Book Antiqua" w:hAnsi="Book Antiqua"/>
          <w:b/>
          <w:bCs/>
        </w:rPr>
        <w:t>68</w:t>
      </w:r>
      <w:r>
        <w:rPr>
          <w:rFonts w:ascii="Book Antiqua" w:hAnsi="Book Antiqua"/>
        </w:rPr>
        <w:t>: 672-681 [PMID: 29756595 DOI: 10.1016/j.jhep.2017.11.039]</w:t>
      </w:r>
    </w:p>
    <w:p>
      <w:pPr>
        <w:spacing w:line="360" w:lineRule="auto"/>
        <w:jc w:val="both"/>
        <w:rPr>
          <w:rFonts w:ascii="Book Antiqua" w:hAnsi="Book Antiqua"/>
        </w:rPr>
      </w:pPr>
      <w:r>
        <w:rPr>
          <w:rFonts w:ascii="Book Antiqua" w:hAnsi="Book Antiqua"/>
        </w:rPr>
        <w:t xml:space="preserve">31 </w:t>
      </w:r>
      <w:r>
        <w:rPr>
          <w:rFonts w:ascii="Book Antiqua" w:hAnsi="Book Antiqua"/>
          <w:b/>
          <w:bCs/>
        </w:rPr>
        <w:t>Lim SG</w:t>
      </w:r>
      <w:r>
        <w:rPr>
          <w:rFonts w:ascii="Book Antiqua" w:hAnsi="Book Antiqua"/>
        </w:rPr>
        <w:t xml:space="preserve">, Aung MO, Chung SW, Soon CS, Mak BH, Lee KH. Patient preferences for hepatitis B therapy. </w:t>
      </w:r>
      <w:r>
        <w:rPr>
          <w:rFonts w:ascii="Book Antiqua" w:hAnsi="Book Antiqua"/>
          <w:i/>
          <w:iCs/>
        </w:rPr>
        <w:t>Antivir Ther</w:t>
      </w:r>
      <w:r>
        <w:rPr>
          <w:rFonts w:ascii="Book Antiqua" w:hAnsi="Book Antiqua"/>
        </w:rPr>
        <w:t xml:space="preserve"> 2013; </w:t>
      </w:r>
      <w:r>
        <w:rPr>
          <w:rFonts w:ascii="Book Antiqua" w:hAnsi="Book Antiqua"/>
          <w:b/>
          <w:bCs/>
        </w:rPr>
        <w:t>18</w:t>
      </w:r>
      <w:r>
        <w:rPr>
          <w:rFonts w:ascii="Book Antiqua" w:hAnsi="Book Antiqua"/>
        </w:rPr>
        <w:t>: 663-670 [PMID: 23232291 DOI: 10.3851/IMP2482]</w:t>
      </w:r>
    </w:p>
    <w:p>
      <w:pPr>
        <w:spacing w:line="360" w:lineRule="auto"/>
        <w:jc w:val="both"/>
        <w:rPr>
          <w:rFonts w:ascii="Book Antiqua" w:hAnsi="Book Antiqua"/>
        </w:rPr>
      </w:pPr>
      <w:r>
        <w:rPr>
          <w:rFonts w:ascii="Book Antiqua" w:hAnsi="Book Antiqua"/>
        </w:rPr>
        <w:t xml:space="preserve">32 </w:t>
      </w:r>
      <w:r>
        <w:rPr>
          <w:rFonts w:ascii="Book Antiqua" w:hAnsi="Book Antiqua"/>
          <w:b/>
          <w:bCs/>
        </w:rPr>
        <w:t>Chang ML</w:t>
      </w:r>
      <w:r>
        <w:rPr>
          <w:rFonts w:ascii="Book Antiqua" w:hAnsi="Book Antiqua"/>
        </w:rPr>
        <w:t xml:space="preserve">, Liaw YF, Hadziyannis SJ. Systematic review: cessation of long-term nucleos(t)ide analogue therapy in patients with hepatitis B e antigen-negative chronic hepatitis B. </w:t>
      </w:r>
      <w:r>
        <w:rPr>
          <w:rFonts w:ascii="Book Antiqua" w:hAnsi="Book Antiqua"/>
          <w:i/>
          <w:iCs/>
        </w:rPr>
        <w:t>Aliment Pharmacol Ther</w:t>
      </w:r>
      <w:r>
        <w:rPr>
          <w:rFonts w:ascii="Book Antiqua" w:hAnsi="Book Antiqua"/>
        </w:rPr>
        <w:t xml:space="preserve"> 2015; </w:t>
      </w:r>
      <w:r>
        <w:rPr>
          <w:rFonts w:ascii="Book Antiqua" w:hAnsi="Book Antiqua"/>
          <w:b/>
          <w:bCs/>
        </w:rPr>
        <w:t>42</w:t>
      </w:r>
      <w:r>
        <w:rPr>
          <w:rFonts w:ascii="Book Antiqua" w:hAnsi="Book Antiqua"/>
        </w:rPr>
        <w:t>: 243-257 [PMID: 26151841 DOI: 10.1111/apt.13272]</w:t>
      </w:r>
    </w:p>
    <w:p>
      <w:pPr>
        <w:spacing w:line="360" w:lineRule="auto"/>
        <w:jc w:val="both"/>
        <w:rPr>
          <w:rFonts w:ascii="Book Antiqua" w:hAnsi="Book Antiqua"/>
        </w:rPr>
      </w:pPr>
      <w:r>
        <w:rPr>
          <w:rFonts w:ascii="Book Antiqua" w:hAnsi="Book Antiqua"/>
        </w:rPr>
        <w:t xml:space="preserve">33 </w:t>
      </w:r>
      <w:r>
        <w:rPr>
          <w:rFonts w:ascii="Book Antiqua" w:hAnsi="Book Antiqua"/>
          <w:b/>
          <w:bCs/>
        </w:rPr>
        <w:t>Jeng WJ</w:t>
      </w:r>
      <w:r>
        <w:rPr>
          <w:rFonts w:ascii="Book Antiqua" w:hAnsi="Book Antiqua"/>
        </w:rPr>
        <w:t xml:space="preserve">, Chen YC, Chien RN, Sheen IS, Liaw YF. Incidence and predictors of hepatitis B surface antigen seroclearance after cessation of nucleos(t)ide analogue therapy in hepatitis B e antigen-negative chronic hepatitis B. </w:t>
      </w:r>
      <w:r>
        <w:rPr>
          <w:rFonts w:ascii="Book Antiqua" w:hAnsi="Book Antiqua"/>
          <w:i/>
          <w:iCs/>
        </w:rPr>
        <w:t>Hepatology</w:t>
      </w:r>
      <w:r>
        <w:rPr>
          <w:rFonts w:ascii="Book Antiqua" w:hAnsi="Book Antiqua"/>
        </w:rPr>
        <w:t xml:space="preserve"> 2018; </w:t>
      </w:r>
      <w:r>
        <w:rPr>
          <w:rFonts w:ascii="Book Antiqua" w:hAnsi="Book Antiqua"/>
          <w:b/>
          <w:bCs/>
        </w:rPr>
        <w:t>68</w:t>
      </w:r>
      <w:r>
        <w:rPr>
          <w:rFonts w:ascii="Book Antiqua" w:hAnsi="Book Antiqua"/>
        </w:rPr>
        <w:t>: 425-434 [PMID: 29108132 DOI: 10.1002/hep.29640]</w:t>
      </w:r>
    </w:p>
    <w:p>
      <w:pPr>
        <w:spacing w:line="360" w:lineRule="auto"/>
        <w:jc w:val="both"/>
        <w:rPr>
          <w:rFonts w:ascii="Book Antiqua" w:hAnsi="Book Antiqua"/>
        </w:rPr>
      </w:pPr>
      <w:r>
        <w:rPr>
          <w:rFonts w:ascii="Book Antiqua" w:hAnsi="Book Antiqua"/>
        </w:rPr>
        <w:t xml:space="preserve">34 </w:t>
      </w:r>
      <w:r>
        <w:rPr>
          <w:rFonts w:ascii="Book Antiqua" w:hAnsi="Book Antiqua"/>
          <w:b/>
          <w:bCs/>
        </w:rPr>
        <w:t>Kuo MT</w:t>
      </w:r>
      <w:r>
        <w:rPr>
          <w:rFonts w:ascii="Book Antiqua" w:hAnsi="Book Antiqua"/>
        </w:rPr>
        <w:t xml:space="preserve">, Hu TH, Hung CH, Wang JH, Lu SN, Tsai KL, Chen CH. Hepatitis B virus relapse rates in chronic hepatitis B patients who discontinue either entecavir or tenofovir. </w:t>
      </w:r>
      <w:r>
        <w:rPr>
          <w:rFonts w:ascii="Book Antiqua" w:hAnsi="Book Antiqua"/>
          <w:i/>
          <w:iCs/>
        </w:rPr>
        <w:t>Aliment Pharmacol Ther</w:t>
      </w:r>
      <w:r>
        <w:rPr>
          <w:rFonts w:ascii="Book Antiqua" w:hAnsi="Book Antiqua"/>
        </w:rPr>
        <w:t xml:space="preserve"> 2019; </w:t>
      </w:r>
      <w:r>
        <w:rPr>
          <w:rFonts w:ascii="Book Antiqua" w:hAnsi="Book Antiqua"/>
          <w:b/>
          <w:bCs/>
        </w:rPr>
        <w:t>49</w:t>
      </w:r>
      <w:r>
        <w:rPr>
          <w:rFonts w:ascii="Book Antiqua" w:hAnsi="Book Antiqua"/>
        </w:rPr>
        <w:t>: 218-228 [PMID: 30484881 DOI: 10.1111/apt.15053]</w:t>
      </w:r>
    </w:p>
    <w:p>
      <w:pPr>
        <w:spacing w:line="360" w:lineRule="auto"/>
        <w:jc w:val="both"/>
        <w:rPr>
          <w:rFonts w:ascii="Book Antiqua" w:hAnsi="Book Antiqua"/>
        </w:rPr>
      </w:pPr>
      <w:r>
        <w:rPr>
          <w:rFonts w:ascii="Book Antiqua" w:hAnsi="Book Antiqua"/>
        </w:rPr>
        <w:t xml:space="preserve">35 </w:t>
      </w:r>
      <w:r>
        <w:rPr>
          <w:rFonts w:ascii="Book Antiqua" w:hAnsi="Book Antiqua"/>
          <w:b/>
          <w:bCs/>
        </w:rPr>
        <w:t>Ma TL</w:t>
      </w:r>
      <w:r>
        <w:rPr>
          <w:rFonts w:ascii="Book Antiqua" w:hAnsi="Book Antiqua"/>
        </w:rPr>
        <w:t xml:space="preserve">, Hu TH, Hung CH, Wang JH, Lu SN, Chen CH. Incidence and predictors of retreatment in chronic hepatitis B patients after discontinuation of entecavir or tenofovir treatment. </w:t>
      </w:r>
      <w:r>
        <w:rPr>
          <w:rFonts w:ascii="Book Antiqua" w:hAnsi="Book Antiqua"/>
          <w:i/>
          <w:iCs/>
        </w:rPr>
        <w:t>PLoS One</w:t>
      </w:r>
      <w:r>
        <w:rPr>
          <w:rFonts w:ascii="Book Antiqua" w:hAnsi="Book Antiqua"/>
        </w:rPr>
        <w:t xml:space="preserve"> 2019; </w:t>
      </w:r>
      <w:r>
        <w:rPr>
          <w:rFonts w:ascii="Book Antiqua" w:hAnsi="Book Antiqua"/>
          <w:b/>
          <w:bCs/>
        </w:rPr>
        <w:t>14</w:t>
      </w:r>
      <w:r>
        <w:rPr>
          <w:rFonts w:ascii="Book Antiqua" w:hAnsi="Book Antiqua"/>
        </w:rPr>
        <w:t>: e0222221 [PMID: 31584951 DOI: 10.1371/journal.pone.0222221]</w:t>
      </w:r>
    </w:p>
    <w:p>
      <w:pPr>
        <w:spacing w:line="360" w:lineRule="auto"/>
        <w:jc w:val="both"/>
        <w:rPr>
          <w:rFonts w:ascii="Book Antiqua" w:hAnsi="Book Antiqua"/>
        </w:rPr>
      </w:pPr>
      <w:r>
        <w:rPr>
          <w:rFonts w:ascii="Book Antiqua" w:hAnsi="Book Antiqua"/>
        </w:rPr>
        <w:t xml:space="preserve">36 </w:t>
      </w:r>
      <w:r>
        <w:rPr>
          <w:rFonts w:ascii="Book Antiqua" w:hAnsi="Book Antiqua"/>
          <w:b/>
          <w:bCs/>
        </w:rPr>
        <w:t>Ahn J</w:t>
      </w:r>
      <w:r>
        <w:rPr>
          <w:rFonts w:ascii="Book Antiqua" w:hAnsi="Book Antiqua"/>
        </w:rPr>
        <w:t xml:space="preserve">, Lee HM, Lim JK, Pan CQ, Nguyen MH, Ray Kim W, Mannalithara A, Trinh H, Chu D, Tran T, Min A, Do S, Te H, Reddy KR, Lok AS. Entecavir safety and effectiveness in a national cohort of treatment-naïve chronic hepatitis B patients in the US - the ENUMERATE study. </w:t>
      </w:r>
      <w:r>
        <w:rPr>
          <w:rFonts w:ascii="Book Antiqua" w:hAnsi="Book Antiqua"/>
          <w:i/>
          <w:iCs/>
        </w:rPr>
        <w:t>Aliment Pharmacol Ther</w:t>
      </w:r>
      <w:r>
        <w:rPr>
          <w:rFonts w:ascii="Book Antiqua" w:hAnsi="Book Antiqua"/>
        </w:rPr>
        <w:t xml:space="preserve"> 2016; </w:t>
      </w:r>
      <w:r>
        <w:rPr>
          <w:rFonts w:ascii="Book Antiqua" w:hAnsi="Book Antiqua"/>
          <w:b/>
          <w:bCs/>
        </w:rPr>
        <w:t>43</w:t>
      </w:r>
      <w:r>
        <w:rPr>
          <w:rFonts w:ascii="Book Antiqua" w:hAnsi="Book Antiqua"/>
        </w:rPr>
        <w:t>: 134-144 [PMID: 26510638 DOI: 10.1111/apt.13440]</w:t>
      </w:r>
    </w:p>
    <w:p>
      <w:pPr>
        <w:spacing w:line="360" w:lineRule="auto"/>
        <w:jc w:val="both"/>
        <w:rPr>
          <w:rFonts w:ascii="Book Antiqua" w:hAnsi="Book Antiqua"/>
        </w:rPr>
      </w:pPr>
      <w:r>
        <w:rPr>
          <w:rFonts w:ascii="Book Antiqua" w:hAnsi="Book Antiqua"/>
        </w:rPr>
        <w:t xml:space="preserve">37 </w:t>
      </w:r>
      <w:r>
        <w:rPr>
          <w:rFonts w:ascii="Book Antiqua" w:hAnsi="Book Antiqua"/>
          <w:b/>
          <w:bCs/>
        </w:rPr>
        <w:t>Yip TC</w:t>
      </w:r>
      <w:r>
        <w:rPr>
          <w:rFonts w:ascii="Book Antiqua" w:hAnsi="Book Antiqua"/>
        </w:rPr>
        <w:t xml:space="preserve">, Wong VW, Chan HL, Tse YK, Lui GC, Wong GL. Tenofovir Is Associated With Lower Risk of Hepatocellular Carcinoma Than Entecavir in Patients With Chronic HBV Infection in China.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215-225.e6 [PMID: 31574268 DOI: 10.1053/j.gastro.2019.09.025]</w:t>
      </w:r>
    </w:p>
    <w:p>
      <w:pPr>
        <w:spacing w:line="360" w:lineRule="auto"/>
        <w:jc w:val="both"/>
        <w:rPr>
          <w:rFonts w:ascii="Book Antiqua" w:hAnsi="Book Antiqua"/>
        </w:rPr>
      </w:pPr>
      <w:r>
        <w:rPr>
          <w:rFonts w:ascii="Book Antiqua" w:hAnsi="Book Antiqua"/>
        </w:rPr>
        <w:t xml:space="preserve">38 </w:t>
      </w:r>
      <w:r>
        <w:rPr>
          <w:rFonts w:ascii="Book Antiqua" w:hAnsi="Book Antiqua"/>
          <w:b/>
          <w:bCs/>
        </w:rPr>
        <w:t>Chi H</w:t>
      </w:r>
      <w:r>
        <w:rPr>
          <w:rFonts w:ascii="Book Antiqua" w:hAnsi="Book Antiqua"/>
        </w:rPr>
        <w:t xml:space="preserve">, Hansen BE, Yim C, Arends P, Abu-Amara M, van der Eijk AA, Feld JJ, de Knegt RJ, Wong DK, Janssen HL. Reduced risk of relapse after long-term nucleos(t)ide analogue consolidation therapy for chronic hepatitis B. </w:t>
      </w:r>
      <w:r>
        <w:rPr>
          <w:rFonts w:ascii="Book Antiqua" w:hAnsi="Book Antiqua"/>
          <w:i/>
          <w:iCs/>
        </w:rPr>
        <w:t>Aliment Pharmacol Ther</w:t>
      </w:r>
      <w:r>
        <w:rPr>
          <w:rFonts w:ascii="Book Antiqua" w:hAnsi="Book Antiqua"/>
        </w:rPr>
        <w:t xml:space="preserve"> 2015; </w:t>
      </w:r>
      <w:r>
        <w:rPr>
          <w:rFonts w:ascii="Book Antiqua" w:hAnsi="Book Antiqua"/>
          <w:b/>
          <w:bCs/>
        </w:rPr>
        <w:t>41</w:t>
      </w:r>
      <w:r>
        <w:rPr>
          <w:rFonts w:ascii="Book Antiqua" w:hAnsi="Book Antiqua"/>
        </w:rPr>
        <w:t>: 867-876 [PMID: 25752878 DOI: 10.1111/apt.13150]</w:t>
      </w:r>
    </w:p>
    <w:p>
      <w:pPr>
        <w:spacing w:line="360" w:lineRule="auto"/>
        <w:jc w:val="both"/>
        <w:rPr>
          <w:rFonts w:ascii="Book Antiqua" w:hAnsi="Book Antiqua"/>
        </w:rPr>
      </w:pPr>
      <w:r>
        <w:rPr>
          <w:rFonts w:ascii="Book Antiqua" w:hAnsi="Book Antiqua"/>
        </w:rPr>
        <w:t xml:space="preserve">39 </w:t>
      </w:r>
      <w:r>
        <w:rPr>
          <w:rFonts w:ascii="Book Antiqua" w:hAnsi="Book Antiqua"/>
          <w:b/>
          <w:bCs/>
        </w:rPr>
        <w:t>Liem KS</w:t>
      </w:r>
      <w:r>
        <w:rPr>
          <w:rFonts w:ascii="Book Antiqua" w:hAnsi="Book Antiqua"/>
        </w:rPr>
        <w:t xml:space="preserve">, Fung S, Wong DK, Yim C, Noureldin S, Chen J, Feld JJ, Hansen BE, Janssen HLA. Limited sustained response after stopping nucleos(t)ide analogues in patients with chronic hepatitis B: results from a randomised controlled trial (Toronto STOP study). </w:t>
      </w:r>
      <w:r>
        <w:rPr>
          <w:rFonts w:ascii="Book Antiqua" w:hAnsi="Book Antiqua"/>
          <w:i/>
          <w:iCs/>
        </w:rPr>
        <w:t>Gut</w:t>
      </w:r>
      <w:r>
        <w:rPr>
          <w:rFonts w:ascii="Book Antiqua" w:hAnsi="Book Antiqua"/>
        </w:rPr>
        <w:t xml:space="preserve"> 2019; </w:t>
      </w:r>
      <w:r>
        <w:rPr>
          <w:rFonts w:ascii="Book Antiqua" w:hAnsi="Book Antiqua"/>
          <w:b/>
          <w:bCs/>
        </w:rPr>
        <w:t>68</w:t>
      </w:r>
      <w:r>
        <w:rPr>
          <w:rFonts w:ascii="Book Antiqua" w:hAnsi="Book Antiqua"/>
        </w:rPr>
        <w:t>: 2206-2213 [PMID: 31462554 DOI: 10.1136/gutjnl-2019-318981]</w:t>
      </w:r>
    </w:p>
    <w:p>
      <w:pPr>
        <w:spacing w:line="360" w:lineRule="auto"/>
        <w:jc w:val="both"/>
        <w:rPr>
          <w:rFonts w:ascii="Book Antiqua" w:hAnsi="Book Antiqua"/>
        </w:rPr>
      </w:pPr>
      <w:r>
        <w:rPr>
          <w:rFonts w:ascii="Book Antiqua" w:hAnsi="Book Antiqua"/>
        </w:rPr>
        <w:t xml:space="preserve">40 </w:t>
      </w:r>
      <w:r>
        <w:rPr>
          <w:rFonts w:ascii="Book Antiqua" w:hAnsi="Book Antiqua"/>
          <w:b/>
          <w:bCs/>
        </w:rPr>
        <w:t>Chen CH</w:t>
      </w:r>
      <w:r>
        <w:rPr>
          <w:rFonts w:ascii="Book Antiqua" w:hAnsi="Book Antiqua"/>
        </w:rPr>
        <w:t xml:space="preserve">, Lu SN, Hung CH, Wang JH, Hu TH, Changchien CS, Lee CM. The role of hepatitis B surface antigen quantification in predicting HBsAg loss and HBV relapse after discontinuation of lamivudine treatment. </w:t>
      </w:r>
      <w:r>
        <w:rPr>
          <w:rFonts w:ascii="Book Antiqua" w:hAnsi="Book Antiqua"/>
          <w:i/>
          <w:iCs/>
        </w:rPr>
        <w:t>J Hepatol</w:t>
      </w:r>
      <w:r>
        <w:rPr>
          <w:rFonts w:ascii="Book Antiqua" w:hAnsi="Book Antiqua"/>
        </w:rPr>
        <w:t xml:space="preserve"> 2014; </w:t>
      </w:r>
      <w:r>
        <w:rPr>
          <w:rFonts w:ascii="Book Antiqua" w:hAnsi="Book Antiqua"/>
          <w:b/>
          <w:bCs/>
        </w:rPr>
        <w:t>61</w:t>
      </w:r>
      <w:r>
        <w:rPr>
          <w:rFonts w:ascii="Book Antiqua" w:hAnsi="Book Antiqua"/>
        </w:rPr>
        <w:t>: 515-522 [PMID: 24798617 DOI: 10.1016/j.jhep.2014.04.029]</w:t>
      </w:r>
    </w:p>
    <w:p>
      <w:pPr>
        <w:spacing w:line="360" w:lineRule="auto"/>
        <w:jc w:val="both"/>
        <w:rPr>
          <w:rFonts w:ascii="Book Antiqua" w:hAnsi="Book Antiqua"/>
        </w:rPr>
      </w:pPr>
      <w:r>
        <w:rPr>
          <w:rFonts w:ascii="Book Antiqua" w:hAnsi="Book Antiqua"/>
        </w:rPr>
        <w:t xml:space="preserve">41 </w:t>
      </w:r>
      <w:r>
        <w:rPr>
          <w:rFonts w:ascii="Book Antiqua" w:hAnsi="Book Antiqua"/>
          <w:b/>
          <w:bCs/>
        </w:rPr>
        <w:t>Liu J</w:t>
      </w:r>
      <w:r>
        <w:rPr>
          <w:rFonts w:ascii="Book Antiqua" w:hAnsi="Book Antiqua"/>
        </w:rPr>
        <w:t xml:space="preserve">, Li T, Zhang L, Xu A. The Role of Hepatitis B Surface Antigen in Nucleos(t)ide Analogues Cessation Among Asian Patients With Chronic Hepatitis B: A Systematic Review. </w:t>
      </w:r>
      <w:r>
        <w:rPr>
          <w:rFonts w:ascii="Book Antiqua" w:hAnsi="Book Antiqua"/>
          <w:i/>
          <w:iCs/>
        </w:rPr>
        <w:t>Hepatology</w:t>
      </w:r>
      <w:r>
        <w:rPr>
          <w:rFonts w:ascii="Book Antiqua" w:hAnsi="Book Antiqua"/>
        </w:rPr>
        <w:t xml:space="preserve"> 2019; </w:t>
      </w:r>
      <w:r>
        <w:rPr>
          <w:rFonts w:ascii="Book Antiqua" w:hAnsi="Book Antiqua"/>
          <w:b/>
          <w:bCs/>
        </w:rPr>
        <w:t>70</w:t>
      </w:r>
      <w:r>
        <w:rPr>
          <w:rFonts w:ascii="Book Antiqua" w:hAnsi="Book Antiqua"/>
        </w:rPr>
        <w:t>: 1045-1055 [PMID: 30561829 DOI: 10.1002/hep.30474]</w:t>
      </w:r>
    </w:p>
    <w:p>
      <w:pPr>
        <w:spacing w:line="360" w:lineRule="auto"/>
        <w:jc w:val="both"/>
        <w:rPr>
          <w:rFonts w:ascii="Book Antiqua" w:hAnsi="Book Antiqua"/>
        </w:rPr>
      </w:pPr>
      <w:r>
        <w:rPr>
          <w:rFonts w:ascii="Book Antiqua" w:hAnsi="Book Antiqua"/>
        </w:rPr>
        <w:t xml:space="preserve">42 </w:t>
      </w:r>
      <w:r>
        <w:rPr>
          <w:rFonts w:ascii="Book Antiqua" w:hAnsi="Book Antiqua"/>
          <w:b/>
          <w:bCs/>
        </w:rPr>
        <w:t>Berg T</w:t>
      </w:r>
      <w:r>
        <w:rPr>
          <w:rFonts w:ascii="Book Antiqua" w:hAnsi="Book Antiqua"/>
        </w:rPr>
        <w:t xml:space="preserve">, Simon KG, Mauss S, Schott E, Heyne R, Klass DM, Eisenbach C, Welzel TM, Zachoval R, Felten G, Schulze-Zur-Wiesch J, Cornberg M, Op den Brouw ML, Jump B, Reiser H, Gallo L, Warger T, Petersen J; FINITE CHB study investigators [First investigation in stopping TDF treatment after long-term virological suppression in HBeAg-negative chronic hepatitis B]. Long-term response after stopping tenofovir disoproxil fumarate in non-cirrhotic HBeAg-negative patients - FINITE study.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918-924 [PMID: 28736139 DOI: 10.1016/j.jhep.2017.07.012]</w:t>
      </w:r>
    </w:p>
    <w:p>
      <w:pPr>
        <w:spacing w:line="360" w:lineRule="auto"/>
        <w:jc w:val="both"/>
        <w:rPr>
          <w:rFonts w:ascii="Book Antiqua" w:hAnsi="Book Antiqua"/>
        </w:rPr>
      </w:pPr>
      <w:r>
        <w:rPr>
          <w:rFonts w:ascii="Book Antiqua" w:hAnsi="Book Antiqua"/>
        </w:rPr>
        <w:t xml:space="preserve">43 </w:t>
      </w:r>
      <w:r>
        <w:rPr>
          <w:rFonts w:ascii="Book Antiqua" w:hAnsi="Book Antiqua"/>
          <w:b/>
          <w:bCs/>
        </w:rPr>
        <w:t>Mak LY</w:t>
      </w:r>
      <w:r>
        <w:rPr>
          <w:rFonts w:ascii="Book Antiqua" w:hAnsi="Book Antiqua"/>
        </w:rPr>
        <w:t xml:space="preserve">, Seto WK, Fung J, Yuen MF. Use of HBsAg quantification in the natural history and treatment of chronic hepatitis B. </w:t>
      </w:r>
      <w:r>
        <w:rPr>
          <w:rFonts w:ascii="Book Antiqua" w:hAnsi="Book Antiqua"/>
          <w:i/>
          <w:iCs/>
        </w:rPr>
        <w:t>Hepatol Int</w:t>
      </w:r>
      <w:r>
        <w:rPr>
          <w:rFonts w:ascii="Book Antiqua" w:hAnsi="Book Antiqua"/>
        </w:rPr>
        <w:t xml:space="preserve"> 2020; </w:t>
      </w:r>
      <w:r>
        <w:rPr>
          <w:rFonts w:ascii="Book Antiqua" w:hAnsi="Book Antiqua"/>
          <w:b/>
          <w:bCs/>
        </w:rPr>
        <w:t>14</w:t>
      </w:r>
      <w:r>
        <w:rPr>
          <w:rFonts w:ascii="Book Antiqua" w:hAnsi="Book Antiqua"/>
        </w:rPr>
        <w:t>: 35-46 [PMID: 31745711 DOI: 10.1007/s12072-019-09998-5]</w:t>
      </w:r>
    </w:p>
    <w:p>
      <w:pPr>
        <w:spacing w:line="360" w:lineRule="auto"/>
        <w:jc w:val="both"/>
        <w:rPr>
          <w:rFonts w:ascii="Book Antiqua" w:hAnsi="Book Antiqua"/>
        </w:rPr>
      </w:pPr>
      <w:r>
        <w:rPr>
          <w:rFonts w:ascii="Book Antiqua" w:hAnsi="Book Antiqua"/>
        </w:rPr>
        <w:t xml:space="preserve">44 </w:t>
      </w:r>
      <w:r>
        <w:rPr>
          <w:rFonts w:ascii="Book Antiqua" w:hAnsi="Book Antiqua"/>
          <w:b/>
          <w:bCs/>
        </w:rPr>
        <w:t>Liu Y</w:t>
      </w:r>
      <w:r>
        <w:rPr>
          <w:rFonts w:ascii="Book Antiqua" w:hAnsi="Book Antiqua"/>
        </w:rPr>
        <w:t xml:space="preserve">, Jia M, Wu S, Jiang W, Feng Y. Predictors of relapse after cessation of nucleos(t)ide analog treatment in HBeAg-negative chronic hepatitis B patients: A meta-analysis. </w:t>
      </w:r>
      <w:r>
        <w:rPr>
          <w:rFonts w:ascii="Book Antiqua" w:hAnsi="Book Antiqua"/>
          <w:i/>
          <w:iCs/>
        </w:rPr>
        <w:t>Int J Infect Dis</w:t>
      </w:r>
      <w:r>
        <w:rPr>
          <w:rFonts w:ascii="Book Antiqua" w:hAnsi="Book Antiqua"/>
        </w:rPr>
        <w:t xml:space="preserve"> 2019; </w:t>
      </w:r>
      <w:r>
        <w:rPr>
          <w:rFonts w:ascii="Book Antiqua" w:hAnsi="Book Antiqua"/>
          <w:b/>
          <w:bCs/>
        </w:rPr>
        <w:t>86</w:t>
      </w:r>
      <w:r>
        <w:rPr>
          <w:rFonts w:ascii="Book Antiqua" w:hAnsi="Book Antiqua"/>
        </w:rPr>
        <w:t>: 201-207 [PMID: 31394205 DOI: 10.1016/j.ijid.2019.07.036]</w:t>
      </w:r>
    </w:p>
    <w:p>
      <w:pPr>
        <w:spacing w:line="360" w:lineRule="auto"/>
        <w:jc w:val="both"/>
        <w:rPr>
          <w:rFonts w:ascii="Book Antiqua" w:hAnsi="Book Antiqua"/>
        </w:rPr>
      </w:pPr>
      <w:r>
        <w:rPr>
          <w:rFonts w:ascii="Book Antiqua" w:hAnsi="Book Antiqua"/>
        </w:rPr>
        <w:t xml:space="preserve">45 </w:t>
      </w:r>
      <w:r>
        <w:rPr>
          <w:rFonts w:ascii="Book Antiqua" w:hAnsi="Book Antiqua"/>
          <w:b/>
          <w:bCs/>
        </w:rPr>
        <w:t>Mak LY</w:t>
      </w:r>
      <w:r>
        <w:rPr>
          <w:rFonts w:ascii="Book Antiqua" w:hAnsi="Book Antiqua"/>
        </w:rPr>
        <w:t xml:space="preserve">, Wong DK, Cheung KS, Seto WK, Lai CL, Yuen MF. Review article: hepatitis B core-related antigen (HBcrAg): an emerging marker for chronic hepatitis B virus infection. </w:t>
      </w:r>
      <w:r>
        <w:rPr>
          <w:rFonts w:ascii="Book Antiqua" w:hAnsi="Book Antiqua"/>
          <w:i/>
          <w:iCs/>
        </w:rPr>
        <w:t>Aliment Pharmacol Ther</w:t>
      </w:r>
      <w:r>
        <w:rPr>
          <w:rFonts w:ascii="Book Antiqua" w:hAnsi="Book Antiqua"/>
        </w:rPr>
        <w:t xml:space="preserve"> 2018; </w:t>
      </w:r>
      <w:r>
        <w:rPr>
          <w:rFonts w:ascii="Book Antiqua" w:hAnsi="Book Antiqua"/>
          <w:b/>
          <w:bCs/>
        </w:rPr>
        <w:t>47</w:t>
      </w:r>
      <w:r>
        <w:rPr>
          <w:rFonts w:ascii="Book Antiqua" w:hAnsi="Book Antiqua"/>
        </w:rPr>
        <w:t>: 43-54 [PMID: 29035003 DOI: 10.1111/apt.14376]</w:t>
      </w:r>
    </w:p>
    <w:p>
      <w:pPr>
        <w:spacing w:line="360" w:lineRule="auto"/>
        <w:jc w:val="both"/>
        <w:rPr>
          <w:rFonts w:ascii="Book Antiqua" w:hAnsi="Book Antiqua"/>
        </w:rPr>
      </w:pPr>
      <w:r>
        <w:rPr>
          <w:rFonts w:ascii="Book Antiqua" w:hAnsi="Book Antiqua"/>
        </w:rPr>
        <w:t xml:space="preserve">46 </w:t>
      </w:r>
      <w:r>
        <w:rPr>
          <w:rFonts w:ascii="Book Antiqua" w:hAnsi="Book Antiqua"/>
          <w:b/>
          <w:bCs/>
        </w:rPr>
        <w:t>Testoni B</w:t>
      </w:r>
      <w:r>
        <w:rPr>
          <w:rFonts w:ascii="Book Antiqua" w:hAnsi="Book Antiqua"/>
        </w:rPr>
        <w:t xml:space="preserve">, Lebossé F, Scholtes C, Berby F, Miaglia C, Subic M, Loglio A, Facchetti F, Lampertico P, Levrero M, Zoulim F. Serum hepatitis B core-related antigen (HBcrAg) correlates with covalently closed circular DNA transcriptional activity in chronic hepatitis B patients. </w:t>
      </w:r>
      <w:r>
        <w:rPr>
          <w:rFonts w:ascii="Book Antiqua" w:hAnsi="Book Antiqua"/>
          <w:i/>
          <w:iCs/>
        </w:rPr>
        <w:t>J Hepatol</w:t>
      </w:r>
      <w:r>
        <w:rPr>
          <w:rFonts w:ascii="Book Antiqua" w:hAnsi="Book Antiqua"/>
        </w:rPr>
        <w:t xml:space="preserve"> 2019; </w:t>
      </w:r>
      <w:r>
        <w:rPr>
          <w:rFonts w:ascii="Book Antiqua" w:hAnsi="Book Antiqua"/>
          <w:b/>
          <w:bCs/>
        </w:rPr>
        <w:t>70</w:t>
      </w:r>
      <w:r>
        <w:rPr>
          <w:rFonts w:ascii="Book Antiqua" w:hAnsi="Book Antiqua"/>
        </w:rPr>
        <w:t>: 615-625 [PMID: 30529504 DOI: 10.1016/j.jhep.2018.11.030]</w:t>
      </w:r>
    </w:p>
    <w:p>
      <w:pPr>
        <w:spacing w:line="360" w:lineRule="auto"/>
        <w:jc w:val="both"/>
        <w:rPr>
          <w:rFonts w:ascii="Book Antiqua" w:hAnsi="Book Antiqua"/>
        </w:rPr>
      </w:pPr>
      <w:r>
        <w:rPr>
          <w:rFonts w:ascii="Book Antiqua" w:hAnsi="Book Antiqua"/>
        </w:rPr>
        <w:t xml:space="preserve">47 </w:t>
      </w:r>
      <w:r>
        <w:rPr>
          <w:rFonts w:ascii="Book Antiqua" w:hAnsi="Book Antiqua"/>
          <w:b/>
          <w:bCs/>
        </w:rPr>
        <w:t>Matsumoto A</w:t>
      </w:r>
      <w:r>
        <w:rPr>
          <w:rFonts w:ascii="Book Antiqua" w:hAnsi="Book Antiqua"/>
        </w:rPr>
        <w:t xml:space="preserve">, Tanaka E, Minami M, Okanoue T, Yatsuhashi H, Nagaoka S, Suzuki F, Kobayashi M, Chayama K, Imamura M, Yotsuyanagi H, Nakaoka S, Maki N, Kawata S, Kumada H, Iino S, Kiyosawa K. Low serum level of hepatitis B core-related antigen indicates unlikely reactivation of hepatitis after cessation of lamivudine therapy. </w:t>
      </w:r>
      <w:r>
        <w:rPr>
          <w:rFonts w:ascii="Book Antiqua" w:hAnsi="Book Antiqua"/>
          <w:i/>
          <w:iCs/>
        </w:rPr>
        <w:t>Hepatol Res</w:t>
      </w:r>
      <w:r>
        <w:rPr>
          <w:rFonts w:ascii="Book Antiqua" w:hAnsi="Book Antiqua"/>
        </w:rPr>
        <w:t xml:space="preserve"> 2007; </w:t>
      </w:r>
      <w:r>
        <w:rPr>
          <w:rFonts w:ascii="Book Antiqua" w:hAnsi="Book Antiqua"/>
          <w:b/>
          <w:bCs/>
        </w:rPr>
        <w:t>37</w:t>
      </w:r>
      <w:r>
        <w:rPr>
          <w:rFonts w:ascii="Book Antiqua" w:hAnsi="Book Antiqua"/>
        </w:rPr>
        <w:t>: 661-666 [PMID: 17584261 DOI: 10.1111/j.1872-034X.2007.00094.x]</w:t>
      </w:r>
    </w:p>
    <w:p>
      <w:pPr>
        <w:spacing w:line="360" w:lineRule="auto"/>
        <w:jc w:val="both"/>
        <w:rPr>
          <w:rFonts w:ascii="Book Antiqua" w:hAnsi="Book Antiqua"/>
        </w:rPr>
      </w:pPr>
      <w:r>
        <w:rPr>
          <w:rFonts w:ascii="Book Antiqua" w:hAnsi="Book Antiqua"/>
        </w:rPr>
        <w:t xml:space="preserve">48 </w:t>
      </w:r>
      <w:r>
        <w:rPr>
          <w:rFonts w:ascii="Book Antiqua" w:hAnsi="Book Antiqua"/>
          <w:b/>
          <w:bCs/>
        </w:rPr>
        <w:t>Hsu YC</w:t>
      </w:r>
      <w:r>
        <w:rPr>
          <w:rFonts w:ascii="Book Antiqua" w:hAnsi="Book Antiqua"/>
        </w:rPr>
        <w:t xml:space="preserve">, Nguyen MH, Mo LR, Wu MS, Yang TH, Chen CC, Tseng CH, Tai CM, Wu CY, Lin JT, Tanaka Y, Chang CY. Combining hepatitis B core-related and surface antigens at end of nucleos(t)ide analogue treatment to predict off-therapy relapse risk. </w:t>
      </w:r>
      <w:r>
        <w:rPr>
          <w:rFonts w:ascii="Book Antiqua" w:hAnsi="Book Antiqua"/>
          <w:i/>
          <w:iCs/>
        </w:rPr>
        <w:t>Aliment Pharmacol Ther</w:t>
      </w:r>
      <w:r>
        <w:rPr>
          <w:rFonts w:ascii="Book Antiqua" w:hAnsi="Book Antiqua"/>
        </w:rPr>
        <w:t xml:space="preserve"> 2019; </w:t>
      </w:r>
      <w:r>
        <w:rPr>
          <w:rFonts w:ascii="Book Antiqua" w:hAnsi="Book Antiqua"/>
          <w:b/>
          <w:bCs/>
        </w:rPr>
        <w:t>49</w:t>
      </w:r>
      <w:r>
        <w:rPr>
          <w:rFonts w:ascii="Book Antiqua" w:hAnsi="Book Antiqua"/>
        </w:rPr>
        <w:t>: 107-115 [PMID: 30450681 DOI: 10.1111/apt.15058]</w:t>
      </w:r>
    </w:p>
    <w:p>
      <w:pPr>
        <w:spacing w:line="360" w:lineRule="auto"/>
        <w:jc w:val="both"/>
        <w:rPr>
          <w:rFonts w:ascii="Book Antiqua" w:hAnsi="Book Antiqua"/>
        </w:rPr>
      </w:pPr>
      <w:r>
        <w:rPr>
          <w:rFonts w:ascii="Book Antiqua" w:hAnsi="Book Antiqua"/>
        </w:rPr>
        <w:t xml:space="preserve">49 </w:t>
      </w:r>
      <w:r>
        <w:rPr>
          <w:rFonts w:ascii="Book Antiqua" w:hAnsi="Book Antiqua"/>
          <w:b/>
          <w:bCs/>
        </w:rPr>
        <w:t>Wang J</w:t>
      </w:r>
      <w:r>
        <w:rPr>
          <w:rFonts w:ascii="Book Antiqua" w:hAnsi="Book Antiqua"/>
        </w:rPr>
        <w:t xml:space="preserve">, Shen T, Huang X, Kumar GR, Chen X, Zeng Z, Zhang R, Chen R, Li T, Zhang T, Yuan Q, Li PC, Huang Q, Colonno R, Jia J, Hou J, McCrae MA, Gao Z, Ren H, Xia N, Zhuang H, Lu F. Serum hepatitis B virus RNA is encapsidated pregenome RNA that may be associated with persistence of viral infection and rebound. </w:t>
      </w:r>
      <w:r>
        <w:rPr>
          <w:rFonts w:ascii="Book Antiqua" w:hAnsi="Book Antiqua"/>
          <w:i/>
          <w:iCs/>
        </w:rPr>
        <w:t>J Hepatol</w:t>
      </w:r>
      <w:r>
        <w:rPr>
          <w:rFonts w:ascii="Book Antiqua" w:hAnsi="Book Antiqua"/>
        </w:rPr>
        <w:t xml:space="preserve"> 2016; </w:t>
      </w:r>
      <w:r>
        <w:rPr>
          <w:rFonts w:ascii="Book Antiqua" w:hAnsi="Book Antiqua"/>
          <w:b/>
          <w:bCs/>
        </w:rPr>
        <w:t>65</w:t>
      </w:r>
      <w:r>
        <w:rPr>
          <w:rFonts w:ascii="Book Antiqua" w:hAnsi="Book Antiqua"/>
        </w:rPr>
        <w:t>: 700-710 [PMID: 27245431 DOI: 10.1016/j.jhep.2016.05.029]</w:t>
      </w:r>
    </w:p>
    <w:p>
      <w:pPr>
        <w:spacing w:line="360" w:lineRule="auto"/>
        <w:jc w:val="both"/>
        <w:rPr>
          <w:rFonts w:ascii="Book Antiqua" w:hAnsi="Book Antiqua"/>
        </w:rPr>
      </w:pPr>
      <w:r>
        <w:rPr>
          <w:rFonts w:ascii="Book Antiqua" w:hAnsi="Book Antiqua"/>
        </w:rPr>
        <w:t xml:space="preserve">50 </w:t>
      </w:r>
      <w:r>
        <w:rPr>
          <w:rFonts w:ascii="Book Antiqua" w:hAnsi="Book Antiqua"/>
          <w:b/>
          <w:bCs/>
        </w:rPr>
        <w:t>Fan R</w:t>
      </w:r>
      <w:r>
        <w:rPr>
          <w:rFonts w:ascii="Book Antiqua" w:hAnsi="Book Antiqua"/>
        </w:rPr>
        <w:t xml:space="preserve">, Zhou B, Xu M, Tan D, Niu J, Wang H, Ren H, Chen X, Wang M, Ning Q, Shi G, Sheng J, Tang H, Bai X, Liu S, Lu F, Peng J, Sun J, Xie Q, Hou J; Chronic Hepatitis B Study Consortium. Association Between Negative Results From Tests for HBV DNA and RNA and Durability of Response After Discontinuation of Nucles(t)ide Analogue Therapy. </w:t>
      </w:r>
      <w:r>
        <w:rPr>
          <w:rFonts w:ascii="Book Antiqua" w:hAnsi="Book Antiqua"/>
          <w:i/>
          <w:iCs/>
        </w:rPr>
        <w:t>Clin Gastroenterol Hepatol</w:t>
      </w:r>
      <w:r>
        <w:rPr>
          <w:rFonts w:ascii="Book Antiqua" w:hAnsi="Book Antiqua"/>
        </w:rPr>
        <w:t xml:space="preserve"> 2020; </w:t>
      </w:r>
      <w:r>
        <w:rPr>
          <w:rFonts w:ascii="Book Antiqua" w:hAnsi="Book Antiqua"/>
          <w:b/>
          <w:bCs/>
        </w:rPr>
        <w:t>18</w:t>
      </w:r>
      <w:r>
        <w:rPr>
          <w:rFonts w:ascii="Book Antiqua" w:hAnsi="Book Antiqua"/>
        </w:rPr>
        <w:t>: 719-727.e7 [PMID: 31362119 DOI: 10.1016/j.cgh.2019.07.046]</w:t>
      </w:r>
    </w:p>
    <w:p>
      <w:pPr>
        <w:spacing w:line="360" w:lineRule="auto"/>
        <w:jc w:val="both"/>
        <w:rPr>
          <w:rFonts w:ascii="Book Antiqua" w:hAnsi="Book Antiqua"/>
        </w:rPr>
      </w:pPr>
      <w:r>
        <w:rPr>
          <w:rFonts w:ascii="Book Antiqua" w:hAnsi="Book Antiqua"/>
        </w:rPr>
        <w:t xml:space="preserve">51 </w:t>
      </w:r>
      <w:r>
        <w:rPr>
          <w:rFonts w:ascii="Book Antiqua" w:hAnsi="Book Antiqua"/>
          <w:b/>
          <w:bCs/>
        </w:rPr>
        <w:t>Carey I</w:t>
      </w:r>
      <w:r>
        <w:rPr>
          <w:rFonts w:ascii="Book Antiqua" w:hAnsi="Book Antiqua"/>
        </w:rPr>
        <w:t xml:space="preserve">, Gersch J, Wang B, Moigboi C, Kuhns M, Cloherty G, Dusheiko G, Agarwal K. Pregenomic HBV RNA and Hepatitis B Core-Related Antigen Predict Outcomes in Hepatitis B e Antigen-Negative Chronic Hepatitis B Patients Suppressed on Nucleos(T)ide Analogue Therapy. </w:t>
      </w:r>
      <w:r>
        <w:rPr>
          <w:rFonts w:ascii="Book Antiqua" w:hAnsi="Book Antiqua"/>
          <w:i/>
          <w:iCs/>
        </w:rPr>
        <w:t>Hepatology</w:t>
      </w:r>
      <w:r>
        <w:rPr>
          <w:rFonts w:ascii="Book Antiqua" w:hAnsi="Book Antiqua"/>
        </w:rPr>
        <w:t xml:space="preserve"> 2020; </w:t>
      </w:r>
      <w:r>
        <w:rPr>
          <w:rFonts w:ascii="Book Antiqua" w:hAnsi="Book Antiqua"/>
          <w:b/>
          <w:bCs/>
        </w:rPr>
        <w:t>72</w:t>
      </w:r>
      <w:r>
        <w:rPr>
          <w:rFonts w:ascii="Book Antiqua" w:hAnsi="Book Antiqua"/>
        </w:rPr>
        <w:t>: 42-57 [PMID: 31701544 DOI: 10.1002/hep.31026]</w:t>
      </w:r>
    </w:p>
    <w:p>
      <w:pPr>
        <w:spacing w:line="360" w:lineRule="auto"/>
        <w:jc w:val="both"/>
        <w:rPr>
          <w:rFonts w:ascii="Book Antiqua" w:hAnsi="Book Antiqua"/>
        </w:rPr>
      </w:pPr>
      <w:r>
        <w:rPr>
          <w:rFonts w:ascii="Book Antiqua" w:hAnsi="Book Antiqua"/>
        </w:rPr>
        <w:t xml:space="preserve">52 </w:t>
      </w:r>
      <w:r>
        <w:rPr>
          <w:rFonts w:ascii="Book Antiqua" w:hAnsi="Book Antiqua"/>
          <w:b/>
          <w:bCs/>
        </w:rPr>
        <w:t>Fan R</w:t>
      </w:r>
      <w:r>
        <w:rPr>
          <w:rFonts w:ascii="Book Antiqua" w:hAnsi="Book Antiqua"/>
        </w:rPr>
        <w:t xml:space="preserve">, Peng J, Xie Q, Tan D, Xu M, Niu J, Wang H, Ren H, Chen X, Wang M, Sheng J, Tang H, Bai X, Wu Y, Zhou B, Sun J, Hou J; Chronic Hepatitis B Study Consortium. Combining Hepatitis B Virus RNA and Hepatitis B Core-Related Antigen: Guidance for Safely Stopping Nucleos(t)ide Analogues in Hepatitis B e Antigen-Positive Patients With Chronic Hepatitis B. </w:t>
      </w:r>
      <w:r>
        <w:rPr>
          <w:rFonts w:ascii="Book Antiqua" w:hAnsi="Book Antiqua"/>
          <w:i/>
          <w:iCs/>
        </w:rPr>
        <w:t>J Infect Dis</w:t>
      </w:r>
      <w:r>
        <w:rPr>
          <w:rFonts w:ascii="Book Antiqua" w:hAnsi="Book Antiqua"/>
        </w:rPr>
        <w:t xml:space="preserve"> 2020; </w:t>
      </w:r>
      <w:r>
        <w:rPr>
          <w:rFonts w:ascii="Book Antiqua" w:hAnsi="Book Antiqua"/>
          <w:b/>
          <w:bCs/>
        </w:rPr>
        <w:t>222</w:t>
      </w:r>
      <w:r>
        <w:rPr>
          <w:rFonts w:ascii="Book Antiqua" w:hAnsi="Book Antiqua"/>
        </w:rPr>
        <w:t>: 611-618 [PMID: 32211776 DOI: 10.1093/infdis/jiaa136]</w:t>
      </w:r>
    </w:p>
    <w:p>
      <w:pPr>
        <w:spacing w:line="360" w:lineRule="auto"/>
        <w:jc w:val="both"/>
        <w:rPr>
          <w:rFonts w:ascii="Book Antiqua" w:hAnsi="Book Antiqua"/>
        </w:rPr>
      </w:pPr>
      <w:r>
        <w:rPr>
          <w:rFonts w:ascii="Book Antiqua" w:hAnsi="Book Antiqua"/>
        </w:rPr>
        <w:t xml:space="preserve">53 </w:t>
      </w:r>
      <w:r>
        <w:rPr>
          <w:rFonts w:ascii="Book Antiqua" w:hAnsi="Book Antiqua"/>
          <w:b/>
          <w:bCs/>
        </w:rPr>
        <w:t>Drafting Committee for Hepatitis Management Guidelines and the Japan Society of Hepatology</w:t>
      </w:r>
      <w:r>
        <w:rPr>
          <w:rFonts w:ascii="Book Antiqua" w:hAnsi="Book Antiqua"/>
        </w:rPr>
        <w:t xml:space="preserve">. JSH Guidelines for the Management of Hepatitis B Virus Infection. </w:t>
      </w:r>
      <w:r>
        <w:rPr>
          <w:rFonts w:ascii="Book Antiqua" w:hAnsi="Book Antiqua"/>
          <w:i/>
          <w:iCs/>
        </w:rPr>
        <w:t>Hepatol Res</w:t>
      </w:r>
      <w:r>
        <w:rPr>
          <w:rFonts w:ascii="Book Antiqua" w:hAnsi="Book Antiqua"/>
        </w:rPr>
        <w:t xml:space="preserve"> 2014; </w:t>
      </w:r>
      <w:r>
        <w:rPr>
          <w:rFonts w:ascii="Book Antiqua" w:hAnsi="Book Antiqua"/>
          <w:b/>
          <w:bCs/>
        </w:rPr>
        <w:t>44 Suppl S1</w:t>
      </w:r>
      <w:r>
        <w:rPr>
          <w:rFonts w:ascii="Book Antiqua" w:hAnsi="Book Antiqua"/>
        </w:rPr>
        <w:t>: 1-58 [PMID: 24397839 DOI: 10.1111/hepr.12269]</w:t>
      </w:r>
    </w:p>
    <w:p>
      <w:pPr>
        <w:spacing w:line="360" w:lineRule="auto"/>
        <w:jc w:val="both"/>
        <w:rPr>
          <w:rFonts w:ascii="Book Antiqua" w:hAnsi="Book Antiqua"/>
        </w:rPr>
      </w:pPr>
      <w:r>
        <w:rPr>
          <w:rFonts w:ascii="Book Antiqua" w:hAnsi="Book Antiqua"/>
        </w:rPr>
        <w:t xml:space="preserve">54 </w:t>
      </w:r>
      <w:r>
        <w:rPr>
          <w:rFonts w:ascii="Book Antiqua" w:hAnsi="Book Antiqua"/>
          <w:b/>
          <w:bCs/>
        </w:rPr>
        <w:t>Papatheodoridi M</w:t>
      </w:r>
      <w:r>
        <w:rPr>
          <w:rFonts w:ascii="Book Antiqua" w:hAnsi="Book Antiqua"/>
        </w:rPr>
        <w:t xml:space="preserve">, Hadziyannis E, Berby F, Zachou K, Testoni B, Rigopoulou E, Gatselis NK, Lyberopoulou A, Vlachogiannakos I, Manolakopoulos S, Dalekos GN, Zoulim F, Papatheodoridis GV. Predictors of hepatitis B surface antigen loss, relapse and retreatment after discontinuation of effective oral antiviral therapy in noncirrhotic HBeAg-negative chronic hepatitis B. </w:t>
      </w:r>
      <w:r>
        <w:rPr>
          <w:rFonts w:ascii="Book Antiqua" w:hAnsi="Book Antiqua"/>
          <w:i/>
          <w:iCs/>
        </w:rPr>
        <w:t>J Viral Hepat</w:t>
      </w:r>
      <w:r>
        <w:rPr>
          <w:rFonts w:ascii="Book Antiqua" w:hAnsi="Book Antiqua"/>
        </w:rPr>
        <w:t xml:space="preserve"> 2020; </w:t>
      </w:r>
      <w:r>
        <w:rPr>
          <w:rFonts w:ascii="Book Antiqua" w:hAnsi="Book Antiqua"/>
          <w:b/>
          <w:bCs/>
        </w:rPr>
        <w:t>27</w:t>
      </w:r>
      <w:r>
        <w:rPr>
          <w:rFonts w:ascii="Book Antiqua" w:hAnsi="Book Antiqua"/>
        </w:rPr>
        <w:t>: 118-126 [PMID: 31562748 DOI: 10.1111/jvh.13211]</w:t>
      </w:r>
    </w:p>
    <w:p>
      <w:pPr>
        <w:spacing w:line="360" w:lineRule="auto"/>
        <w:jc w:val="both"/>
        <w:rPr>
          <w:rFonts w:ascii="Book Antiqua" w:hAnsi="Book Antiqua"/>
        </w:rPr>
      </w:pPr>
      <w:r>
        <w:rPr>
          <w:rFonts w:ascii="Book Antiqua" w:hAnsi="Book Antiqua"/>
        </w:rPr>
        <w:t xml:space="preserve">55 </w:t>
      </w:r>
      <w:r>
        <w:rPr>
          <w:rFonts w:ascii="Book Antiqua" w:hAnsi="Book Antiqua"/>
          <w:b/>
          <w:bCs/>
        </w:rPr>
        <w:t>Boni C</w:t>
      </w:r>
      <w:r>
        <w:rPr>
          <w:rFonts w:ascii="Book Antiqua" w:hAnsi="Book Antiqua"/>
        </w:rPr>
        <w:t xml:space="preserve">, Laccabue D, Lampertico P, Giuberti T, Viganò M, Schivazappa S, Alfieri A, Pesci M, Gaeta GB, Brancaccio G, Colombo M, Missale G, Ferrari C. Restored function of HBV-specific T cells after long-term effective therapy with nucleos(t)ide analogues. </w:t>
      </w:r>
      <w:r>
        <w:rPr>
          <w:rFonts w:ascii="Book Antiqua" w:hAnsi="Book Antiqua"/>
          <w:i/>
          <w:iCs/>
        </w:rPr>
        <w:t>Gastroenterology</w:t>
      </w:r>
      <w:r>
        <w:rPr>
          <w:rFonts w:ascii="Book Antiqua" w:hAnsi="Book Antiqua"/>
        </w:rPr>
        <w:t xml:space="preserve"> 2012; </w:t>
      </w:r>
      <w:r>
        <w:rPr>
          <w:rFonts w:ascii="Book Antiqua" w:hAnsi="Book Antiqua"/>
          <w:b/>
          <w:bCs/>
        </w:rPr>
        <w:t>143</w:t>
      </w:r>
      <w:r>
        <w:rPr>
          <w:rFonts w:ascii="Book Antiqua" w:hAnsi="Book Antiqua"/>
        </w:rPr>
        <w:t>: 963-73.e9 [PMID: 22796241 DOI: 10.1053/j.gastro.2012.07.014]</w:t>
      </w:r>
    </w:p>
    <w:p>
      <w:pPr>
        <w:spacing w:line="360" w:lineRule="auto"/>
        <w:jc w:val="both"/>
        <w:rPr>
          <w:rFonts w:ascii="Book Antiqua" w:hAnsi="Book Antiqua"/>
        </w:rPr>
      </w:pPr>
      <w:r>
        <w:rPr>
          <w:rFonts w:ascii="Book Antiqua" w:hAnsi="Book Antiqua"/>
        </w:rPr>
        <w:t xml:space="preserve">56 </w:t>
      </w:r>
      <w:r>
        <w:rPr>
          <w:rFonts w:ascii="Book Antiqua" w:hAnsi="Book Antiqua"/>
          <w:b/>
          <w:bCs/>
        </w:rPr>
        <w:t>Boni C</w:t>
      </w:r>
      <w:r>
        <w:rPr>
          <w:rFonts w:ascii="Book Antiqua" w:hAnsi="Book Antiqua"/>
        </w:rPr>
        <w:t xml:space="preserve">, Fisicaro P, Valdatta C, Amadei B, Di Vincenzo P, Giuberti T, Laccabue D, Zerbini A, Cavalli A, Missale G, Bertoletti A, Ferrari C. Characterization of hepatitis B virus (HBV)-specific T-cell dysfunction in chronic HBV infection. </w:t>
      </w:r>
      <w:r>
        <w:rPr>
          <w:rFonts w:ascii="Book Antiqua" w:hAnsi="Book Antiqua"/>
          <w:i/>
          <w:iCs/>
        </w:rPr>
        <w:t>J Virol</w:t>
      </w:r>
      <w:r>
        <w:rPr>
          <w:rFonts w:ascii="Book Antiqua" w:hAnsi="Book Antiqua"/>
        </w:rPr>
        <w:t xml:space="preserve"> 2007; </w:t>
      </w:r>
      <w:r>
        <w:rPr>
          <w:rFonts w:ascii="Book Antiqua" w:hAnsi="Book Antiqua"/>
          <w:b/>
          <w:bCs/>
        </w:rPr>
        <w:t>81</w:t>
      </w:r>
      <w:r>
        <w:rPr>
          <w:rFonts w:ascii="Book Antiqua" w:hAnsi="Book Antiqua"/>
        </w:rPr>
        <w:t>: 4215-4225 [PMID: 17287266 DOI: 10.1128/JVI.02844-06]</w:t>
      </w:r>
    </w:p>
    <w:p>
      <w:pPr>
        <w:spacing w:line="360" w:lineRule="auto"/>
        <w:jc w:val="both"/>
        <w:rPr>
          <w:rFonts w:ascii="Book Antiqua" w:hAnsi="Book Antiqua"/>
        </w:rPr>
      </w:pPr>
      <w:r>
        <w:rPr>
          <w:rFonts w:ascii="Book Antiqua" w:hAnsi="Book Antiqua"/>
        </w:rPr>
        <w:t xml:space="preserve">57 </w:t>
      </w:r>
      <w:r>
        <w:rPr>
          <w:rFonts w:ascii="Book Antiqua" w:hAnsi="Book Antiqua"/>
          <w:b/>
          <w:bCs/>
        </w:rPr>
        <w:t>Höner Zu Siederdissen C</w:t>
      </w:r>
      <w:r>
        <w:rPr>
          <w:rFonts w:ascii="Book Antiqua" w:hAnsi="Book Antiqua"/>
        </w:rPr>
        <w:t xml:space="preserve">, Rinker F, Maasoumy B, Wiegand SB, Filmann N, Falk CS, Deterding K, Port K, Mix C, Manns MP, Herrmann E, Wedemeyer H, Kraft AR, Cornberg M. Viral and Host Responses After Stopping Long-term Nucleos(t)ide Analogue Therapy in HBeAg-Negative Chronic Hepatitis B. </w:t>
      </w:r>
      <w:r>
        <w:rPr>
          <w:rFonts w:ascii="Book Antiqua" w:hAnsi="Book Antiqua"/>
          <w:i/>
          <w:iCs/>
        </w:rPr>
        <w:t>J Infect Dis</w:t>
      </w:r>
      <w:r>
        <w:rPr>
          <w:rFonts w:ascii="Book Antiqua" w:hAnsi="Book Antiqua"/>
        </w:rPr>
        <w:t xml:space="preserve"> 2016; </w:t>
      </w:r>
      <w:r>
        <w:rPr>
          <w:rFonts w:ascii="Book Antiqua" w:hAnsi="Book Antiqua"/>
          <w:b/>
          <w:bCs/>
        </w:rPr>
        <w:t>214</w:t>
      </w:r>
      <w:r>
        <w:rPr>
          <w:rFonts w:ascii="Book Antiqua" w:hAnsi="Book Antiqua"/>
        </w:rPr>
        <w:t>: 1492-1497 [PMID: 27609808 DOI: 10.1093/infdis/jiw412]</w:t>
      </w:r>
    </w:p>
    <w:p>
      <w:pPr>
        <w:spacing w:line="360" w:lineRule="auto"/>
        <w:jc w:val="both"/>
        <w:rPr>
          <w:rFonts w:ascii="Book Antiqua" w:hAnsi="Book Antiqua"/>
        </w:rPr>
      </w:pPr>
      <w:r>
        <w:rPr>
          <w:rFonts w:ascii="Book Antiqua" w:hAnsi="Book Antiqua"/>
        </w:rPr>
        <w:t xml:space="preserve">58 </w:t>
      </w:r>
      <w:r>
        <w:rPr>
          <w:rFonts w:ascii="Book Antiqua" w:hAnsi="Book Antiqua"/>
          <w:b/>
          <w:bCs/>
        </w:rPr>
        <w:t>Rinker F</w:t>
      </w:r>
      <w:r>
        <w:rPr>
          <w:rFonts w:ascii="Book Antiqua" w:hAnsi="Book Antiqua"/>
        </w:rPr>
        <w:t xml:space="preserve">, Zimmer CL, Höner Zu Siederdissen C, Manns MP, Kraft ARM, Wedemeyer H, Björkström NK, Cornberg M. Hepatitis B virus-specific T cell responses after stopping nucleos(t)ide analogue therapy in HBeAg-negative chronic hepatitis B. </w:t>
      </w:r>
      <w:r>
        <w:rPr>
          <w:rFonts w:ascii="Book Antiqua" w:hAnsi="Book Antiqua"/>
          <w:i/>
          <w:iCs/>
        </w:rPr>
        <w:t>J Hepatol</w:t>
      </w:r>
      <w:r>
        <w:rPr>
          <w:rFonts w:ascii="Book Antiqua" w:hAnsi="Book Antiqua"/>
        </w:rPr>
        <w:t xml:space="preserve"> 2018; </w:t>
      </w:r>
      <w:r>
        <w:rPr>
          <w:rFonts w:ascii="Book Antiqua" w:hAnsi="Book Antiqua"/>
          <w:b/>
          <w:bCs/>
        </w:rPr>
        <w:t>69</w:t>
      </w:r>
      <w:r>
        <w:rPr>
          <w:rFonts w:ascii="Book Antiqua" w:hAnsi="Book Antiqua"/>
        </w:rPr>
        <w:t>: 584-593 [PMID: 29758333 DOI: 10.1016/j.jhep.2018.05.004]</w:t>
      </w:r>
    </w:p>
    <w:p>
      <w:pPr>
        <w:spacing w:line="360" w:lineRule="auto"/>
        <w:jc w:val="both"/>
        <w:rPr>
          <w:rFonts w:ascii="Book Antiqua" w:hAnsi="Book Antiqua"/>
        </w:rPr>
      </w:pPr>
      <w:r>
        <w:rPr>
          <w:rFonts w:ascii="Book Antiqua" w:hAnsi="Book Antiqua"/>
        </w:rPr>
        <w:t xml:space="preserve">59 </w:t>
      </w:r>
      <w:r>
        <w:rPr>
          <w:rFonts w:ascii="Book Antiqua" w:hAnsi="Book Antiqua"/>
          <w:b/>
          <w:bCs/>
        </w:rPr>
        <w:t>Rivino L</w:t>
      </w:r>
      <w:r>
        <w:rPr>
          <w:rFonts w:ascii="Book Antiqua" w:hAnsi="Book Antiqua"/>
        </w:rPr>
        <w:t xml:space="preserve">, Le Bert N, Gill US, Kunasegaran K, Cheng Y, Tan DZ, Becht E, Hansi NK, Foster GR, Su TH, Tseng TC, Lim SG, Kao JH, Newell EW, Kennedy PT, Bertoletti A. Hepatitis B virus-specific T cells associate with viral control upon nucleos(t)ide-analogue therapy discontinuation. </w:t>
      </w:r>
      <w:r>
        <w:rPr>
          <w:rFonts w:ascii="Book Antiqua" w:hAnsi="Book Antiqua"/>
          <w:i/>
          <w:iCs/>
        </w:rPr>
        <w:t>J Clin Invest</w:t>
      </w:r>
      <w:r>
        <w:rPr>
          <w:rFonts w:ascii="Book Antiqua" w:hAnsi="Book Antiqua"/>
        </w:rPr>
        <w:t xml:space="preserve"> 2018; </w:t>
      </w:r>
      <w:r>
        <w:rPr>
          <w:rFonts w:ascii="Book Antiqua" w:hAnsi="Book Antiqua"/>
          <w:b/>
          <w:bCs/>
        </w:rPr>
        <w:t>128</w:t>
      </w:r>
      <w:r>
        <w:rPr>
          <w:rFonts w:ascii="Book Antiqua" w:hAnsi="Book Antiqua"/>
        </w:rPr>
        <w:t>: 668-681 [PMID: 29309050 DOI: 10.1172/JCI92812]</w:t>
      </w:r>
    </w:p>
    <w:p>
      <w:pPr>
        <w:spacing w:line="360" w:lineRule="auto"/>
        <w:jc w:val="both"/>
        <w:rPr>
          <w:rFonts w:ascii="Book Antiqua" w:hAnsi="Book Antiqua"/>
        </w:rPr>
      </w:pPr>
      <w:r>
        <w:rPr>
          <w:rFonts w:ascii="Book Antiqua" w:hAnsi="Book Antiqua"/>
        </w:rPr>
        <w:t xml:space="preserve">60 </w:t>
      </w:r>
      <w:r>
        <w:rPr>
          <w:rFonts w:ascii="Book Antiqua" w:hAnsi="Book Antiqua"/>
          <w:b/>
          <w:bCs/>
        </w:rPr>
        <w:t>García-López M,</w:t>
      </w:r>
      <w:r>
        <w:rPr>
          <w:rFonts w:ascii="Book Antiqua" w:hAnsi="Book Antiqua"/>
        </w:rPr>
        <w:t xml:space="preserve"> Lens S, Pallett LJ, Testoni B, Rodríguez-Tajes S, Mariño Z, Bartres C, García-Pras E, Leonel T, Perpiñán E, Lozano JJ, Rodríguez-Frías F, Koutsoudakis G, Zoulim F, Maini MK, Forns X, Pérez-Del-Pulgar S. Viral and immune factors associated with successful treatment withdrawal in HBeAg-negative chronic hepatitis B patients. </w:t>
      </w:r>
      <w:r>
        <w:rPr>
          <w:rFonts w:ascii="Book Antiqua" w:hAnsi="Book Antiqua"/>
          <w:i/>
        </w:rPr>
        <w:t>J Hepatol</w:t>
      </w:r>
      <w:r>
        <w:rPr>
          <w:rFonts w:ascii="Book Antiqua" w:hAnsi="Book Antiqua"/>
        </w:rPr>
        <w:t xml:space="preserve"> 2021;</w:t>
      </w:r>
      <w:r>
        <w:rPr>
          <w:rFonts w:hint="eastAsia" w:ascii="Book Antiqua" w:hAnsi="Book Antiqua"/>
        </w:rPr>
        <w:t xml:space="preserve"> </w:t>
      </w:r>
      <w:r>
        <w:rPr>
          <w:rFonts w:ascii="Book Antiqua" w:hAnsi="Book Antiqua"/>
          <w:b/>
        </w:rPr>
        <w:t>74:</w:t>
      </w:r>
      <w:r>
        <w:rPr>
          <w:rFonts w:hint="eastAsia" w:ascii="Book Antiqua" w:hAnsi="Book Antiqua"/>
        </w:rPr>
        <w:t xml:space="preserve"> </w:t>
      </w:r>
      <w:r>
        <w:rPr>
          <w:rFonts w:ascii="Book Antiqua" w:hAnsi="Book Antiqua"/>
        </w:rPr>
        <w:t>1064-1074 [PMID: 33278456 DOI:</w:t>
      </w:r>
      <w:r>
        <w:rPr>
          <w:rFonts w:hint="eastAsia" w:ascii="Book Antiqua" w:hAnsi="Book Antiqua"/>
          <w:lang w:eastAsia="zh-CN"/>
        </w:rPr>
        <w:t xml:space="preserve"> </w:t>
      </w:r>
      <w:r>
        <w:rPr>
          <w:rFonts w:ascii="Book Antiqua" w:hAnsi="Book Antiqua"/>
        </w:rPr>
        <w:t>10.1016/j.jhep.2020.11.043]</w:t>
      </w:r>
    </w:p>
    <w:p>
      <w:pPr>
        <w:spacing w:line="360" w:lineRule="auto"/>
        <w:jc w:val="both"/>
        <w:rPr>
          <w:rFonts w:ascii="Book Antiqua" w:hAnsi="Book Antiqua"/>
        </w:rPr>
      </w:pPr>
      <w:r>
        <w:rPr>
          <w:rFonts w:ascii="Book Antiqua" w:hAnsi="Book Antiqua"/>
        </w:rPr>
        <w:t xml:space="preserve">61 </w:t>
      </w:r>
      <w:r>
        <w:rPr>
          <w:rFonts w:ascii="Book Antiqua" w:hAnsi="Book Antiqua"/>
          <w:b/>
          <w:bCs/>
        </w:rPr>
        <w:t>Liaw YF</w:t>
      </w:r>
      <w:r>
        <w:rPr>
          <w:rFonts w:ascii="Book Antiqua" w:hAnsi="Book Antiqua"/>
        </w:rPr>
        <w:t xml:space="preserve">, Jeng WJ, Chang ML. HBsAg Kinetics in Retreatment Decision for Off-Therapy Hepatitis B Flare in HBeAg-Negative Patients. </w:t>
      </w:r>
      <w:r>
        <w:rPr>
          <w:rFonts w:ascii="Book Antiqua" w:hAnsi="Book Antiqua"/>
          <w:i/>
          <w:iCs/>
        </w:rPr>
        <w:t>Gastroenterology</w:t>
      </w:r>
      <w:r>
        <w:rPr>
          <w:rFonts w:ascii="Book Antiqua" w:hAnsi="Book Antiqua"/>
        </w:rPr>
        <w:t xml:space="preserve"> 2018; </w:t>
      </w:r>
      <w:r>
        <w:rPr>
          <w:rFonts w:ascii="Book Antiqua" w:hAnsi="Book Antiqua"/>
          <w:b/>
          <w:bCs/>
        </w:rPr>
        <w:t>154</w:t>
      </w:r>
      <w:r>
        <w:rPr>
          <w:rFonts w:ascii="Book Antiqua" w:hAnsi="Book Antiqua"/>
        </w:rPr>
        <w:t>: 2280-2281 [PMID: 29746811 DOI: 10.1053/j.gastro.2018.03.066]</w:t>
      </w:r>
    </w:p>
    <w:p>
      <w:pPr>
        <w:spacing w:line="360" w:lineRule="auto"/>
        <w:jc w:val="both"/>
        <w:rPr>
          <w:rFonts w:ascii="Book Antiqua" w:hAnsi="Book Antiqua"/>
        </w:rPr>
      </w:pPr>
      <w:r>
        <w:rPr>
          <w:rFonts w:ascii="Book Antiqua" w:hAnsi="Book Antiqua"/>
        </w:rPr>
        <w:t xml:space="preserve">62 </w:t>
      </w:r>
      <w:r>
        <w:rPr>
          <w:rFonts w:ascii="Book Antiqua" w:hAnsi="Book Antiqua"/>
          <w:b/>
          <w:bCs/>
        </w:rPr>
        <w:t>Jeng WJ</w:t>
      </w:r>
      <w:r>
        <w:rPr>
          <w:rFonts w:ascii="Book Antiqua" w:hAnsi="Book Antiqua"/>
        </w:rPr>
        <w:t xml:space="preserve">, Chang ML, Liaw YF. Off-therapy precipitous HBsAg decline predicts HBsAg loss after finite entecavir therapy in HBeAg-negative patients. </w:t>
      </w:r>
      <w:r>
        <w:rPr>
          <w:rFonts w:ascii="Book Antiqua" w:hAnsi="Book Antiqua"/>
          <w:i/>
          <w:iCs/>
        </w:rPr>
        <w:t>J Viral Hepat</w:t>
      </w:r>
      <w:r>
        <w:rPr>
          <w:rFonts w:ascii="Book Antiqua" w:hAnsi="Book Antiqua"/>
        </w:rPr>
        <w:t xml:space="preserve"> 2019; </w:t>
      </w:r>
      <w:r>
        <w:rPr>
          <w:rFonts w:ascii="Book Antiqua" w:hAnsi="Book Antiqua"/>
          <w:b/>
          <w:bCs/>
        </w:rPr>
        <w:t>26</w:t>
      </w:r>
      <w:r>
        <w:rPr>
          <w:rFonts w:ascii="Book Antiqua" w:hAnsi="Book Antiqua"/>
        </w:rPr>
        <w:t>: 1019-1026 [PMID: 31009126 DOI: 10.1111/jvh.13114]</w:t>
      </w:r>
    </w:p>
    <w:p>
      <w:pPr>
        <w:spacing w:line="360" w:lineRule="auto"/>
        <w:jc w:val="both"/>
        <w:rPr>
          <w:rFonts w:ascii="Book Antiqua" w:hAnsi="Book Antiqua"/>
        </w:rPr>
      </w:pPr>
      <w:r>
        <w:rPr>
          <w:rFonts w:ascii="Book Antiqua" w:hAnsi="Book Antiqua"/>
        </w:rPr>
        <w:t xml:space="preserve">63 </w:t>
      </w:r>
      <w:r>
        <w:rPr>
          <w:rFonts w:ascii="Book Antiqua" w:hAnsi="Book Antiqua"/>
          <w:b/>
          <w:bCs/>
        </w:rPr>
        <w:t>Papatheodoridis GV</w:t>
      </w:r>
      <w:r>
        <w:rPr>
          <w:rFonts w:ascii="Book Antiqua" w:hAnsi="Book Antiqua"/>
        </w:rPr>
        <w:t xml:space="preserve">, Manolakopoulos S, Su TH, Siakavellas S, Liu CJ, Kourikou A, Yang HC, Kao JH. Significance of definitions of relapse after discontinuation of oral antivirals in HBeAg-negative chronic hepatitis B. </w:t>
      </w:r>
      <w:r>
        <w:rPr>
          <w:rFonts w:ascii="Book Antiqua" w:hAnsi="Book Antiqua"/>
          <w:i/>
          <w:iCs/>
        </w:rPr>
        <w:t>Hepatology</w:t>
      </w:r>
      <w:r>
        <w:rPr>
          <w:rFonts w:ascii="Book Antiqua" w:hAnsi="Book Antiqua"/>
        </w:rPr>
        <w:t xml:space="preserve"> 2018; </w:t>
      </w:r>
      <w:r>
        <w:rPr>
          <w:rFonts w:ascii="Book Antiqua" w:hAnsi="Book Antiqua"/>
          <w:b/>
          <w:bCs/>
        </w:rPr>
        <w:t>68</w:t>
      </w:r>
      <w:r>
        <w:rPr>
          <w:rFonts w:ascii="Book Antiqua" w:hAnsi="Book Antiqua"/>
        </w:rPr>
        <w:t>: 415-424 [PMID: 28859219 DOI: 10.1002/hep.29497]</w:t>
      </w:r>
    </w:p>
    <w:p>
      <w:pPr>
        <w:spacing w:line="360" w:lineRule="auto"/>
        <w:jc w:val="both"/>
        <w:rPr>
          <w:rFonts w:ascii="Book Antiqua" w:hAnsi="Book Antiqua"/>
        </w:rPr>
      </w:pPr>
      <w:r>
        <w:rPr>
          <w:rFonts w:ascii="Book Antiqua" w:hAnsi="Book Antiqua"/>
        </w:rPr>
        <w:t xml:space="preserve">64 </w:t>
      </w:r>
      <w:r>
        <w:rPr>
          <w:rFonts w:ascii="Book Antiqua" w:hAnsi="Book Antiqua"/>
          <w:b/>
          <w:bCs/>
        </w:rPr>
        <w:t>Papatheodoridis GV</w:t>
      </w:r>
      <w:r>
        <w:rPr>
          <w:rFonts w:ascii="Book Antiqua" w:hAnsi="Book Antiqua"/>
        </w:rPr>
        <w:t xml:space="preserve">, Rigopoulou EI, Papatheodoridi M, Zachou K, Xourafas V, Gatselis N, Hadziyannis E, Vlachogiannakos J, Manolakopoulos S, Dalekos GN. DARING-B: discontinuation of effective entecavir or tenofovir disoproxil fumarate long-term therapy before HBsAg loss in non-cirrhotic HBeAg-negative chronic hepatitis B. </w:t>
      </w:r>
      <w:r>
        <w:rPr>
          <w:rFonts w:ascii="Book Antiqua" w:hAnsi="Book Antiqua"/>
          <w:i/>
          <w:iCs/>
        </w:rPr>
        <w:t>Antivir Ther</w:t>
      </w:r>
      <w:r>
        <w:rPr>
          <w:rFonts w:ascii="Book Antiqua" w:hAnsi="Book Antiqua"/>
        </w:rPr>
        <w:t xml:space="preserve"> 2018; </w:t>
      </w:r>
      <w:r>
        <w:rPr>
          <w:rFonts w:ascii="Book Antiqua" w:hAnsi="Book Antiqua"/>
          <w:b/>
          <w:bCs/>
        </w:rPr>
        <w:t>23</w:t>
      </w:r>
      <w:r>
        <w:rPr>
          <w:rFonts w:ascii="Book Antiqua" w:hAnsi="Book Antiqua"/>
        </w:rPr>
        <w:t>: 677-685 [PMID: 30044765 DOI: 10.3851/IMP3256]</w:t>
      </w:r>
    </w:p>
    <w:p>
      <w:pPr>
        <w:spacing w:line="360" w:lineRule="auto"/>
        <w:jc w:val="both"/>
        <w:rPr>
          <w:rFonts w:ascii="Book Antiqua" w:hAnsi="Book Antiqua"/>
        </w:rPr>
      </w:pPr>
      <w:r>
        <w:rPr>
          <w:rFonts w:ascii="Book Antiqua" w:hAnsi="Book Antiqua"/>
        </w:rPr>
        <w:t xml:space="preserve">65 </w:t>
      </w:r>
      <w:r>
        <w:rPr>
          <w:rFonts w:ascii="Book Antiqua" w:hAnsi="Book Antiqua"/>
          <w:b/>
          <w:bCs/>
        </w:rPr>
        <w:t>Tangkijvanich P</w:t>
      </w:r>
      <w:r>
        <w:rPr>
          <w:rFonts w:ascii="Book Antiqua" w:hAnsi="Book Antiqua"/>
        </w:rPr>
        <w:t xml:space="preserve">, Mahachai V, Komolmit P, Fongsarun J, Theamboonlers A, Poovorawan Y. Hepatitis B virus genotypes and hepatocellular carcinoma in Thailand. </w:t>
      </w:r>
      <w:r>
        <w:rPr>
          <w:rFonts w:ascii="Book Antiqua" w:hAnsi="Book Antiqua"/>
          <w:i/>
          <w:iCs/>
        </w:rPr>
        <w:t>World J Gastroenterol</w:t>
      </w:r>
      <w:r>
        <w:rPr>
          <w:rFonts w:ascii="Book Antiqua" w:hAnsi="Book Antiqua"/>
        </w:rPr>
        <w:t xml:space="preserve"> 2005; </w:t>
      </w:r>
      <w:r>
        <w:rPr>
          <w:rFonts w:ascii="Book Antiqua" w:hAnsi="Book Antiqua"/>
          <w:b/>
          <w:bCs/>
        </w:rPr>
        <w:t>11</w:t>
      </w:r>
      <w:r>
        <w:rPr>
          <w:rFonts w:ascii="Book Antiqua" w:hAnsi="Book Antiqua"/>
        </w:rPr>
        <w:t>: 2238-2243 [PMID: 15818732 DOI: 10.3748/wjg.v11.i15.2238]</w:t>
      </w:r>
    </w:p>
    <w:p>
      <w:pPr>
        <w:spacing w:line="360" w:lineRule="auto"/>
        <w:jc w:val="both"/>
        <w:rPr>
          <w:rFonts w:ascii="Book Antiqua" w:hAnsi="Book Antiqua"/>
        </w:rPr>
      </w:pPr>
      <w:r>
        <w:rPr>
          <w:rFonts w:ascii="Book Antiqua" w:hAnsi="Book Antiqua"/>
        </w:rPr>
        <w:t xml:space="preserve">66 </w:t>
      </w:r>
      <w:r>
        <w:rPr>
          <w:rFonts w:ascii="Book Antiqua" w:hAnsi="Book Antiqua"/>
          <w:b/>
          <w:bCs/>
        </w:rPr>
        <w:t>Chamroonkul N</w:t>
      </w:r>
      <w:r>
        <w:rPr>
          <w:rFonts w:ascii="Book Antiqua" w:hAnsi="Book Antiqua"/>
        </w:rPr>
        <w:t xml:space="preserve">, Piratvisuth T. Hepatitis B During Pregnancy in Endemic Areas: Screening, Treatment, and Prevention of Mother-to-Child Transmission. </w:t>
      </w:r>
      <w:r>
        <w:rPr>
          <w:rFonts w:ascii="Book Antiqua" w:hAnsi="Book Antiqua"/>
          <w:i/>
          <w:iCs/>
        </w:rPr>
        <w:t>Paediatr Drugs</w:t>
      </w:r>
      <w:r>
        <w:rPr>
          <w:rFonts w:ascii="Book Antiqua" w:hAnsi="Book Antiqua"/>
        </w:rPr>
        <w:t xml:space="preserve"> 2017; </w:t>
      </w:r>
      <w:r>
        <w:rPr>
          <w:rFonts w:ascii="Book Antiqua" w:hAnsi="Book Antiqua"/>
          <w:b/>
          <w:bCs/>
        </w:rPr>
        <w:t>19</w:t>
      </w:r>
      <w:r>
        <w:rPr>
          <w:rFonts w:ascii="Book Antiqua" w:hAnsi="Book Antiqua"/>
        </w:rPr>
        <w:t>: 173-181 [PMID: 28434087 DOI: 10.1007/s40272-017-0229-1]</w:t>
      </w:r>
    </w:p>
    <w:p>
      <w:pPr>
        <w:spacing w:line="360" w:lineRule="auto"/>
        <w:jc w:val="both"/>
        <w:rPr>
          <w:rFonts w:ascii="Book Antiqua" w:hAnsi="Book Antiqua"/>
        </w:rPr>
      </w:pPr>
      <w:r>
        <w:rPr>
          <w:rFonts w:ascii="Book Antiqua" w:hAnsi="Book Antiqua"/>
        </w:rPr>
        <w:t xml:space="preserve">67 </w:t>
      </w:r>
      <w:r>
        <w:rPr>
          <w:rFonts w:ascii="Book Antiqua" w:hAnsi="Book Antiqua"/>
          <w:b/>
          <w:bCs/>
        </w:rPr>
        <w:t>Fung SK</w:t>
      </w:r>
      <w:r>
        <w:rPr>
          <w:rFonts w:ascii="Book Antiqua" w:hAnsi="Book Antiqua"/>
        </w:rPr>
        <w:t xml:space="preserve">, Wong F, Hussain M, Lok AS. Sustained response after a 2-year course of lamivudine treatment of hepatitis B e antigen-negative chronic hepatitis B. </w:t>
      </w:r>
      <w:r>
        <w:rPr>
          <w:rFonts w:ascii="Book Antiqua" w:hAnsi="Book Antiqua"/>
          <w:i/>
          <w:iCs/>
        </w:rPr>
        <w:t>J Viral Hepat</w:t>
      </w:r>
      <w:r>
        <w:rPr>
          <w:rFonts w:ascii="Book Antiqua" w:hAnsi="Book Antiqua"/>
        </w:rPr>
        <w:t xml:space="preserve"> 2004; </w:t>
      </w:r>
      <w:r>
        <w:rPr>
          <w:rFonts w:ascii="Book Antiqua" w:hAnsi="Book Antiqua"/>
          <w:b/>
          <w:bCs/>
        </w:rPr>
        <w:t>11</w:t>
      </w:r>
      <w:r>
        <w:rPr>
          <w:rFonts w:ascii="Book Antiqua" w:hAnsi="Book Antiqua"/>
        </w:rPr>
        <w:t>: 432-438 [PMID: 15357648 DOI: 10.1111/j.1365-2893.2004.00556.x]</w:t>
      </w:r>
    </w:p>
    <w:p>
      <w:pPr>
        <w:spacing w:line="360" w:lineRule="auto"/>
        <w:jc w:val="both"/>
        <w:rPr>
          <w:rFonts w:ascii="Book Antiqua" w:hAnsi="Book Antiqua"/>
        </w:rPr>
      </w:pPr>
      <w:r>
        <w:rPr>
          <w:rFonts w:ascii="Book Antiqua" w:hAnsi="Book Antiqua"/>
        </w:rPr>
        <w:t xml:space="preserve">68 </w:t>
      </w:r>
      <w:r>
        <w:rPr>
          <w:rFonts w:ascii="Book Antiqua" w:hAnsi="Book Antiqua"/>
          <w:b/>
          <w:bCs/>
        </w:rPr>
        <w:t>Enomoto M</w:t>
      </w:r>
      <w:r>
        <w:rPr>
          <w:rFonts w:ascii="Book Antiqua" w:hAnsi="Book Antiqua"/>
        </w:rPr>
        <w:t xml:space="preserve">, Tamori A, Kohmoto MT, Hayashi T, Morikawa H, Jomura H, Sakaguchi H, Habu D, Kawada N, Shiomi S, Nishiguchi S. Optimal duration of additional therapy after biochemical and virological responses to lamivudine in patients with HBeAg-negative chronic hepatitis B: a randomized trial. </w:t>
      </w:r>
      <w:r>
        <w:rPr>
          <w:rFonts w:ascii="Book Antiqua" w:hAnsi="Book Antiqua"/>
          <w:i/>
          <w:iCs/>
        </w:rPr>
        <w:t>Hepatol Res</w:t>
      </w:r>
      <w:r>
        <w:rPr>
          <w:rFonts w:ascii="Book Antiqua" w:hAnsi="Book Antiqua"/>
        </w:rPr>
        <w:t xml:space="preserve"> 2008; </w:t>
      </w:r>
      <w:r>
        <w:rPr>
          <w:rFonts w:ascii="Book Antiqua" w:hAnsi="Book Antiqua"/>
          <w:b/>
          <w:bCs/>
        </w:rPr>
        <w:t>38</w:t>
      </w:r>
      <w:r>
        <w:rPr>
          <w:rFonts w:ascii="Book Antiqua" w:hAnsi="Book Antiqua"/>
        </w:rPr>
        <w:t>: 954-959 [PMID: 18498358 DOI: 10.1111/j.1872-034X.2008.00378.x]</w:t>
      </w:r>
    </w:p>
    <w:p>
      <w:pPr>
        <w:spacing w:line="360" w:lineRule="auto"/>
        <w:jc w:val="both"/>
        <w:rPr>
          <w:rFonts w:ascii="Book Antiqua" w:hAnsi="Book Antiqua"/>
        </w:rPr>
      </w:pPr>
      <w:r>
        <w:rPr>
          <w:rFonts w:ascii="Book Antiqua" w:hAnsi="Book Antiqua"/>
        </w:rPr>
        <w:t xml:space="preserve">69 </w:t>
      </w:r>
      <w:r>
        <w:rPr>
          <w:rFonts w:ascii="Book Antiqua" w:hAnsi="Book Antiqua"/>
          <w:b/>
          <w:bCs/>
        </w:rPr>
        <w:t>Yeh CT</w:t>
      </w:r>
      <w:r>
        <w:rPr>
          <w:rFonts w:ascii="Book Antiqua" w:hAnsi="Book Antiqua"/>
        </w:rPr>
        <w:t xml:space="preserve">, Hsu CW, Chen YC, Liaw YF. Withdrawal of lamivudine in HBeAg-positive chronic hepatitis B patients after achieving effective maintained virological suppression. </w:t>
      </w:r>
      <w:r>
        <w:rPr>
          <w:rFonts w:ascii="Book Antiqua" w:hAnsi="Book Antiqua"/>
          <w:i/>
          <w:iCs/>
        </w:rPr>
        <w:t>J Clin Virol</w:t>
      </w:r>
      <w:r>
        <w:rPr>
          <w:rFonts w:ascii="Book Antiqua" w:hAnsi="Book Antiqua"/>
        </w:rPr>
        <w:t xml:space="preserve"> 2009; </w:t>
      </w:r>
      <w:r>
        <w:rPr>
          <w:rFonts w:ascii="Book Antiqua" w:hAnsi="Book Antiqua"/>
          <w:b/>
          <w:bCs/>
        </w:rPr>
        <w:t>45</w:t>
      </w:r>
      <w:r>
        <w:rPr>
          <w:rFonts w:ascii="Book Antiqua" w:hAnsi="Book Antiqua"/>
        </w:rPr>
        <w:t>: 114-118 [PMID: 19451024 DOI: 10.1016/j.jcv.2009.04.006]</w:t>
      </w:r>
    </w:p>
    <w:p>
      <w:pPr>
        <w:spacing w:line="360" w:lineRule="auto"/>
        <w:jc w:val="both"/>
        <w:rPr>
          <w:rFonts w:ascii="Book Antiqua" w:hAnsi="Book Antiqua"/>
        </w:rPr>
      </w:pPr>
      <w:r>
        <w:rPr>
          <w:rFonts w:ascii="Book Antiqua" w:hAnsi="Book Antiqua"/>
        </w:rPr>
        <w:t xml:space="preserve">70 </w:t>
      </w:r>
      <w:r>
        <w:rPr>
          <w:rFonts w:ascii="Book Antiqua" w:hAnsi="Book Antiqua"/>
          <w:b/>
          <w:bCs/>
        </w:rPr>
        <w:t>Fung J</w:t>
      </w:r>
      <w:r>
        <w:rPr>
          <w:rFonts w:ascii="Book Antiqua" w:hAnsi="Book Antiqua"/>
        </w:rPr>
        <w:t xml:space="preserve">, Lai CL, Tanaka Y, Mizokami M, Yuen J, Wong DK, Yuen MF. The duration of lamivudine therapy for chronic hepatitis B: cessation vs. continuation of treatment after HBeAg seroconversion. </w:t>
      </w:r>
      <w:r>
        <w:rPr>
          <w:rFonts w:ascii="Book Antiqua" w:hAnsi="Book Antiqua"/>
          <w:i/>
          <w:iCs/>
        </w:rPr>
        <w:t>Am J Gastroenterol</w:t>
      </w:r>
      <w:r>
        <w:rPr>
          <w:rFonts w:ascii="Book Antiqua" w:hAnsi="Book Antiqua"/>
        </w:rPr>
        <w:t xml:space="preserve"> 2009; </w:t>
      </w:r>
      <w:r>
        <w:rPr>
          <w:rFonts w:ascii="Book Antiqua" w:hAnsi="Book Antiqua"/>
          <w:b/>
          <w:bCs/>
        </w:rPr>
        <w:t>104</w:t>
      </w:r>
      <w:r>
        <w:rPr>
          <w:rFonts w:ascii="Book Antiqua" w:hAnsi="Book Antiqua"/>
        </w:rPr>
        <w:t>: 1940-</w:t>
      </w:r>
      <w:r>
        <w:rPr>
          <w:rFonts w:hint="eastAsia" w:ascii="Book Antiqua" w:hAnsi="Book Antiqua"/>
          <w:lang w:eastAsia="zh-CN"/>
        </w:rPr>
        <w:t>194</w:t>
      </w:r>
      <w:r>
        <w:rPr>
          <w:rFonts w:ascii="Book Antiqua" w:hAnsi="Book Antiqua"/>
        </w:rPr>
        <w:t>6; quiz 1947 [PMID: 19455108 DOI: 10.1038/ajg.2009.200]</w:t>
      </w:r>
    </w:p>
    <w:p>
      <w:pPr>
        <w:spacing w:line="360" w:lineRule="auto"/>
        <w:jc w:val="both"/>
        <w:rPr>
          <w:rFonts w:ascii="Book Antiqua" w:hAnsi="Book Antiqua"/>
        </w:rPr>
      </w:pPr>
      <w:r>
        <w:rPr>
          <w:rFonts w:ascii="Book Antiqua" w:hAnsi="Book Antiqua"/>
        </w:rPr>
        <w:t xml:space="preserve">71 </w:t>
      </w:r>
      <w:r>
        <w:rPr>
          <w:rFonts w:ascii="Book Antiqua" w:hAnsi="Book Antiqua"/>
          <w:b/>
          <w:bCs/>
        </w:rPr>
        <w:t>Wang L</w:t>
      </w:r>
      <w:r>
        <w:rPr>
          <w:rFonts w:ascii="Book Antiqua" w:hAnsi="Book Antiqua"/>
        </w:rPr>
        <w:t xml:space="preserve">, Liu F, Liu YD, Li XY, Wang JB, Zhang ZH, Wang YZ. Stringent cessation criterion results in better durability of lamivudine treatment: a prospective clinical study in hepatitis B e antigen-positive chronic hepatitis B patients. </w:t>
      </w:r>
      <w:r>
        <w:rPr>
          <w:rFonts w:ascii="Book Antiqua" w:hAnsi="Book Antiqua"/>
          <w:i/>
          <w:iCs/>
        </w:rPr>
        <w:t>J Viral Hepat</w:t>
      </w:r>
      <w:r>
        <w:rPr>
          <w:rFonts w:ascii="Book Antiqua" w:hAnsi="Book Antiqua"/>
        </w:rPr>
        <w:t xml:space="preserve"> 2010; </w:t>
      </w:r>
      <w:r>
        <w:rPr>
          <w:rFonts w:ascii="Book Antiqua" w:hAnsi="Book Antiqua"/>
          <w:b/>
          <w:bCs/>
        </w:rPr>
        <w:t>17</w:t>
      </w:r>
      <w:r>
        <w:rPr>
          <w:rFonts w:ascii="Book Antiqua" w:hAnsi="Book Antiqua"/>
        </w:rPr>
        <w:t>: 298-304 [PMID: 19758278 DOI: 10.1111/j.1365-2893.2009.01178.x]</w:t>
      </w:r>
    </w:p>
    <w:p>
      <w:pPr>
        <w:spacing w:line="360" w:lineRule="auto"/>
        <w:jc w:val="both"/>
        <w:rPr>
          <w:rFonts w:ascii="Book Antiqua" w:hAnsi="Book Antiqua"/>
        </w:rPr>
      </w:pPr>
      <w:r>
        <w:rPr>
          <w:rFonts w:ascii="Book Antiqua" w:hAnsi="Book Antiqua"/>
        </w:rPr>
        <w:t xml:space="preserve">72 </w:t>
      </w:r>
      <w:r>
        <w:rPr>
          <w:rFonts w:ascii="Book Antiqua" w:hAnsi="Book Antiqua"/>
          <w:b/>
          <w:bCs/>
        </w:rPr>
        <w:t>Kuo YH</w:t>
      </w:r>
      <w:r>
        <w:rPr>
          <w:rFonts w:ascii="Book Antiqua" w:hAnsi="Book Antiqua"/>
        </w:rPr>
        <w:t xml:space="preserve">, Chen CH, Wang JH, Hung CH, Tseng PL, Lu SN, Changchien CS, Lee CM. Extended lamivudine consolidation therapy in hepatitis B e antigen-positive chronic hepatitis B patients improves sustained hepatitis B e antigen seroconversion. </w:t>
      </w:r>
      <w:r>
        <w:rPr>
          <w:rFonts w:ascii="Book Antiqua" w:hAnsi="Book Antiqua"/>
          <w:i/>
          <w:iCs/>
        </w:rPr>
        <w:t>Scand J Gastroenterol</w:t>
      </w:r>
      <w:r>
        <w:rPr>
          <w:rFonts w:ascii="Book Antiqua" w:hAnsi="Book Antiqua"/>
        </w:rPr>
        <w:t xml:space="preserve"> 2010; </w:t>
      </w:r>
      <w:r>
        <w:rPr>
          <w:rFonts w:ascii="Book Antiqua" w:hAnsi="Book Antiqua"/>
          <w:b/>
          <w:bCs/>
        </w:rPr>
        <w:t>45</w:t>
      </w:r>
      <w:r>
        <w:rPr>
          <w:rFonts w:ascii="Book Antiqua" w:hAnsi="Book Antiqua"/>
        </w:rPr>
        <w:t>: 75-81 [PMID: 20030580 DOI: 10.3109/00365520903394550]</w:t>
      </w:r>
    </w:p>
    <w:p>
      <w:pPr>
        <w:spacing w:line="360" w:lineRule="auto"/>
        <w:jc w:val="both"/>
        <w:rPr>
          <w:rFonts w:ascii="Book Antiqua" w:hAnsi="Book Antiqua"/>
        </w:rPr>
      </w:pPr>
      <w:r>
        <w:rPr>
          <w:rFonts w:ascii="Book Antiqua" w:hAnsi="Book Antiqua"/>
        </w:rPr>
        <w:t xml:space="preserve">73 </w:t>
      </w:r>
      <w:r>
        <w:rPr>
          <w:rFonts w:ascii="Book Antiqua" w:hAnsi="Book Antiqua"/>
          <w:b/>
          <w:bCs/>
        </w:rPr>
        <w:t>Cai W</w:t>
      </w:r>
      <w:r>
        <w:rPr>
          <w:rFonts w:ascii="Book Antiqua" w:hAnsi="Book Antiqua"/>
        </w:rPr>
        <w:t xml:space="preserve">, Xie Q, An B, Wang H, Zhou X, Zhao G, Guo Q, Gu R, Bao S. On-treatment serum HBsAg level is predictive of sustained off-treatment virologic response to telbivudine in HBeAg-positive chronic hepatitis B patients. </w:t>
      </w:r>
      <w:r>
        <w:rPr>
          <w:rFonts w:ascii="Book Antiqua" w:hAnsi="Book Antiqua"/>
          <w:i/>
          <w:iCs/>
        </w:rPr>
        <w:t>J Clin Virol</w:t>
      </w:r>
      <w:r>
        <w:rPr>
          <w:rFonts w:ascii="Book Antiqua" w:hAnsi="Book Antiqua"/>
        </w:rPr>
        <w:t xml:space="preserve"> 2010; </w:t>
      </w:r>
      <w:r>
        <w:rPr>
          <w:rFonts w:ascii="Book Antiqua" w:hAnsi="Book Antiqua"/>
          <w:b/>
          <w:bCs/>
        </w:rPr>
        <w:t>48</w:t>
      </w:r>
      <w:r>
        <w:rPr>
          <w:rFonts w:ascii="Book Antiqua" w:hAnsi="Book Antiqua"/>
        </w:rPr>
        <w:t>: 22-26 [PMID: 20233672 DOI: 10.1016/j.jcv.2010.02.014]</w:t>
      </w:r>
    </w:p>
    <w:p>
      <w:pPr>
        <w:spacing w:line="360" w:lineRule="auto"/>
        <w:jc w:val="both"/>
        <w:rPr>
          <w:rFonts w:ascii="Book Antiqua" w:hAnsi="Book Antiqua"/>
        </w:rPr>
      </w:pPr>
      <w:r>
        <w:rPr>
          <w:rFonts w:ascii="Book Antiqua" w:hAnsi="Book Antiqua"/>
        </w:rPr>
        <w:t xml:space="preserve">74 </w:t>
      </w:r>
      <w:r>
        <w:rPr>
          <w:rFonts w:ascii="Book Antiqua" w:hAnsi="Book Antiqua"/>
          <w:b/>
          <w:bCs/>
        </w:rPr>
        <w:t>Liu F</w:t>
      </w:r>
      <w:r>
        <w:rPr>
          <w:rFonts w:ascii="Book Antiqua" w:hAnsi="Book Antiqua"/>
        </w:rPr>
        <w:t xml:space="preserve">, Wang L, Li XY, Liu YD, Wang JB, Zhang ZH, Wang YZ. Poor durability of lamivudine effectiveness despite stringent cessation criteria: a prospective clinical study in hepatitis B e antigen-negative chronic hepatitis B patients. </w:t>
      </w:r>
      <w:r>
        <w:rPr>
          <w:rFonts w:ascii="Book Antiqua" w:hAnsi="Book Antiqua"/>
          <w:i/>
          <w:iCs/>
        </w:rPr>
        <w:t>J Gastroenterol Hepatol</w:t>
      </w:r>
      <w:r>
        <w:rPr>
          <w:rFonts w:ascii="Book Antiqua" w:hAnsi="Book Antiqua"/>
        </w:rPr>
        <w:t xml:space="preserve"> 2011; </w:t>
      </w:r>
      <w:r>
        <w:rPr>
          <w:rFonts w:ascii="Book Antiqua" w:hAnsi="Book Antiqua"/>
          <w:b/>
          <w:bCs/>
        </w:rPr>
        <w:t>26</w:t>
      </w:r>
      <w:r>
        <w:rPr>
          <w:rFonts w:ascii="Book Antiqua" w:hAnsi="Book Antiqua"/>
        </w:rPr>
        <w:t>: 456-460 [PMID: 21332542 DOI: 10.1111/j.1440-1746.2010.06492.x]</w:t>
      </w:r>
    </w:p>
    <w:p>
      <w:pPr>
        <w:spacing w:line="360" w:lineRule="auto"/>
        <w:jc w:val="both"/>
        <w:rPr>
          <w:rFonts w:ascii="Book Antiqua" w:hAnsi="Book Antiqua"/>
        </w:rPr>
      </w:pPr>
      <w:r>
        <w:rPr>
          <w:rFonts w:ascii="Book Antiqua" w:hAnsi="Book Antiqua"/>
        </w:rPr>
        <w:t xml:space="preserve">75 </w:t>
      </w:r>
      <w:r>
        <w:rPr>
          <w:rFonts w:ascii="Book Antiqua" w:hAnsi="Book Antiqua"/>
          <w:b/>
          <w:bCs/>
        </w:rPr>
        <w:t>Jung YK</w:t>
      </w:r>
      <w:r>
        <w:rPr>
          <w:rFonts w:ascii="Book Antiqua" w:hAnsi="Book Antiqua"/>
        </w:rPr>
        <w:t xml:space="preserve">, Yeon JE, Lee KG, Jung ES, Kim JH, Kim JH, Seo YS, Yim HJ, Um SH, Ryu HS, Byun KS. Virologic response is not durable after adefovir discontinuation in lamivudine-resistant chronic hepatitis B patients. </w:t>
      </w:r>
      <w:r>
        <w:rPr>
          <w:rFonts w:ascii="Book Antiqua" w:hAnsi="Book Antiqua"/>
          <w:i/>
          <w:iCs/>
        </w:rPr>
        <w:t>Korean J Hepatol</w:t>
      </w:r>
      <w:r>
        <w:rPr>
          <w:rFonts w:ascii="Book Antiqua" w:hAnsi="Book Antiqua"/>
        </w:rPr>
        <w:t xml:space="preserve"> 2011; </w:t>
      </w:r>
      <w:r>
        <w:rPr>
          <w:rFonts w:ascii="Book Antiqua" w:hAnsi="Book Antiqua"/>
          <w:b/>
          <w:bCs/>
        </w:rPr>
        <w:t>17</w:t>
      </w:r>
      <w:r>
        <w:rPr>
          <w:rFonts w:ascii="Book Antiqua" w:hAnsi="Book Antiqua"/>
        </w:rPr>
        <w:t>: 261-267 [PMID: 22310790 DOI: 10.3350/kjhep.2011.17.4.261]</w:t>
      </w:r>
    </w:p>
    <w:p>
      <w:pPr>
        <w:spacing w:line="360" w:lineRule="auto"/>
        <w:jc w:val="both"/>
        <w:rPr>
          <w:rFonts w:ascii="Book Antiqua" w:hAnsi="Book Antiqua"/>
        </w:rPr>
      </w:pPr>
      <w:r>
        <w:rPr>
          <w:rFonts w:ascii="Book Antiqua" w:hAnsi="Book Antiqua"/>
        </w:rPr>
        <w:t xml:space="preserve">76 </w:t>
      </w:r>
      <w:r>
        <w:rPr>
          <w:rFonts w:ascii="Book Antiqua" w:hAnsi="Book Antiqua"/>
          <w:b/>
          <w:bCs/>
        </w:rPr>
        <w:t>Chan HL</w:t>
      </w:r>
      <w:r>
        <w:rPr>
          <w:rFonts w:ascii="Book Antiqua" w:hAnsi="Book Antiqua"/>
        </w:rPr>
        <w:t xml:space="preserve">, Wong GL, Chim AM, Chan HY, Chu SH, Wong VW. Prediction of off-treatment response to lamivudine by serum hepatitis B surface antigen quantification in hepatitis B e antigen-negative patients. </w:t>
      </w:r>
      <w:r>
        <w:rPr>
          <w:rFonts w:ascii="Book Antiqua" w:hAnsi="Book Antiqua"/>
          <w:i/>
          <w:iCs/>
        </w:rPr>
        <w:t>Antivir Ther</w:t>
      </w:r>
      <w:r>
        <w:rPr>
          <w:rFonts w:ascii="Book Antiqua" w:hAnsi="Book Antiqua"/>
        </w:rPr>
        <w:t xml:space="preserve"> 2011; </w:t>
      </w:r>
      <w:r>
        <w:rPr>
          <w:rFonts w:ascii="Book Antiqua" w:hAnsi="Book Antiqua"/>
          <w:b/>
          <w:bCs/>
        </w:rPr>
        <w:t>16</w:t>
      </w:r>
      <w:r>
        <w:rPr>
          <w:rFonts w:ascii="Book Antiqua" w:hAnsi="Book Antiqua"/>
        </w:rPr>
        <w:t>: 1249-1257 [PMID: 22155906 DOI: 10.3851/IMP1921]</w:t>
      </w:r>
    </w:p>
    <w:p>
      <w:pPr>
        <w:spacing w:line="360" w:lineRule="auto"/>
        <w:jc w:val="both"/>
        <w:rPr>
          <w:rFonts w:ascii="Book Antiqua" w:hAnsi="Book Antiqua"/>
        </w:rPr>
      </w:pPr>
      <w:r>
        <w:rPr>
          <w:rFonts w:ascii="Book Antiqua" w:hAnsi="Book Antiqua"/>
        </w:rPr>
        <w:t xml:space="preserve">77 </w:t>
      </w:r>
      <w:r>
        <w:rPr>
          <w:rFonts w:ascii="Book Antiqua" w:hAnsi="Book Antiqua"/>
          <w:b/>
          <w:bCs/>
        </w:rPr>
        <w:t>Liang Y</w:t>
      </w:r>
      <w:r>
        <w:rPr>
          <w:rFonts w:ascii="Book Antiqua" w:hAnsi="Book Antiqua"/>
        </w:rPr>
        <w:t xml:space="preserve">, Jiang J, Su M, Liu Z, Guo W, Huang X, Xie R, Ge S, Hu J, Jiang Z, Zhu M, Wong VW, Chan HL. Predictors of relapse in chronic hepatitis B after discontinuation of anti-viral therapy. </w:t>
      </w:r>
      <w:r>
        <w:rPr>
          <w:rFonts w:ascii="Book Antiqua" w:hAnsi="Book Antiqua"/>
          <w:i/>
          <w:iCs/>
        </w:rPr>
        <w:t>Aliment Pharmacol Ther</w:t>
      </w:r>
      <w:r>
        <w:rPr>
          <w:rFonts w:ascii="Book Antiqua" w:hAnsi="Book Antiqua"/>
        </w:rPr>
        <w:t xml:space="preserve"> 2011; </w:t>
      </w:r>
      <w:r>
        <w:rPr>
          <w:rFonts w:ascii="Book Antiqua" w:hAnsi="Book Antiqua"/>
          <w:b/>
          <w:bCs/>
        </w:rPr>
        <w:t>34</w:t>
      </w:r>
      <w:r>
        <w:rPr>
          <w:rFonts w:ascii="Book Antiqua" w:hAnsi="Book Antiqua"/>
        </w:rPr>
        <w:t>: 344-352 [PMID: 21671967 DOI: 10.1111/j.1365-2036.2011.04738.x]</w:t>
      </w:r>
    </w:p>
    <w:p>
      <w:pPr>
        <w:spacing w:line="360" w:lineRule="auto"/>
        <w:jc w:val="both"/>
        <w:rPr>
          <w:rFonts w:ascii="Book Antiqua" w:hAnsi="Book Antiqua"/>
        </w:rPr>
      </w:pPr>
      <w:r>
        <w:rPr>
          <w:rFonts w:ascii="Book Antiqua" w:hAnsi="Book Antiqua"/>
        </w:rPr>
        <w:t xml:space="preserve">78 </w:t>
      </w:r>
      <w:r>
        <w:rPr>
          <w:rFonts w:ascii="Book Antiqua" w:hAnsi="Book Antiqua"/>
          <w:b/>
          <w:bCs/>
        </w:rPr>
        <w:t>Chaung KT</w:t>
      </w:r>
      <w:r>
        <w:rPr>
          <w:rFonts w:ascii="Book Antiqua" w:hAnsi="Book Antiqua"/>
        </w:rPr>
        <w:t xml:space="preserve">, Ha NB, Trinh HN, Garcia RT, Nguyen HA, Nguyen KK, Garcia G, Ahmed A, Keeffe EB, Nguyen MH. High frequency of recurrent viremia after hepatitis B e antigen seroconversion and consolidation therapy. </w:t>
      </w:r>
      <w:r>
        <w:rPr>
          <w:rFonts w:ascii="Book Antiqua" w:hAnsi="Book Antiqua"/>
          <w:i/>
          <w:iCs/>
        </w:rPr>
        <w:t>J Clin Gastroenterol</w:t>
      </w:r>
      <w:r>
        <w:rPr>
          <w:rFonts w:ascii="Book Antiqua" w:hAnsi="Book Antiqua"/>
        </w:rPr>
        <w:t xml:space="preserve"> 2012; </w:t>
      </w:r>
      <w:r>
        <w:rPr>
          <w:rFonts w:ascii="Book Antiqua" w:hAnsi="Book Antiqua"/>
          <w:b/>
          <w:bCs/>
        </w:rPr>
        <w:t>46</w:t>
      </w:r>
      <w:r>
        <w:rPr>
          <w:rFonts w:ascii="Book Antiqua" w:hAnsi="Book Antiqua"/>
        </w:rPr>
        <w:t>: 865-870 [PMID: 22941429 DOI: 10.1097/MCG.0b013e31825ceed9]</w:t>
      </w:r>
    </w:p>
    <w:p>
      <w:pPr>
        <w:spacing w:line="360" w:lineRule="auto"/>
        <w:jc w:val="both"/>
        <w:rPr>
          <w:rFonts w:ascii="Book Antiqua" w:hAnsi="Book Antiqua"/>
        </w:rPr>
      </w:pPr>
      <w:r>
        <w:rPr>
          <w:rFonts w:ascii="Book Antiqua" w:hAnsi="Book Antiqua"/>
        </w:rPr>
        <w:t xml:space="preserve">79 </w:t>
      </w:r>
      <w:r>
        <w:rPr>
          <w:rFonts w:ascii="Book Antiqua" w:hAnsi="Book Antiqua"/>
          <w:b/>
          <w:bCs/>
        </w:rPr>
        <w:t>Ha M</w:t>
      </w:r>
      <w:r>
        <w:rPr>
          <w:rFonts w:ascii="Book Antiqua" w:hAnsi="Book Antiqua"/>
        </w:rPr>
        <w:t xml:space="preserve">, Zhang G, Diao S, Lin M, Sun L, She H, Kuan C, Shen L, Huang C, Shen W, Huang Z. A prospective clinical study in hepatitis B e antigen-negative chronic hepatitis B patients with stringent cessation criteria for adefovir. </w:t>
      </w:r>
      <w:r>
        <w:rPr>
          <w:rFonts w:ascii="Book Antiqua" w:hAnsi="Book Antiqua"/>
          <w:i/>
          <w:iCs/>
        </w:rPr>
        <w:t>Arch Virol</w:t>
      </w:r>
      <w:r>
        <w:rPr>
          <w:rFonts w:ascii="Book Antiqua" w:hAnsi="Book Antiqua"/>
        </w:rPr>
        <w:t xml:space="preserve"> 2012; </w:t>
      </w:r>
      <w:r>
        <w:rPr>
          <w:rFonts w:ascii="Book Antiqua" w:hAnsi="Book Antiqua"/>
          <w:b/>
          <w:bCs/>
        </w:rPr>
        <w:t>157</w:t>
      </w:r>
      <w:r>
        <w:rPr>
          <w:rFonts w:ascii="Book Antiqua" w:hAnsi="Book Antiqua"/>
        </w:rPr>
        <w:t>: 285-290 [PMID: 22080196 DOI: 10.1007/s00705-011-1163-0]</w:t>
      </w:r>
    </w:p>
    <w:p>
      <w:pPr>
        <w:spacing w:line="360" w:lineRule="auto"/>
        <w:jc w:val="both"/>
        <w:rPr>
          <w:rFonts w:ascii="Book Antiqua" w:hAnsi="Book Antiqua"/>
        </w:rPr>
      </w:pPr>
      <w:r>
        <w:rPr>
          <w:rFonts w:ascii="Book Antiqua" w:hAnsi="Book Antiqua"/>
        </w:rPr>
        <w:t xml:space="preserve">80 </w:t>
      </w:r>
      <w:r>
        <w:rPr>
          <w:rFonts w:ascii="Book Antiqua" w:hAnsi="Book Antiqua"/>
          <w:b/>
          <w:bCs/>
        </w:rPr>
        <w:t>Song MJ</w:t>
      </w:r>
      <w:r>
        <w:rPr>
          <w:rFonts w:ascii="Book Antiqua" w:hAnsi="Book Antiqua"/>
        </w:rPr>
        <w:t xml:space="preserve">, Song DS, Kim HY, Yoo SH, Bae SH, Choi JY, Yoon SK, Paik YH, Lee JS, Lee HW, Kim HJ. Durability of viral response after off-treatment in HBeAg positive chronic hepatitis B. </w:t>
      </w:r>
      <w:r>
        <w:rPr>
          <w:rFonts w:ascii="Book Antiqua" w:hAnsi="Book Antiqua"/>
          <w:i/>
          <w:iCs/>
        </w:rPr>
        <w:t>World J Gastroenterol</w:t>
      </w:r>
      <w:r>
        <w:rPr>
          <w:rFonts w:ascii="Book Antiqua" w:hAnsi="Book Antiqua"/>
        </w:rPr>
        <w:t xml:space="preserve"> 2012; </w:t>
      </w:r>
      <w:r>
        <w:rPr>
          <w:rFonts w:ascii="Book Antiqua" w:hAnsi="Book Antiqua"/>
          <w:b/>
          <w:bCs/>
        </w:rPr>
        <w:t>18</w:t>
      </w:r>
      <w:r>
        <w:rPr>
          <w:rFonts w:ascii="Book Antiqua" w:hAnsi="Book Antiqua"/>
        </w:rPr>
        <w:t>: 6277-6283 [PMID: 23180949 DOI: 10.3748/wjg.v18.i43.6277]</w:t>
      </w:r>
    </w:p>
    <w:p>
      <w:pPr>
        <w:spacing w:line="360" w:lineRule="auto"/>
        <w:jc w:val="both"/>
        <w:rPr>
          <w:rFonts w:ascii="Book Antiqua" w:hAnsi="Book Antiqua"/>
        </w:rPr>
      </w:pPr>
      <w:r>
        <w:rPr>
          <w:rFonts w:ascii="Book Antiqua" w:hAnsi="Book Antiqua"/>
        </w:rPr>
        <w:t xml:space="preserve">81 </w:t>
      </w:r>
      <w:r>
        <w:rPr>
          <w:rFonts w:ascii="Book Antiqua" w:hAnsi="Book Antiqua"/>
          <w:b/>
          <w:bCs/>
        </w:rPr>
        <w:t>He D</w:t>
      </w:r>
      <w:r>
        <w:rPr>
          <w:rFonts w:ascii="Book Antiqua" w:hAnsi="Book Antiqua"/>
        </w:rPr>
        <w:t xml:space="preserve">, Guo S, Chen W, Chen X, Yan G, Wang J, Li M, Zhu P, Huang H, Wang Y. Long-term outcomes after nucleos(t)ide analogues discontinuation in chronic hepatitis B patients with HBeAg-negative. </w:t>
      </w:r>
      <w:r>
        <w:rPr>
          <w:rFonts w:ascii="Book Antiqua" w:hAnsi="Book Antiqua"/>
          <w:i/>
          <w:iCs/>
        </w:rPr>
        <w:t>BMC Infect Dis</w:t>
      </w:r>
      <w:r>
        <w:rPr>
          <w:rFonts w:ascii="Book Antiqua" w:hAnsi="Book Antiqua"/>
        </w:rPr>
        <w:t xml:space="preserve"> 2013; </w:t>
      </w:r>
      <w:r>
        <w:rPr>
          <w:rFonts w:ascii="Book Antiqua" w:hAnsi="Book Antiqua"/>
          <w:b/>
          <w:bCs/>
        </w:rPr>
        <w:t>13</w:t>
      </w:r>
      <w:r>
        <w:rPr>
          <w:rFonts w:ascii="Book Antiqua" w:hAnsi="Book Antiqua"/>
        </w:rPr>
        <w:t>: 458 [PMID: 24090287 DOI: 10.1186/1471-2334-13-458]</w:t>
      </w:r>
    </w:p>
    <w:p>
      <w:pPr>
        <w:spacing w:line="360" w:lineRule="auto"/>
        <w:jc w:val="both"/>
        <w:rPr>
          <w:rFonts w:ascii="Book Antiqua" w:hAnsi="Book Antiqua"/>
        </w:rPr>
      </w:pPr>
      <w:r>
        <w:rPr>
          <w:rFonts w:ascii="Book Antiqua" w:hAnsi="Book Antiqua"/>
        </w:rPr>
        <w:t xml:space="preserve">82 </w:t>
      </w:r>
      <w:r>
        <w:rPr>
          <w:rFonts w:ascii="Book Antiqua" w:hAnsi="Book Antiqua"/>
          <w:b/>
          <w:bCs/>
        </w:rPr>
        <w:t>Kim YJ</w:t>
      </w:r>
      <w:r>
        <w:rPr>
          <w:rFonts w:ascii="Book Antiqua" w:hAnsi="Book Antiqua"/>
        </w:rPr>
        <w:t xml:space="preserve">, Kim K, Hwang SH, Kim SS, Lee D, Cheong JY, Cho SW. Durability after discontinuation of nucleos(t)ide therapy in chronic HBeAg negative hepatitis patients. </w:t>
      </w:r>
      <w:r>
        <w:rPr>
          <w:rFonts w:ascii="Book Antiqua" w:hAnsi="Book Antiqua"/>
          <w:i/>
          <w:iCs/>
        </w:rPr>
        <w:t>Clin Mol Hepatol</w:t>
      </w:r>
      <w:r>
        <w:rPr>
          <w:rFonts w:ascii="Book Antiqua" w:hAnsi="Book Antiqua"/>
        </w:rPr>
        <w:t xml:space="preserve"> 2013; </w:t>
      </w:r>
      <w:r>
        <w:rPr>
          <w:rFonts w:ascii="Book Antiqua" w:hAnsi="Book Antiqua"/>
          <w:b/>
          <w:bCs/>
        </w:rPr>
        <w:t>19</w:t>
      </w:r>
      <w:r>
        <w:rPr>
          <w:rFonts w:ascii="Book Antiqua" w:hAnsi="Book Antiqua"/>
        </w:rPr>
        <w:t>: 300-304 [PMID: 24133668 DOI: 10.3350/cmh.2013.19.3.300]</w:t>
      </w:r>
    </w:p>
    <w:p>
      <w:pPr>
        <w:spacing w:line="360" w:lineRule="auto"/>
        <w:jc w:val="both"/>
        <w:rPr>
          <w:rFonts w:ascii="Book Antiqua" w:hAnsi="Book Antiqua"/>
        </w:rPr>
      </w:pPr>
      <w:r>
        <w:rPr>
          <w:rFonts w:ascii="Book Antiqua" w:hAnsi="Book Antiqua"/>
        </w:rPr>
        <w:t xml:space="preserve">83 </w:t>
      </w:r>
      <w:r>
        <w:rPr>
          <w:rFonts w:ascii="Book Antiqua" w:hAnsi="Book Antiqua"/>
          <w:b/>
          <w:bCs/>
        </w:rPr>
        <w:t>Jeng WJ</w:t>
      </w:r>
      <w:r>
        <w:rPr>
          <w:rFonts w:ascii="Book Antiqua" w:hAnsi="Book Antiqua"/>
        </w:rPr>
        <w:t xml:space="preserve">, Sheen IS, Chen YC, Hsu CW, Chien RN, Chu CM, Liaw YF. Off-therapy durability of response to entecavir therapy in hepatitis B e antigen-negative chronic hepatitis B patients. </w:t>
      </w:r>
      <w:r>
        <w:rPr>
          <w:rFonts w:ascii="Book Antiqua" w:hAnsi="Book Antiqua"/>
          <w:i/>
          <w:iCs/>
        </w:rPr>
        <w:t>Hepatology</w:t>
      </w:r>
      <w:r>
        <w:rPr>
          <w:rFonts w:ascii="Book Antiqua" w:hAnsi="Book Antiqua"/>
        </w:rPr>
        <w:t xml:space="preserve"> 2013; </w:t>
      </w:r>
      <w:r>
        <w:rPr>
          <w:rFonts w:ascii="Book Antiqua" w:hAnsi="Book Antiqua"/>
          <w:b/>
          <w:bCs/>
        </w:rPr>
        <w:t>58</w:t>
      </w:r>
      <w:r>
        <w:rPr>
          <w:rFonts w:ascii="Book Antiqua" w:hAnsi="Book Antiqua"/>
        </w:rPr>
        <w:t>: 1888-1896 [PMID: 23744454 DOI: 10.1002/hep.26549]</w:t>
      </w:r>
    </w:p>
    <w:p>
      <w:pPr>
        <w:spacing w:line="360" w:lineRule="auto"/>
        <w:jc w:val="both"/>
        <w:rPr>
          <w:rFonts w:ascii="Book Antiqua" w:hAnsi="Book Antiqua"/>
        </w:rPr>
      </w:pPr>
      <w:r>
        <w:rPr>
          <w:rFonts w:ascii="Book Antiqua" w:hAnsi="Book Antiqua"/>
        </w:rPr>
        <w:t xml:space="preserve">84 </w:t>
      </w:r>
      <w:r>
        <w:rPr>
          <w:rFonts w:ascii="Book Antiqua" w:hAnsi="Book Antiqua"/>
          <w:b/>
          <w:bCs/>
        </w:rPr>
        <w:t>Kwon JH</w:t>
      </w:r>
      <w:r>
        <w:rPr>
          <w:rFonts w:ascii="Book Antiqua" w:hAnsi="Book Antiqua"/>
        </w:rPr>
        <w:t xml:space="preserve">, Jang JW, Choi JY, Park CH, Yoo SH, Bae SH, Yoon SK. Should lamivudine monotherapy be stopped or continued in patients infected with hepatitis B with favorable responses after more than 5 years of treatment? </w:t>
      </w:r>
      <w:r>
        <w:rPr>
          <w:rFonts w:ascii="Book Antiqua" w:hAnsi="Book Antiqua"/>
          <w:i/>
          <w:iCs/>
        </w:rPr>
        <w:t>J Med Virol</w:t>
      </w:r>
      <w:r>
        <w:rPr>
          <w:rFonts w:ascii="Book Antiqua" w:hAnsi="Book Antiqua"/>
        </w:rPr>
        <w:t xml:space="preserve"> 2013; </w:t>
      </w:r>
      <w:r>
        <w:rPr>
          <w:rFonts w:ascii="Book Antiqua" w:hAnsi="Book Antiqua"/>
          <w:b/>
          <w:bCs/>
        </w:rPr>
        <w:t>85</w:t>
      </w:r>
      <w:r>
        <w:rPr>
          <w:rFonts w:ascii="Book Antiqua" w:hAnsi="Book Antiqua"/>
        </w:rPr>
        <w:t>: 34-42 [PMID: 23154874 DOI: 10.1002/jmv.23421]</w:t>
      </w:r>
    </w:p>
    <w:p>
      <w:pPr>
        <w:spacing w:line="360" w:lineRule="auto"/>
        <w:jc w:val="both"/>
        <w:rPr>
          <w:rFonts w:ascii="Book Antiqua" w:hAnsi="Book Antiqua"/>
        </w:rPr>
      </w:pPr>
      <w:r>
        <w:rPr>
          <w:rFonts w:ascii="Book Antiqua" w:hAnsi="Book Antiqua"/>
        </w:rPr>
        <w:t xml:space="preserve">85 </w:t>
      </w:r>
      <w:r>
        <w:rPr>
          <w:rFonts w:ascii="Book Antiqua" w:hAnsi="Book Antiqua"/>
          <w:b/>
          <w:bCs/>
        </w:rPr>
        <w:t>Ridruejo E</w:t>
      </w:r>
      <w:r>
        <w:rPr>
          <w:rFonts w:ascii="Book Antiqua" w:hAnsi="Book Antiqua"/>
        </w:rPr>
        <w:t xml:space="preserve">, Marciano S, Galdame O, Reggiardo MV, Muñoz AE, Adrover R, Cocozzella D, Fernandez N, Estepo C, Mendizábal M, Romero GA, Levi D, Schroder T, Paz S, Fainboim H, Mandó OG, Gadano AC, Silva MO. Relapse rates in chronic hepatitis B naïve patients after discontinuation of antiviral therapy with entecavir. </w:t>
      </w:r>
      <w:r>
        <w:rPr>
          <w:rFonts w:ascii="Book Antiqua" w:hAnsi="Book Antiqua"/>
          <w:i/>
          <w:iCs/>
        </w:rPr>
        <w:t>J Viral Hepat</w:t>
      </w:r>
      <w:r>
        <w:rPr>
          <w:rFonts w:ascii="Book Antiqua" w:hAnsi="Book Antiqua"/>
        </w:rPr>
        <w:t xml:space="preserve"> 2014; </w:t>
      </w:r>
      <w:r>
        <w:rPr>
          <w:rFonts w:ascii="Book Antiqua" w:hAnsi="Book Antiqua"/>
          <w:b/>
          <w:bCs/>
        </w:rPr>
        <w:t>21</w:t>
      </w:r>
      <w:r>
        <w:rPr>
          <w:rFonts w:ascii="Book Antiqua" w:hAnsi="Book Antiqua"/>
        </w:rPr>
        <w:t>: 590-596 [PMID: 24188363 DOI: 10.1111/jvh.12200]</w:t>
      </w:r>
    </w:p>
    <w:p>
      <w:pPr>
        <w:spacing w:line="360" w:lineRule="auto"/>
        <w:jc w:val="both"/>
        <w:rPr>
          <w:rFonts w:ascii="Book Antiqua" w:hAnsi="Book Antiqua"/>
        </w:rPr>
      </w:pPr>
      <w:r>
        <w:rPr>
          <w:rFonts w:ascii="Book Antiqua" w:hAnsi="Book Antiqua"/>
        </w:rPr>
        <w:t xml:space="preserve">86 </w:t>
      </w:r>
      <w:r>
        <w:rPr>
          <w:rFonts w:ascii="Book Antiqua" w:hAnsi="Book Antiqua"/>
          <w:b/>
          <w:bCs/>
        </w:rPr>
        <w:t>Sohn HR</w:t>
      </w:r>
      <w:r>
        <w:rPr>
          <w:rFonts w:ascii="Book Antiqua" w:hAnsi="Book Antiqua"/>
        </w:rPr>
        <w:t xml:space="preserve">, Min BY, Song JC, Seong MH, Lee SS, Jang ES, Shin CM, Park YS, Hwang JH, Jeong SH, Kim N, Lee DH, Kim JW. Off-treatment virologic relapse and outcomes of re-treatment in chronic hepatitis B patients who achieved complete viral suppression with oral nucleos(t)ide analogs. </w:t>
      </w:r>
      <w:r>
        <w:rPr>
          <w:rFonts w:ascii="Book Antiqua" w:hAnsi="Book Antiqua"/>
          <w:i/>
          <w:iCs/>
        </w:rPr>
        <w:t>BMC Infect Dis</w:t>
      </w:r>
      <w:r>
        <w:rPr>
          <w:rFonts w:ascii="Book Antiqua" w:hAnsi="Book Antiqua"/>
        </w:rPr>
        <w:t xml:space="preserve"> 2014; </w:t>
      </w:r>
      <w:r>
        <w:rPr>
          <w:rFonts w:ascii="Book Antiqua" w:hAnsi="Book Antiqua"/>
          <w:b/>
          <w:bCs/>
        </w:rPr>
        <w:t>14</w:t>
      </w:r>
      <w:r>
        <w:rPr>
          <w:rFonts w:ascii="Book Antiqua" w:hAnsi="Book Antiqua"/>
        </w:rPr>
        <w:t>: 439 [PMID: 25125320 DOI: 10.1186/1471-2334-14-439]</w:t>
      </w:r>
    </w:p>
    <w:p>
      <w:pPr>
        <w:spacing w:line="360" w:lineRule="auto"/>
        <w:jc w:val="both"/>
        <w:rPr>
          <w:rFonts w:ascii="Book Antiqua" w:hAnsi="Book Antiqua"/>
        </w:rPr>
      </w:pPr>
      <w:r>
        <w:rPr>
          <w:rFonts w:ascii="Book Antiqua" w:hAnsi="Book Antiqua"/>
        </w:rPr>
        <w:t xml:space="preserve">87 </w:t>
      </w:r>
      <w:r>
        <w:rPr>
          <w:rFonts w:ascii="Book Antiqua" w:hAnsi="Book Antiqua"/>
          <w:b/>
          <w:bCs/>
        </w:rPr>
        <w:t>Patwardhan VR</w:t>
      </w:r>
      <w:r>
        <w:rPr>
          <w:rFonts w:ascii="Book Antiqua" w:hAnsi="Book Antiqua"/>
        </w:rPr>
        <w:t xml:space="preserve">, Sengupta N, Bonder A, Lau D, Afdhal NH. Treatment cessation in noncirrhotic, e-antigen negative chronic hepatitis B is safe and effective following prolonged anti-viral suppression with nucleosides/nucleotides. </w:t>
      </w:r>
      <w:r>
        <w:rPr>
          <w:rFonts w:ascii="Book Antiqua" w:hAnsi="Book Antiqua"/>
          <w:i/>
          <w:iCs/>
        </w:rPr>
        <w:t>Aliment Pharmacol Ther</w:t>
      </w:r>
      <w:r>
        <w:rPr>
          <w:rFonts w:ascii="Book Antiqua" w:hAnsi="Book Antiqua"/>
        </w:rPr>
        <w:t xml:space="preserve"> 2014; </w:t>
      </w:r>
      <w:r>
        <w:rPr>
          <w:rFonts w:ascii="Book Antiqua" w:hAnsi="Book Antiqua"/>
          <w:b/>
          <w:bCs/>
        </w:rPr>
        <w:t>40</w:t>
      </w:r>
      <w:r>
        <w:rPr>
          <w:rFonts w:ascii="Book Antiqua" w:hAnsi="Book Antiqua"/>
        </w:rPr>
        <w:t>: 804-810 [PMID: 25109610 DOI: 10.1111/apt.12908]</w:t>
      </w:r>
    </w:p>
    <w:p>
      <w:pPr>
        <w:spacing w:line="360" w:lineRule="auto"/>
        <w:jc w:val="both"/>
        <w:rPr>
          <w:rFonts w:ascii="Book Antiqua" w:hAnsi="Book Antiqua"/>
        </w:rPr>
      </w:pPr>
      <w:r>
        <w:rPr>
          <w:rFonts w:ascii="Book Antiqua" w:hAnsi="Book Antiqua"/>
        </w:rPr>
        <w:t xml:space="preserve">88 </w:t>
      </w:r>
      <w:r>
        <w:rPr>
          <w:rFonts w:ascii="Book Antiqua" w:hAnsi="Book Antiqua"/>
          <w:b/>
          <w:bCs/>
        </w:rPr>
        <w:t>He D</w:t>
      </w:r>
      <w:r>
        <w:rPr>
          <w:rFonts w:ascii="Book Antiqua" w:hAnsi="Book Antiqua"/>
        </w:rPr>
        <w:t xml:space="preserve">, Guo S, Zhu P, Tao S, Li M, Huang H, Wang J, Wang Y, Ding M. Long-term outcomes after nucleos(t)ide analogue discontinuation in HBeAg-positive chronic hepatitis B patients. </w:t>
      </w:r>
      <w:r>
        <w:rPr>
          <w:rFonts w:ascii="Book Antiqua" w:hAnsi="Book Antiqua"/>
          <w:i/>
          <w:iCs/>
        </w:rPr>
        <w:t>Clin Microbiol Infect</w:t>
      </w:r>
      <w:r>
        <w:rPr>
          <w:rFonts w:ascii="Book Antiqua" w:hAnsi="Book Antiqua"/>
        </w:rPr>
        <w:t xml:space="preserve"> 2014; </w:t>
      </w:r>
      <w:r>
        <w:rPr>
          <w:rFonts w:ascii="Book Antiqua" w:hAnsi="Book Antiqua"/>
          <w:b/>
          <w:bCs/>
        </w:rPr>
        <w:t>20</w:t>
      </w:r>
      <w:r>
        <w:rPr>
          <w:rFonts w:ascii="Book Antiqua" w:hAnsi="Book Antiqua"/>
        </w:rPr>
        <w:t>: O687-O693 [PMID: 25469947 DOI: 10.1111/1469-0691.12605]</w:t>
      </w:r>
    </w:p>
    <w:p>
      <w:pPr>
        <w:spacing w:line="360" w:lineRule="auto"/>
        <w:jc w:val="both"/>
        <w:rPr>
          <w:rFonts w:ascii="Book Antiqua" w:hAnsi="Book Antiqua"/>
        </w:rPr>
      </w:pPr>
      <w:r>
        <w:rPr>
          <w:rFonts w:ascii="Book Antiqua" w:hAnsi="Book Antiqua"/>
        </w:rPr>
        <w:t xml:space="preserve">89 </w:t>
      </w:r>
      <w:r>
        <w:rPr>
          <w:rFonts w:ascii="Book Antiqua" w:hAnsi="Book Antiqua"/>
          <w:b/>
          <w:bCs/>
        </w:rPr>
        <w:t>Jiang JN</w:t>
      </w:r>
      <w:r>
        <w:rPr>
          <w:rFonts w:ascii="Book Antiqua" w:hAnsi="Book Antiqua"/>
        </w:rPr>
        <w:t xml:space="preserve">, Huang ZL, He LX, Huang YH, Su MH, Xie R, Liang YX, Fu WD, Huang XH, Guo WW, Zhong SH, Liu ZH, Li SH, Zhu TF, Gao ZL. Residual amount of HBV DNA in serum is related to relapse in chronic hepatitis B patients after cessation of nucleos(t)ide analogs. </w:t>
      </w:r>
      <w:r>
        <w:rPr>
          <w:rFonts w:ascii="Book Antiqua" w:hAnsi="Book Antiqua"/>
          <w:i/>
          <w:iCs/>
        </w:rPr>
        <w:t>J Clin Gastroenterol</w:t>
      </w:r>
      <w:r>
        <w:rPr>
          <w:rFonts w:ascii="Book Antiqua" w:hAnsi="Book Antiqua"/>
        </w:rPr>
        <w:t xml:space="preserve"> 2015; </w:t>
      </w:r>
      <w:r>
        <w:rPr>
          <w:rFonts w:ascii="Book Antiqua" w:hAnsi="Book Antiqua"/>
          <w:b/>
          <w:bCs/>
        </w:rPr>
        <w:t>49</w:t>
      </w:r>
      <w:r>
        <w:rPr>
          <w:rFonts w:ascii="Book Antiqua" w:hAnsi="Book Antiqua"/>
        </w:rPr>
        <w:t>: 323-328 [PMID: 25014234 DOI: 10.1097/MCG.0000000000000170]</w:t>
      </w:r>
    </w:p>
    <w:p>
      <w:pPr>
        <w:spacing w:line="360" w:lineRule="auto"/>
        <w:jc w:val="both"/>
        <w:rPr>
          <w:rFonts w:ascii="Book Antiqua" w:hAnsi="Book Antiqua"/>
        </w:rPr>
      </w:pPr>
      <w:r>
        <w:rPr>
          <w:rFonts w:ascii="Book Antiqua" w:hAnsi="Book Antiqua"/>
        </w:rPr>
        <w:t xml:space="preserve">90 </w:t>
      </w:r>
      <w:r>
        <w:rPr>
          <w:rFonts w:ascii="Book Antiqua" w:hAnsi="Book Antiqua"/>
          <w:b/>
          <w:bCs/>
        </w:rPr>
        <w:t>Seto WK</w:t>
      </w:r>
      <w:r>
        <w:rPr>
          <w:rFonts w:ascii="Book Antiqua" w:hAnsi="Book Antiqua"/>
        </w:rPr>
        <w:t xml:space="preserve">, Hui AJ, Wong VW, Wong GL, Liu KS, Lai CL, Yuen MF, Chan HL. Treatment cessation of entecavir in Asian patients with hepatitis B e antigen negative chronic hepatitis B: a multicentre prospective study. </w:t>
      </w:r>
      <w:r>
        <w:rPr>
          <w:rFonts w:ascii="Book Antiqua" w:hAnsi="Book Antiqua"/>
          <w:i/>
          <w:iCs/>
        </w:rPr>
        <w:t>Gut</w:t>
      </w:r>
      <w:r>
        <w:rPr>
          <w:rFonts w:ascii="Book Antiqua" w:hAnsi="Book Antiqua"/>
        </w:rPr>
        <w:t xml:space="preserve"> 2015; </w:t>
      </w:r>
      <w:r>
        <w:rPr>
          <w:rFonts w:ascii="Book Antiqua" w:hAnsi="Book Antiqua"/>
          <w:b/>
          <w:bCs/>
        </w:rPr>
        <w:t>64</w:t>
      </w:r>
      <w:r>
        <w:rPr>
          <w:rFonts w:ascii="Book Antiqua" w:hAnsi="Book Antiqua"/>
        </w:rPr>
        <w:t>: 667-672 [PMID: 24833635 DOI: 10.1136/gutjnl-2014-307237]</w:t>
      </w:r>
    </w:p>
    <w:p>
      <w:pPr>
        <w:spacing w:line="360" w:lineRule="auto"/>
        <w:jc w:val="both"/>
        <w:rPr>
          <w:rFonts w:ascii="Book Antiqua" w:hAnsi="Book Antiqua"/>
        </w:rPr>
      </w:pPr>
      <w:r>
        <w:rPr>
          <w:rFonts w:ascii="Book Antiqua" w:hAnsi="Book Antiqua"/>
        </w:rPr>
        <w:t xml:space="preserve">91 </w:t>
      </w:r>
      <w:r>
        <w:rPr>
          <w:rFonts w:ascii="Book Antiqua" w:hAnsi="Book Antiqua"/>
          <w:b/>
          <w:bCs/>
        </w:rPr>
        <w:t>Peng J</w:t>
      </w:r>
      <w:r>
        <w:rPr>
          <w:rFonts w:ascii="Book Antiqua" w:hAnsi="Book Antiqua"/>
        </w:rPr>
        <w:t xml:space="preserve">, Cao J, Yu T, Cai S, Li Z, Zhang X, Sun J. Predictors of sustained virologic response after discontinuation of nucleos(t)ide analog treatment for chronic hepatitis B. </w:t>
      </w:r>
      <w:r>
        <w:rPr>
          <w:rFonts w:ascii="Book Antiqua" w:hAnsi="Book Antiqua"/>
          <w:i/>
          <w:iCs/>
        </w:rPr>
        <w:t>Saudi J Gastroenterol</w:t>
      </w:r>
      <w:r>
        <w:rPr>
          <w:rFonts w:ascii="Book Antiqua" w:hAnsi="Book Antiqua"/>
        </w:rPr>
        <w:t xml:space="preserve"> 2015; </w:t>
      </w:r>
      <w:r>
        <w:rPr>
          <w:rFonts w:ascii="Book Antiqua" w:hAnsi="Book Antiqua"/>
          <w:b/>
          <w:bCs/>
        </w:rPr>
        <w:t>21</w:t>
      </w:r>
      <w:r>
        <w:rPr>
          <w:rFonts w:ascii="Book Antiqua" w:hAnsi="Book Antiqua"/>
        </w:rPr>
        <w:t>: 245-253 [PMID: 26228369 DOI: 10.4103/1319-3767.161645]</w:t>
      </w:r>
    </w:p>
    <w:p>
      <w:pPr>
        <w:spacing w:line="360" w:lineRule="auto"/>
        <w:jc w:val="both"/>
        <w:rPr>
          <w:rFonts w:ascii="Book Antiqua" w:hAnsi="Book Antiqua"/>
        </w:rPr>
      </w:pPr>
      <w:r>
        <w:rPr>
          <w:rFonts w:ascii="Book Antiqua" w:hAnsi="Book Antiqua"/>
        </w:rPr>
        <w:t xml:space="preserve">92 </w:t>
      </w:r>
      <w:r>
        <w:rPr>
          <w:rFonts w:ascii="Book Antiqua" w:hAnsi="Book Antiqua"/>
          <w:b/>
          <w:bCs/>
        </w:rPr>
        <w:t>Jeng WJ</w:t>
      </w:r>
      <w:r>
        <w:rPr>
          <w:rFonts w:ascii="Book Antiqua" w:hAnsi="Book Antiqua"/>
        </w:rPr>
        <w:t xml:space="preserve">, Chen YC, Sheen IS, Lin CL, Hu TH, Chien RN, Liaw YF. Clinical Relapse After Cessation of Tenofovir Therapy in Hepatitis B e Antigen-Negative Patients. </w:t>
      </w:r>
      <w:r>
        <w:rPr>
          <w:rFonts w:ascii="Book Antiqua" w:hAnsi="Book Antiqua"/>
          <w:i/>
          <w:iCs/>
        </w:rPr>
        <w:t>Clin Gastroenterol Hepatol</w:t>
      </w:r>
      <w:r>
        <w:rPr>
          <w:rFonts w:ascii="Book Antiqua" w:hAnsi="Book Antiqua"/>
        </w:rPr>
        <w:t xml:space="preserve"> 2016; </w:t>
      </w:r>
      <w:r>
        <w:rPr>
          <w:rFonts w:ascii="Book Antiqua" w:hAnsi="Book Antiqua"/>
          <w:b/>
          <w:bCs/>
        </w:rPr>
        <w:t>14</w:t>
      </w:r>
      <w:r>
        <w:rPr>
          <w:rFonts w:ascii="Book Antiqua" w:hAnsi="Book Antiqua"/>
        </w:rPr>
        <w:t>: 1813-1820.e1 [PMID: 27404969 DOI: 10.1016/j.cgh.2016.07.002]</w:t>
      </w:r>
    </w:p>
    <w:p>
      <w:pPr>
        <w:spacing w:line="360" w:lineRule="auto"/>
        <w:jc w:val="both"/>
        <w:rPr>
          <w:rFonts w:ascii="Book Antiqua" w:hAnsi="Book Antiqua"/>
        </w:rPr>
      </w:pPr>
      <w:r>
        <w:rPr>
          <w:rFonts w:ascii="Book Antiqua" w:hAnsi="Book Antiqua"/>
        </w:rPr>
        <w:t xml:space="preserve">93 </w:t>
      </w:r>
      <w:r>
        <w:rPr>
          <w:rFonts w:ascii="Book Antiqua" w:hAnsi="Book Antiqua"/>
          <w:b/>
          <w:bCs/>
        </w:rPr>
        <w:t>Qiu YW</w:t>
      </w:r>
      <w:r>
        <w:rPr>
          <w:rFonts w:ascii="Book Antiqua" w:hAnsi="Book Antiqua"/>
        </w:rPr>
        <w:t xml:space="preserve">, Huang LH, Yang WL, Wang Z, Zhang B, Li YG, Su TT, Zhou HY, Xu W, Wang XD, Dai YP, Gan JH. Hepatitis B surface antigen quantification at hepatitis B e antigen seroconversion predicts virological relapse after the cessation of entecavir treatment in hepatitis B e antigen-positive patients. </w:t>
      </w:r>
      <w:r>
        <w:rPr>
          <w:rFonts w:ascii="Book Antiqua" w:hAnsi="Book Antiqua"/>
          <w:i/>
          <w:iCs/>
        </w:rPr>
        <w:t>Int J Infect Dis</w:t>
      </w:r>
      <w:r>
        <w:rPr>
          <w:rFonts w:ascii="Book Antiqua" w:hAnsi="Book Antiqua"/>
        </w:rPr>
        <w:t xml:space="preserve"> 2016; </w:t>
      </w:r>
      <w:r>
        <w:rPr>
          <w:rFonts w:ascii="Book Antiqua" w:hAnsi="Book Antiqua"/>
          <w:b/>
          <w:bCs/>
        </w:rPr>
        <w:t>43</w:t>
      </w:r>
      <w:r>
        <w:rPr>
          <w:rFonts w:ascii="Book Antiqua" w:hAnsi="Book Antiqua"/>
        </w:rPr>
        <w:t>: 43-48 [PMID: 26523639 DOI: 10.1016/j.ijid.2015.10.019]</w:t>
      </w:r>
    </w:p>
    <w:p>
      <w:pPr>
        <w:spacing w:line="360" w:lineRule="auto"/>
        <w:jc w:val="both"/>
        <w:rPr>
          <w:rFonts w:ascii="Book Antiqua" w:hAnsi="Book Antiqua"/>
        </w:rPr>
      </w:pPr>
      <w:r>
        <w:rPr>
          <w:rFonts w:ascii="Book Antiqua" w:hAnsi="Book Antiqua"/>
        </w:rPr>
        <w:t xml:space="preserve">94 </w:t>
      </w:r>
      <w:r>
        <w:rPr>
          <w:rFonts w:ascii="Book Antiqua" w:hAnsi="Book Antiqua"/>
          <w:b/>
          <w:bCs/>
        </w:rPr>
        <w:t>Yao CC</w:t>
      </w:r>
      <w:r>
        <w:rPr>
          <w:rFonts w:ascii="Book Antiqua" w:hAnsi="Book Antiqua"/>
        </w:rPr>
        <w:t>, Hung CH, Hu TH, Lu SN, Wang JH, Lee CM, Chen CH. Incidence and predictors of HBV relapse after cessation of nucleoside analogues in HBeAg-negative patients with HBsAg</w:t>
      </w:r>
      <w:r>
        <w:t> </w:t>
      </w:r>
      <w:r>
        <w:rPr>
          <w:rFonts w:ascii="Book Antiqua" w:hAnsi="Book Antiqua" w:cs="Book Antiqua"/>
        </w:rPr>
        <w:t>≤</w:t>
      </w:r>
      <w:r>
        <w:t> </w:t>
      </w:r>
      <w:r>
        <w:rPr>
          <w:rFonts w:ascii="Book Antiqua" w:hAnsi="Book Antiqua"/>
        </w:rPr>
        <w:t>200</w:t>
      </w:r>
      <w:r>
        <w:t> </w:t>
      </w:r>
      <w:r>
        <w:rPr>
          <w:rFonts w:ascii="Book Antiqua" w:hAnsi="Book Antiqua"/>
        </w:rPr>
        <w:t xml:space="preserve">IU/mL. </w:t>
      </w:r>
      <w:r>
        <w:rPr>
          <w:rFonts w:ascii="Book Antiqua" w:hAnsi="Book Antiqua"/>
          <w:i/>
          <w:iCs/>
        </w:rPr>
        <w:t>Sci Rep</w:t>
      </w:r>
      <w:r>
        <w:rPr>
          <w:rFonts w:ascii="Book Antiqua" w:hAnsi="Book Antiqua"/>
        </w:rPr>
        <w:t xml:space="preserve"> 2017; </w:t>
      </w:r>
      <w:r>
        <w:rPr>
          <w:rFonts w:ascii="Book Antiqua" w:hAnsi="Book Antiqua"/>
          <w:b/>
          <w:bCs/>
        </w:rPr>
        <w:t>7</w:t>
      </w:r>
      <w:r>
        <w:rPr>
          <w:rFonts w:ascii="Book Antiqua" w:hAnsi="Book Antiqua"/>
        </w:rPr>
        <w:t>: 1839 [PMID: 28500322 DOI: 10.1038/s41598-017-02010-w]</w:t>
      </w:r>
    </w:p>
    <w:p>
      <w:pPr>
        <w:spacing w:line="360" w:lineRule="auto"/>
        <w:jc w:val="both"/>
        <w:rPr>
          <w:rFonts w:ascii="Book Antiqua" w:hAnsi="Book Antiqua"/>
        </w:rPr>
      </w:pPr>
      <w:r>
        <w:rPr>
          <w:rFonts w:ascii="Book Antiqua" w:hAnsi="Book Antiqua"/>
        </w:rPr>
        <w:t xml:space="preserve">95 </w:t>
      </w:r>
      <w:r>
        <w:rPr>
          <w:rFonts w:ascii="Book Antiqua" w:hAnsi="Book Antiqua"/>
          <w:b/>
          <w:bCs/>
        </w:rPr>
        <w:t>Cao J</w:t>
      </w:r>
      <w:r>
        <w:rPr>
          <w:rFonts w:ascii="Book Antiqua" w:hAnsi="Book Antiqua"/>
        </w:rPr>
        <w:t xml:space="preserve">, Chi H, Yu T, Li Z, Hansen BE, Zhang X, Zhong C, Sun J, Hou J, Janssen HLA, Peng J. Off-Treatment Hepatitis B Virus (HBV) DNA Levels and the Prediction of Relapse After Discontinuation of Nucleos(t)ide Analogue Therapy in Patients With Chronic Hepatitis B: A Prospective Stop Study. </w:t>
      </w:r>
      <w:r>
        <w:rPr>
          <w:rFonts w:ascii="Book Antiqua" w:hAnsi="Book Antiqua"/>
          <w:i/>
          <w:iCs/>
        </w:rPr>
        <w:t>J Infect Dis</w:t>
      </w:r>
      <w:r>
        <w:rPr>
          <w:rFonts w:ascii="Book Antiqua" w:hAnsi="Book Antiqua"/>
        </w:rPr>
        <w:t xml:space="preserve"> 2017; </w:t>
      </w:r>
      <w:r>
        <w:rPr>
          <w:rFonts w:ascii="Book Antiqua" w:hAnsi="Book Antiqua"/>
          <w:b/>
          <w:bCs/>
        </w:rPr>
        <w:t>215</w:t>
      </w:r>
      <w:r>
        <w:rPr>
          <w:rFonts w:ascii="Book Antiqua" w:hAnsi="Book Antiqua"/>
        </w:rPr>
        <w:t>: 581-589 [PMID: 28329347 DOI: 10.1093/infdis/jix025]</w:t>
      </w:r>
    </w:p>
    <w:p>
      <w:pPr>
        <w:spacing w:line="360" w:lineRule="auto"/>
        <w:jc w:val="both"/>
        <w:rPr>
          <w:rFonts w:ascii="Book Antiqua" w:hAnsi="Book Antiqua"/>
        </w:rPr>
      </w:pPr>
      <w:r>
        <w:rPr>
          <w:rFonts w:ascii="Book Antiqua" w:hAnsi="Book Antiqua"/>
        </w:rPr>
        <w:t xml:space="preserve">96 </w:t>
      </w:r>
      <w:r>
        <w:rPr>
          <w:rFonts w:ascii="Book Antiqua" w:hAnsi="Book Antiqua"/>
          <w:b/>
          <w:bCs/>
        </w:rPr>
        <w:t>Chen CH</w:t>
      </w:r>
      <w:r>
        <w:rPr>
          <w:rFonts w:ascii="Book Antiqua" w:hAnsi="Book Antiqua"/>
        </w:rPr>
        <w:t xml:space="preserve">, Hsu YC, Lu SN, Hung CH, Wang JH, Lee CM, Hu TH. The incidence and predictors of HBV relapse after cessation of tenofovir therapy in chronic hepatitis B patients. </w:t>
      </w:r>
      <w:r>
        <w:rPr>
          <w:rFonts w:ascii="Book Antiqua" w:hAnsi="Book Antiqua"/>
          <w:i/>
          <w:iCs/>
        </w:rPr>
        <w:t>J Viral Hepat</w:t>
      </w:r>
      <w:r>
        <w:rPr>
          <w:rFonts w:ascii="Book Antiqua" w:hAnsi="Book Antiqua"/>
        </w:rPr>
        <w:t xml:space="preserve"> 2018; </w:t>
      </w:r>
      <w:r>
        <w:rPr>
          <w:rFonts w:ascii="Book Antiqua" w:hAnsi="Book Antiqua"/>
          <w:b/>
          <w:bCs/>
        </w:rPr>
        <w:t>25</w:t>
      </w:r>
      <w:r>
        <w:rPr>
          <w:rFonts w:ascii="Book Antiqua" w:hAnsi="Book Antiqua"/>
        </w:rPr>
        <w:t>: 590-597 [PMID: 29274189 DOI: 10.1111/jvh.12851]</w:t>
      </w:r>
    </w:p>
    <w:p>
      <w:pPr>
        <w:spacing w:line="360" w:lineRule="auto"/>
        <w:jc w:val="both"/>
        <w:rPr>
          <w:rFonts w:ascii="Book Antiqua" w:hAnsi="Book Antiqua"/>
        </w:rPr>
      </w:pPr>
      <w:r>
        <w:rPr>
          <w:rFonts w:ascii="Book Antiqua" w:hAnsi="Book Antiqua"/>
        </w:rPr>
        <w:t xml:space="preserve">97 </w:t>
      </w:r>
      <w:r>
        <w:rPr>
          <w:rFonts w:ascii="Book Antiqua" w:hAnsi="Book Antiqua"/>
          <w:b/>
          <w:bCs/>
        </w:rPr>
        <w:t>Hung CH</w:t>
      </w:r>
      <w:r>
        <w:rPr>
          <w:rFonts w:ascii="Book Antiqua" w:hAnsi="Book Antiqua"/>
        </w:rPr>
        <w:t xml:space="preserve">, Wang JH, Lu SN, Hu TH, Lee CM, Chen CH. Hepatitis B surface antigen loss and clinical outcomes between HBeAg-negative cirrhosis patients who discontinued or continued nucleoside analogue therapy. </w:t>
      </w:r>
      <w:r>
        <w:rPr>
          <w:rFonts w:ascii="Book Antiqua" w:hAnsi="Book Antiqua"/>
          <w:i/>
          <w:iCs/>
        </w:rPr>
        <w:t>J Viral Hepat</w:t>
      </w:r>
      <w:r>
        <w:rPr>
          <w:rFonts w:ascii="Book Antiqua" w:hAnsi="Book Antiqua"/>
        </w:rPr>
        <w:t xml:space="preserve"> 2017; </w:t>
      </w:r>
      <w:r>
        <w:rPr>
          <w:rFonts w:ascii="Book Antiqua" w:hAnsi="Book Antiqua"/>
          <w:b/>
          <w:bCs/>
        </w:rPr>
        <w:t>24</w:t>
      </w:r>
      <w:r>
        <w:rPr>
          <w:rFonts w:ascii="Book Antiqua" w:hAnsi="Book Antiqua"/>
        </w:rPr>
        <w:t>: 599-607 [PMID: 28130815 DOI: 10.1111/jvh.12683]</w:t>
      </w:r>
    </w:p>
    <w:p>
      <w:pPr>
        <w:spacing w:line="360" w:lineRule="auto"/>
        <w:jc w:val="both"/>
        <w:rPr>
          <w:rFonts w:ascii="Book Antiqua" w:hAnsi="Book Antiqua"/>
        </w:rPr>
      </w:pPr>
      <w:r>
        <w:rPr>
          <w:rFonts w:ascii="Book Antiqua" w:hAnsi="Book Antiqua"/>
        </w:rPr>
        <w:t xml:space="preserve">98 </w:t>
      </w:r>
      <w:r>
        <w:rPr>
          <w:rFonts w:ascii="Book Antiqua" w:hAnsi="Book Antiqua"/>
          <w:b/>
          <w:bCs/>
        </w:rPr>
        <w:t>Shinkai N</w:t>
      </w:r>
      <w:r>
        <w:rPr>
          <w:rFonts w:ascii="Book Antiqua" w:hAnsi="Book Antiqua"/>
        </w:rPr>
        <w:t xml:space="preserve">, Tanaka Y, Orito E, Ito K, Ohno T, Hirashima N, Hasegawa I, Sugauchi F, Ueda R, Mizokami M. Measurement of hepatitis B virus core-related antigen as predicting factor for relapse after cessation of lamivudine therapy for chronic hepatitis B virus infection. </w:t>
      </w:r>
      <w:r>
        <w:rPr>
          <w:rFonts w:ascii="Book Antiqua" w:hAnsi="Book Antiqua"/>
          <w:i/>
          <w:iCs/>
        </w:rPr>
        <w:t>Hepatol Res</w:t>
      </w:r>
      <w:r>
        <w:rPr>
          <w:rFonts w:ascii="Book Antiqua" w:hAnsi="Book Antiqua"/>
        </w:rPr>
        <w:t xml:space="preserve"> 2006; </w:t>
      </w:r>
      <w:r>
        <w:rPr>
          <w:rFonts w:ascii="Book Antiqua" w:hAnsi="Book Antiqua"/>
          <w:b/>
          <w:bCs/>
        </w:rPr>
        <w:t>36</w:t>
      </w:r>
      <w:r>
        <w:rPr>
          <w:rFonts w:ascii="Book Antiqua" w:hAnsi="Book Antiqua"/>
        </w:rPr>
        <w:t>: 272-276 [PMID: 16971173 DOI: 10.1016/j.hepres.2006.08.005]</w:t>
      </w:r>
    </w:p>
    <w:p>
      <w:pPr>
        <w:spacing w:line="360" w:lineRule="auto"/>
        <w:jc w:val="both"/>
        <w:rPr>
          <w:rFonts w:ascii="Book Antiqua" w:hAnsi="Book Antiqua"/>
          <w:lang w:eastAsia="zh-CN"/>
        </w:rPr>
      </w:pPr>
      <w:r>
        <w:rPr>
          <w:rFonts w:ascii="Book Antiqua" w:hAnsi="Book Antiqua"/>
        </w:rPr>
        <w:t xml:space="preserve">99 </w:t>
      </w:r>
      <w:r>
        <w:rPr>
          <w:rFonts w:ascii="Book Antiqua" w:hAnsi="Book Antiqua"/>
          <w:b/>
          <w:bCs/>
        </w:rPr>
        <w:t>Jung KS</w:t>
      </w:r>
      <w:r>
        <w:rPr>
          <w:rFonts w:ascii="Book Antiqua" w:hAnsi="Book Antiqua"/>
        </w:rPr>
        <w:t xml:space="preserve">, Park JY, Chon YE, Kim HS, Kang W, Kim BK, Kim SU, Kim do Y, Han KH, Ahn SH. Clinical outcomes and predictors for relapse after cessation of oral antiviral treatment in chronic hepatitis B patients. </w:t>
      </w:r>
      <w:r>
        <w:rPr>
          <w:rFonts w:ascii="Book Antiqua" w:hAnsi="Book Antiqua"/>
          <w:i/>
          <w:iCs/>
        </w:rPr>
        <w:t>J Gastroenterol</w:t>
      </w:r>
      <w:r>
        <w:rPr>
          <w:rFonts w:ascii="Book Antiqua" w:hAnsi="Book Antiqua"/>
        </w:rPr>
        <w:t xml:space="preserve"> 2016; </w:t>
      </w:r>
      <w:r>
        <w:rPr>
          <w:rFonts w:ascii="Book Antiqua" w:hAnsi="Book Antiqua"/>
          <w:b/>
          <w:bCs/>
        </w:rPr>
        <w:t>51</w:t>
      </w:r>
      <w:r>
        <w:rPr>
          <w:rFonts w:ascii="Book Antiqua" w:hAnsi="Book Antiqua"/>
        </w:rPr>
        <w:t>: 830-839 [PMID: 26687058 DOI: 10.1007/s00535-015-1153-1]</w:t>
      </w:r>
      <w:bookmarkEnd w:id="3"/>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conflicting interests.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Invited </w:t>
      </w:r>
      <w:r>
        <w:rPr>
          <w:rFonts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The Gastroenterological Association of Thailand; American Association for the Study of Liver Diseases; Thai Association for the Study of the Liver.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21,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3, 2021</w:t>
      </w:r>
    </w:p>
    <w:p>
      <w:pPr>
        <w:spacing w:line="360" w:lineRule="auto"/>
        <w:jc w:val="both"/>
        <w:rPr>
          <w:rFonts w:ascii="Book Antiqua" w:hAnsi="Book Antiqua"/>
          <w:lang w:eastAsia="zh-CN"/>
        </w:rPr>
      </w:pPr>
      <w:r>
        <w:rPr>
          <w:rFonts w:ascii="Book Antiqua" w:hAnsi="Book Antiqua" w:eastAsia="Book Antiqua" w:cs="Book Antiqua"/>
          <w:b/>
          <w:color w:val="000000"/>
        </w:rPr>
        <w:t>Article in press:</w:t>
      </w:r>
      <w:r>
        <w:rPr>
          <w:rFonts w:hint="eastAsia" w:ascii="Book Antiqua" w:hAnsi="Book Antiqua" w:cs="Book Antiqua"/>
          <w:b/>
          <w:color w:val="000000"/>
          <w:lang w:eastAsia="zh-CN"/>
        </w:rPr>
        <w:t xml:space="preserve"> </w:t>
      </w:r>
      <w:r>
        <w:rPr>
          <w:rFonts w:ascii="Book Antiqua" w:hAnsi="Book Antiqua" w:cs="Book Antiqua"/>
          <w:color w:val="000000"/>
          <w:lang w:eastAsia="zh-CN"/>
        </w:rPr>
        <w:t>July 28,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Thailand</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Bottaro M</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hint="eastAsia" w:ascii="Book Antiqua" w:hAnsi="Book Antiqua" w:cs="Book Antiqua"/>
          <w:color w:val="000000"/>
          <w:lang w:eastAsia="zh-CN"/>
        </w:rPr>
        <w:t>Yuan YY</w:t>
      </w:r>
    </w:p>
    <w:p>
      <w:pPr>
        <w:rPr>
          <w:rFonts w:ascii="Book Antiqua" w:hAnsi="Book Antiqua" w:cs="Book Antiqua"/>
          <w:b/>
          <w:color w:val="000000"/>
          <w:lang w:eastAsia="zh-CN"/>
        </w:rPr>
      </w:pPr>
      <w:r>
        <w:rPr>
          <w:rFonts w:ascii="Book Antiqua" w:hAnsi="Book Antiqua" w:cs="Book Antiqua"/>
          <w:b/>
          <w:color w:val="000000"/>
          <w:lang w:eastAsia="zh-CN"/>
        </w:rPr>
        <w:br w:type="page"/>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0" distR="0">
            <wp:extent cx="5486400" cy="26225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6400" cy="2622550"/>
                    </a:xfrm>
                    <a:prstGeom prst="rect">
                      <a:avLst/>
                    </a:prstGeom>
                  </pic:spPr>
                </pic:pic>
              </a:graphicData>
            </a:graphic>
          </wp:inline>
        </w:drawing>
      </w:r>
    </w:p>
    <w:p>
      <w:pPr>
        <w:spacing w:line="360" w:lineRule="auto"/>
        <w:jc w:val="both"/>
        <w:rPr>
          <w:rFonts w:ascii="Book Antiqua" w:hAnsi="Book Antiqua" w:cs="Book Antiqua"/>
          <w:bCs/>
          <w:color w:val="000000"/>
          <w:lang w:eastAsia="zh-CN"/>
        </w:rPr>
      </w:pPr>
      <w:r>
        <w:rPr>
          <w:rFonts w:ascii="Book Antiqua" w:hAnsi="Book Antiqua" w:eastAsia="Book Antiqua" w:cs="Book Antiqua"/>
          <w:b/>
          <w:bCs/>
          <w:color w:val="000000"/>
        </w:rPr>
        <w:t>F</w:t>
      </w:r>
      <w:r>
        <w:rPr>
          <w:rFonts w:ascii="Book Antiqua" w:hAnsi="Book Antiqua" w:cs="Book Antiqua"/>
          <w:b/>
          <w:bCs/>
          <w:color w:val="000000"/>
          <w:lang w:eastAsia="zh-CN"/>
        </w:rPr>
        <w:t>igure</w:t>
      </w:r>
      <w:r>
        <w:rPr>
          <w:rFonts w:ascii="Book Antiqua" w:hAnsi="Book Antiqua" w:eastAsia="Book Antiqua" w:cs="Book Antiqua"/>
          <w:b/>
          <w:bCs/>
          <w:color w:val="000000"/>
        </w:rPr>
        <w:t xml:space="preserve"> 1 </w:t>
      </w:r>
      <w:r>
        <w:rPr>
          <w:rFonts w:ascii="Book Antiqua" w:hAnsi="Book Antiqua" w:eastAsia="Book Antiqua" w:cs="Book Antiqua"/>
          <w:b/>
          <w:color w:val="000000"/>
        </w:rPr>
        <w:t xml:space="preserve">Advantages </w:t>
      </w:r>
      <w:r>
        <w:rPr>
          <w:rFonts w:ascii="Book Antiqua" w:hAnsi="Book Antiqua" w:eastAsia="Book Antiqua" w:cs="Book Antiqua"/>
          <w:b/>
          <w:i/>
          <w:iCs/>
          <w:color w:val="000000"/>
        </w:rPr>
        <w:t>vs</w:t>
      </w:r>
      <w:r>
        <w:rPr>
          <w:rFonts w:ascii="Book Antiqua" w:hAnsi="Book Antiqua" w:eastAsia="Book Antiqua" w:cs="Book Antiqua"/>
          <w:b/>
          <w:color w:val="000000"/>
        </w:rPr>
        <w:t xml:space="preserve"> disadvantages of antiviral agent discontinuation in chronic hepatitis B</w:t>
      </w:r>
      <w:r>
        <w:rPr>
          <w:rFonts w:ascii="Book Antiqua" w:hAnsi="Book Antiqua" w:eastAsia="Book Antiqua" w:cs="Book Antiqua"/>
          <w:b/>
          <w:bCs/>
          <w:color w:val="000000"/>
        </w:rPr>
        <w:t>.</w:t>
      </w:r>
      <w:r>
        <w:rPr>
          <w:rFonts w:ascii="Book Antiqua" w:hAnsi="Book Antiqua" w:cs="Book Antiqua"/>
          <w:b/>
          <w:bCs/>
          <w:color w:val="000000"/>
          <w:lang w:eastAsia="zh-CN"/>
        </w:rPr>
        <w:t xml:space="preserve"> </w:t>
      </w:r>
      <w:r>
        <w:rPr>
          <w:rFonts w:ascii="Book Antiqua" w:hAnsi="Book Antiqua" w:cs="Book Antiqua"/>
          <w:bCs/>
          <w:color w:val="000000"/>
          <w:lang w:eastAsia="zh-CN"/>
        </w:rPr>
        <w:t xml:space="preserve">HBsAg: </w:t>
      </w:r>
      <w:r>
        <w:rPr>
          <w:rFonts w:ascii="Book Antiqua" w:hAnsi="Book Antiqua" w:cs="Cordia New"/>
          <w:lang w:eastAsia="zh-CN"/>
        </w:rPr>
        <w:t>H</w:t>
      </w:r>
      <w:r>
        <w:rPr>
          <w:rFonts w:ascii="Book Antiqua" w:hAnsi="Book Antiqua" w:cs="Cordia New"/>
        </w:rPr>
        <w:t>epatitis B surface antigen;</w:t>
      </w:r>
      <w:r>
        <w:rPr>
          <w:rFonts w:ascii="Book Antiqua" w:hAnsi="Book Antiqua" w:cs="Book Antiqua"/>
          <w:bCs/>
          <w:color w:val="000000"/>
          <w:lang w:eastAsia="zh-CN"/>
        </w:rPr>
        <w:t xml:space="preserve"> HCC: </w:t>
      </w:r>
      <w:r>
        <w:rPr>
          <w:rFonts w:ascii="Book Antiqua" w:hAnsi="Book Antiqua" w:cs="Book Antiqua"/>
          <w:color w:val="000000"/>
          <w:lang w:eastAsia="zh-CN"/>
        </w:rPr>
        <w:t>H</w:t>
      </w:r>
      <w:r>
        <w:rPr>
          <w:rFonts w:ascii="Book Antiqua" w:hAnsi="Book Antiqua" w:eastAsia="Book Antiqua" w:cs="Book Antiqua"/>
          <w:color w:val="000000"/>
        </w:rPr>
        <w:t>epatocellular carcinoma</w:t>
      </w:r>
      <w:r>
        <w:rPr>
          <w:rFonts w:ascii="Book Antiqua" w:hAnsi="Book Antiqua" w:cs="Book Antiqua"/>
          <w:bCs/>
          <w:color w:val="000000"/>
          <w:lang w:eastAsia="zh-CN"/>
        </w:rPr>
        <w:t>.</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br w:type="page"/>
      </w:r>
    </w:p>
    <w:p>
      <w:pPr>
        <w:spacing w:line="360" w:lineRule="auto"/>
        <w:jc w:val="both"/>
        <w:rPr>
          <w:rFonts w:ascii="Book Antiqua" w:hAnsi="Book Antiqua" w:cs="Book Antiqua"/>
          <w:color w:val="000000"/>
          <w:lang w:eastAsia="zh-CN"/>
        </w:rPr>
      </w:pPr>
      <w:r>
        <w:rPr>
          <w:rFonts w:ascii="Book Antiqua" w:hAnsi="Book Antiqua"/>
          <w:lang w:eastAsia="zh-CN"/>
        </w:rPr>
        <w:drawing>
          <wp:inline distT="0" distB="0" distL="0" distR="0">
            <wp:extent cx="5486400" cy="2327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486400" cy="2327275"/>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w:t>
      </w:r>
      <w:r>
        <w:rPr>
          <w:rFonts w:ascii="Book Antiqua" w:hAnsi="Book Antiqua" w:cs="Book Antiqua"/>
          <w:b/>
          <w:bCs/>
          <w:color w:val="000000"/>
          <w:lang w:eastAsia="zh-CN"/>
        </w:rPr>
        <w:t>igure</w:t>
      </w:r>
      <w:r>
        <w:rPr>
          <w:rFonts w:ascii="Book Antiqua" w:hAnsi="Book Antiqua" w:eastAsia="Book Antiqua" w:cs="Book Antiqua"/>
          <w:b/>
          <w:bCs/>
          <w:color w:val="000000"/>
        </w:rPr>
        <w:t xml:space="preserve"> 2</w:t>
      </w:r>
      <w:r>
        <w:rPr>
          <w:rFonts w:ascii="Book Antiqua" w:hAnsi="Book Antiqua" w:eastAsia="Book Antiqua" w:cs="Book Antiqua"/>
          <w:color w:val="000000"/>
        </w:rPr>
        <w:t xml:space="preserve"> </w:t>
      </w:r>
      <w:r>
        <w:rPr>
          <w:rFonts w:ascii="Book Antiqua" w:hAnsi="Book Antiqua" w:eastAsia="Book Antiqua" w:cs="Book Antiqua"/>
          <w:b/>
          <w:color w:val="000000"/>
        </w:rPr>
        <w:t>Proposed ideal candidates to for stopping the use of antiviral agents in chronic hepatitis B patients.</w:t>
      </w:r>
      <w:r>
        <w:rPr>
          <w:rFonts w:ascii="Book Antiqua" w:hAnsi="Book Antiqua" w:cs="Book Antiqua"/>
          <w:b/>
          <w:color w:val="000000"/>
          <w:lang w:eastAsia="zh-CN"/>
        </w:rPr>
        <w:t xml:space="preserve"> </w:t>
      </w:r>
      <w:r>
        <w:rPr>
          <w:rFonts w:ascii="Book Antiqua" w:hAnsi="Book Antiqua" w:cs="Book Antiqua"/>
          <w:bCs/>
          <w:color w:val="000000"/>
          <w:lang w:eastAsia="zh-CN"/>
        </w:rPr>
        <w:t xml:space="preserve">EOT: </w:t>
      </w:r>
      <w:r>
        <w:rPr>
          <w:rFonts w:ascii="Book Antiqua" w:hAnsi="Book Antiqua" w:cs="Book Antiqua"/>
          <w:color w:val="000000"/>
          <w:lang w:eastAsia="zh-CN"/>
        </w:rPr>
        <w:t>E</w:t>
      </w:r>
      <w:r>
        <w:rPr>
          <w:rFonts w:ascii="Book Antiqua" w:hAnsi="Book Antiqua" w:eastAsia="Book Antiqua" w:cs="Book Antiqua"/>
          <w:color w:val="000000"/>
        </w:rPr>
        <w:t>nd of treatment;</w:t>
      </w:r>
      <w:r>
        <w:rPr>
          <w:rFonts w:ascii="Book Antiqua" w:hAnsi="Book Antiqua" w:cs="Book Antiqua"/>
          <w:bCs/>
          <w:color w:val="000000"/>
          <w:lang w:eastAsia="zh-CN"/>
        </w:rPr>
        <w:t xml:space="preserve"> HBcrAg: </w:t>
      </w:r>
      <w:r>
        <w:rPr>
          <w:rFonts w:ascii="Book Antiqua" w:hAnsi="Book Antiqua" w:cs="Cordia New"/>
        </w:rPr>
        <w:t>Hepatitis B core-related antigen</w:t>
      </w:r>
      <w:r>
        <w:rPr>
          <w:rFonts w:ascii="Book Antiqua" w:hAnsi="Book Antiqua" w:cs="Book Antiqua"/>
          <w:bCs/>
          <w:color w:val="000000"/>
          <w:lang w:eastAsia="zh-CN"/>
        </w:rPr>
        <w:t xml:space="preserve">; HBsAg: </w:t>
      </w:r>
      <w:r>
        <w:rPr>
          <w:rFonts w:ascii="Book Antiqua" w:hAnsi="Book Antiqua" w:cs="Cordia New"/>
          <w:lang w:eastAsia="zh-CN"/>
        </w:rPr>
        <w:t>H</w:t>
      </w:r>
      <w:r>
        <w:rPr>
          <w:rFonts w:ascii="Book Antiqua" w:hAnsi="Book Antiqua" w:cs="Cordia New"/>
        </w:rPr>
        <w:t>epatitis B surface antigen</w:t>
      </w:r>
      <w:r>
        <w:rPr>
          <w:rFonts w:ascii="Book Antiqua" w:hAnsi="Book Antiqua" w:cs="Book Antiqua"/>
          <w:bCs/>
          <w:color w:val="000000"/>
          <w:lang w:eastAsia="zh-CN"/>
        </w:rPr>
        <w:t>;</w:t>
      </w:r>
      <w:r>
        <w:rPr>
          <w:rFonts w:ascii="Book Antiqua" w:hAnsi="Book Antiqua" w:cs="Book Antiqua"/>
          <w:color w:val="000000"/>
          <w:lang w:eastAsia="zh-CN"/>
        </w:rPr>
        <w:t xml:space="preserve"> HBV: </w:t>
      </w:r>
      <w:r>
        <w:rPr>
          <w:rFonts w:ascii="Book Antiqua" w:hAnsi="Book Antiqua" w:cs="Cordia New"/>
          <w:lang w:eastAsia="zh-CN"/>
        </w:rPr>
        <w:t>H</w:t>
      </w:r>
      <w:r>
        <w:rPr>
          <w:rFonts w:ascii="Book Antiqua" w:hAnsi="Book Antiqua" w:cs="Cordia New"/>
        </w:rPr>
        <w:t>epatitis B virus</w:t>
      </w:r>
      <w:r>
        <w:rPr>
          <w:rFonts w:ascii="Book Antiqua" w:hAnsi="Book Antiqua" w:cs="Book Antiqua"/>
          <w:color w:val="000000"/>
          <w:lang w:eastAsia="zh-CN"/>
        </w:rPr>
        <w:t>.</w:t>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Pr>
          <w:rFonts w:ascii="Book Antiqua" w:hAnsi="Book Antiqua" w:cs="Cordia New"/>
          <w:b/>
        </w:rPr>
        <w:t>Table 1</w:t>
      </w:r>
      <w:r>
        <w:rPr>
          <w:rFonts w:ascii="Book Antiqua" w:hAnsi="Book Antiqua" w:cs="Cordia New"/>
          <w:b/>
          <w:bCs/>
        </w:rPr>
        <w:t xml:space="preserve"> Guidelines for stopping nucleos(t)ide analog therapy</w:t>
      </w:r>
    </w:p>
    <w:tbl>
      <w:tblPr>
        <w:tblStyle w:val="8"/>
        <w:tblW w:w="5756" w:type="pct"/>
        <w:tblInd w:w="-74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44"/>
        <w:gridCol w:w="4357"/>
        <w:gridCol w:w="443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 w:type="pct"/>
            <w:tcBorders>
              <w:top w:val="single" w:color="auto" w:sz="4" w:space="0"/>
              <w:bottom w:val="single" w:color="auto" w:sz="4" w:space="0"/>
            </w:tcBorders>
          </w:tcPr>
          <w:p>
            <w:pPr>
              <w:snapToGrid w:val="0"/>
              <w:spacing w:line="360" w:lineRule="auto"/>
              <w:jc w:val="both"/>
              <w:rPr>
                <w:rFonts w:ascii="Book Antiqua" w:hAnsi="Book Antiqua" w:cs="Cordia New"/>
                <w:b/>
              </w:rPr>
            </w:pPr>
            <w:r>
              <w:rPr>
                <w:rFonts w:ascii="Book Antiqua" w:hAnsi="Book Antiqua" w:cs="Cordia New"/>
                <w:b/>
              </w:rPr>
              <w:t>Guidelines</w:t>
            </w:r>
          </w:p>
        </w:tc>
        <w:tc>
          <w:tcPr>
            <w:tcW w:w="2049" w:type="pct"/>
            <w:tcBorders>
              <w:top w:val="single" w:color="auto" w:sz="4" w:space="0"/>
              <w:bottom w:val="single" w:color="auto" w:sz="4" w:space="0"/>
            </w:tcBorders>
          </w:tcPr>
          <w:p>
            <w:pPr>
              <w:snapToGrid w:val="0"/>
              <w:spacing w:line="360" w:lineRule="auto"/>
              <w:jc w:val="both"/>
              <w:rPr>
                <w:rFonts w:ascii="Book Antiqua" w:hAnsi="Book Antiqua" w:cs="Cordia New"/>
                <w:b/>
              </w:rPr>
            </w:pPr>
            <w:r>
              <w:rPr>
                <w:rFonts w:ascii="Book Antiqua" w:hAnsi="Book Antiqua" w:cs="Cordia New"/>
                <w:b/>
              </w:rPr>
              <w:t>HBeAg-positive CHB</w:t>
            </w:r>
          </w:p>
        </w:tc>
        <w:tc>
          <w:tcPr>
            <w:tcW w:w="2084" w:type="pct"/>
            <w:tcBorders>
              <w:top w:val="single" w:color="auto" w:sz="4" w:space="0"/>
              <w:bottom w:val="single" w:color="auto" w:sz="4" w:space="0"/>
            </w:tcBorders>
          </w:tcPr>
          <w:p>
            <w:pPr>
              <w:snapToGrid w:val="0"/>
              <w:spacing w:line="360" w:lineRule="auto"/>
              <w:jc w:val="both"/>
              <w:rPr>
                <w:rFonts w:ascii="Book Antiqua" w:hAnsi="Book Antiqua" w:cs="Cordia New"/>
                <w:b/>
              </w:rPr>
            </w:pPr>
            <w:r>
              <w:rPr>
                <w:rFonts w:ascii="Book Antiqua" w:hAnsi="Book Antiqua" w:cs="Cordia New"/>
                <w:b/>
              </w:rPr>
              <w:t>HBeAg-negative CHB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 w:type="pct"/>
            <w:tcBorders>
              <w:top w:val="single" w:color="auto" w:sz="4" w:space="0"/>
            </w:tcBorders>
          </w:tcPr>
          <w:p>
            <w:pPr>
              <w:snapToGrid w:val="0"/>
              <w:spacing w:line="360" w:lineRule="auto"/>
              <w:jc w:val="both"/>
              <w:rPr>
                <w:rFonts w:ascii="Book Antiqua" w:hAnsi="Book Antiqua" w:cs="Cordia New"/>
              </w:rPr>
            </w:pPr>
            <w:r>
              <w:rPr>
                <w:rFonts w:ascii="Book Antiqua" w:hAnsi="Book Antiqua" w:cs="Cordia New"/>
              </w:rPr>
              <w:t>APASL 2015</w:t>
            </w:r>
            <w:r>
              <w:rPr>
                <w:rFonts w:ascii="Book Antiqua" w:hAnsi="Book Antiqua" w:cs="Cordia New"/>
              </w:rPr>
              <w:fldChar w:fldCharType="begin"/>
            </w:r>
            <w:r>
              <w:rPr>
                <w:rFonts w:ascii="Book Antiqua" w:hAnsi="Book Antiqua" w:cs="Cordia New"/>
              </w:rPr>
              <w:instrText xml:space="preserve"> ADDIN ZOTERO_ITEM CSL_CITATION {"citationID":"JJEzjpy4","properties":{"formattedCitation":"\\super [11]\\nosupersub{}","plainCitation":"[11]","noteIndex":0},"citationItems":[{"id":36,"uris":["http://zotero.org/users/local/NyhnE8P8/items/ZK4VVNBM"],"uri":["http://zotero.org/users/local/NyhnE8P8/items/ZK4VVNBM"],"itemData":{"id":36,"type":"article-journal","abstract":"Worldwide, some 240 million people have chronic hepatitis B virus (HBV), with the highest rates of infection in Africa and Asia. Our understanding of the natural history of HBV infection and the potential for therapy of the resultant disease is continuously improving. New data have become available since the previous APASL guidelines for management of HBV infection were published in 2012. The objective of this manuscript is to update the recommendations for the optimal management of chronic HBV infection. The 2015 guidelines were developed by a panel of Asian experts chosen by the APASL. The clinical practice guidelines are based on evidence from existing publications or, if evidence was unavailable, on the experts' personal experience and opinion after deliberations. Manuscripts and abstracts of important meetings published through January 2015 have been evaluated. This guideline covers the full spectrum of care of patients infected with hepatitis B, including new terminology, natural history, screening, vaccination, counseling, diagnosis, assessment of the stage of liver disease, the indications, timing, choice and duration of single or combination of antiviral drugs, screening for HCC, management in special situations like childhood, pregnancy, coinfections, renal impairment and pre- and post-liver transplant, and policy guidelines. However, areas of uncertainty still exist, and clinicians, patients, and public health authorities must therefore continue to make choices on the basis of the evolving evidence. The final clinical practice guidelines and recommendations are presented here, along with the relevant background information.","container-title":"Hepatology International","DOI":"10.1007/s12072-015-9675-4","ISSN":"1936-0541","issue":"1","journalAbbreviation":"Hepatol Int","language":"eng","note":"PMID: 26563120\nPMCID: PMC4722087","page":"1-98","source":"PubMed","title":"Asian-Pacific clinical practice guidelines on the management of hepatitis B: a 2015 update","title-short":"Asian-Pacific clinical practice guidelines on the management of hepatitis B","volume":"10","author":[{"family":"Sarin","given":"S. K."},{"family":"Kumar","given":"M."},{"family":"Lau","given":"G. K."},{"family":"Abbas","given":"Z."},{"family":"Chan","given":"H. L. Y."},{"family":"Chen","given":"C. J."},{"family":"Chen","given":"D. S."},{"family":"Chen","given":"H. L."},{"family":"Chen","given":"P. J."},{"family":"Chien","given":"R. N."},{"family":"Dokmeci","given":"A. K."},{"family":"Gane","given":"Ed"},{"family":"Hou","given":"J. L."},{"family":"Jafri","given":"W."},{"family":"Jia","given":"J."},{"family":"Kim","given":"J. H."},{"family":"Lai","given":"C. L."},{"family":"Lee","given":"H. C."},{"family":"Lim","given":"S. G."},{"family":"Liu","given":"C. J."},{"family":"Locarnini","given":"S."},{"family":"Al Mahtab","given":"M."},{"family":"Mohamed","given":"R."},{"family":"Omata","given":"M."},{"family":"Park","given":"J."},{"family":"Piratvisuth","given":"T."},{"family":"Sharma","given":"B. C."},{"family":"Sollano","given":"J."},{"family":"Wang","given":"F. S."},{"family":"Wei","given":"L."},{"family":"Yuen","given":"M. F."},{"family":"Zheng","given":"S. S."},{"family":"Kao","given":"J. H."}],"issued":{"date-parts":[["2016",1]]}}}],"schema":"https://github.com/citation-style-language/schema/raw/master/csl-citation.json"}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[11]</w:t>
            </w:r>
            <w:r>
              <w:rPr>
                <w:rFonts w:ascii="Book Antiqua" w:hAnsi="Book Antiqua" w:cs="Cordia New"/>
              </w:rPr>
              <w:fldChar w:fldCharType="end"/>
            </w:r>
          </w:p>
        </w:tc>
        <w:tc>
          <w:tcPr>
            <w:tcW w:w="2049" w:type="pct"/>
            <w:tcBorders>
              <w:top w:val="single" w:color="auto" w:sz="4" w:space="0"/>
            </w:tcBorders>
          </w:tcPr>
          <w:p>
            <w:pPr>
              <w:snapToGrid w:val="0"/>
              <w:spacing w:line="360" w:lineRule="auto"/>
              <w:contextualSpacing/>
              <w:jc w:val="both"/>
              <w:rPr>
                <w:rFonts w:ascii="Book Antiqua" w:hAnsi="Book Antiqua" w:cs="Cordia New"/>
                <w:bCs/>
                <w:lang w:eastAsia="zh-CN"/>
              </w:rPr>
            </w:pPr>
            <w:r>
              <w:rPr>
                <w:rFonts w:ascii="Book Antiqua" w:hAnsi="Book Antiqua" w:cs="Cordia New"/>
                <w:bCs/>
              </w:rPr>
              <w:t>HBeAg seroconversion</w:t>
            </w:r>
            <w:r>
              <w:rPr>
                <w:rFonts w:ascii="Book Antiqua" w:hAnsi="Book Antiqua" w:cs="Cordia New"/>
                <w:bCs/>
                <w:lang w:eastAsia="zh-CN"/>
              </w:rPr>
              <w:t xml:space="preserve">: </w:t>
            </w:r>
            <w:r>
              <w:rPr>
                <w:rFonts w:ascii="Book Antiqua" w:hAnsi="Book Antiqua" w:cs="Cordia New"/>
                <w:bCs/>
              </w:rPr>
              <w:t xml:space="preserve">+ undetectable HBV </w:t>
            </w:r>
            <w:r>
              <w:rPr>
                <w:rFonts w:ascii="Book Antiqua" w:hAnsi="Book Antiqua"/>
              </w:rPr>
              <w:t>DNA + normal ALT for ≥ 12 mo (</w:t>
            </w:r>
            <w:r>
              <w:rPr>
                <w:rFonts w:ascii="Book Antiqua" w:hAnsi="Book Antiqua" w:cs="Cordia New"/>
                <w:bCs/>
                <w:lang w:eastAsia="zh-CN"/>
              </w:rPr>
              <w:t>o</w:t>
            </w:r>
            <w:r>
              <w:rPr>
                <w:rFonts w:ascii="Book Antiqua" w:hAnsi="Book Antiqua" w:cs="Cordia New"/>
                <w:bCs/>
              </w:rPr>
              <w:t>r preferably 3 yr)</w:t>
            </w:r>
            <w:r>
              <w:rPr>
                <w:rFonts w:ascii="Book Antiqua" w:hAnsi="Book Antiqua" w:cs="Cordia New"/>
                <w:bCs/>
                <w:lang w:eastAsia="zh-CN"/>
              </w:rPr>
              <w:t xml:space="preserve">. </w:t>
            </w:r>
            <w:r>
              <w:rPr>
                <w:rFonts w:ascii="Book Antiqua" w:hAnsi="Book Antiqua" w:cs="Cordia New"/>
                <w:bCs/>
              </w:rPr>
              <w:t>Cirrhotic patients may be stopped with careful monitoring</w:t>
            </w:r>
          </w:p>
        </w:tc>
        <w:tc>
          <w:tcPr>
            <w:tcW w:w="2084" w:type="pct"/>
            <w:tcBorders>
              <w:top w:val="single" w:color="auto" w:sz="4" w:space="0"/>
            </w:tcBorders>
          </w:tcPr>
          <w:p>
            <w:pPr>
              <w:snapToGrid w:val="0"/>
              <w:spacing w:line="360" w:lineRule="auto"/>
              <w:contextualSpacing/>
              <w:jc w:val="both"/>
              <w:rPr>
                <w:rFonts w:ascii="Book Antiqua" w:hAnsi="Book Antiqua" w:cs="Cordia New"/>
                <w:bCs/>
                <w:lang w:eastAsia="zh-CN"/>
              </w:rPr>
            </w:pPr>
            <w:r>
              <w:rPr>
                <w:rFonts w:ascii="Book Antiqua" w:hAnsi="Book Antiqua" w:cs="Cordia New"/>
                <w:bCs/>
              </w:rPr>
              <w:t>Undetectable HBV DNA at least 2 yr with documented on three separate occasions, 6 mo apart</w:t>
            </w:r>
            <w:r>
              <w:rPr>
                <w:rFonts w:ascii="Book Antiqua" w:hAnsi="Book Antiqua" w:cs="Cordia New"/>
                <w:bCs/>
                <w:lang w:eastAsia="zh-CN"/>
              </w:rPr>
              <w:t xml:space="preserve">: </w:t>
            </w:r>
            <w:r>
              <w:rPr>
                <w:rFonts w:ascii="Book Antiqua" w:hAnsi="Book Antiqua" w:cs="Cordia New"/>
                <w:bCs/>
              </w:rPr>
              <w:t>Or HBsAg clearance either at least for 1 yr</w:t>
            </w:r>
            <w:r>
              <w:rPr>
                <w:rFonts w:ascii="Book Antiqua" w:hAnsi="Book Antiqua" w:cs="Cordia New"/>
                <w:bCs/>
                <w:lang w:eastAsia="zh-CN"/>
              </w:rPr>
              <w:t>;</w:t>
            </w:r>
            <w:r>
              <w:rPr>
                <w:rFonts w:ascii="Book Antiqua" w:hAnsi="Book Antiqua" w:cs="Cordia New"/>
                <w:bCs/>
              </w:rPr>
              <w:t xml:space="preserve"> Or until anti-HBs seroconversion</w:t>
            </w:r>
            <w:r>
              <w:rPr>
                <w:rFonts w:ascii="Book Antiqua" w:hAnsi="Book Antiqua" w:cs="Cordia New"/>
                <w:bCs/>
                <w:lang w:eastAsia="zh-CN"/>
              </w:rPr>
              <w:t xml:space="preserve">. </w:t>
            </w:r>
            <w:r>
              <w:rPr>
                <w:rFonts w:ascii="Book Antiqua" w:hAnsi="Book Antiqua" w:cs="Cordia New"/>
                <w:bCs/>
              </w:rPr>
              <w:t>Cirrhotic patients may be stopped with careful monitoring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 w:type="pct"/>
          </w:tcPr>
          <w:p>
            <w:pPr>
              <w:snapToGrid w:val="0"/>
              <w:spacing w:line="360" w:lineRule="auto"/>
              <w:jc w:val="both"/>
              <w:rPr>
                <w:rFonts w:ascii="Book Antiqua" w:hAnsi="Book Antiqua" w:cs="Cordia New"/>
              </w:rPr>
            </w:pPr>
            <w:r>
              <w:rPr>
                <w:rFonts w:ascii="Book Antiqua" w:hAnsi="Book Antiqua" w:cs="Cordia New"/>
              </w:rPr>
              <w:t>AASLD 2018</w:t>
            </w:r>
            <w:r>
              <w:rPr>
                <w:rFonts w:ascii="Book Antiqua" w:hAnsi="Book Antiqua" w:cs="Cordia New"/>
              </w:rPr>
              <w:fldChar w:fldCharType="begin"/>
            </w:r>
            <w:r>
              <w:rPr>
                <w:rFonts w:ascii="Book Antiqua" w:hAnsi="Book Antiqua" w:cs="Cordia New"/>
              </w:rPr>
              <w:instrText xml:space="preserve"> ADDIN ZOTERO_ITEM CSL_CITATION {"citationID":"hW0WPWW0","properties":{"formattedCitation":"\\super [10]\\nosupersub{}","plainCitation":"[10]","noteIndex":0},"citationItems":[{"id":902,"uris":["http://zotero.org/users/local/NyhnE8P8/items/ACD6AKIS"],"uri":["http://zotero.org/users/local/NyhnE8P8/items/ACD6AKIS"],"itemData":{"id":902,"type":"article-journal","container-title":"Hepatology (Baltimore, Md.)","DOI":"10/gf4gs8","ISSN":"1527-3350","issue":"4","journalAbbreviation":"Hepatology","language":"eng","note":"PMID: 29405329\nPMCID: PMC5975958","page":"1560-1599","source":"PubMed","title":"Update on prevention, diagnosis, and treatment of chronic hepatitis B: AASLD 2018 hepatitis B guidance","title-short":"Update on prevention, diagnosis, and treatment of chronic hepatitis B","volume":"67","author":[{"family":"Terrault","given":"Norah A."},{"family":"Lok","given":"Anna S. F."},{"family":"McMahon","given":"Brian J."},{"family":"Chang","given":"Kyong-Mi"},{"family":"Hwang","given":"Jessica P."},{"family":"Jonas","given":"Maureen M."},{"family":"Brown","given":"Robert S."},{"family":"Bzowej","given":"Natalie H."},{"family":"Wong","given":"John B."}],"issued":{"date-parts":[["2018"]]}}}],"schema":"https://github.com/citation-style-language/schema/raw/master/csl-citation.json"}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[10]</w:t>
            </w:r>
            <w:r>
              <w:rPr>
                <w:rFonts w:ascii="Book Antiqua" w:hAnsi="Book Antiqua" w:cs="Cordia New"/>
              </w:rPr>
              <w:fldChar w:fldCharType="end"/>
            </w:r>
          </w:p>
        </w:tc>
        <w:tc>
          <w:tcPr>
            <w:tcW w:w="2049" w:type="pct"/>
          </w:tcPr>
          <w:p>
            <w:pPr>
              <w:snapToGrid w:val="0"/>
              <w:spacing w:line="360" w:lineRule="auto"/>
              <w:contextualSpacing/>
              <w:jc w:val="both"/>
              <w:rPr>
                <w:rFonts w:ascii="Book Antiqua" w:hAnsi="Book Antiqua" w:cs="Cordia New"/>
                <w:bCs/>
                <w:lang w:eastAsia="zh-CN"/>
              </w:rPr>
            </w:pPr>
            <w:r>
              <w:rPr>
                <w:rFonts w:ascii="Book Antiqua" w:hAnsi="Book Antiqua" w:cs="Cordia New"/>
                <w:bCs/>
              </w:rPr>
              <w:t>HBeAg seroconversion + undetectable DNA + normal ALT for ≥ 12 mo</w:t>
            </w:r>
            <w:r>
              <w:rPr>
                <w:rFonts w:ascii="Book Antiqua" w:hAnsi="Book Antiqua" w:cs="Cordia New"/>
                <w:bCs/>
                <w:lang w:eastAsia="zh-CN"/>
              </w:rPr>
              <w:t xml:space="preserve">. </w:t>
            </w:r>
            <w:r>
              <w:rPr>
                <w:rFonts w:ascii="Book Antiqua" w:hAnsi="Book Antiqua" w:cs="Cordia New"/>
                <w:bCs/>
              </w:rPr>
              <w:t>Not recommended in cirrhosis</w:t>
            </w:r>
          </w:p>
        </w:tc>
        <w:tc>
          <w:tcPr>
            <w:tcW w:w="2084" w:type="pct"/>
          </w:tcPr>
          <w:p>
            <w:pPr>
              <w:snapToGrid w:val="0"/>
              <w:spacing w:line="360" w:lineRule="auto"/>
              <w:contextualSpacing/>
              <w:jc w:val="both"/>
              <w:rPr>
                <w:rFonts w:ascii="Book Antiqua" w:hAnsi="Book Antiqua" w:cs="Cordia New"/>
                <w:bCs/>
              </w:rPr>
            </w:pPr>
            <w:r>
              <w:rPr>
                <w:rFonts w:ascii="Book Antiqua" w:hAnsi="Book Antiqua" w:cs="Cordia New"/>
                <w:bCs/>
              </w:rPr>
              <w:t>HBsAg clearance</w:t>
            </w:r>
            <w:r>
              <w:rPr>
                <w:rFonts w:ascii="Book Antiqua" w:hAnsi="Book Antiqua" w:cs="Cordia New"/>
                <w:bCs/>
                <w:lang w:eastAsia="zh-CN"/>
              </w:rPr>
              <w:t xml:space="preserve">. </w:t>
            </w:r>
            <w:r>
              <w:rPr>
                <w:rFonts w:ascii="Book Antiqua" w:hAnsi="Book Antiqua" w:cs="Cordia New"/>
                <w:bCs/>
              </w:rPr>
              <w:t>Not recommended in cirrhosis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 w:type="pct"/>
          </w:tcPr>
          <w:p>
            <w:pPr>
              <w:snapToGrid w:val="0"/>
              <w:spacing w:line="360" w:lineRule="auto"/>
              <w:jc w:val="both"/>
              <w:rPr>
                <w:rFonts w:ascii="Book Antiqua" w:hAnsi="Book Antiqua" w:cs="Cordia New"/>
              </w:rPr>
            </w:pPr>
            <w:r>
              <w:rPr>
                <w:rFonts w:ascii="Book Antiqua" w:hAnsi="Book Antiqua" w:cs="Cordia New"/>
              </w:rPr>
              <w:t>EASL 2017</w:t>
            </w:r>
            <w:r>
              <w:rPr>
                <w:rFonts w:ascii="Book Antiqua" w:hAnsi="Book Antiqua" w:cs="Cordia New"/>
              </w:rPr>
              <w:fldChar w:fldCharType="begin"/>
            </w:r>
            <w:r>
              <w:rPr>
                <w:rFonts w:ascii="Book Antiqua" w:hAnsi="Book Antiqua" w:cs="Cordia New"/>
              </w:rPr>
              <w:instrText xml:space="preserve"> ADDIN ZOTERO_ITEM CSL_CITATION {"citationID":"7qIDebyX","properties":{"formattedCitation":"\\super [9]\\nosupersub{}","plainCitation":"[9]","noteIndex":0},"citationItems":[{"id":41,"uris":["http://zotero.org/users/local/NyhnE8P8/items/395PJ8LQ"],"uri":["http://zotero.org/users/local/NyhnE8P8/items/395PJ8LQ"],"itemData":{"id":41,"type":"article-journal","abstract":"Hepatitis B virus (HBV) infection remains a global public health problem with changing epidemiology due to several factors including vaccination policies and migration. This Clinical Practice Guideline presents updated recommendations for the optimal management of HBV infection. Chronic HBV infection can be classified into five phases: (I) HBeAg-positive chronic infection, (II) HBeAg-positive chronic hepatitis, (III) HBeAg-negative chronic infection, (IV) HBeAg-negative chronic hepatitis and (V) HBsAg-negative phase. All patients with chronic HBV infection are at increased risk of progression to cirrhosis and hepatocellular carcinoma (HCC), depending on host and viral factors. The main goal of therapy is to improve survival and quality of life by preventing disease progression, and consequently HCC development. The induction of long-term suppression of HBV replication represents the main endpoint of current treatment strategies, while HBsAg loss is an optimal endpoint. The typical indication for treatment requires HBV DNA &gt;2,000IU/ml, elevated ALT and/or at least moderate histological lesions, while all cirrhotic patients with detectable HBV DNA should be treated. Additional indications include the prevention of mother to child transmission in pregnant women with high viremia and prevention of HBV reactivation in patients requiring immunosuppression or chemotherapy. The long-term administration of a potent nucleos(t)ide analogue with high barrier to resistance, i.e., entecavir, tenofovir disoproxil or tenofovir alafenamide, represents the treatment of choice. Pegylated interferon-alfa treatment can also be considered in mild to moderate chronic hepatitis B patients. Combination therapies are not generally recommended. All patients should be monitored for risk of disease progression and HCC. Treated patients should be monitored for therapy response and adherence. HCC remains the major concern for treated chronic hepatitis B patients. Several subgroups of patients with HBV infection require specific focus. Future treatment strategies to achieve 'cure' of disease and new biomarkers are discussed.","container-title":"Journal of Hepatology","DOI":"10.1016/j.jhep.2017.03.021","ISSN":"1600-0641","issue":"2","journalAbbreviation":"J. Hepatol.","language":"eng","note":"PMID: 28427875","page":"370-398","source":"PubMed","title":"EASL 2017 Clinical Practice Guidelines on the management of hepatitis B virus infection","volume":"67","author":[{"literal":"European Association for the Study of the Liver. Electronic address: easloffice@easloffice.eu"},{"literal":"European Association for the Study of the Liver"}],"issued":{"date-parts":[["2017"]]}}}],"schema":"https://github.com/citation-style-language/schema/raw/master/csl-citation.json"}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[9]</w:t>
            </w:r>
            <w:r>
              <w:rPr>
                <w:rFonts w:ascii="Book Antiqua" w:hAnsi="Book Antiqua" w:cs="Cordia New"/>
              </w:rPr>
              <w:fldChar w:fldCharType="end"/>
            </w:r>
          </w:p>
        </w:tc>
        <w:tc>
          <w:tcPr>
            <w:tcW w:w="2049" w:type="pct"/>
          </w:tcPr>
          <w:p>
            <w:pPr>
              <w:snapToGrid w:val="0"/>
              <w:spacing w:line="360" w:lineRule="auto"/>
              <w:contextualSpacing/>
              <w:jc w:val="both"/>
              <w:rPr>
                <w:rFonts w:ascii="Book Antiqua" w:hAnsi="Book Antiqua" w:cs="Cordia New"/>
                <w:bCs/>
                <w:lang w:eastAsia="zh-CN"/>
              </w:rPr>
            </w:pPr>
            <w:r>
              <w:rPr>
                <w:rFonts w:ascii="Book Antiqua" w:hAnsi="Book Antiqua" w:cs="Cordia New"/>
                <w:bCs/>
              </w:rPr>
              <w:t>HBeAg seroconversion + undetectable DNA for ≥ 12 mo</w:t>
            </w:r>
            <w:r>
              <w:rPr>
                <w:rFonts w:ascii="Book Antiqua" w:hAnsi="Book Antiqua" w:cs="Cordia New"/>
                <w:bCs/>
                <w:lang w:eastAsia="zh-CN"/>
              </w:rPr>
              <w:t xml:space="preserve">. </w:t>
            </w:r>
            <w:r>
              <w:rPr>
                <w:rFonts w:ascii="Book Antiqua" w:hAnsi="Book Antiqua" w:cs="Cordia New"/>
                <w:bCs/>
              </w:rPr>
              <w:t>Not recommended in cirrhosis</w:t>
            </w:r>
          </w:p>
        </w:tc>
        <w:tc>
          <w:tcPr>
            <w:tcW w:w="2084" w:type="pct"/>
          </w:tcPr>
          <w:p>
            <w:pPr>
              <w:snapToGrid w:val="0"/>
              <w:spacing w:line="360" w:lineRule="auto"/>
              <w:contextualSpacing/>
              <w:jc w:val="both"/>
              <w:rPr>
                <w:rFonts w:ascii="Book Antiqua" w:hAnsi="Book Antiqua" w:cs="Cordia New"/>
                <w:bCs/>
                <w:lang w:eastAsia="zh-CN"/>
              </w:rPr>
            </w:pPr>
            <w:r>
              <w:rPr>
                <w:rFonts w:ascii="Book Antiqua" w:hAnsi="Book Antiqua" w:cs="Cordia New"/>
                <w:bCs/>
              </w:rPr>
              <w:t>HBsAg clearance</w:t>
            </w:r>
            <w:r>
              <w:rPr>
                <w:rFonts w:ascii="Book Antiqua" w:hAnsi="Book Antiqua" w:cs="Cordia New"/>
                <w:bCs/>
                <w:lang w:eastAsia="zh-CN"/>
              </w:rPr>
              <w:t xml:space="preserve">. </w:t>
            </w:r>
            <w:r>
              <w:rPr>
                <w:rFonts w:ascii="Book Antiqua" w:hAnsi="Book Antiqua" w:cs="Cordia New"/>
                <w:bCs/>
              </w:rPr>
              <w:t>Or selected noncirrhotic with</w:t>
            </w:r>
            <w:r>
              <w:rPr>
                <w:rFonts w:ascii="Book Antiqua" w:hAnsi="Book Antiqua" w:cs="Cordia New"/>
              </w:rPr>
              <w:t xml:space="preserve"> </w:t>
            </w:r>
            <w:r>
              <w:rPr>
                <w:rFonts w:ascii="Book Antiqua" w:hAnsi="Book Antiqua" w:cs="Cordia New"/>
                <w:bCs/>
              </w:rPr>
              <w:t>undetectable HBV DNA ≥ 3 yr</w:t>
            </w:r>
            <w:r>
              <w:rPr>
                <w:rFonts w:ascii="Book Antiqua" w:hAnsi="Book Antiqua" w:cs="Cordia New"/>
                <w:bCs/>
                <w:lang w:eastAsia="zh-CN"/>
              </w:rPr>
              <w:t xml:space="preserve">. </w:t>
            </w:r>
            <w:r>
              <w:rPr>
                <w:rFonts w:ascii="Book Antiqua" w:hAnsi="Book Antiqua" w:cs="Cordia New"/>
                <w:bCs/>
              </w:rPr>
              <w:t>Not recommended in cirrhosis</w:t>
            </w:r>
          </w:p>
        </w:tc>
      </w:tr>
    </w:tbl>
    <w:p>
      <w:pPr>
        <w:snapToGrid w:val="0"/>
        <w:spacing w:line="360" w:lineRule="auto"/>
        <w:jc w:val="both"/>
        <w:rPr>
          <w:rFonts w:ascii="Book Antiqua" w:hAnsi="Book Antiqua" w:cs="Cordia New"/>
          <w:lang w:eastAsia="zh-CN"/>
        </w:rPr>
      </w:pPr>
      <w:r>
        <w:rPr>
          <w:rFonts w:ascii="Book Antiqua" w:hAnsi="Book Antiqua" w:cs="Cordia New"/>
        </w:rPr>
        <w:t>AASLD</w:t>
      </w:r>
      <w:r>
        <w:rPr>
          <w:rFonts w:ascii="Book Antiqua" w:hAnsi="Book Antiqua" w:cs="Cordia New"/>
          <w:lang w:eastAsia="zh-CN"/>
        </w:rPr>
        <w:t>:</w:t>
      </w:r>
      <w:r>
        <w:rPr>
          <w:rFonts w:ascii="Book Antiqua" w:hAnsi="Book Antiqua" w:cs="Cordia New"/>
        </w:rPr>
        <w:t xml:space="preserve"> American Association for the Study of the Liver; ALT</w:t>
      </w:r>
      <w:r>
        <w:rPr>
          <w:rFonts w:ascii="Book Antiqua" w:hAnsi="Book Antiqua" w:cs="Cordia New"/>
          <w:lang w:eastAsia="zh-CN"/>
        </w:rPr>
        <w:t>:</w:t>
      </w:r>
      <w:r>
        <w:rPr>
          <w:rFonts w:ascii="Book Antiqua" w:hAnsi="Book Antiqua" w:cs="Cordia New"/>
        </w:rPr>
        <w:t xml:space="preserve"> </w:t>
      </w:r>
      <w:r>
        <w:rPr>
          <w:rFonts w:ascii="Book Antiqua" w:hAnsi="Book Antiqua" w:cs="Cordia New"/>
          <w:lang w:eastAsia="zh-CN"/>
        </w:rPr>
        <w:t>A</w:t>
      </w:r>
      <w:r>
        <w:rPr>
          <w:rFonts w:ascii="Book Antiqua" w:hAnsi="Book Antiqua" w:cs="Cordia New"/>
        </w:rPr>
        <w:t>lanine aminotransferase; APASL</w:t>
      </w:r>
      <w:r>
        <w:rPr>
          <w:rFonts w:ascii="Book Antiqua" w:hAnsi="Book Antiqua" w:cs="Cordia New"/>
          <w:lang w:eastAsia="zh-CN"/>
        </w:rPr>
        <w:t>:</w:t>
      </w:r>
      <w:r>
        <w:rPr>
          <w:rFonts w:ascii="Book Antiqua" w:hAnsi="Book Antiqua" w:cs="Cordia New"/>
        </w:rPr>
        <w:t xml:space="preserve"> Asian Pacific Association for the Study of the Liver; CHB</w:t>
      </w:r>
      <w:r>
        <w:rPr>
          <w:rFonts w:ascii="Book Antiqua" w:hAnsi="Book Antiqua" w:cs="Cordia New"/>
          <w:lang w:eastAsia="zh-CN"/>
        </w:rPr>
        <w:t>:</w:t>
      </w:r>
      <w:r>
        <w:rPr>
          <w:rFonts w:ascii="Book Antiqua" w:hAnsi="Book Antiqua" w:cs="Cordia New"/>
        </w:rPr>
        <w:t xml:space="preserve"> </w:t>
      </w:r>
      <w:r>
        <w:rPr>
          <w:rFonts w:ascii="Book Antiqua" w:hAnsi="Book Antiqua" w:cs="Cordia New"/>
          <w:lang w:eastAsia="zh-CN"/>
        </w:rPr>
        <w:t>C</w:t>
      </w:r>
      <w:r>
        <w:rPr>
          <w:rFonts w:ascii="Book Antiqua" w:hAnsi="Book Antiqua" w:cs="Cordia New"/>
        </w:rPr>
        <w:t>hronic hepatitis B; EASL</w:t>
      </w:r>
      <w:r>
        <w:rPr>
          <w:rFonts w:ascii="Book Antiqua" w:hAnsi="Book Antiqua" w:cs="Cordia New"/>
          <w:lang w:eastAsia="zh-CN"/>
        </w:rPr>
        <w:t>:</w:t>
      </w:r>
      <w:r>
        <w:rPr>
          <w:rFonts w:ascii="Book Antiqua" w:hAnsi="Book Antiqua" w:cs="Cordia New"/>
        </w:rPr>
        <w:t xml:space="preserve"> European Association for the Study of the Liver</w:t>
      </w:r>
      <w:r>
        <w:rPr>
          <w:rFonts w:ascii="Book Antiqua" w:hAnsi="Book Antiqua" w:cs="Cordia New"/>
          <w:lang w:eastAsia="zh-CN"/>
        </w:rPr>
        <w:t>;</w:t>
      </w:r>
      <w:r>
        <w:rPr>
          <w:rFonts w:ascii="Book Antiqua" w:hAnsi="Book Antiqua" w:cs="Cordia New"/>
        </w:rPr>
        <w:t xml:space="preserve"> HBeAg</w:t>
      </w:r>
      <w:r>
        <w:rPr>
          <w:rFonts w:ascii="Book Antiqua" w:hAnsi="Book Antiqua" w:cs="Cordia New"/>
          <w:lang w:eastAsia="zh-CN"/>
        </w:rPr>
        <w:t>:</w:t>
      </w:r>
      <w:r>
        <w:rPr>
          <w:rFonts w:ascii="Book Antiqua" w:hAnsi="Book Antiqua" w:cs="Cordia New"/>
        </w:rPr>
        <w:t xml:space="preserve"> </w:t>
      </w:r>
      <w:r>
        <w:rPr>
          <w:rFonts w:ascii="Book Antiqua" w:hAnsi="Book Antiqua" w:cs="Cordia New"/>
          <w:lang w:eastAsia="zh-CN"/>
        </w:rPr>
        <w:t>H</w:t>
      </w:r>
      <w:r>
        <w:rPr>
          <w:rFonts w:ascii="Book Antiqua" w:hAnsi="Book Antiqua" w:cs="Cordia New"/>
        </w:rPr>
        <w:t>epatitis B e antigen; HBsAg</w:t>
      </w:r>
      <w:r>
        <w:rPr>
          <w:rFonts w:ascii="Book Antiqua" w:hAnsi="Book Antiqua" w:cs="Cordia New"/>
          <w:lang w:eastAsia="zh-CN"/>
        </w:rPr>
        <w:t>: H</w:t>
      </w:r>
      <w:r>
        <w:rPr>
          <w:rFonts w:ascii="Book Antiqua" w:hAnsi="Book Antiqua" w:cs="Cordia New"/>
        </w:rPr>
        <w:t>epatitis B surface antigen; HBV</w:t>
      </w:r>
      <w:r>
        <w:rPr>
          <w:rFonts w:ascii="Book Antiqua" w:hAnsi="Book Antiqua" w:cs="Cordia New"/>
          <w:lang w:eastAsia="zh-CN"/>
        </w:rPr>
        <w:t>:</w:t>
      </w:r>
      <w:r>
        <w:rPr>
          <w:rFonts w:ascii="Book Antiqua" w:hAnsi="Book Antiqua" w:cs="Cordia New"/>
        </w:rPr>
        <w:t xml:space="preserve"> </w:t>
      </w:r>
      <w:r>
        <w:rPr>
          <w:rFonts w:ascii="Book Antiqua" w:hAnsi="Book Antiqua" w:cs="Cordia New"/>
          <w:lang w:eastAsia="zh-CN"/>
        </w:rPr>
        <w:t>H</w:t>
      </w:r>
      <w:r>
        <w:rPr>
          <w:rFonts w:ascii="Book Antiqua" w:hAnsi="Book Antiqua" w:cs="Cordia New"/>
        </w:rPr>
        <w:t>epatitis B virus.</w:t>
      </w:r>
    </w:p>
    <w:p>
      <w:pPr>
        <w:snapToGrid w:val="0"/>
        <w:spacing w:line="360" w:lineRule="auto"/>
        <w:jc w:val="both"/>
        <w:rPr>
          <w:rFonts w:ascii="Book Antiqua" w:hAnsi="Book Antiqua" w:cs="Cordia New"/>
          <w:lang w:eastAsia="zh-CN" w:bidi="th-TH"/>
        </w:rPr>
      </w:pPr>
    </w:p>
    <w:p>
      <w:pPr>
        <w:spacing w:line="360" w:lineRule="auto"/>
        <w:jc w:val="both"/>
        <w:rPr>
          <w:rFonts w:ascii="Book Antiqua" w:hAnsi="Book Antiqua" w:cs="Cordia New"/>
        </w:rPr>
        <w:sectPr>
          <w:pgSz w:w="11900" w:h="16840"/>
          <w:pgMar w:top="1440" w:right="1440" w:bottom="1440" w:left="1440" w:header="708" w:footer="708" w:gutter="0"/>
          <w:cols w:space="720" w:num="1"/>
        </w:sectPr>
      </w:pPr>
    </w:p>
    <w:p>
      <w:pPr>
        <w:pStyle w:val="17"/>
        <w:spacing w:after="0" w:line="360" w:lineRule="auto"/>
        <w:ind w:firstLine="0" w:firstLineChars="0"/>
        <w:jc w:val="both"/>
        <w:rPr>
          <w:rFonts w:ascii="Book Antiqua" w:hAnsi="Book Antiqua" w:cs="Cordia New"/>
          <w:b/>
          <w:bCs/>
          <w:sz w:val="24"/>
          <w:szCs w:val="24"/>
          <w:lang w:eastAsia="zh-CN"/>
        </w:rPr>
      </w:pPr>
      <w:r>
        <w:rPr>
          <w:rFonts w:ascii="Book Antiqua" w:hAnsi="Book Antiqua" w:cs="Cordia New"/>
          <w:b/>
          <w:sz w:val="24"/>
          <w:szCs w:val="24"/>
        </w:rPr>
        <w:t xml:space="preserve">Table 2 </w:t>
      </w:r>
      <w:r>
        <w:rPr>
          <w:rFonts w:ascii="Book Antiqua" w:hAnsi="Book Antiqua" w:cs="Cordia New"/>
          <w:b/>
          <w:bCs/>
          <w:sz w:val="24"/>
          <w:szCs w:val="24"/>
        </w:rPr>
        <w:t xml:space="preserve">Off-therapy virological relapse, clinical relapse, and </w:t>
      </w:r>
      <w:r>
        <w:rPr>
          <w:rFonts w:ascii="Book Antiqua" w:hAnsi="Book Antiqua" w:cs="Cordia New"/>
          <w:b/>
          <w:sz w:val="24"/>
          <w:szCs w:val="24"/>
          <w:lang w:eastAsia="zh-CN"/>
        </w:rPr>
        <w:t>h</w:t>
      </w:r>
      <w:r>
        <w:rPr>
          <w:rFonts w:ascii="Book Antiqua" w:hAnsi="Book Antiqua" w:cs="Cordia New"/>
          <w:b/>
          <w:sz w:val="24"/>
          <w:szCs w:val="24"/>
        </w:rPr>
        <w:t>epatitis B surface antigen</w:t>
      </w:r>
      <w:r>
        <w:rPr>
          <w:rFonts w:ascii="Book Antiqua" w:hAnsi="Book Antiqua" w:cs="Cordia New"/>
          <w:b/>
          <w:bCs/>
          <w:sz w:val="24"/>
          <w:szCs w:val="24"/>
        </w:rPr>
        <w:t xml:space="preserve"> loss in chronic hepatitis B patients</w:t>
      </w:r>
    </w:p>
    <w:tbl>
      <w:tblPr>
        <w:tblStyle w:val="8"/>
        <w:tblW w:w="13892"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8"/>
        <w:gridCol w:w="1843"/>
        <w:gridCol w:w="1276"/>
        <w:gridCol w:w="1984"/>
        <w:gridCol w:w="1560"/>
        <w:gridCol w:w="1701"/>
        <w:gridCol w:w="1559"/>
        <w:gridCol w:w="17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tcBorders>
              <w:top w:val="single" w:color="auto" w:sz="4" w:space="0"/>
              <w:bottom w:val="single" w:color="auto" w:sz="4" w:space="0"/>
            </w:tcBorders>
            <w:noWrap/>
          </w:tcPr>
          <w:p>
            <w:pPr>
              <w:snapToGrid w:val="0"/>
              <w:spacing w:line="360" w:lineRule="auto"/>
              <w:jc w:val="both"/>
              <w:rPr>
                <w:rFonts w:ascii="Book Antiqua" w:hAnsi="Book Antiqua" w:cs="Cordia New"/>
                <w:b/>
                <w:bCs/>
                <w:cs/>
                <w:lang w:eastAsia="zh-CN"/>
              </w:rPr>
            </w:pPr>
            <w:r>
              <w:rPr>
                <w:rFonts w:ascii="Book Antiqua" w:hAnsi="Book Antiqua" w:cs="Cordia New"/>
                <w:b/>
                <w:bCs/>
                <w:lang w:eastAsia="zh-CN"/>
              </w:rPr>
              <w:t>Ref.</w:t>
            </w:r>
          </w:p>
        </w:tc>
        <w:tc>
          <w:tcPr>
            <w:tcW w:w="1843" w:type="dxa"/>
            <w:tcBorders>
              <w:top w:val="single" w:color="auto" w:sz="4" w:space="0"/>
              <w:bottom w:val="single" w:color="auto" w:sz="4" w:space="0"/>
            </w:tcBorders>
          </w:tcPr>
          <w:p>
            <w:pPr>
              <w:snapToGrid w:val="0"/>
              <w:spacing w:line="360" w:lineRule="auto"/>
              <w:jc w:val="both"/>
              <w:rPr>
                <w:rFonts w:ascii="Book Antiqua" w:hAnsi="Book Antiqua" w:cs="Cordia New"/>
                <w:b/>
                <w:bCs/>
              </w:rPr>
            </w:pPr>
            <w:r>
              <w:rPr>
                <w:rFonts w:ascii="Book Antiqua" w:hAnsi="Book Antiqua" w:cs="Cordia New"/>
                <w:b/>
                <w:bCs/>
              </w:rPr>
              <w:t>Country</w:t>
            </w:r>
          </w:p>
        </w:tc>
        <w:tc>
          <w:tcPr>
            <w:tcW w:w="1276" w:type="dxa"/>
            <w:tcBorders>
              <w:top w:val="single" w:color="auto" w:sz="4" w:space="0"/>
              <w:bottom w:val="single" w:color="auto" w:sz="4" w:space="0"/>
            </w:tcBorders>
          </w:tcPr>
          <w:p>
            <w:pPr>
              <w:snapToGrid w:val="0"/>
              <w:spacing w:line="360" w:lineRule="auto"/>
              <w:jc w:val="both"/>
              <w:rPr>
                <w:rFonts w:ascii="Book Antiqua" w:hAnsi="Book Antiqua" w:cs="Cordia New"/>
                <w:b/>
                <w:bCs/>
              </w:rPr>
            </w:pPr>
            <w:r>
              <w:rPr>
                <w:rFonts w:ascii="Book Antiqua" w:hAnsi="Book Antiqua" w:cs="Cordia New"/>
                <w:b/>
                <w:bCs/>
                <w:i/>
              </w:rPr>
              <w:t>n</w:t>
            </w:r>
            <w:r>
              <w:rPr>
                <w:rFonts w:ascii="Book Antiqua" w:hAnsi="Book Antiqua" w:cs="Cordia New"/>
                <w:b/>
                <w:bCs/>
                <w:lang w:eastAsia="zh-CN"/>
              </w:rPr>
              <w:t xml:space="preserve"> (%)</w:t>
            </w:r>
          </w:p>
        </w:tc>
        <w:tc>
          <w:tcPr>
            <w:tcW w:w="1984" w:type="dxa"/>
            <w:tcBorders>
              <w:top w:val="single" w:color="auto" w:sz="4" w:space="0"/>
              <w:bottom w:val="single" w:color="auto" w:sz="4" w:space="0"/>
            </w:tcBorders>
          </w:tcPr>
          <w:p>
            <w:pPr>
              <w:snapToGrid w:val="0"/>
              <w:spacing w:line="360" w:lineRule="auto"/>
              <w:jc w:val="both"/>
              <w:rPr>
                <w:rFonts w:ascii="Book Antiqua" w:hAnsi="Book Antiqua" w:cs="Cordia New"/>
                <w:b/>
                <w:bCs/>
                <w:lang w:eastAsia="zh-CN"/>
              </w:rPr>
            </w:pPr>
            <w:r>
              <w:rPr>
                <w:rFonts w:ascii="Book Antiqua" w:hAnsi="Book Antiqua" w:cs="Cordia New"/>
                <w:b/>
                <w:bCs/>
              </w:rPr>
              <w:t>HBeAg-negative</w:t>
            </w:r>
            <w:r>
              <w:rPr>
                <w:rFonts w:ascii="Book Antiqua" w:hAnsi="Book Antiqua" w:cs="Cordia New"/>
                <w:b/>
                <w:bCs/>
                <w:lang w:eastAsia="zh-CN"/>
              </w:rPr>
              <w:t>,</w:t>
            </w:r>
            <w:r>
              <w:rPr>
                <w:rFonts w:ascii="Book Antiqua" w:hAnsi="Book Antiqua" w:cs="Cordia New"/>
                <w:b/>
                <w:bCs/>
              </w:rPr>
              <w:t xml:space="preserve"> </w:t>
            </w:r>
            <w:r>
              <w:rPr>
                <w:rFonts w:ascii="Book Antiqua" w:hAnsi="Book Antiqua" w:cs="Cordia New"/>
                <w:b/>
                <w:bCs/>
                <w:i/>
              </w:rPr>
              <w:t>n</w:t>
            </w:r>
            <w:r>
              <w:rPr>
                <w:rFonts w:ascii="Book Antiqua" w:hAnsi="Book Antiqua" w:cs="Cordia New"/>
                <w:b/>
                <w:bCs/>
                <w:lang w:eastAsia="zh-CN"/>
              </w:rPr>
              <w:t xml:space="preserve"> (%)</w:t>
            </w:r>
          </w:p>
        </w:tc>
        <w:tc>
          <w:tcPr>
            <w:tcW w:w="1560" w:type="dxa"/>
            <w:tcBorders>
              <w:top w:val="single" w:color="auto" w:sz="4" w:space="0"/>
              <w:bottom w:val="single" w:color="auto" w:sz="4" w:space="0"/>
            </w:tcBorders>
          </w:tcPr>
          <w:p>
            <w:pPr>
              <w:snapToGrid w:val="0"/>
              <w:spacing w:line="360" w:lineRule="auto"/>
              <w:jc w:val="both"/>
              <w:rPr>
                <w:rFonts w:ascii="Book Antiqua" w:hAnsi="Book Antiqua" w:cs="Cordia New"/>
                <w:b/>
                <w:bCs/>
                <w:cs/>
              </w:rPr>
            </w:pPr>
            <w:r>
              <w:rPr>
                <w:rFonts w:ascii="Book Antiqua" w:hAnsi="Book Antiqua" w:cs="Cordia New"/>
                <w:b/>
                <w:bCs/>
              </w:rPr>
              <w:t>Follow-up time (mo)</w:t>
            </w:r>
          </w:p>
        </w:tc>
        <w:tc>
          <w:tcPr>
            <w:tcW w:w="1701" w:type="dxa"/>
            <w:tcBorders>
              <w:top w:val="single" w:color="auto" w:sz="4" w:space="0"/>
              <w:bottom w:val="single" w:color="auto" w:sz="4" w:space="0"/>
            </w:tcBorders>
            <w:noWrap/>
          </w:tcPr>
          <w:p>
            <w:pPr>
              <w:snapToGrid w:val="0"/>
              <w:spacing w:line="360" w:lineRule="auto"/>
              <w:jc w:val="both"/>
              <w:rPr>
                <w:rFonts w:ascii="Book Antiqua" w:hAnsi="Book Antiqua" w:cs="Cordia New"/>
                <w:b/>
                <w:bCs/>
                <w:cs/>
              </w:rPr>
            </w:pPr>
            <w:r>
              <w:rPr>
                <w:rFonts w:ascii="Book Antiqua" w:hAnsi="Book Antiqua" w:cs="Cordia New"/>
                <w:b/>
                <w:bCs/>
              </w:rPr>
              <w:t>Virological relapse rate (%)</w:t>
            </w:r>
          </w:p>
        </w:tc>
        <w:tc>
          <w:tcPr>
            <w:tcW w:w="1559" w:type="dxa"/>
            <w:tcBorders>
              <w:top w:val="single" w:color="auto" w:sz="4" w:space="0"/>
              <w:bottom w:val="single" w:color="auto" w:sz="4" w:space="0"/>
            </w:tcBorders>
            <w:noWrap/>
          </w:tcPr>
          <w:p>
            <w:pPr>
              <w:snapToGrid w:val="0"/>
              <w:spacing w:line="360" w:lineRule="auto"/>
              <w:jc w:val="both"/>
              <w:rPr>
                <w:rFonts w:ascii="Book Antiqua" w:hAnsi="Book Antiqua" w:cs="Cordia New"/>
                <w:b/>
                <w:bCs/>
                <w:cs/>
              </w:rPr>
            </w:pPr>
            <w:r>
              <w:rPr>
                <w:rFonts w:ascii="Book Antiqua" w:hAnsi="Book Antiqua" w:cs="Cordia New"/>
                <w:b/>
                <w:bCs/>
              </w:rPr>
              <w:t>Clinical relapse rate (%)</w:t>
            </w:r>
          </w:p>
        </w:tc>
        <w:tc>
          <w:tcPr>
            <w:tcW w:w="1701" w:type="dxa"/>
            <w:tcBorders>
              <w:top w:val="single" w:color="auto" w:sz="4" w:space="0"/>
              <w:bottom w:val="single" w:color="auto" w:sz="4" w:space="0"/>
            </w:tcBorders>
          </w:tcPr>
          <w:p>
            <w:pPr>
              <w:snapToGrid w:val="0"/>
              <w:spacing w:line="360" w:lineRule="auto"/>
              <w:jc w:val="both"/>
              <w:rPr>
                <w:rFonts w:ascii="Book Antiqua" w:hAnsi="Book Antiqua" w:cs="Cordia New"/>
                <w:b/>
                <w:bCs/>
              </w:rPr>
            </w:pPr>
            <w:r>
              <w:rPr>
                <w:rFonts w:ascii="Book Antiqua" w:hAnsi="Book Antiqua" w:cs="Cordia New"/>
                <w:b/>
                <w:bCs/>
              </w:rPr>
              <w:t>HBsAg loss</w:t>
            </w:r>
            <w:r>
              <w:rPr>
                <w:rFonts w:ascii="Book Antiqua" w:hAnsi="Book Antiqua" w:cs="Cordia New"/>
                <w:b/>
                <w:bCs/>
                <w:lang w:eastAsia="zh-CN"/>
              </w:rPr>
              <w:t>,</w:t>
            </w:r>
            <w:r>
              <w:rPr>
                <w:rFonts w:ascii="Book Antiqua" w:hAnsi="Book Antiqua" w:cs="Cordia New"/>
                <w:b/>
                <w:bCs/>
              </w:rPr>
              <w:t xml:space="preserve"> </w:t>
            </w:r>
            <w:r>
              <w:rPr>
                <w:rFonts w:ascii="Book Antiqua" w:hAnsi="Book Antiqua" w:cs="Cordia New"/>
                <w:b/>
                <w:bCs/>
                <w:i/>
              </w:rPr>
              <w:t>n</w:t>
            </w:r>
            <w:r>
              <w:rPr>
                <w:rFonts w:ascii="Book Antiqua" w:hAnsi="Book Antiqua" w:cs="Cordia New"/>
                <w:b/>
                <w:bCs/>
                <w:lang w:eastAsia="zh-CN"/>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tcBorders>
              <w:top w:val="single" w:color="auto" w:sz="4" w:space="0"/>
            </w:tcBorders>
            <w:noWrap/>
          </w:tcPr>
          <w:p>
            <w:pPr>
              <w:snapToGrid w:val="0"/>
              <w:spacing w:line="360" w:lineRule="auto"/>
              <w:jc w:val="both"/>
              <w:rPr>
                <w:rFonts w:ascii="Book Antiqua" w:hAnsi="Book Antiqua" w:cs="Cordia New"/>
                <w:cs/>
              </w:rPr>
            </w:pPr>
            <w:r>
              <w:rPr>
                <w:rFonts w:ascii="Book Antiqua" w:hAnsi="Book Antiqua" w:cs="Cordia New"/>
              </w:rPr>
              <w:t xml:space="preserve">Fung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{"citationID":"UUtRMwEg","properties":{"formattedCitation":"\\super [67]\\nosupersub{}","plainCitation":"[67]","noteIndex":0},"citationItems":[{"id":1081,"uris":["http://zotero.org/users/local/NyhnE8P8/items/2FT98QXP"],"uri":["http://zotero.org/users/local/NyhnE8P8/items/2FT98QXP"],"itemData":{"id":1081,"type":"article-journal","abstract":"Summary. Lamivudine has demonstrated efficacy for the treatment of hepatitis B e antigen-negative chronic hepatitis B (e-CHB). However, treatment withdrawal after 1 year has been associated with a high rate of relapse while long-term treatment is associated with increasing risks of drug resistance. We report our treatment experience of 50 Chinese-Canadian patients with e-CHB. All patients received lamivudine for 2 years. Treatment was withdrawn at month 24 in patients who had undetectable hepatitis B virus (HBV) DNA by PCR and normal aminotransferases during the second year of therapy. All patients had HBV genotype B or C. Biochemical response at months 6, 12 and 24 was 74%, 71% and 66%, respectively. HBV DNA was undetectable at months 6, 12 and 24 by hybrid capture and PCR assays in 100%, 92% and 86%; and 94%, 88% and 74% patients, respectively. The cumulative rates of genotypic resistance (GR) after 1 and 2 years were 15% and 25%, respectively. Four (44%) patients with GR experienced a hepatitis flare. The probability of clinical and virological relapse 6, 12, and 18 months after treatment withdrawal were 12% and 30%, 18% and 50%, and 30% and 50%, respectively. Reinstitution of lamivudine resulted in prompt virological and biochemical responses. Our study demonstrates that a sustained response can be achieved after a 2-year course of lamivudine in a subset of patients with e-CHB.","container-title":"Journal of Viral Hepatitis","DOI":"10/c7nsdm","ISSN":"1365-2893","issue":"5","language":"en","note":"_eprint: https://onlinelibrary.wiley.com/doi/pdf/10.1111/j.1365-2893.2004.00556.x","page":"432-438","source":"Wiley Online Library","title":"Sustained response after a 2-year course of lamivudine treatment of hepatitis B e antigen-negative chronic hepatitis B","volume":"11","author":[{"family":"Fung","given":"S. K."},{"family":"Wong","given":"F."},{"family":"Hussain","given":"M."},{"family":"Lok","given":"A. S. F."}],"issued":{"date-parts":[["2004"]]}}}],"schema":"https://github.com/citation-style-language/schema/raw/master/csl-citation.json"}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[67]</w:t>
            </w:r>
            <w:r>
              <w:rPr>
                <w:rFonts w:ascii="Book Antiqua" w:hAnsi="Book Antiqua" w:cs="Cordia New"/>
              </w:rPr>
              <w:fldChar w:fldCharType="end"/>
            </w:r>
            <w:r>
              <w:rPr>
                <w:rFonts w:ascii="Book Antiqua" w:hAnsi="Book Antiqua" w:cs="Cordia New"/>
              </w:rPr>
              <w:t>, 2004</w:t>
            </w:r>
          </w:p>
        </w:tc>
        <w:tc>
          <w:tcPr>
            <w:tcW w:w="1843" w:type="dxa"/>
            <w:tcBorders>
              <w:top w:val="single" w:color="auto" w:sz="4" w:space="0"/>
            </w:tcBorders>
          </w:tcPr>
          <w:p>
            <w:pPr>
              <w:snapToGrid w:val="0"/>
              <w:spacing w:line="360" w:lineRule="auto"/>
              <w:jc w:val="both"/>
              <w:rPr>
                <w:rFonts w:ascii="Book Antiqua" w:hAnsi="Book Antiqua" w:cs="Cordia New"/>
              </w:rPr>
            </w:pPr>
            <w:r>
              <w:rPr>
                <w:rFonts w:ascii="Book Antiqua" w:hAnsi="Book Antiqua" w:cs="Cordia New"/>
              </w:rPr>
              <w:t>Canada</w:t>
            </w:r>
          </w:p>
        </w:tc>
        <w:tc>
          <w:tcPr>
            <w:tcW w:w="1276" w:type="dxa"/>
            <w:tcBorders>
              <w:top w:val="single" w:color="auto" w:sz="4" w:space="0"/>
            </w:tcBorders>
          </w:tcPr>
          <w:p>
            <w:pPr>
              <w:snapToGrid w:val="0"/>
              <w:spacing w:line="360" w:lineRule="auto"/>
              <w:jc w:val="both"/>
              <w:rPr>
                <w:rFonts w:ascii="Book Antiqua" w:hAnsi="Book Antiqua" w:cs="Cordia New"/>
              </w:rPr>
            </w:pPr>
            <w:r>
              <w:rPr>
                <w:rFonts w:ascii="Book Antiqua" w:hAnsi="Book Antiqua" w:cs="Cordia New"/>
              </w:rPr>
              <w:t>27</w:t>
            </w:r>
          </w:p>
        </w:tc>
        <w:tc>
          <w:tcPr>
            <w:tcW w:w="1984" w:type="dxa"/>
            <w:tcBorders>
              <w:top w:val="single" w:color="auto" w:sz="4" w:space="0"/>
            </w:tcBorders>
          </w:tcPr>
          <w:p>
            <w:pPr>
              <w:snapToGrid w:val="0"/>
              <w:spacing w:line="360" w:lineRule="auto"/>
              <w:jc w:val="both"/>
              <w:rPr>
                <w:rFonts w:ascii="Book Antiqua" w:hAnsi="Book Antiqua" w:cs="Cordia New"/>
              </w:rPr>
            </w:pPr>
            <w:r>
              <w:rPr>
                <w:rFonts w:ascii="Book Antiqua" w:hAnsi="Book Antiqua" w:cs="Cordia New"/>
              </w:rPr>
              <w:t>27</w:t>
            </w:r>
          </w:p>
        </w:tc>
        <w:tc>
          <w:tcPr>
            <w:tcW w:w="1560" w:type="dxa"/>
            <w:tcBorders>
              <w:top w:val="single" w:color="auto" w:sz="4" w:space="0"/>
            </w:tcBorders>
          </w:tcPr>
          <w:p>
            <w:pPr>
              <w:snapToGrid w:val="0"/>
              <w:spacing w:line="360" w:lineRule="auto"/>
              <w:jc w:val="both"/>
              <w:rPr>
                <w:rFonts w:ascii="Book Antiqua" w:hAnsi="Book Antiqua" w:cs="Cordia New"/>
              </w:rPr>
            </w:pPr>
            <w:r>
              <w:rPr>
                <w:rFonts w:ascii="Book Antiqua" w:hAnsi="Book Antiqua" w:cs="Cordia New"/>
              </w:rPr>
              <w:t>18</w:t>
            </w:r>
          </w:p>
        </w:tc>
        <w:tc>
          <w:tcPr>
            <w:tcW w:w="1701" w:type="dxa"/>
            <w:tcBorders>
              <w:top w:val="single" w:color="auto" w:sz="4" w:space="0"/>
            </w:tcBorders>
            <w:noWrap/>
          </w:tcPr>
          <w:p>
            <w:pPr>
              <w:snapToGrid w:val="0"/>
              <w:spacing w:line="360" w:lineRule="auto"/>
              <w:jc w:val="both"/>
              <w:rPr>
                <w:rFonts w:ascii="Book Antiqua" w:hAnsi="Book Antiqua" w:cs="Cordia New"/>
              </w:rPr>
            </w:pPr>
            <w:r>
              <w:rPr>
                <w:rFonts w:ascii="Book Antiqua" w:hAnsi="Book Antiqua" w:cs="Cordia New"/>
              </w:rPr>
              <w:t>44.4</w:t>
            </w:r>
          </w:p>
        </w:tc>
        <w:tc>
          <w:tcPr>
            <w:tcW w:w="1559" w:type="dxa"/>
            <w:tcBorders>
              <w:top w:val="single" w:color="auto" w:sz="4" w:space="0"/>
            </w:tcBorders>
            <w:noWrap/>
          </w:tcPr>
          <w:p>
            <w:pPr>
              <w:snapToGrid w:val="0"/>
              <w:spacing w:line="360" w:lineRule="auto"/>
              <w:jc w:val="both"/>
              <w:rPr>
                <w:rFonts w:ascii="Book Antiqua" w:hAnsi="Book Antiqua" w:cs="Cordia New"/>
              </w:rPr>
            </w:pPr>
            <w:r>
              <w:rPr>
                <w:rFonts w:ascii="Book Antiqua" w:hAnsi="Book Antiqua" w:cs="Cordia New"/>
              </w:rPr>
              <w:t>25.9</w:t>
            </w:r>
          </w:p>
        </w:tc>
        <w:tc>
          <w:tcPr>
            <w:tcW w:w="1701" w:type="dxa"/>
            <w:tcBorders>
              <w:top w:val="single" w:color="auto" w:sz="4" w:space="0"/>
            </w:tcBorders>
          </w:tcPr>
          <w:p>
            <w:pPr>
              <w:snapToGrid w:val="0"/>
              <w:spacing w:line="360" w:lineRule="auto"/>
              <w:jc w:val="both"/>
              <w:rPr>
                <w:rFonts w:ascii="Book Antiqua" w:hAnsi="Book Antiqua" w:cs="Cordia New"/>
              </w:rPr>
            </w:pPr>
            <w:r>
              <w:rPr>
                <w:rFonts w:ascii="Book Antiqua" w:hAnsi="Book Antiqua" w:cs="Cordia New"/>
              </w:rPr>
              <w:t>NR</w:t>
            </w:r>
            <w:r>
              <w:rPr>
                <w:rFonts w:ascii="Book Antiqua" w:hAnsi="Book Antiqua" w:cs="Cordia New"/>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Enomoto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{"citationID":"vD46bQ47","properties":{"formattedCitation":"\\super [68]\\nosupersub{}","plainCitation":"[68]","noteIndex":0},"citationItems":[{"id":1084,"uris":["http://zotero.org/users/local/NyhnE8P8/items/JMUKIQBW"],"uri":["http://zotero.org/users/local/NyhnE8P8/items/JMUKIQBW"],"itemData":{"id":1084,"type":"article-journal","abstract":"Aim: The endpoint of treatment with nucleoside analogs remains unclear for patients with hepatitis B e antigen (HBeAg)-negative chronic hepatitis B. We report the results of a randomized trial to determine the optimal duration of additional therapy after response to lamivudine in HBeAg-negative patients. Methods: Twenty-two patients with HBeAg-negative chronic hepatitis B who exhibited biochemical and virological responses to lamivudine were enrolled. When patients responded to treatment, they were randomly assigned to receive 12 more months of therapy (Group A, 11 patients) or 24 more months of therapy (Group B, 11 patients). Results: The baseline characteristics of the patients were similar in the two groups. Biochemical and virological responses were obtained in all patients within 6 months. Drug resistance developed in one patient in Group A during month 7 of additional therapy, and in five patients in Group B from months 13–23 of additional therapy. Ten patients in Group A and six in Group B completed the protocol and were included in analysis. Eight of the 10 patients in Group A experienced relapse between months 2 and 14 after the discontinuation of therapy, while three of the six patients in Group B experienced relapse between months 2 and 24. There was no difference in cumulative relapse rate between the groups (P = 0.275). Conclusion: Additional therapy with lamivudine for longer than 12 months after biochemical and virological responses in patients with HBeAg-negative chronic hepatitis B could increase the risk of drug resistance, but did not reduce the rate of relapse.","container-title":"Hepatology Research","DOI":"10/b3hp4m","ISSN":"1872-034X","issue":"9","language":"en","note":"_eprint: https://onlinelibrary.wiley.com/doi/pdf/10.1111/j.1872-034X.2008.00378.x","page":"954-959","source":"Wiley Online Library","title":"Optimal duration of additional therapy after biochemical and virological responses to lamivudine in patients with HBeAg-negative chronic hepatitis B: a randomized trial","title-short":"Optimal duration of additional therapy after biochemical and virological responses to lamivudine in patients with HBeAg-negative chronic hepatitis B","volume":"38","author":[{"family":"Enomoto","given":"Masaru"},{"family":"Tamori","given":"Akihiro"},{"family":"Kohmoto","given":"Madoka Toyama"},{"family":"Hayashi","given":"Takehiro"},{"family":"Morikawa","given":"Hiroyasu"},{"family":"Jomura","given":"Hisato"},{"family":"Sakaguchi","given":"Hiroki"},{"family":"Habu","given":"Daiki"},{"family":"Kawada","given":"Norifumi"},{"family":"Shiomi","given":"Susumu"},{"family":"Nishiguchi","given":"Shuhei"}],"issued":{"date-parts":[["2008"]]}}}],"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[68]</w:t>
            </w:r>
            <w:r>
              <w:rPr>
                <w:rFonts w:ascii="Book Antiqua" w:hAnsi="Book Antiqua" w:cs="Cordia New"/>
              </w:rPr>
              <w:fldChar w:fldCharType="end"/>
            </w:r>
            <w:r>
              <w:rPr>
                <w:rFonts w:ascii="Book Antiqua" w:hAnsi="Book Antiqua" w:cs="Cordia New"/>
              </w:rPr>
              <w:t>, 2008</w:t>
            </w:r>
          </w:p>
        </w:tc>
        <w:tc>
          <w:tcPr>
            <w:tcW w:w="1843" w:type="dxa"/>
          </w:tcPr>
          <w:p>
            <w:pPr>
              <w:snapToGrid w:val="0"/>
              <w:spacing w:line="360" w:lineRule="auto"/>
              <w:jc w:val="both"/>
              <w:rPr>
                <w:rFonts w:ascii="Book Antiqua" w:hAnsi="Book Antiqua" w:cs="Cordia New"/>
              </w:rPr>
            </w:pPr>
            <w:r>
              <w:rPr>
                <w:rFonts w:ascii="Book Antiqua" w:hAnsi="Book Antiqua" w:cs="Cordia New"/>
              </w:rPr>
              <w:t>Japan</w:t>
            </w:r>
          </w:p>
        </w:tc>
        <w:tc>
          <w:tcPr>
            <w:tcW w:w="1276" w:type="dxa"/>
          </w:tcPr>
          <w:p>
            <w:pPr>
              <w:snapToGrid w:val="0"/>
              <w:spacing w:line="360" w:lineRule="auto"/>
              <w:jc w:val="both"/>
              <w:rPr>
                <w:rFonts w:ascii="Book Antiqua" w:hAnsi="Book Antiqua" w:cs="Cordia New"/>
              </w:rPr>
            </w:pPr>
            <w:r>
              <w:rPr>
                <w:rFonts w:ascii="Book Antiqua" w:hAnsi="Book Antiqua" w:cs="Cordia New"/>
              </w:rPr>
              <w:t>22</w:t>
            </w:r>
          </w:p>
        </w:tc>
        <w:tc>
          <w:tcPr>
            <w:tcW w:w="1984" w:type="dxa"/>
          </w:tcPr>
          <w:p>
            <w:pPr>
              <w:snapToGrid w:val="0"/>
              <w:spacing w:line="360" w:lineRule="auto"/>
              <w:jc w:val="both"/>
              <w:rPr>
                <w:rFonts w:ascii="Book Antiqua" w:hAnsi="Book Antiqua" w:cs="Cordia New"/>
              </w:rPr>
            </w:pPr>
            <w:r>
              <w:rPr>
                <w:rFonts w:ascii="Book Antiqua" w:hAnsi="Book Antiqua" w:cs="Cordia New"/>
              </w:rPr>
              <w:t>22</w:t>
            </w:r>
          </w:p>
        </w:tc>
        <w:tc>
          <w:tcPr>
            <w:tcW w:w="1560" w:type="dxa"/>
          </w:tcPr>
          <w:p>
            <w:pPr>
              <w:snapToGrid w:val="0"/>
              <w:spacing w:line="360" w:lineRule="auto"/>
              <w:jc w:val="both"/>
              <w:rPr>
                <w:rFonts w:ascii="Book Antiqua" w:hAnsi="Book Antiqua" w:cs="Cordia New"/>
              </w:rPr>
            </w:pPr>
            <w:r>
              <w:rPr>
                <w:rFonts w:ascii="Book Antiqua" w:hAnsi="Book Antiqua" w:cs="Cordia New"/>
              </w:rPr>
              <w:t>48</w:t>
            </w:r>
          </w:p>
        </w:tc>
        <w:tc>
          <w:tcPr>
            <w:tcW w:w="1701" w:type="dxa"/>
            <w:noWrap/>
          </w:tcPr>
          <w:p>
            <w:pPr>
              <w:snapToGrid w:val="0"/>
              <w:spacing w:line="360" w:lineRule="auto"/>
              <w:jc w:val="both"/>
              <w:rPr>
                <w:rFonts w:ascii="Book Antiqua" w:hAnsi="Book Antiqua" w:cs="Cordia New"/>
              </w:rPr>
            </w:pPr>
            <w:r>
              <w:rPr>
                <w:rFonts w:ascii="Book Antiqua" w:hAnsi="Book Antiqua" w:cs="Cordia New"/>
              </w:rPr>
              <w:t>68.7</w:t>
            </w:r>
          </w:p>
        </w:tc>
        <w:tc>
          <w:tcPr>
            <w:tcW w:w="1559" w:type="dxa"/>
            <w:noWrap/>
          </w:tcPr>
          <w:p>
            <w:pPr>
              <w:snapToGrid w:val="0"/>
              <w:spacing w:line="360" w:lineRule="auto"/>
              <w:jc w:val="both"/>
              <w:rPr>
                <w:rFonts w:ascii="Book Antiqua" w:hAnsi="Book Antiqua" w:cs="Cordia New"/>
              </w:rPr>
            </w:pPr>
            <w:r>
              <w:rPr>
                <w:rFonts w:ascii="Book Antiqua" w:hAnsi="Book Antiqua" w:cs="Cordia New"/>
              </w:rPr>
              <w:t>68.7</w:t>
            </w:r>
          </w:p>
        </w:tc>
        <w:tc>
          <w:tcPr>
            <w:tcW w:w="1701" w:type="dxa"/>
          </w:tcPr>
          <w:p>
            <w:pPr>
              <w:snapToGrid w:val="0"/>
              <w:spacing w:line="360" w:lineRule="auto"/>
              <w:jc w:val="both"/>
              <w:rPr>
                <w:rFonts w:ascii="Book Antiqua" w:hAnsi="Book Antiqua" w:cs="Cordia New"/>
              </w:rPr>
            </w:pPr>
            <w:r>
              <w:rPr>
                <w:rFonts w:ascii="Book Antiqua" w:hAnsi="Book Antiqua" w:cs="Cordia New"/>
              </w:rPr>
              <w:t>NR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lang w:eastAsia="zh-CN"/>
              </w:rPr>
            </w:pPr>
            <w:r>
              <w:rPr>
                <w:rFonts w:ascii="Book Antiqua" w:hAnsi="Book Antiqua" w:cs="Cordia New"/>
              </w:rPr>
              <w:t xml:space="preserve">Yeh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{"citationID":"Zg6XK1fT","properties":{"formattedCitation":"\\super [69]\\nosupersub{}","plainCitation":"[69]","noteIndex":0},"citationItems":[{"id":1087,"uris":["http://zotero.org/users/local/NyhnE8P8/items/ZKYS5M98"],"uri":["http://zotero.org/users/local/NyhnE8P8/items/ZKYS5M98"],"itemData":{"id":1087,"type":"article-journal","abstract":"Background\nA recommendation was made by the ACT-HBV Asia-Pacific Steering Committee regarding the withdrawal of lamivudine in chronic hepatitis B patients after achieving effective maintained virological suppression. The outcome of patients following this therapeutic guideline has not been clearly investigated.\nObjective\nIn this study, we examined the outcome of patients adherent to the lamivudine withdrawal guideline.\nStudy design\nSeventy-one chronic hepatitis B patients achieving seroconversion of hepatitis B e antigen (HBeAg) as well as effective maintained virological suppression during lamivudine therapy were included. Lamivudine was withdrawn provided that undetectable HBV-DNA had been documented on two separate occasions at least 6 months apart. The patients were followed for a median period of 15 months (range, 6–72 months). The effect of pre-therapeutic clinical and virological factors on time to relapse was analyzed.\nResults\nOf the 71 patients, 19 (27%) relapsed, of whom 5 showed reappearance of HBeAg and 14 had HBeAg-negative hepatitis. Cox proportional hazard model showed pre-therapeutic HBV-DNA level was the only predictor for time-to-relapse (hazard ratio=1.023, 95% confidence interval=1.004–1.043, P=0.020). Categorical analysis showed that 15/34 (44.1%) and 4/37 (10.8%) patients with pretreatment HBV-DNA levels &gt;108 and ≤108copies/mL, respectively, relapsed during follow-ups. The accumulative relapse rates were significantly different between the two groups of patients (Kaplan–Meier method, P=0.003).\nConclusions\nIn patients with pretreatment HBV-DNA levels ≤108copies/mL, lamivudine could be withdrawn after achieving effective maintained virological suppression. Relapse of HBeAg-negative hepatitis remained a major problem.","container-title":"Journal of Clinical Virology","DOI":"10/bt6cvh","ISSN":"1386-6532","issue":"2","journalAbbreviation":"Journal of Clinical Virology","language":"en","page":"114-118","source":"ScienceDirect","title":"Withdrawal of lamivudine in HBeAg-positive chronic hepatitis B patients after achieving effective maintained virological suppression","volume":"45","author":[{"family":"Yeh","given":"Chau-Ting"},{"family":"Hsu","given":"Chao-Wei"},{"family":"Chen","given":"Yi-Cheng"},{"family":"Liaw","given":"Yun-Fan"}],"issued":{"date-parts":[["2009",6,1]]}}}],"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[69]</w:t>
            </w:r>
            <w:r>
              <w:rPr>
                <w:rFonts w:ascii="Book Antiqua" w:hAnsi="Book Antiqua" w:cs="Cordia New"/>
              </w:rPr>
              <w:fldChar w:fldCharType="end"/>
            </w:r>
            <w:r>
              <w:rPr>
                <w:rFonts w:ascii="Book Antiqua" w:hAnsi="Book Antiqua" w:cs="Cordia New"/>
              </w:rPr>
              <w:t>, 200</w:t>
            </w:r>
            <w:r>
              <w:rPr>
                <w:rFonts w:ascii="Book Antiqua" w:hAnsi="Book Antiqua" w:cs="Cordia New"/>
                <w:lang w:eastAsia="zh-CN"/>
              </w:rPr>
              <w:t>9</w:t>
            </w:r>
          </w:p>
        </w:tc>
        <w:tc>
          <w:tcPr>
            <w:tcW w:w="1843" w:type="dxa"/>
          </w:tcPr>
          <w:p>
            <w:pPr>
              <w:snapToGrid w:val="0"/>
              <w:spacing w:line="360" w:lineRule="auto"/>
              <w:jc w:val="both"/>
              <w:rPr>
                <w:rFonts w:ascii="Book Antiqua" w:hAnsi="Book Antiqua" w:cs="Cordia New"/>
              </w:rPr>
            </w:pPr>
            <w:r>
              <w:rPr>
                <w:rFonts w:ascii="Book Antiqua" w:hAnsi="Book Antiqua" w:cs="Cordia New"/>
              </w:rPr>
              <w:t>Taiwan</w:t>
            </w:r>
          </w:p>
        </w:tc>
        <w:tc>
          <w:tcPr>
            <w:tcW w:w="1276" w:type="dxa"/>
          </w:tcPr>
          <w:p>
            <w:pPr>
              <w:snapToGrid w:val="0"/>
              <w:spacing w:line="360" w:lineRule="auto"/>
              <w:jc w:val="both"/>
              <w:rPr>
                <w:rFonts w:ascii="Book Antiqua" w:hAnsi="Book Antiqua" w:cs="Cordia New"/>
              </w:rPr>
            </w:pPr>
            <w:r>
              <w:rPr>
                <w:rFonts w:ascii="Book Antiqua" w:hAnsi="Book Antiqua" w:cs="Cordia New"/>
              </w:rPr>
              <w:t>71</w:t>
            </w:r>
          </w:p>
        </w:tc>
        <w:tc>
          <w:tcPr>
            <w:tcW w:w="1984" w:type="dxa"/>
          </w:tcPr>
          <w:p>
            <w:pPr>
              <w:snapToGrid w:val="0"/>
              <w:spacing w:line="360" w:lineRule="auto"/>
              <w:jc w:val="both"/>
              <w:rPr>
                <w:rFonts w:ascii="Book Antiqua" w:hAnsi="Book Antiqua" w:cs="Cordia New"/>
              </w:rPr>
            </w:pPr>
            <w:r>
              <w:rPr>
                <w:rFonts w:ascii="Book Antiqua" w:hAnsi="Book Antiqua" w:cs="Cordia New"/>
              </w:rPr>
              <w:t>0</w:t>
            </w:r>
          </w:p>
        </w:tc>
        <w:tc>
          <w:tcPr>
            <w:tcW w:w="1560" w:type="dxa"/>
          </w:tcPr>
          <w:p>
            <w:pPr>
              <w:snapToGrid w:val="0"/>
              <w:spacing w:line="360" w:lineRule="auto"/>
              <w:jc w:val="both"/>
              <w:rPr>
                <w:rFonts w:ascii="Book Antiqua" w:hAnsi="Book Antiqua" w:cs="Cordia New"/>
              </w:rPr>
            </w:pPr>
            <w:r>
              <w:rPr>
                <w:rFonts w:ascii="Book Antiqua" w:hAnsi="Book Antiqua" w:cs="Cordia New"/>
              </w:rPr>
              <w:t>15</w:t>
            </w:r>
          </w:p>
        </w:tc>
        <w:tc>
          <w:tcPr>
            <w:tcW w:w="1701" w:type="dxa"/>
            <w:noWrap/>
          </w:tcPr>
          <w:p>
            <w:pPr>
              <w:snapToGrid w:val="0"/>
              <w:spacing w:line="360" w:lineRule="auto"/>
              <w:jc w:val="both"/>
              <w:rPr>
                <w:rFonts w:ascii="Book Antiqua" w:hAnsi="Book Antiqua" w:cs="Cordia New"/>
              </w:rPr>
            </w:pPr>
            <w:r>
              <w:rPr>
                <w:rFonts w:ascii="Book Antiqua" w:hAnsi="Book Antiqua" w:cs="Cordia New"/>
              </w:rPr>
              <w:t>26.8</w:t>
            </w:r>
          </w:p>
        </w:tc>
        <w:tc>
          <w:tcPr>
            <w:tcW w:w="1559" w:type="dxa"/>
            <w:noWrap/>
          </w:tcPr>
          <w:p>
            <w:pPr>
              <w:snapToGrid w:val="0"/>
              <w:spacing w:line="360" w:lineRule="auto"/>
              <w:jc w:val="both"/>
              <w:rPr>
                <w:rFonts w:ascii="Book Antiqua" w:hAnsi="Book Antiqua" w:cs="Cordia New"/>
              </w:rPr>
            </w:pPr>
            <w:r>
              <w:rPr>
                <w:rFonts w:ascii="Book Antiqua" w:hAnsi="Book Antiqua" w:cs="Cordia New"/>
              </w:rPr>
              <w:t>26.8</w:t>
            </w:r>
          </w:p>
        </w:tc>
        <w:tc>
          <w:tcPr>
            <w:tcW w:w="1701" w:type="dxa"/>
          </w:tcPr>
          <w:p>
            <w:pPr>
              <w:snapToGrid w:val="0"/>
              <w:spacing w:line="360" w:lineRule="auto"/>
              <w:jc w:val="both"/>
              <w:rPr>
                <w:rFonts w:ascii="Book Antiqua" w:hAnsi="Book Antiqua" w:cs="Cordia New"/>
              </w:rPr>
            </w:pPr>
            <w:r>
              <w:rPr>
                <w:rFonts w:ascii="Book Antiqua" w:hAnsi="Book Antiqua" w:cs="Cordia New"/>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Fung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{"citationID":"GAeMbUPG","properties":{"formattedCitation":"\\super [70]\\nosupersub{}","plainCitation":"[70]","noteIndex":0},"citationItems":[{"id":1089,"uris":["http://zotero.org/users/local/NyhnE8P8/items/CC53M47D"],"uri":["http://zotero.org/users/local/NyhnE8P8/items/CC53M47D"],"itemData":{"id":1089,"type":"article-journal","abstract":"OBJECTIVES: The aim of this study was to compare the virological and biochemical relapse rates in Asian chronic hepatitis B patients with lamivudine-induced hepatitis B e antigen (HBeAg) seroconversion, between those who stopped therapy after HBeAg seroconversion and those who continued to receive lamivudine.\nMETHODS: All patients with lamivudine-induced HBeAg seroconversion were included. Patients who stopped lamivudine after HBeAg seroconversion (n=22) were compared with 79 patients who continued to receive lamivudine (n=79). Demographic, virological, and biochemical parameters were recorded at baseline, and throughout the duration of follow-up.\nRESULTS: In patients who stopped lamivudine, the median follow-up after stopping lamivudine was 20 months. Of these patients, 14 (64%) had virological rebound, with a cumulative incidence of 82% at 4 years. There was no significant difference in number of flares between patients with normal alanine aminotransferase (ALT) and undetectable hepatitis B virus (HBV) DNA at the time of stopping lamivudine compared with that in patients with either abnormal ALT, detectable HBV DNA, or both (P=0.73). The cumulative incidence of HBeAg seroreversion and ALT flares at 5 years after stopping lamivudine was 9 and 44%, respectively. Of the 79 patients who continued with lamivudine, 62 (78%) had undetectable HBV DNA at the time of last follow-up, whereas no patients had undetectable HBV DNA after stopping lamivudine (P&lt;0.001). The cumulative incidence of ALT flares at 5 years was 16% (P&lt;0.001 compared with those who stopped taking lamivudine). After a median treatment duration of 79 months, lamivudine-resistant mutations occurred in eight patients (10%).\nCONCLUSIONS: In Asian HBeAg-positive patients, continuing with lamivudine after achieving HBeAg seroconversion was associated with a higher proportion of undetectable HBV DNA and a lower number of ALT flares, when compared with those with cessation of lamivudine. In patients who achieved HBeAg seroconversion with lamivudine, the resistance rate was not high when treatment was continued after HBeAg seroconversion.","container-title":"The American Journal of Gastroenterology","DOI":"10/dg88b8","ISSN":"1572-0241","issue":"8","journalAbbreviation":"Am J Gastroenterol","language":"eng","note":"PMID: 19455108","page":"1940-1946; quiz 1947","source":"PubMed","title":"The duration of lamivudine therapy for chronic hepatitis B: cessation vs. continuation of treatment after HBeAg seroconversion","title-short":"The duration of lamivudine therapy for chronic hepatitis B","volume":"104","author":[{"family":"Fung","given":"James"},{"family":"Lai","given":"Ching-Lung"},{"family":"Tanaka","given":"Yasuhito"},{"family":"Mizokami","given":"Masashi"},{"family":"Yuen","given":"John"},{"family":"Wong","given":"Danny Ka-Ho"},{"family":"Yuen","given":"Man-Fung"}],"issued":{"date-parts":[["2009",8]]}}}],"schema":"https://github.com/citation-style-language/schema/raw/master/csl-citation.json"}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[70]</w:t>
            </w:r>
            <w:r>
              <w:rPr>
                <w:rFonts w:ascii="Book Antiqua" w:hAnsi="Book Antiqua" w:cs="Cordia New"/>
              </w:rPr>
              <w:fldChar w:fldCharType="end"/>
            </w:r>
            <w:r>
              <w:rPr>
                <w:rFonts w:ascii="Book Antiqua" w:hAnsi="Book Antiqua" w:cs="Cordia New"/>
              </w:rPr>
              <w:t>, 2009</w:t>
            </w:r>
          </w:p>
        </w:tc>
        <w:tc>
          <w:tcPr>
            <w:tcW w:w="1843" w:type="dxa"/>
          </w:tcPr>
          <w:p>
            <w:pPr>
              <w:snapToGrid w:val="0"/>
              <w:spacing w:line="360" w:lineRule="auto"/>
              <w:jc w:val="both"/>
              <w:rPr>
                <w:rFonts w:ascii="Book Antiqua" w:hAnsi="Book Antiqua" w:cs="Cordia New"/>
              </w:rPr>
            </w:pPr>
            <w:r>
              <w:rPr>
                <w:rFonts w:ascii="Book Antiqua" w:hAnsi="Book Antiqua" w:cs="Cordia New"/>
              </w:rPr>
              <w:t>Hongkong</w:t>
            </w:r>
          </w:p>
        </w:tc>
        <w:tc>
          <w:tcPr>
            <w:tcW w:w="1276" w:type="dxa"/>
          </w:tcPr>
          <w:p>
            <w:pPr>
              <w:snapToGrid w:val="0"/>
              <w:spacing w:line="360" w:lineRule="auto"/>
              <w:jc w:val="both"/>
              <w:rPr>
                <w:rFonts w:ascii="Book Antiqua" w:hAnsi="Book Antiqua" w:cs="Cordia New"/>
              </w:rPr>
            </w:pPr>
            <w:r>
              <w:rPr>
                <w:rFonts w:ascii="Book Antiqua" w:hAnsi="Book Antiqua" w:cs="Cordia New"/>
              </w:rPr>
              <w:t>22</w:t>
            </w:r>
          </w:p>
        </w:tc>
        <w:tc>
          <w:tcPr>
            <w:tcW w:w="1984" w:type="dxa"/>
          </w:tcPr>
          <w:p>
            <w:pPr>
              <w:snapToGrid w:val="0"/>
              <w:spacing w:line="360" w:lineRule="auto"/>
              <w:jc w:val="both"/>
              <w:rPr>
                <w:rFonts w:ascii="Book Antiqua" w:hAnsi="Book Antiqua" w:cs="Cordia New"/>
              </w:rPr>
            </w:pPr>
            <w:r>
              <w:rPr>
                <w:rFonts w:ascii="Book Antiqua" w:hAnsi="Book Antiqua" w:cs="Cordia New"/>
              </w:rPr>
              <w:t>0</w:t>
            </w:r>
          </w:p>
        </w:tc>
        <w:tc>
          <w:tcPr>
            <w:tcW w:w="1560" w:type="dxa"/>
          </w:tcPr>
          <w:p>
            <w:pPr>
              <w:snapToGrid w:val="0"/>
              <w:spacing w:line="360" w:lineRule="auto"/>
              <w:jc w:val="both"/>
              <w:rPr>
                <w:rFonts w:ascii="Book Antiqua" w:hAnsi="Book Antiqua" w:cs="Cordia New"/>
              </w:rPr>
            </w:pPr>
            <w:r>
              <w:rPr>
                <w:rFonts w:ascii="Book Antiqua" w:hAnsi="Book Antiqua" w:cs="Cordia New"/>
              </w:rPr>
              <w:t>20</w:t>
            </w:r>
          </w:p>
        </w:tc>
        <w:tc>
          <w:tcPr>
            <w:tcW w:w="1701" w:type="dxa"/>
            <w:noWrap/>
          </w:tcPr>
          <w:p>
            <w:pPr>
              <w:snapToGrid w:val="0"/>
              <w:spacing w:line="360" w:lineRule="auto"/>
              <w:jc w:val="both"/>
              <w:rPr>
                <w:rFonts w:ascii="Book Antiqua" w:hAnsi="Book Antiqua" w:cs="Cordia New"/>
              </w:rPr>
            </w:pPr>
            <w:r>
              <w:rPr>
                <w:rFonts w:ascii="Book Antiqua" w:hAnsi="Book Antiqua" w:cs="Cordia New"/>
              </w:rPr>
              <w:t>63.6</w:t>
            </w:r>
          </w:p>
        </w:tc>
        <w:tc>
          <w:tcPr>
            <w:tcW w:w="1559" w:type="dxa"/>
            <w:noWrap/>
          </w:tcPr>
          <w:p>
            <w:pPr>
              <w:snapToGrid w:val="0"/>
              <w:spacing w:line="360" w:lineRule="auto"/>
              <w:jc w:val="both"/>
              <w:rPr>
                <w:rFonts w:ascii="Book Antiqua" w:hAnsi="Book Antiqua" w:cs="Cordia New"/>
              </w:rPr>
            </w:pPr>
            <w:r>
              <w:rPr>
                <w:rFonts w:ascii="Book Antiqua" w:hAnsi="Book Antiqua" w:cs="Cordia New"/>
              </w:rPr>
              <w:t>31.8</w:t>
            </w:r>
          </w:p>
        </w:tc>
        <w:tc>
          <w:tcPr>
            <w:tcW w:w="1701" w:type="dxa"/>
          </w:tcPr>
          <w:p>
            <w:pPr>
              <w:snapToGrid w:val="0"/>
              <w:spacing w:line="360" w:lineRule="auto"/>
              <w:jc w:val="both"/>
              <w:rPr>
                <w:rFonts w:ascii="Book Antiqua" w:hAnsi="Book Antiqua" w:cs="Cordia New"/>
              </w:rPr>
            </w:pPr>
            <w:r>
              <w:rPr>
                <w:rFonts w:ascii="Book Antiqua" w:hAnsi="Book Antiqua" w:cs="Cordia New"/>
              </w:rPr>
              <w:t>NR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Wang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{"citationID":"7okeXQju","properties":{"formattedCitation":"\\super [71]\\nosupersub{}","plainCitation":"[71]","noteIndex":0},"citationItems":[{"id":1091,"uris":["http://zotero.org/users/local/NyhnE8P8/items/2NYSFQ3C"],"uri":["http://zotero.org/users/local/NyhnE8P8/items/2NYSFQ3C"],"itemData":{"id":1091,"type":"article-journal","abstract":"The cessation criteria for lamivudine treatment vary in published articles and their results are contradictory, especially factors predicting relapse. To clarify these contradictions, this long-term follow-up study of 125 Chinese hepatitis B e antigen (HBeAg)-positive chronic hepatitis B patients was designed with stringent cessation criterion. All patients received lamivudine and achieved HBeAg seroconversion (group A, n = 82) or loss (group B, n = 43) with undetectable hepatitis B virus (HBV) DNA by PCR assay during the treatment. Lamivudine was withdrawn &gt;or=6 months after HBeAg seroconversion/loss occurred. The median treatment durations were 24 (12-54) months and 36 (18-89) months in group A and group B, respectively. Patients were followed up for median 24 (2-84) months. The cumulative relapse (defined as serum HBV DNA &gt;or=10(4) copies/mL) rates in the two groups at months 12, 24, 36 and 48 were 23.4%vs 35.0%, 25.0%vs 37.7%, 25.0%vs 41.1% and 29.4%vs 41.1%, respectively (log-rank test, P = 0.119). For patients whose total treatment duration &gt;or=18 months in group A, the cumulative relapse rates at months 12, 24, 36 and 48 were 18.3%, 20.1%, 20.1% and 25.1%, which was significantly lower than those with a shorter duration (log-rank test, P = 0.002). The mean age and median total duration were statistically different between relapsers and nonrelapsers in group A (33.9 +/- 13.6 vs 23.1 +/- 11.0 years, P &lt; 0.001 and 24 vs 26 months, P = 0.003). Cox regression revealed that age was the only predictive factor for relapse (RR, 1.069; 95% CI, 1.032-1.106, P &lt; 0.001). Patients aged &lt;30 years relapsed less frequently in 5 years (12.3%vs 53.5%, P = 0.001). In conclusion, for patients who maintained HBeAg seroconversion for &gt;or=6 months and total duration for &gt;or=18 months, lamivudine withdrawal is a reasonable option. Prolonged treatment may be required for patients aged greater than 30 years to reduce relapse.","container-title":"Journal of Viral Hepatitis","DOI":"10/dxsjrv","ISSN":"1365-2893","issue":"4","journalAbbreviation":"J Viral Hepat","language":"eng","note":"PMID: 19758278","page":"298-304","source":"PubMed","title":"Stringent cessation criterion results in better durability of lamivudine treatment: a prospective clinical study in hepatitis B e antigen-positive chronic hepatitis B patients","title-short":"Stringent cessation criterion results in better durability of lamivudine treatment","volume":"17","author":[{"family":"Wang","given":"L."},{"family":"Liu","given":"F."},{"family":"Liu","given":"Y.-D."},{"family":"Li","given":"X.-Y."},{"family":"Wang","given":"J.-B."},{"family":"Zhang","given":"Z.-H."},{"family":"Wang","given":"Y.-Z."}],"issued":{"date-parts":[["2010",4]]}}}],"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[71]</w:t>
            </w:r>
            <w:r>
              <w:rPr>
                <w:rFonts w:ascii="Book Antiqua" w:hAnsi="Book Antiqua" w:cs="Cordia New"/>
              </w:rPr>
              <w:fldChar w:fldCharType="end"/>
            </w:r>
            <w:r>
              <w:rPr>
                <w:rFonts w:ascii="Book Antiqua" w:hAnsi="Book Antiqua" w:cs="Cordia New"/>
              </w:rPr>
              <w:t>, 2010</w:t>
            </w:r>
          </w:p>
        </w:tc>
        <w:tc>
          <w:tcPr>
            <w:tcW w:w="1843" w:type="dxa"/>
          </w:tcPr>
          <w:p>
            <w:pPr>
              <w:snapToGrid w:val="0"/>
              <w:spacing w:line="360" w:lineRule="auto"/>
              <w:jc w:val="both"/>
              <w:rPr>
                <w:rFonts w:ascii="Book Antiqua" w:hAnsi="Book Antiqua" w:cs="Cordia New"/>
              </w:rPr>
            </w:pPr>
            <w:r>
              <w:rPr>
                <w:rFonts w:ascii="Book Antiqua" w:hAnsi="Book Antiqua" w:cs="Cordia New"/>
              </w:rPr>
              <w:t>China</w:t>
            </w:r>
          </w:p>
        </w:tc>
        <w:tc>
          <w:tcPr>
            <w:tcW w:w="1276" w:type="dxa"/>
          </w:tcPr>
          <w:p>
            <w:pPr>
              <w:snapToGrid w:val="0"/>
              <w:spacing w:line="360" w:lineRule="auto"/>
              <w:jc w:val="both"/>
              <w:rPr>
                <w:rFonts w:ascii="Book Antiqua" w:hAnsi="Book Antiqua" w:cs="Cordia New"/>
              </w:rPr>
            </w:pPr>
            <w:r>
              <w:rPr>
                <w:rFonts w:ascii="Book Antiqua" w:hAnsi="Book Antiqua" w:cs="Cordia New"/>
              </w:rPr>
              <w:t>125</w:t>
            </w:r>
          </w:p>
        </w:tc>
        <w:tc>
          <w:tcPr>
            <w:tcW w:w="1984" w:type="dxa"/>
          </w:tcPr>
          <w:p>
            <w:pPr>
              <w:snapToGrid w:val="0"/>
              <w:spacing w:line="360" w:lineRule="auto"/>
              <w:jc w:val="both"/>
              <w:rPr>
                <w:rFonts w:ascii="Book Antiqua" w:hAnsi="Book Antiqua" w:cs="Cordia New"/>
              </w:rPr>
            </w:pPr>
            <w:r>
              <w:rPr>
                <w:rFonts w:ascii="Book Antiqua" w:hAnsi="Book Antiqua" w:cs="Cordia New"/>
              </w:rPr>
              <w:t>125</w:t>
            </w:r>
          </w:p>
        </w:tc>
        <w:tc>
          <w:tcPr>
            <w:tcW w:w="1560" w:type="dxa"/>
          </w:tcPr>
          <w:p>
            <w:pPr>
              <w:snapToGrid w:val="0"/>
              <w:spacing w:line="360" w:lineRule="auto"/>
              <w:jc w:val="both"/>
              <w:rPr>
                <w:rFonts w:ascii="Book Antiqua" w:hAnsi="Book Antiqua" w:cs="Cordia New"/>
              </w:rPr>
            </w:pPr>
            <w:r>
              <w:rPr>
                <w:rFonts w:ascii="Book Antiqua" w:hAnsi="Book Antiqua" w:cs="Cordia New"/>
              </w:rPr>
              <w:t>24</w:t>
            </w:r>
          </w:p>
        </w:tc>
        <w:tc>
          <w:tcPr>
            <w:tcW w:w="1701" w:type="dxa"/>
            <w:noWrap/>
          </w:tcPr>
          <w:p>
            <w:pPr>
              <w:snapToGrid w:val="0"/>
              <w:spacing w:line="360" w:lineRule="auto"/>
              <w:jc w:val="both"/>
              <w:rPr>
                <w:rFonts w:ascii="Book Antiqua" w:hAnsi="Book Antiqua" w:cs="Cordia New"/>
              </w:rPr>
            </w:pPr>
            <w:r>
              <w:rPr>
                <w:rFonts w:ascii="Book Antiqua" w:hAnsi="Book Antiqua" w:cs="Cordia New"/>
              </w:rPr>
              <w:t>30.4</w:t>
            </w:r>
          </w:p>
        </w:tc>
        <w:tc>
          <w:tcPr>
            <w:tcW w:w="1559" w:type="dxa"/>
            <w:noWrap/>
          </w:tcPr>
          <w:p>
            <w:pPr>
              <w:snapToGrid w:val="0"/>
              <w:spacing w:line="360" w:lineRule="auto"/>
              <w:jc w:val="both"/>
              <w:rPr>
                <w:rFonts w:ascii="Book Antiqua" w:hAnsi="Book Antiqua" w:cs="Cordia New"/>
              </w:rPr>
            </w:pPr>
            <w:r>
              <w:rPr>
                <w:rFonts w:ascii="Book Antiqua" w:hAnsi="Book Antiqua" w:cs="Cordia New"/>
              </w:rPr>
              <w:t>NR</w:t>
            </w:r>
          </w:p>
        </w:tc>
        <w:tc>
          <w:tcPr>
            <w:tcW w:w="1701" w:type="dxa"/>
          </w:tcPr>
          <w:p>
            <w:pPr>
              <w:snapToGrid w:val="0"/>
              <w:spacing w:line="360" w:lineRule="auto"/>
              <w:jc w:val="both"/>
              <w:rPr>
                <w:rFonts w:ascii="Book Antiqua" w:hAnsi="Book Antiqua" w:cs="Cordia New"/>
              </w:rPr>
            </w:pPr>
            <w:r>
              <w:rPr>
                <w:rFonts w:ascii="Book Antiqua" w:hAnsi="Book Antiqua" w:cs="Cordia New"/>
              </w:rPr>
              <w:t>NR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Kuo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{"citationID":"Ngj2B8TD","properties":{"formattedCitation":"\\super [72]\\nosupersub{}","plainCitation":"[72]","noteIndex":0},"citationItems":[{"id":1093,"uris":["http://zotero.org/users/local/NyhnE8P8/items/WEL4ZJ2X"],"uri":["http://zotero.org/users/local/NyhnE8P8/items/WEL4ZJ2X"],"itemData":{"id":1093,"type":"article-journal","abstract":"Objectives. Longer lamivudine (LAM) consolidation therapy after hepatitis B e antigen (HBeAg) seroconversion has been demonstrated to reduce the cumulative relapse rate. However, the optimal interval of LAM consolidation therapy remains controversial. We evaluated the post-treatment durability of LAM-induced HBeAg seroconversion and the length of LAM consolidation therapy required to maintain sustained HBeAg seroconversion. Material and methods. This retrospective study included 401 naive HBeAg-positive chronic hepatitis B patients who were treated with LAM 100 mg daily for at least 24 weeks (range 24–258 weeks). Among them, 124 patients who achieved a complete response (HBeAg seroconversion, alanine aminotransferase normalization, hepatitis B virus DNA &lt; 200 copies/ml) at the end of LAM therapy were followed up for at least 48 weeks (range 48–350 weeks). Results. Of the 124 complete responders, 42 (33.87%) achieved a sustained response (persistent response ≥ 48 weeks). However, the cumulative relapse rates at 48 and 96 weeks post-treatment were 54.03% and 68.4%, respectively. Multivariate analysis revealed pretreatment age ≤ 34 years [hazard ratio (HR) 2.25; 95% confidence interval (CI) 1.40–3.62; p &lt; 0.001] and LAM consolidation therapy ≥ 48 weeks (HR 2.44; 95% CI 1.35–4.40; p = 0.003) to be independent factors for predicting a sustained response. Conclusions. LAM-induced HBeAg seroconversion is not durable in Taiwan. However, a duration of LAM consolidation therapy &gt; 48 weeks may be favorable for maintaining durable HBeAg seroconversion.","container-title":"Scandinavian Journal of Gastroenterology","DOI":"10/cznzws","ISSN":"0036-5521","issue":"1","note":"publisher: Taylor &amp; Francis\n_eprint: https://doi.org/10.3109/00365520903394550","page":"75-81","source":"Taylor and Francis+NEJM","title":"Extended lamivudine consolidation therapy in hepatitis B e antigen-positive chronic hepatitis B patients improves sustained hepatitis B e antigen seroconversion","volume":"45","author":[{"family":"Kuo","given":"Yuan-Hung"},{"family":"Chen","given":"Chien-Hung"},{"family":"Wang","given":"Jing-Houng"},{"family":"Hung","given":"Chou-Hung"},{"family":"Tseng","given":"Po-Lin"},{"family":"Lu","given":"Sheng-Nan"},{"family":"Changchien","given":"Chi-Sin"},{"family":"Lee","given":"Chuan-Mo"}],"issued":{"date-parts":[["2010",1,1]]}}}],"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[72]</w:t>
            </w:r>
            <w:r>
              <w:rPr>
                <w:rFonts w:ascii="Book Antiqua" w:hAnsi="Book Antiqua" w:cs="Cordia New"/>
              </w:rPr>
              <w:fldChar w:fldCharType="end"/>
            </w:r>
            <w:r>
              <w:rPr>
                <w:rFonts w:ascii="Book Antiqua" w:hAnsi="Book Antiqua" w:cs="Cordia New"/>
              </w:rPr>
              <w:t>, 2010</w:t>
            </w:r>
          </w:p>
        </w:tc>
        <w:tc>
          <w:tcPr>
            <w:tcW w:w="1843" w:type="dxa"/>
          </w:tcPr>
          <w:p>
            <w:pPr>
              <w:snapToGrid w:val="0"/>
              <w:spacing w:line="360" w:lineRule="auto"/>
              <w:jc w:val="both"/>
              <w:rPr>
                <w:rFonts w:ascii="Book Antiqua" w:hAnsi="Book Antiqua" w:cs="Cordia New"/>
              </w:rPr>
            </w:pPr>
            <w:r>
              <w:rPr>
                <w:rFonts w:ascii="Book Antiqua" w:hAnsi="Book Antiqua" w:cs="Cordia New"/>
              </w:rPr>
              <w:t>Taiwan</w:t>
            </w:r>
          </w:p>
        </w:tc>
        <w:tc>
          <w:tcPr>
            <w:tcW w:w="1276" w:type="dxa"/>
          </w:tcPr>
          <w:p>
            <w:pPr>
              <w:snapToGrid w:val="0"/>
              <w:spacing w:line="360" w:lineRule="auto"/>
              <w:jc w:val="both"/>
              <w:rPr>
                <w:rFonts w:ascii="Book Antiqua" w:hAnsi="Book Antiqua" w:cs="Cordia New"/>
              </w:rPr>
            </w:pPr>
            <w:r>
              <w:rPr>
                <w:rFonts w:ascii="Book Antiqua" w:hAnsi="Book Antiqua" w:cs="Cordia New"/>
              </w:rPr>
              <w:t>124</w:t>
            </w:r>
          </w:p>
        </w:tc>
        <w:tc>
          <w:tcPr>
            <w:tcW w:w="1984" w:type="dxa"/>
          </w:tcPr>
          <w:p>
            <w:pPr>
              <w:snapToGrid w:val="0"/>
              <w:spacing w:line="360" w:lineRule="auto"/>
              <w:jc w:val="both"/>
              <w:rPr>
                <w:rFonts w:ascii="Book Antiqua" w:hAnsi="Book Antiqua" w:cs="Cordia New"/>
              </w:rPr>
            </w:pPr>
            <w:r>
              <w:rPr>
                <w:rFonts w:ascii="Book Antiqua" w:hAnsi="Book Antiqua" w:cs="Cordia New"/>
              </w:rPr>
              <w:t>0</w:t>
            </w:r>
          </w:p>
        </w:tc>
        <w:tc>
          <w:tcPr>
            <w:tcW w:w="1560" w:type="dxa"/>
          </w:tcPr>
          <w:p>
            <w:pPr>
              <w:snapToGrid w:val="0"/>
              <w:spacing w:line="360" w:lineRule="auto"/>
              <w:jc w:val="both"/>
              <w:rPr>
                <w:rFonts w:ascii="Book Antiqua" w:hAnsi="Book Antiqua" w:cs="Cordia New"/>
              </w:rPr>
            </w:pPr>
            <w:r>
              <w:rPr>
                <w:rFonts w:ascii="Book Antiqua" w:hAnsi="Book Antiqua" w:cs="Cordia New"/>
              </w:rPr>
              <w:t>&gt; 12</w:t>
            </w:r>
          </w:p>
        </w:tc>
        <w:tc>
          <w:tcPr>
            <w:tcW w:w="1701" w:type="dxa"/>
            <w:noWrap/>
          </w:tcPr>
          <w:p>
            <w:pPr>
              <w:snapToGrid w:val="0"/>
              <w:spacing w:line="360" w:lineRule="auto"/>
              <w:jc w:val="both"/>
              <w:rPr>
                <w:rFonts w:ascii="Book Antiqua" w:hAnsi="Book Antiqua" w:cs="Cordia New"/>
              </w:rPr>
            </w:pPr>
            <w:r>
              <w:rPr>
                <w:rFonts w:ascii="Book Antiqua" w:hAnsi="Book Antiqua" w:cs="Cordia New"/>
              </w:rPr>
              <w:t>66.1</w:t>
            </w:r>
          </w:p>
        </w:tc>
        <w:tc>
          <w:tcPr>
            <w:tcW w:w="1559" w:type="dxa"/>
            <w:noWrap/>
          </w:tcPr>
          <w:p>
            <w:pPr>
              <w:snapToGrid w:val="0"/>
              <w:spacing w:line="360" w:lineRule="auto"/>
              <w:jc w:val="both"/>
              <w:rPr>
                <w:rFonts w:ascii="Book Antiqua" w:hAnsi="Book Antiqua" w:cs="Cordia New"/>
              </w:rPr>
            </w:pPr>
            <w:r>
              <w:rPr>
                <w:rFonts w:ascii="Book Antiqua" w:hAnsi="Book Antiqua" w:cs="Cordia New"/>
              </w:rPr>
              <w:t>66.1</w:t>
            </w:r>
          </w:p>
        </w:tc>
        <w:tc>
          <w:tcPr>
            <w:tcW w:w="1701" w:type="dxa"/>
          </w:tcPr>
          <w:p>
            <w:pPr>
              <w:snapToGrid w:val="0"/>
              <w:spacing w:line="360" w:lineRule="auto"/>
              <w:jc w:val="both"/>
              <w:rPr>
                <w:rFonts w:ascii="Book Antiqua" w:hAnsi="Book Antiqua" w:cs="Cordia New"/>
              </w:rPr>
            </w:pPr>
            <w:r>
              <w:rPr>
                <w:rFonts w:ascii="Book Antiqua" w:hAnsi="Book Antiqua" w:cs="Cordia New"/>
              </w:rPr>
              <w:t>NR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Cai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{"citationID":"1cnyU9CM","properties":{"formattedCitation":"\\super [73]\\nosupersub{}","plainCitation":"[73]","noteIndex":0},"citationItems":[{"id":1096,"uris":["http://zotero.org/users/local/NyhnE8P8/items/7VLN3ZSI"],"uri":["http://zotero.org/users/local/NyhnE8P8/items/7VLN3ZSI"],"itemData":{"id":1096,"type":"article-journal","abstract":"BACKGROUND: Effective management of chronic hepatitis B infection is still very challenging, despite decades of clinical research. Telbivudine is one of the most frequently used antiviral drug at the current stage, but its long-term effectiveness, particularly at off-treatment, is still unclear.\nOBJECTIVES: To assess on-treatment HBsAg kinetics in patients treated with telbivudine for 2 years, and predicting sustained virologic response (SR) at 2 years off-treatment.\nSTUDY DESIGN: Serum HBV DNA/HBsAg levels were assessed from 17 HBeAg+ patients treated with telbivudine 600 mg/day for 104 weeks, at baseline, weeks 24, 52 and 104, as well as during off-treatment follow-up.\nRESULTS: HBsAg levels &lt;2 log(10)IU/ml at treatment week 104 were highly predictive of SR (i.e., HBV DNA &lt;300 copies/ml, HBeAg seroconversion, ALT normalization) at 2 years off-treatment (positive predictive value [PPV], 93%; negative predictive value [NPV], 100%). HBsAg levels consistently declined from baseline only in patients achieving SR during 2 years off-treatment. At weeks 24 and 52, HBsAg decline rate was a better predictor of off-treatment response than HBV DNA decline rate. HBsAg decline rates of &gt;0.8 and &gt;1 log(10)IU/ml at treatment weeks 24 and 52 were predictive of SR (PPV, 75%; NPV, 86% at week 24; PPV, 75%; NPV, 86% at week 52).\nCONCLUSIONS: Serum HBsAg levels &lt;2 log(10)IU/ml at treatment week 104 are highly predictive of SR to telbivudine at 2 years off-treatment. HBsAg decline rate at on-treatment weeks 24 and 52 from baseline were also more predictive of SR than HBV DNA decline rate.","container-title":"Journal of Clinical Virology: The Official Publication of the Pan American Society for Clinical Virology","DOI":"10/dwxq4q","ISSN":"1873-5967","issue":"1","journalAbbreviation":"J Clin Virol","language":"eng","note":"PMID: 20233672","page":"22-26","source":"PubMed","title":"On-treatment serum HBsAg level is predictive of sustained off-treatment virologic response to telbivudine in HBeAg-positive chronic hepatitis B patients","volume":"48","author":[{"family":"Cai","given":"Wei"},{"family":"Xie","given":"Qing"},{"family":"An","given":"Baoyan"},{"family":"Wang","given":"Hui"},{"family":"Zhou","given":"Xiaqiu"},{"family":"Zhao","given":"Guomin"},{"family":"Guo","given":"Qing"},{"family":"Gu","given":"Ruiying"},{"family":"Bao","given":"Shisan"}],"issued":{"date-parts":[["2010",5]]}}}],"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[73]</w:t>
            </w:r>
            <w:r>
              <w:rPr>
                <w:rFonts w:ascii="Book Antiqua" w:hAnsi="Book Antiqua" w:cs="Cordia New"/>
              </w:rPr>
              <w:fldChar w:fldCharType="end"/>
            </w:r>
            <w:r>
              <w:rPr>
                <w:rFonts w:ascii="Book Antiqua" w:hAnsi="Book Antiqua" w:cs="Cordia New"/>
              </w:rPr>
              <w:t>, 2010</w:t>
            </w:r>
          </w:p>
        </w:tc>
        <w:tc>
          <w:tcPr>
            <w:tcW w:w="1843" w:type="dxa"/>
          </w:tcPr>
          <w:p>
            <w:pPr>
              <w:snapToGrid w:val="0"/>
              <w:spacing w:line="360" w:lineRule="auto"/>
              <w:jc w:val="both"/>
              <w:rPr>
                <w:rFonts w:ascii="Book Antiqua" w:hAnsi="Book Antiqua" w:cs="Cordia New"/>
              </w:rPr>
            </w:pPr>
            <w:r>
              <w:rPr>
                <w:rFonts w:ascii="Book Antiqua" w:hAnsi="Book Antiqua" w:cs="Cordia New"/>
              </w:rPr>
              <w:t>China</w:t>
            </w:r>
          </w:p>
        </w:tc>
        <w:tc>
          <w:tcPr>
            <w:tcW w:w="1276" w:type="dxa"/>
          </w:tcPr>
          <w:p>
            <w:pPr>
              <w:snapToGrid w:val="0"/>
              <w:spacing w:line="360" w:lineRule="auto"/>
              <w:jc w:val="both"/>
              <w:rPr>
                <w:rFonts w:ascii="Book Antiqua" w:hAnsi="Book Antiqua" w:cs="Cordia New"/>
              </w:rPr>
            </w:pPr>
            <w:r>
              <w:rPr>
                <w:rFonts w:ascii="Book Antiqua" w:hAnsi="Book Antiqua" w:cs="Cordia New"/>
              </w:rPr>
              <w:t>11</w:t>
            </w:r>
          </w:p>
        </w:tc>
        <w:tc>
          <w:tcPr>
            <w:tcW w:w="1984" w:type="dxa"/>
          </w:tcPr>
          <w:p>
            <w:pPr>
              <w:snapToGrid w:val="0"/>
              <w:spacing w:line="360" w:lineRule="auto"/>
              <w:jc w:val="both"/>
              <w:rPr>
                <w:rFonts w:ascii="Book Antiqua" w:hAnsi="Book Antiqua" w:cs="Cordia New"/>
              </w:rPr>
            </w:pPr>
            <w:r>
              <w:rPr>
                <w:rFonts w:ascii="Book Antiqua" w:hAnsi="Book Antiqua" w:cs="Cordia New"/>
              </w:rPr>
              <w:t>0</w:t>
            </w:r>
          </w:p>
        </w:tc>
        <w:tc>
          <w:tcPr>
            <w:tcW w:w="1560" w:type="dxa"/>
          </w:tcPr>
          <w:p>
            <w:pPr>
              <w:snapToGrid w:val="0"/>
              <w:spacing w:line="360" w:lineRule="auto"/>
              <w:jc w:val="both"/>
              <w:rPr>
                <w:rFonts w:ascii="Book Antiqua" w:hAnsi="Book Antiqua" w:cs="Cordia New"/>
              </w:rPr>
            </w:pPr>
            <w:r>
              <w:rPr>
                <w:rFonts w:ascii="Book Antiqua" w:hAnsi="Book Antiqua" w:cs="Cordia New"/>
              </w:rPr>
              <w:t>22</w:t>
            </w:r>
          </w:p>
        </w:tc>
        <w:tc>
          <w:tcPr>
            <w:tcW w:w="1701" w:type="dxa"/>
            <w:noWrap/>
          </w:tcPr>
          <w:p>
            <w:pPr>
              <w:snapToGrid w:val="0"/>
              <w:spacing w:line="360" w:lineRule="auto"/>
              <w:jc w:val="both"/>
              <w:rPr>
                <w:rFonts w:ascii="Book Antiqua" w:hAnsi="Book Antiqua" w:cs="Cordia New"/>
              </w:rPr>
            </w:pPr>
            <w:r>
              <w:rPr>
                <w:rFonts w:ascii="Book Antiqua" w:hAnsi="Book Antiqua" w:cs="Cordia New"/>
              </w:rPr>
              <w:t>42.8</w:t>
            </w:r>
          </w:p>
        </w:tc>
        <w:tc>
          <w:tcPr>
            <w:tcW w:w="1559" w:type="dxa"/>
            <w:noWrap/>
          </w:tcPr>
          <w:p>
            <w:pPr>
              <w:snapToGrid w:val="0"/>
              <w:spacing w:line="360" w:lineRule="auto"/>
              <w:jc w:val="both"/>
              <w:rPr>
                <w:rFonts w:ascii="Book Antiqua" w:hAnsi="Book Antiqua" w:cs="Cordia New"/>
              </w:rPr>
            </w:pPr>
            <w:r>
              <w:rPr>
                <w:rFonts w:ascii="Book Antiqua" w:hAnsi="Book Antiqua" w:cs="Cordia New"/>
              </w:rPr>
              <w:t>0</w:t>
            </w:r>
          </w:p>
        </w:tc>
        <w:tc>
          <w:tcPr>
            <w:tcW w:w="1701" w:type="dxa"/>
          </w:tcPr>
          <w:p>
            <w:pPr>
              <w:snapToGrid w:val="0"/>
              <w:spacing w:line="360" w:lineRule="auto"/>
              <w:jc w:val="both"/>
              <w:rPr>
                <w:rFonts w:ascii="Book Antiqua" w:hAnsi="Book Antiqua" w:cs="Cordia New"/>
              </w:rPr>
            </w:pPr>
            <w:r>
              <w:rPr>
                <w:rFonts w:ascii="Book Antiqua" w:hAnsi="Book Antiqua" w:cs="Cordia New"/>
              </w:rPr>
              <w:t>NR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Liu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{"citationID":"bhVrfNkV","properties":{"formattedCitation":"\\super [74]\\nosupersub{}","plainCitation":"[74]","noteIndex":0},"citationItems":[{"id":1098,"uris":["http://zotero.org/users/local/NyhnE8P8/items/HR9MW5HP"],"uri":["http://zotero.org/users/local/NyhnE8P8/items/HR9MW5HP"],"itemData":{"id":1098,"type":"article-journal","abstract":"BACKGROUND AND AIMS: Lamivudine, a nucleoside analog, is commonly used for treatment of chronic hepatitis B (CHB) but its durability of effectiveness after withdrawal is still uncertain. This study was designed to assess the durability of lamivudine treatment with stringent cessation criteria in hepatitis B e antigen (HBeAg)-negative patients and to explore potential predictive factors.\nMETHODS: Sixty one HBeAg-negative CHB patients who had received lamivudine for at least 24 months and had maintained undetectable serum hepatitis B virus (HBV) DNA plus normal alanine aminotransferase for ≥ 18 months before withdrawal were included. They were followed up monthly during the first 4 months and at 3-month or 6-month intervals thereafter. Relapse was defined as serum HBV DNA ≥ 10(4) copies/mL.\nRESULTS: Thirty one of 61 patients relapsed during follow-up, over 90% occurred within 18 months after lamivudine withdrawal. Cumulative relapse rates at months 6, 12, 24, 36, 48 and 60 were 26.2%, 43.6%, 49.7%, 52.1%, 56.1% and 56.1%, respectively. Cox regression revealed that age was the only predictive factor for relapse, with lower relapse rates found in younger patients. Hepatitis B surface antigen (HBsAg) turned negative in eight patients, and none of them relapsed during follow-up.\nCONCLUSION: Effectiveness of lamivudine treatment is not durable in HBeAg-negative CHB patients even when stringent cessation criteria are adopted, with the exception of patients aged ≤ 20 years. The ideal end point of lamivudine treatment is clearance of serum HBsAg.","container-title":"Journal of Gastroenterology and Hepatology","DOI":"10/bx97hf","ISSN":"1440-1746","issue":"3","journalAbbreviation":"J Gastroenterol Hepatol","language":"eng","note":"PMID: 21332542","page":"456-460","source":"PubMed","title":"Poor durability of lamivudine effectiveness despite stringent cessation criteria: a prospective clinical study in hepatitis B e antigen-negative chronic hepatitis B patients","title-short":"Poor durability of lamivudine effectiveness despite stringent cessation criteria","volume":"26","author":[{"family":"Liu","given":"Feng"},{"family":"Wang","given":"Lei"},{"family":"Li","given":"Xiao Ying"},{"family":"Liu","given":"You De"},{"family":"Wang","given":"Jing Bo"},{"family":"Zhang","given":"Zhao Hua"},{"family":"Wang","given":"Yao Zong"}],"issued":{"date-parts":[["2011",3]]}}}],"schema":"https://github.com/citation-style-language/schema/raw/master/csl-citation.json"}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[74]</w:t>
            </w:r>
            <w:r>
              <w:rPr>
                <w:rFonts w:ascii="Book Antiqua" w:hAnsi="Book Antiqua" w:cs="Cordia New"/>
              </w:rPr>
              <w:fldChar w:fldCharType="end"/>
            </w:r>
            <w:r>
              <w:rPr>
                <w:rFonts w:ascii="Book Antiqua" w:hAnsi="Book Antiqua" w:cs="Cordia New"/>
              </w:rPr>
              <w:t>, 2011</w:t>
            </w:r>
          </w:p>
        </w:tc>
        <w:tc>
          <w:tcPr>
            <w:tcW w:w="1843" w:type="dxa"/>
          </w:tcPr>
          <w:p>
            <w:pPr>
              <w:snapToGrid w:val="0"/>
              <w:spacing w:line="360" w:lineRule="auto"/>
              <w:jc w:val="both"/>
              <w:rPr>
                <w:rFonts w:ascii="Book Antiqua" w:hAnsi="Book Antiqua" w:cs="Cordia New"/>
              </w:rPr>
            </w:pPr>
            <w:r>
              <w:rPr>
                <w:rFonts w:ascii="Book Antiqua" w:hAnsi="Book Antiqua" w:cs="Cordia New"/>
              </w:rPr>
              <w:t>China</w:t>
            </w:r>
          </w:p>
        </w:tc>
        <w:tc>
          <w:tcPr>
            <w:tcW w:w="1276" w:type="dxa"/>
          </w:tcPr>
          <w:p>
            <w:pPr>
              <w:snapToGrid w:val="0"/>
              <w:spacing w:line="360" w:lineRule="auto"/>
              <w:jc w:val="both"/>
              <w:rPr>
                <w:rFonts w:ascii="Book Antiqua" w:hAnsi="Book Antiqua" w:cs="Cordia New"/>
              </w:rPr>
            </w:pPr>
            <w:r>
              <w:rPr>
                <w:rFonts w:ascii="Book Antiqua" w:hAnsi="Book Antiqua" w:cs="Cordia New"/>
              </w:rPr>
              <w:t>61</w:t>
            </w:r>
          </w:p>
        </w:tc>
        <w:tc>
          <w:tcPr>
            <w:tcW w:w="1984" w:type="dxa"/>
          </w:tcPr>
          <w:p>
            <w:pPr>
              <w:snapToGrid w:val="0"/>
              <w:spacing w:line="360" w:lineRule="auto"/>
              <w:jc w:val="both"/>
              <w:rPr>
                <w:rFonts w:ascii="Book Antiqua" w:hAnsi="Book Antiqua" w:cs="Cordia New"/>
              </w:rPr>
            </w:pPr>
            <w:r>
              <w:rPr>
                <w:rFonts w:ascii="Book Antiqua" w:hAnsi="Book Antiqua" w:cs="Cordia New"/>
              </w:rPr>
              <w:t>61</w:t>
            </w:r>
          </w:p>
        </w:tc>
        <w:tc>
          <w:tcPr>
            <w:tcW w:w="1560" w:type="dxa"/>
          </w:tcPr>
          <w:p>
            <w:pPr>
              <w:snapToGrid w:val="0"/>
              <w:spacing w:line="360" w:lineRule="auto"/>
              <w:jc w:val="both"/>
              <w:rPr>
                <w:rFonts w:ascii="Book Antiqua" w:hAnsi="Book Antiqua" w:cs="Cordia New"/>
              </w:rPr>
            </w:pPr>
            <w:r>
              <w:rPr>
                <w:rFonts w:ascii="Book Antiqua" w:hAnsi="Book Antiqua" w:cs="Cordia New"/>
              </w:rPr>
              <w:t>15</w:t>
            </w:r>
          </w:p>
        </w:tc>
        <w:tc>
          <w:tcPr>
            <w:tcW w:w="1701" w:type="dxa"/>
            <w:noWrap/>
          </w:tcPr>
          <w:p>
            <w:pPr>
              <w:snapToGrid w:val="0"/>
              <w:spacing w:line="360" w:lineRule="auto"/>
              <w:jc w:val="both"/>
              <w:rPr>
                <w:rFonts w:ascii="Book Antiqua" w:hAnsi="Book Antiqua" w:cs="Cordia New"/>
              </w:rPr>
            </w:pPr>
            <w:r>
              <w:rPr>
                <w:rFonts w:ascii="Book Antiqua" w:hAnsi="Book Antiqua" w:cs="Cordia New"/>
              </w:rPr>
              <w:t>50.8</w:t>
            </w:r>
          </w:p>
        </w:tc>
        <w:tc>
          <w:tcPr>
            <w:tcW w:w="1559" w:type="dxa"/>
            <w:noWrap/>
          </w:tcPr>
          <w:p>
            <w:pPr>
              <w:snapToGrid w:val="0"/>
              <w:spacing w:line="360" w:lineRule="auto"/>
              <w:jc w:val="both"/>
              <w:rPr>
                <w:rFonts w:ascii="Book Antiqua" w:hAnsi="Book Antiqua" w:cs="Cordia New"/>
              </w:rPr>
            </w:pPr>
            <w:r>
              <w:rPr>
                <w:rFonts w:ascii="Book Antiqua" w:hAnsi="Book Antiqua" w:cs="Cordia New"/>
              </w:rPr>
              <w:t>45.9</w:t>
            </w:r>
          </w:p>
        </w:tc>
        <w:tc>
          <w:tcPr>
            <w:tcW w:w="1701" w:type="dxa"/>
          </w:tcPr>
          <w:p>
            <w:pPr>
              <w:snapToGrid w:val="0"/>
              <w:spacing w:line="360" w:lineRule="auto"/>
              <w:jc w:val="both"/>
              <w:rPr>
                <w:rFonts w:ascii="Book Antiqua" w:hAnsi="Book Antiqua" w:cs="Cordia New"/>
              </w:rPr>
            </w:pPr>
            <w:r>
              <w:rPr>
                <w:rFonts w:ascii="Book Antiqua" w:hAnsi="Book Antiqua" w:cs="Cordia New"/>
              </w:rPr>
              <w:t>8/61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Jung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{"citationID":"AjpgSqCK","properties":{"formattedCitation":"\\super [75]\\nosupersub{}","plainCitation":"[75]","noteIndex":0},"citationItems":[{"id":1100,"uris":["http://zotero.org/users/local/NyhnE8P8/items/2EGDX3FB"],"uri":["http://zotero.org/users/local/NyhnE8P8/items/2EGDX3FB"],"itemData":{"id":1100,"type":"article-journal","abstract":"Background/Aims\nWe investigated the durability of the biochemical and virologic responses after adefovir (ADV) discontinuation in lamivudine-resistant (LMV-R) chronic hepatitis B (CHB) patients, and the outcomes of ADV discontinuation compared to that of ADV maintenance.\n\nMethods\nThe indication for ADV treatment cessation was an undetectable level of hepatitis B virus (HBV) DNA documented on two occasions at least 6 months apart. All patients received additional ADV for at least 12 months after the confirmation of undetectable HBV DNA (Cobas TaqMan PCR assay, &lt;70 copies/mL). Of 36 patients who had a sufficient ADV therapeutic effect, 19 discontinued ADV treatment, while the others maintained it. A virologic rebound was arbitrarily defined as the redetection of HBV DNA at a level higher than 105 copies/mL.\n\nResults\nIn the ADV discontinuation group, ADV treatment and additional therapy were administered for medians of 33 months (range, 12-47 months) and 18 months, respectively. The patients were followed for a median of 12 months (range, 3-30 months) after ADV cessation. During that period, 18 of 19 patients (95%) experienced viral relapse. Viral rebound was observed in six patients (32%). However, 12 of 18 patients (67%) exhibited serum HBV DNA levels of less than 105 copies/mL. Biochemical relapses were observed in four of the six patients with viral rebound. In the ADV maintenance group, patients were treated for a median of 53 months (range, 31-85 months), and 9 patients (53%) experienced viral breakthrough.\n\nConclusions\nDuring short-term follow-up after ADV discontinuation, most patients (95%) exhibited viral relapse, whereas and viral breakthrough occurred in about half of patients (53%) maintained on ADV therapy. Therefore, the durability of virologic response after ADV discontinuation in LMV-R patients was unsatisfactory. In addition, and viral breakthrough was not infrequent in the ADV continuation group.","container-title":"The Korean Journal of Hepatology","DOI":"10/fzcmsf","ISSN":"1738-222X","issue":"4","journalAbbreviation":"Korean J Hepatol","note":"PMID: 22310790\nPMCID: PMC3304672","page":"261-267","source":"PubMed Central","title":"Virologic response is not durable after adefovir discontinuation in lamivudine-resistant chronic hepatitis B patients","volume":"17","author":[{"family":"Jung","given":"Young Kul"},{"family":"Yeon","given":"Jong Eun"},{"family":"Lee","given":"Kwang Gyun"},{"family":"Jung","given":"Eun Seok"},{"family":"Kim","given":"Jeong Han"},{"family":"Kim","given":"Ji Hoon"},{"family":"Seo","given":"Yeon Seok"},{"family":"Yim","given":"Hyung Joon"},{"family":"Um","given":"Sun Ho"},{"family":"Ryu","given":"Ho Sang"},{"family":"Byun","given":"Kwan Soo"}],"issued":{"date-parts":[["2011",12]]}}}],"schema":"https://github.com/citation-style-language/schema/raw/master/csl-citation.json"}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[75]</w:t>
            </w:r>
            <w:r>
              <w:rPr>
                <w:rFonts w:ascii="Book Antiqua" w:hAnsi="Book Antiqua" w:cs="Cordia New"/>
              </w:rPr>
              <w:fldChar w:fldCharType="end"/>
            </w:r>
            <w:r>
              <w:rPr>
                <w:rFonts w:ascii="Book Antiqua" w:hAnsi="Book Antiqua" w:cs="Cordia New"/>
              </w:rPr>
              <w:t>, 2011</w:t>
            </w:r>
          </w:p>
        </w:tc>
        <w:tc>
          <w:tcPr>
            <w:tcW w:w="1843" w:type="dxa"/>
          </w:tcPr>
          <w:p>
            <w:pPr>
              <w:snapToGrid w:val="0"/>
              <w:spacing w:line="360" w:lineRule="auto"/>
              <w:jc w:val="both"/>
              <w:rPr>
                <w:rFonts w:ascii="Book Antiqua" w:hAnsi="Book Antiqua" w:cs="Cordia New"/>
              </w:rPr>
            </w:pPr>
            <w:r>
              <w:rPr>
                <w:rFonts w:ascii="Book Antiqua" w:hAnsi="Book Antiqua" w:cs="Cordia New"/>
              </w:rPr>
              <w:t>South Korea</w:t>
            </w:r>
          </w:p>
        </w:tc>
        <w:tc>
          <w:tcPr>
            <w:tcW w:w="1276" w:type="dxa"/>
          </w:tcPr>
          <w:p>
            <w:pPr>
              <w:snapToGrid w:val="0"/>
              <w:spacing w:line="360" w:lineRule="auto"/>
              <w:jc w:val="both"/>
              <w:rPr>
                <w:rFonts w:ascii="Book Antiqua" w:hAnsi="Book Antiqua" w:cs="Cordia New"/>
              </w:rPr>
            </w:pPr>
            <w:r>
              <w:rPr>
                <w:rFonts w:ascii="Book Antiqua" w:hAnsi="Book Antiqua" w:cs="Cordia New"/>
              </w:rPr>
              <w:t>19</w:t>
            </w:r>
          </w:p>
        </w:tc>
        <w:tc>
          <w:tcPr>
            <w:tcW w:w="1984" w:type="dxa"/>
          </w:tcPr>
          <w:p>
            <w:pPr>
              <w:snapToGrid w:val="0"/>
              <w:spacing w:line="360" w:lineRule="auto"/>
              <w:jc w:val="both"/>
              <w:rPr>
                <w:rFonts w:ascii="Book Antiqua" w:hAnsi="Book Antiqua" w:cs="Cordia New"/>
              </w:rPr>
            </w:pPr>
            <w:r>
              <w:rPr>
                <w:rFonts w:ascii="Book Antiqua" w:hAnsi="Book Antiqua" w:cs="Cordia New"/>
              </w:rPr>
              <w:t>9</w:t>
            </w:r>
          </w:p>
        </w:tc>
        <w:tc>
          <w:tcPr>
            <w:tcW w:w="1560" w:type="dxa"/>
          </w:tcPr>
          <w:p>
            <w:pPr>
              <w:snapToGrid w:val="0"/>
              <w:spacing w:line="360" w:lineRule="auto"/>
              <w:jc w:val="both"/>
              <w:rPr>
                <w:rFonts w:ascii="Book Antiqua" w:hAnsi="Book Antiqua" w:cs="Cordia New"/>
              </w:rPr>
            </w:pPr>
            <w:r>
              <w:rPr>
                <w:rFonts w:ascii="Book Antiqua" w:hAnsi="Book Antiqua" w:cs="Cordia New"/>
              </w:rPr>
              <w:t>12</w:t>
            </w:r>
          </w:p>
        </w:tc>
        <w:tc>
          <w:tcPr>
            <w:tcW w:w="1701" w:type="dxa"/>
            <w:noWrap/>
          </w:tcPr>
          <w:p>
            <w:pPr>
              <w:snapToGrid w:val="0"/>
              <w:spacing w:line="360" w:lineRule="auto"/>
              <w:jc w:val="both"/>
              <w:rPr>
                <w:rFonts w:ascii="Book Antiqua" w:hAnsi="Book Antiqua" w:cs="Cordia New"/>
              </w:rPr>
            </w:pPr>
            <w:r>
              <w:rPr>
                <w:rFonts w:ascii="Book Antiqua" w:hAnsi="Book Antiqua" w:cs="Cordia New"/>
              </w:rPr>
              <w:t>31.6</w:t>
            </w:r>
          </w:p>
        </w:tc>
        <w:tc>
          <w:tcPr>
            <w:tcW w:w="1559" w:type="dxa"/>
            <w:noWrap/>
          </w:tcPr>
          <w:p>
            <w:pPr>
              <w:snapToGrid w:val="0"/>
              <w:spacing w:line="360" w:lineRule="auto"/>
              <w:jc w:val="both"/>
              <w:rPr>
                <w:rFonts w:ascii="Book Antiqua" w:hAnsi="Book Antiqua" w:cs="Cordia New"/>
              </w:rPr>
            </w:pPr>
            <w:r>
              <w:rPr>
                <w:rFonts w:ascii="Book Antiqua" w:hAnsi="Book Antiqua" w:cs="Cordia New"/>
              </w:rPr>
              <w:t>21</w:t>
            </w:r>
          </w:p>
        </w:tc>
        <w:tc>
          <w:tcPr>
            <w:tcW w:w="1701" w:type="dxa"/>
          </w:tcPr>
          <w:p>
            <w:pPr>
              <w:snapToGrid w:val="0"/>
              <w:spacing w:line="360" w:lineRule="auto"/>
              <w:jc w:val="both"/>
              <w:rPr>
                <w:rFonts w:ascii="Book Antiqua" w:hAnsi="Book Antiqua" w:cs="Cordia New"/>
              </w:rPr>
            </w:pPr>
            <w:r>
              <w:rPr>
                <w:rFonts w:ascii="Book Antiqua" w:hAnsi="Book Antiqua" w:cs="Cordia New"/>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Chan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{"citationID":"ANZRIRZn","properties":{"formattedCitation":"\\super [76]\\nosupersub{}","plainCitation":"[76]","noteIndex":0},"citationItems":[{"id":623,"uris":["http://zotero.org/users/local/NyhnE8P8/items/4Y2P75GB"],"uri":["http://zotero.org/users/local/NyhnE8P8/items/4Y2P75GB"],"itemData":{"id":623,"type":"article-journal","abstract":"BACKGROUND: The timing of antiviral therapy cessation in hepatitis B e antigen (HBeAg)-negative patients is controversial. Here, we aimed to investigate the role of HBV DNA and hepatitis B surface antigen (HBsAg) monitoring to predict off-treatment sustained response.\nMETHODS: A total of 53 HBeAg-negative chronic hepatitis B patients who received lamivudine for 34 ±23 (range 12-76) months and had lamivudine stopped for 47 ±35 months were studied. Primary outcome was sustained response, defined as HBV DNA≤200 IU/ml, at 12 months post-treatment (SR-12).\nRESULTS: A total of 9 (17%) patients achieved SR-12. HBV DNA at baseline, month 6 and end of treatment had no association with SR-12. HBsAg levels tended to decrease more significantly during treatment among SR-12 responders. At the end of treatment, both HBsAg ≤2 log IU/ml and reduction by &gt;1 log from baseline had sensitivity, specificity, positive and negative predictive values for SR-12 of 78%, 96%, 78% and 96%, respectively. All 5 patients with HBsAg≤2 log IU/ml and reduction &gt;1 log at the end of treatment achieved SR-12 and all 40 patients with HBsAg&gt;2 log IU/ml and reduction ≤1 log did not have SR-12. The cumulative probability of sustained response and HBsAg clearance at 5 years among patients with HBsAg≤2 log IU/ml were 88% and 72%, respectively, that among patients with HBsAg reduction &gt;1 log were 74% and 61%, respectively.\nCONCLUSIONS: Monitoring of HBsAg level can guide the timing of stopping lamivudine in HBeAg-negative chronic hepatitis B.","container-title":"Antiviral Therapy","DOI":"10/frc7cf","ISSN":"2040-2058","issue":"8","journalAbbreviation":"Antivir. Ther. (Lond.)","language":"eng","note":"PMID: 22155906","page":"1249-1257","source":"PubMed","title":"Prediction of off-treatment response to lamivudine by serum hepatitis B surface antigen quantification in hepatitis B e antigen-negative patients","volume":"16","author":[{"family":"Chan","given":"Henry L.-Y."},{"family":"Wong","given":"Grace L.-H."},{"family":"Chim","given":"Angel M.-L."},{"family":"Chan","given":"Hoi-Yun"},{"family":"Chu","given":"Shirley H.-T."},{"family":"Wong","given":"Vincent W.-S."}],"issued":{"date-parts":[["2011"]]}}}],"schema":"https://github.com/citation-style-language/schema/raw/master/csl-citation.json"}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[76]</w:t>
            </w:r>
            <w:r>
              <w:rPr>
                <w:rFonts w:ascii="Book Antiqua" w:hAnsi="Book Antiqua" w:cs="Cordia New"/>
              </w:rPr>
              <w:fldChar w:fldCharType="end"/>
            </w:r>
            <w:r>
              <w:rPr>
                <w:rFonts w:ascii="Book Antiqua" w:hAnsi="Book Antiqua" w:cs="Cordia New"/>
              </w:rPr>
              <w:t>, 2011</w:t>
            </w:r>
          </w:p>
        </w:tc>
        <w:tc>
          <w:tcPr>
            <w:tcW w:w="1843" w:type="dxa"/>
          </w:tcPr>
          <w:p>
            <w:pPr>
              <w:snapToGrid w:val="0"/>
              <w:spacing w:line="360" w:lineRule="auto"/>
              <w:jc w:val="both"/>
              <w:rPr>
                <w:rFonts w:ascii="Book Antiqua" w:hAnsi="Book Antiqua" w:cs="Cordia New"/>
              </w:rPr>
            </w:pPr>
            <w:r>
              <w:rPr>
                <w:rFonts w:ascii="Book Antiqua" w:hAnsi="Book Antiqua" w:cs="Cordia New"/>
              </w:rPr>
              <w:t>Hongkong</w:t>
            </w:r>
          </w:p>
        </w:tc>
        <w:tc>
          <w:tcPr>
            <w:tcW w:w="1276" w:type="dxa"/>
          </w:tcPr>
          <w:p>
            <w:pPr>
              <w:snapToGrid w:val="0"/>
              <w:spacing w:line="360" w:lineRule="auto"/>
              <w:jc w:val="both"/>
              <w:rPr>
                <w:rFonts w:ascii="Book Antiqua" w:hAnsi="Book Antiqua" w:cs="Cordia New"/>
              </w:rPr>
            </w:pPr>
            <w:r>
              <w:rPr>
                <w:rFonts w:ascii="Book Antiqua" w:hAnsi="Book Antiqua" w:cs="Cordia New"/>
              </w:rPr>
              <w:t>53</w:t>
            </w:r>
          </w:p>
        </w:tc>
        <w:tc>
          <w:tcPr>
            <w:tcW w:w="1984" w:type="dxa"/>
          </w:tcPr>
          <w:p>
            <w:pPr>
              <w:snapToGrid w:val="0"/>
              <w:spacing w:line="360" w:lineRule="auto"/>
              <w:jc w:val="both"/>
              <w:rPr>
                <w:rFonts w:ascii="Book Antiqua" w:hAnsi="Book Antiqua" w:cs="Cordia New"/>
              </w:rPr>
            </w:pPr>
            <w:r>
              <w:rPr>
                <w:rFonts w:ascii="Book Antiqua" w:hAnsi="Book Antiqua" w:cs="Cordia New"/>
              </w:rPr>
              <w:t>53</w:t>
            </w:r>
          </w:p>
        </w:tc>
        <w:tc>
          <w:tcPr>
            <w:tcW w:w="1560" w:type="dxa"/>
          </w:tcPr>
          <w:p>
            <w:pPr>
              <w:snapToGrid w:val="0"/>
              <w:spacing w:line="360" w:lineRule="auto"/>
              <w:jc w:val="both"/>
              <w:rPr>
                <w:rFonts w:ascii="Book Antiqua" w:hAnsi="Book Antiqua" w:cs="Cordia New"/>
              </w:rPr>
            </w:pPr>
            <w:r>
              <w:rPr>
                <w:rFonts w:ascii="Book Antiqua" w:hAnsi="Book Antiqua" w:cs="Cordia New"/>
              </w:rPr>
              <w:t>47</w:t>
            </w:r>
          </w:p>
        </w:tc>
        <w:tc>
          <w:tcPr>
            <w:tcW w:w="1701" w:type="dxa"/>
            <w:noWrap/>
          </w:tcPr>
          <w:p>
            <w:pPr>
              <w:snapToGrid w:val="0"/>
              <w:spacing w:line="360" w:lineRule="auto"/>
              <w:jc w:val="both"/>
              <w:rPr>
                <w:rFonts w:ascii="Book Antiqua" w:hAnsi="Book Antiqua" w:cs="Cordia New"/>
              </w:rPr>
            </w:pPr>
            <w:r>
              <w:rPr>
                <w:rFonts w:ascii="Book Antiqua" w:hAnsi="Book Antiqua" w:cs="Cordia New"/>
              </w:rPr>
              <w:t>69.8</w:t>
            </w:r>
          </w:p>
        </w:tc>
        <w:tc>
          <w:tcPr>
            <w:tcW w:w="1559" w:type="dxa"/>
            <w:noWrap/>
          </w:tcPr>
          <w:p>
            <w:pPr>
              <w:snapToGrid w:val="0"/>
              <w:spacing w:line="360" w:lineRule="auto"/>
              <w:jc w:val="both"/>
              <w:rPr>
                <w:rFonts w:ascii="Book Antiqua" w:hAnsi="Book Antiqua" w:cs="Cordia New"/>
              </w:rPr>
            </w:pPr>
            <w:r>
              <w:rPr>
                <w:rFonts w:ascii="Book Antiqua" w:hAnsi="Book Antiqua" w:cs="Cordia New"/>
              </w:rPr>
              <w:t>NR</w:t>
            </w:r>
          </w:p>
        </w:tc>
        <w:tc>
          <w:tcPr>
            <w:tcW w:w="1701" w:type="dxa"/>
          </w:tcPr>
          <w:p>
            <w:pPr>
              <w:snapToGrid w:val="0"/>
              <w:spacing w:line="360" w:lineRule="auto"/>
              <w:jc w:val="both"/>
              <w:rPr>
                <w:rFonts w:ascii="Book Antiqua" w:hAnsi="Book Antiqua" w:cs="Cordia New"/>
              </w:rPr>
            </w:pPr>
            <w:r>
              <w:rPr>
                <w:rFonts w:ascii="Book Antiqua" w:hAnsi="Book Antiqua" w:cs="Cordia New"/>
              </w:rPr>
              <w:t>9/53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Liang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{"citationID":"sc3HPIy7","properties":{"formattedCitation":"\\super [77]\\nosupersub{}","plainCitation":"[77]","noteIndex":0},"citationItems":[{"id":171,"uris":["http://zotero.org/users/local/NyhnE8P8/items/BNDZDZ9E"],"uri":["http://zotero.org/users/local/NyhnE8P8/items/BNDZDZ9E"],"itemData":{"id":171,"type":"article-journal","abstract":"BACKGROUND: Optimal duration of anti-viral therapy in chronic hepatitis B virus (HBV) infection remains unclear.\nAIM: To investigate factors that could predict relapse after stopping anti-viral agents.\nMETHODS: Chronic hepatitis B patients who were treated with anti-viral agents (lamivudine, adefovir, entecavir) and have stopped the treatment were recruited. Anti-viral agents were stopped according to the recommendations of the Asian Pacific Association for the Study of the Liver. Virological relapse was defined as an increase in serum HBV DNA to &gt;1000 copies/mL after discontinuation of treatment.\nRESULTS: Eighty-four (69 treatment naïve and 15 lamivudine resistant) patients were eligible for this study. Thirty-seven patients developed virological relapse at 4.3 ± 2.9 (range 1-11) months after discontinuation of therapy. The 1-year cumulative probability of virological relapse was 42% and 47% in HBeAg (hepatitis B e antigen)-positive (n = 41) and HBeAg (hepatitis B e antigen)-negative (n = 43) patients, respectively. On multivariate analysis by Cox proportional hazard model, pre-existing lamivudine resistance, delayed suppression of HBV DNA to undetectable level during anti-viral therapy and to a higher HBsAg (hepatitis B surface antigen) level at the end of treatment were associated with virological relapse. Twelve of the 15 (80%) lamivudine resistant patients developed virological relapse. Among the 11 treatment naïve patients who had HBsAg ≤ 2 log IU/mL at the end of treatment, 1 (9%) of them had virological relapse.\nCONCLUSIONS: Treatment cessation among lamivudine resistant patients is associated with high risk of virological relapse. Serum HBsAg level at the end of treatment and rate of HBV DNA suppression can provide supplementary information to guide the timing of stopping anti-viral drugs.","container-title":"Alimentary Pharmacology &amp; Therapeutics","DOI":"10.1111/j.1365-2036.2011.04738.x","ISSN":"1365-2036","issue":"3","journalAbbreviation":"Aliment. Pharmacol. Ther.","language":"eng","note":"PMID: 21671967","page":"344-352","source":"PubMed","title":"Predictors of relapse in chronic hepatitis B after discontinuation of anti-viral therapy","volume":"34","author":[{"family":"Liang","given":"Y."},{"family":"Jiang","given":"J."},{"family":"Su","given":"M."},{"family":"Liu","given":"Z."},{"family":"Guo","given":"W."},{"family":"Huang","given":"X."},{"family":"Xie","given":"R."},{"family":"Ge","given":"S."},{"family":"Hu","given":"J."},{"family":"Jiang","given":"Z."},{"family":"Zhu","given":"M."},{"family":"Wong","given":"V. W.-S."},{"family":"Chan","given":"H. L.-Y."}],"issued":{"date-parts":[["2011",8]]}}}],"schema":"https://github.com/citation-style-language/schema/raw/master/csl-citation.json"}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[77]</w:t>
            </w:r>
            <w:r>
              <w:rPr>
                <w:rFonts w:ascii="Book Antiqua" w:hAnsi="Book Antiqua" w:cs="Cordia New"/>
              </w:rPr>
              <w:fldChar w:fldCharType="end"/>
            </w:r>
            <w:r>
              <w:rPr>
                <w:rFonts w:ascii="Book Antiqua" w:hAnsi="Book Antiqua" w:cs="Cordia New"/>
              </w:rPr>
              <w:t>, 2011</w:t>
            </w:r>
          </w:p>
        </w:tc>
        <w:tc>
          <w:tcPr>
            <w:tcW w:w="1843" w:type="dxa"/>
          </w:tcPr>
          <w:p>
            <w:pPr>
              <w:snapToGrid w:val="0"/>
              <w:spacing w:line="360" w:lineRule="auto"/>
              <w:jc w:val="both"/>
              <w:rPr>
                <w:rFonts w:ascii="Book Antiqua" w:hAnsi="Book Antiqua" w:cs="Cordia New"/>
              </w:rPr>
            </w:pPr>
            <w:r>
              <w:rPr>
                <w:rFonts w:ascii="Book Antiqua" w:hAnsi="Book Antiqua" w:cs="Cordia New"/>
              </w:rPr>
              <w:t>Hongkong</w:t>
            </w:r>
          </w:p>
        </w:tc>
        <w:tc>
          <w:tcPr>
            <w:tcW w:w="1276" w:type="dxa"/>
          </w:tcPr>
          <w:p>
            <w:pPr>
              <w:snapToGrid w:val="0"/>
              <w:spacing w:line="360" w:lineRule="auto"/>
              <w:jc w:val="both"/>
              <w:rPr>
                <w:rFonts w:ascii="Book Antiqua" w:hAnsi="Book Antiqua" w:cs="Cordia New"/>
              </w:rPr>
            </w:pPr>
            <w:r>
              <w:rPr>
                <w:rFonts w:ascii="Book Antiqua" w:hAnsi="Book Antiqua" w:cs="Cordia New"/>
              </w:rPr>
              <w:t>84</w:t>
            </w:r>
          </w:p>
        </w:tc>
        <w:tc>
          <w:tcPr>
            <w:tcW w:w="1984" w:type="dxa"/>
          </w:tcPr>
          <w:p>
            <w:pPr>
              <w:snapToGrid w:val="0"/>
              <w:spacing w:line="360" w:lineRule="auto"/>
              <w:jc w:val="both"/>
              <w:rPr>
                <w:rFonts w:ascii="Book Antiqua" w:hAnsi="Book Antiqua" w:cs="Cordia New"/>
              </w:rPr>
            </w:pPr>
            <w:r>
              <w:rPr>
                <w:rFonts w:ascii="Book Antiqua" w:hAnsi="Book Antiqua" w:cs="Cordia New"/>
              </w:rPr>
              <w:t>43</w:t>
            </w:r>
          </w:p>
        </w:tc>
        <w:tc>
          <w:tcPr>
            <w:tcW w:w="1560" w:type="dxa"/>
          </w:tcPr>
          <w:p>
            <w:pPr>
              <w:snapToGrid w:val="0"/>
              <w:spacing w:line="360" w:lineRule="auto"/>
              <w:jc w:val="both"/>
              <w:rPr>
                <w:rFonts w:ascii="Book Antiqua" w:hAnsi="Book Antiqua" w:cs="Cordia New"/>
              </w:rPr>
            </w:pPr>
          </w:p>
        </w:tc>
        <w:tc>
          <w:tcPr>
            <w:tcW w:w="1701" w:type="dxa"/>
            <w:noWrap/>
          </w:tcPr>
          <w:p>
            <w:pPr>
              <w:snapToGrid w:val="0"/>
              <w:spacing w:line="360" w:lineRule="auto"/>
              <w:jc w:val="both"/>
              <w:rPr>
                <w:rFonts w:ascii="Book Antiqua" w:hAnsi="Book Antiqua" w:cs="Cordia New"/>
              </w:rPr>
            </w:pPr>
            <w:r>
              <w:rPr>
                <w:rFonts w:ascii="Book Antiqua" w:hAnsi="Book Antiqua" w:cs="Cordia New"/>
              </w:rPr>
              <w:t>44</w:t>
            </w:r>
          </w:p>
        </w:tc>
        <w:tc>
          <w:tcPr>
            <w:tcW w:w="1559" w:type="dxa"/>
            <w:noWrap/>
          </w:tcPr>
          <w:p>
            <w:pPr>
              <w:snapToGrid w:val="0"/>
              <w:spacing w:line="360" w:lineRule="auto"/>
              <w:jc w:val="both"/>
              <w:rPr>
                <w:rFonts w:ascii="Book Antiqua" w:hAnsi="Book Antiqua" w:cs="Cordia New"/>
              </w:rPr>
            </w:pPr>
            <w:r>
              <w:rPr>
                <w:rFonts w:ascii="Book Antiqua" w:hAnsi="Book Antiqua" w:cs="Cordia New"/>
              </w:rPr>
              <w:t>14.3</w:t>
            </w:r>
          </w:p>
        </w:tc>
        <w:tc>
          <w:tcPr>
            <w:tcW w:w="1701" w:type="dxa"/>
          </w:tcPr>
          <w:p>
            <w:pPr>
              <w:snapToGrid w:val="0"/>
              <w:spacing w:line="360" w:lineRule="auto"/>
              <w:jc w:val="both"/>
              <w:rPr>
                <w:rFonts w:ascii="Book Antiqua" w:hAnsi="Book Antiqua" w:cs="Cordia New"/>
              </w:rPr>
            </w:pPr>
            <w:r>
              <w:rPr>
                <w:rFonts w:ascii="Book Antiqua" w:hAnsi="Book Antiqua" w:cs="Cordia New"/>
              </w:rPr>
              <w:t>NR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Chaung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{"citationID":"2WUxQtwM","properties":{"formattedCitation":"\\super [78]\\nosupersub{}","plainCitation":"[78]","noteIndex":0},"citationItems":[{"id":1106,"uris":["http://zotero.org/users/local/NyhnE8P8/items/TGPA8YZL"],"uri":["http://zotero.org/users/local/NyhnE8P8/items/TGPA8YZL"],"itemData":{"id":1106,"type":"article-journal","abstract":"BACKGROUND: The primary treatment endpoint for hepatitis B e antigen (HBeAg)-positive chronic hepatitis B is HBeAg seroconversion; however, data on the durability of response are inconsistent.\nGOALS: Our goal was to investigate the rate of recurrent viremia after HBeAg seroconversion and subsequent discontinuation of therapy.\nMETHODS: We retrospectively studied 88 consecutive Asian American patients who achieved HBeAg seroconversion [loss of HBeAg and development of antibody to HBeAg (anti-HBe)] among 458 HBeAg-positive patients who received oral antiviral therapy at 3 US clinics between March 1998 and November 2010. Recurrent viremia was defined as reappearance of detectable serum hepatitis B virus DNA (&gt;100 IU/mL) on 2 consecutive laboratory tests from previously undetectable levels.\nRESULTS: Antiviral medications used at the time of HBeAg seroconversion included: lamivudine (23%), adefovir (34%), entecavir (36%), tenofovir (4%), and combination therapy (3%). Antiviral therapy was continued after HBeAg seroconversion in 49 patients (group I) and discontinued in the other 39 patients after consolidation therapy [median=12 months (range, 1 to 55 mo)] (group II). No patients in group I experienced recurrent viremia, whereas 90% in group II did. Elevated alanine aminotransferase also occurred in 38% of group II patients [median peak alanine aminotransferase 249 IU/mL (range, 93 to 1070 IU/mL)].\nCONCLUSIONS: Despite consolidation therapy, almost all patients who discontinued therapy after achieving HBeAg seroconversion and complete viral suppression experienced recurrent viremia, and close to half also experienced biochemical flares. HBeAg seroconversion does not seem to be a durable treatment endpoint for many patients, and they should be monitored carefully for virologic relapse and biochemical flares if antiviral therapy is withdrawn.","container-title":"Journal of Clinical Gastroenterology","DOI":"10/f4jf59","ISSN":"1539-2031","issue":"10","journalAbbreviation":"J Clin Gastroenterol","language":"eng","note":"PMID: 22941429","page":"865-870","source":"PubMed","title":"High frequency of recurrent viremia after hepatitis B e antigen seroconversion and consolidation therapy","volume":"46","author":[{"family":"Chaung","given":"Kevin T."},{"family":"Ha","given":"Nghiem B."},{"family":"Trinh","given":"Huy N."},{"family":"Garcia","given":"Ruel T."},{"family":"Nguyen","given":"Huy A."},{"family":"Nguyen","given":"Khanh K."},{"family":"Garcia","given":"Gabriel"},{"family":"Ahmed","given":"Aijaz"},{"family":"Keeffe","given":"Emmet B."},{"family":"Nguyen","given":"Mindie H."}],"issued":{"date-parts":[["2012",12]]}}}],"schema":"https://github.com/citation-style-language/schema/raw/master/csl-citation.json"}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[78]</w:t>
            </w:r>
            <w:r>
              <w:rPr>
                <w:rFonts w:ascii="Book Antiqua" w:hAnsi="Book Antiqua" w:cs="Cordia New"/>
              </w:rPr>
              <w:fldChar w:fldCharType="end"/>
            </w:r>
            <w:r>
              <w:rPr>
                <w:rFonts w:ascii="Book Antiqua" w:hAnsi="Book Antiqua" w:cs="Cordia New"/>
              </w:rPr>
              <w:t>, 2012</w:t>
            </w:r>
          </w:p>
        </w:tc>
        <w:tc>
          <w:tcPr>
            <w:tcW w:w="1843" w:type="dxa"/>
          </w:tcPr>
          <w:p>
            <w:pPr>
              <w:snapToGrid w:val="0"/>
              <w:spacing w:line="360" w:lineRule="auto"/>
              <w:jc w:val="both"/>
              <w:rPr>
                <w:rFonts w:ascii="Book Antiqua" w:hAnsi="Book Antiqua" w:cs="Cordia New"/>
                <w:lang w:eastAsia="zh-CN"/>
              </w:rPr>
            </w:pPr>
            <w:r>
              <w:rPr>
                <w:rFonts w:ascii="Book Antiqua" w:hAnsi="Book Antiqua" w:cs="Cordia New"/>
              </w:rPr>
              <w:t>U</w:t>
            </w:r>
            <w:r>
              <w:rPr>
                <w:rFonts w:ascii="Book Antiqua" w:hAnsi="Book Antiqua" w:cs="Cordia New"/>
                <w:lang w:eastAsia="zh-CN"/>
              </w:rPr>
              <w:t>nited States</w:t>
            </w:r>
          </w:p>
        </w:tc>
        <w:tc>
          <w:tcPr>
            <w:tcW w:w="1276" w:type="dxa"/>
          </w:tcPr>
          <w:p>
            <w:pPr>
              <w:snapToGrid w:val="0"/>
              <w:spacing w:line="360" w:lineRule="auto"/>
              <w:jc w:val="both"/>
              <w:rPr>
                <w:rFonts w:ascii="Book Antiqua" w:hAnsi="Book Antiqua" w:cs="Cordia New"/>
              </w:rPr>
            </w:pPr>
            <w:r>
              <w:rPr>
                <w:rFonts w:ascii="Book Antiqua" w:hAnsi="Book Antiqua" w:cs="Cordia New"/>
              </w:rPr>
              <w:t>39</w:t>
            </w:r>
          </w:p>
        </w:tc>
        <w:tc>
          <w:tcPr>
            <w:tcW w:w="1984" w:type="dxa"/>
          </w:tcPr>
          <w:p>
            <w:pPr>
              <w:snapToGrid w:val="0"/>
              <w:spacing w:line="360" w:lineRule="auto"/>
              <w:jc w:val="both"/>
              <w:rPr>
                <w:rFonts w:ascii="Book Antiqua" w:hAnsi="Book Antiqua" w:cs="Cordia New"/>
              </w:rPr>
            </w:pPr>
            <w:r>
              <w:rPr>
                <w:rFonts w:ascii="Book Antiqua" w:hAnsi="Book Antiqua" w:cs="Cordia New"/>
              </w:rPr>
              <w:t>0</w:t>
            </w:r>
          </w:p>
        </w:tc>
        <w:tc>
          <w:tcPr>
            <w:tcW w:w="1560" w:type="dxa"/>
          </w:tcPr>
          <w:p>
            <w:pPr>
              <w:snapToGrid w:val="0"/>
              <w:spacing w:line="360" w:lineRule="auto"/>
              <w:jc w:val="both"/>
              <w:rPr>
                <w:rFonts w:ascii="Book Antiqua" w:hAnsi="Book Antiqua" w:cs="Cordia New"/>
              </w:rPr>
            </w:pPr>
            <w:r>
              <w:rPr>
                <w:rFonts w:ascii="Book Antiqua" w:hAnsi="Book Antiqua" w:cs="Cordia New"/>
              </w:rPr>
              <w:t>14</w:t>
            </w:r>
          </w:p>
        </w:tc>
        <w:tc>
          <w:tcPr>
            <w:tcW w:w="1701" w:type="dxa"/>
            <w:noWrap/>
          </w:tcPr>
          <w:p>
            <w:pPr>
              <w:snapToGrid w:val="0"/>
              <w:spacing w:line="360" w:lineRule="auto"/>
              <w:jc w:val="both"/>
              <w:rPr>
                <w:rFonts w:ascii="Book Antiqua" w:hAnsi="Book Antiqua" w:cs="Cordia New"/>
              </w:rPr>
            </w:pPr>
            <w:r>
              <w:rPr>
                <w:rFonts w:ascii="Book Antiqua" w:hAnsi="Book Antiqua" w:cs="Cordia New"/>
              </w:rPr>
              <w:t>89.7</w:t>
            </w:r>
          </w:p>
        </w:tc>
        <w:tc>
          <w:tcPr>
            <w:tcW w:w="1559" w:type="dxa"/>
            <w:noWrap/>
          </w:tcPr>
          <w:p>
            <w:pPr>
              <w:snapToGrid w:val="0"/>
              <w:spacing w:line="360" w:lineRule="auto"/>
              <w:jc w:val="both"/>
              <w:rPr>
                <w:rFonts w:ascii="Book Antiqua" w:hAnsi="Book Antiqua" w:cs="Cordia New"/>
              </w:rPr>
            </w:pPr>
            <w:r>
              <w:rPr>
                <w:rFonts w:ascii="Book Antiqua" w:hAnsi="Book Antiqua" w:cs="Cordia New"/>
              </w:rPr>
              <w:t>38.5</w:t>
            </w:r>
          </w:p>
        </w:tc>
        <w:tc>
          <w:tcPr>
            <w:tcW w:w="1701" w:type="dxa"/>
          </w:tcPr>
          <w:p>
            <w:pPr>
              <w:snapToGrid w:val="0"/>
              <w:spacing w:line="360" w:lineRule="auto"/>
              <w:jc w:val="both"/>
              <w:rPr>
                <w:rFonts w:ascii="Book Antiqua" w:hAnsi="Book Antiqua" w:cs="Cordia New"/>
              </w:rPr>
            </w:pPr>
            <w:r>
              <w:rPr>
                <w:rFonts w:ascii="Book Antiqua" w:hAnsi="Book Antiqua" w:cs="Cordia New"/>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Hadziyannis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{"citationID":"QndDfNWa","properties":{"formattedCitation":"\\super [15]\\nosupersub{}","plainCitation":"[15]","noteIndex":0},"citationItems":[{"id":610,"uris":["http://zotero.org/users/local/NyhnE8P8/items/GUQYWAFY"],"uri":["http://zotero.org/users/local/NyhnE8P8/items/GUQYWAFY"],"itemData":{"id":610,"type":"article-journal","abstract":"&lt;h3&gt;Background &amp; Aims&lt;/h3&gt;&lt;p&gt;Little is known about the biochemical and virological effects of stopping long-term nucleos(t)ide analogue therapy for hepatitis B e antigen (HBeAg)-negative patients with chronic hepatitis B (CHB).&lt;/p&gt;&lt;h3&gt;Methods&lt;/h3&gt;&lt;p&gt;We performed a cohort observational study, following 33 HBeAg-negative patients with CHB, undetectable serum HBV DNA, and normal levels of aminotransferases after long-term (4 or 5 years) treatment with adefovir dipivoxil (ADV). All patients were followed for 5.5 years; follow-up visits included measurements of serum alanine aminotransferase (ALT), hepatitis B surface antigen (HBsAg), and HBV DNA monthly for the first 6 months and every 3–6 months thereafter. Various factors were measured at baseline, the end of treatment (EOT), and following treatment to identify those associated with clearance of HBsAg.&lt;/p&gt;&lt;h3&gt;Results&lt;/h3&gt;&lt;p&gt;During the first few months of the postdiscontinuation period, all patients experienced virological and 25 (76%) had biochemical relapse. During the follow-up period, 18 patients (55%) who had discontinued antiviral therapy achieved sustained response (HBV DNA level &lt;2000 IU/L, persistently normal level of ALT). Among these, 13 (72%) cleared HBsAg. Fifteen patients (45%) with virological and/or biochemical relapse were re-treated with oral antiviral agents (11 during the first 18 months and 4 after the third year), without evidence of liver decompensation; only 1 lost HBsAg (6%). Higher pretreatment and EOT levels of ALT, no previous treatment with interferon, and lower level of HBsAg at the EOT were significantly associated with HBsAg clearance based on multivariate analysis.&lt;/p&gt;&lt;h3&gt;Conclusions&lt;/h3&gt;&lt;p&gt;In HBeAg-negative patients with CHB, it is safe and effective to discontinue ADV therapy after 4 or 5 years; 55% of patients have sustained responses, and 39% of patients lose HBsAg.&lt;/p&gt;","container-title":"Gastroenterology","DOI":"10/f2kpkh","ISSN":"0016-5085, 1528-0012","issue":"3","journalAbbreviation":"Gastroenterology","language":"English","note":"publisher: Elsevier\nPMID: 22659218","page":"629-636.e1","source":"www.gastrojournal.org","title":"Sustained Responses and Loss of HBsAg in HBeAg-Negative Patients With Chronic Hepatitis B Who Stop Long-Term Treatment With Adefovir","volume":"143","author":[{"family":"Hadziyannis","given":"Stephanos J."},{"family":"Sevastianos","given":"Vassilios"},{"family":"Rapti","given":"Irene"},{"family":"Vassilopoulos","given":"Dimitrios"},{"family":"Hadziyannis","given":"Emilia"}],"issued":{"date-parts":[["2012",9,1]]}}}],"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[15]</w:t>
            </w:r>
            <w:r>
              <w:rPr>
                <w:rFonts w:ascii="Book Antiqua" w:hAnsi="Book Antiqua" w:cs="Cordia New"/>
              </w:rPr>
              <w:fldChar w:fldCharType="end"/>
            </w:r>
            <w:r>
              <w:rPr>
                <w:rFonts w:ascii="Book Antiqua" w:hAnsi="Book Antiqua" w:cs="Cordia New"/>
              </w:rPr>
              <w:t>, 2012</w:t>
            </w:r>
          </w:p>
        </w:tc>
        <w:tc>
          <w:tcPr>
            <w:tcW w:w="1843" w:type="dxa"/>
          </w:tcPr>
          <w:p>
            <w:pPr>
              <w:snapToGrid w:val="0"/>
              <w:spacing w:line="360" w:lineRule="auto"/>
              <w:jc w:val="both"/>
              <w:rPr>
                <w:rFonts w:ascii="Book Antiqua" w:hAnsi="Book Antiqua" w:cs="Cordia New"/>
              </w:rPr>
            </w:pPr>
            <w:r>
              <w:rPr>
                <w:rFonts w:ascii="Book Antiqua" w:hAnsi="Book Antiqua" w:cs="Cordia New"/>
              </w:rPr>
              <w:t>Greece</w:t>
            </w:r>
          </w:p>
        </w:tc>
        <w:tc>
          <w:tcPr>
            <w:tcW w:w="1276" w:type="dxa"/>
          </w:tcPr>
          <w:p>
            <w:pPr>
              <w:snapToGrid w:val="0"/>
              <w:spacing w:line="360" w:lineRule="auto"/>
              <w:jc w:val="both"/>
              <w:rPr>
                <w:rFonts w:ascii="Book Antiqua" w:hAnsi="Book Antiqua" w:cs="Cordia New"/>
              </w:rPr>
            </w:pPr>
            <w:r>
              <w:rPr>
                <w:rFonts w:ascii="Book Antiqua" w:hAnsi="Book Antiqua" w:cs="Cordia New"/>
              </w:rPr>
              <w:t>33</w:t>
            </w:r>
          </w:p>
        </w:tc>
        <w:tc>
          <w:tcPr>
            <w:tcW w:w="1984" w:type="dxa"/>
          </w:tcPr>
          <w:p>
            <w:pPr>
              <w:snapToGrid w:val="0"/>
              <w:spacing w:line="360" w:lineRule="auto"/>
              <w:jc w:val="both"/>
              <w:rPr>
                <w:rFonts w:ascii="Book Antiqua" w:hAnsi="Book Antiqua" w:cs="Cordia New"/>
              </w:rPr>
            </w:pPr>
            <w:r>
              <w:rPr>
                <w:rFonts w:ascii="Book Antiqua" w:hAnsi="Book Antiqua" w:cs="Cordia New"/>
              </w:rPr>
              <w:t>33</w:t>
            </w:r>
          </w:p>
        </w:tc>
        <w:tc>
          <w:tcPr>
            <w:tcW w:w="1560" w:type="dxa"/>
          </w:tcPr>
          <w:p>
            <w:pPr>
              <w:snapToGrid w:val="0"/>
              <w:spacing w:line="360" w:lineRule="auto"/>
              <w:jc w:val="both"/>
              <w:rPr>
                <w:rFonts w:ascii="Book Antiqua" w:hAnsi="Book Antiqua" w:cs="Cordia New"/>
              </w:rPr>
            </w:pPr>
            <w:r>
              <w:rPr>
                <w:rFonts w:ascii="Book Antiqua" w:hAnsi="Book Antiqua" w:cs="Cordia New"/>
              </w:rPr>
              <w:t>69</w:t>
            </w:r>
          </w:p>
        </w:tc>
        <w:tc>
          <w:tcPr>
            <w:tcW w:w="1701" w:type="dxa"/>
            <w:noWrap/>
          </w:tcPr>
          <w:p>
            <w:pPr>
              <w:snapToGrid w:val="0"/>
              <w:spacing w:line="360" w:lineRule="auto"/>
              <w:jc w:val="both"/>
              <w:rPr>
                <w:rFonts w:ascii="Book Antiqua" w:hAnsi="Book Antiqua" w:cs="Cordia New"/>
              </w:rPr>
            </w:pPr>
            <w:r>
              <w:rPr>
                <w:rFonts w:ascii="Book Antiqua" w:hAnsi="Book Antiqua" w:cs="Cordia New"/>
              </w:rPr>
              <w:t>45.4</w:t>
            </w:r>
          </w:p>
        </w:tc>
        <w:tc>
          <w:tcPr>
            <w:tcW w:w="1559" w:type="dxa"/>
            <w:noWrap/>
          </w:tcPr>
          <w:p>
            <w:pPr>
              <w:snapToGrid w:val="0"/>
              <w:spacing w:line="360" w:lineRule="auto"/>
              <w:jc w:val="both"/>
              <w:rPr>
                <w:rFonts w:ascii="Book Antiqua" w:hAnsi="Book Antiqua" w:cs="Cordia New"/>
              </w:rPr>
            </w:pPr>
            <w:r>
              <w:rPr>
                <w:rFonts w:ascii="Book Antiqua" w:hAnsi="Book Antiqua" w:cs="Cordia New"/>
              </w:rPr>
              <w:t>45.4</w:t>
            </w:r>
          </w:p>
        </w:tc>
        <w:tc>
          <w:tcPr>
            <w:tcW w:w="1701" w:type="dxa"/>
          </w:tcPr>
          <w:p>
            <w:pPr>
              <w:snapToGrid w:val="0"/>
              <w:spacing w:line="360" w:lineRule="auto"/>
              <w:jc w:val="both"/>
              <w:rPr>
                <w:rFonts w:ascii="Book Antiqua" w:hAnsi="Book Antiqua" w:cs="Cordia New"/>
              </w:rPr>
            </w:pPr>
            <w:r>
              <w:rPr>
                <w:rFonts w:ascii="Book Antiqua" w:hAnsi="Book Antiqua" w:cs="Cordia New"/>
              </w:rPr>
              <w:t>13/33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Ha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{"citationID":"g1WgPL5g","properties":{"formattedCitation":"\\super [79]\\nosupersub{}","plainCitation":"[79]","noteIndex":0},"citationItems":[{"id":1108,"uris":["http://zotero.org/users/local/NyhnE8P8/items/TQU8IT3Q"],"uri":["http://zotero.org/users/local/NyhnE8P8/items/TQU8IT3Q"],"itemData":{"id":1108,"type":"article-journal","abstract":"Adefovir is usually applied for therapy of chronic hepatitis B (CHB), but its effectiveness after cessation is still unknown. This study was to evaluate the effectiveness of adefovir treatment with strict cessation criteria in hepatitis B e antigen (HBeAg)-negative patients and to identify potentially important factors. One hundred forty-five HBeAg-negative CHB patients who had received adefovir treatment for at least 24 months and for whom serum hepatitis B virus (HBV) DNA had remained undetectable for at least 18 months before cessation were included. They were followed up monthly during the first four months and at 3-month or 6-month intervals thereafter. Patients with ≥10(4) copies of HBV DNA per mL were defined as relapsed. In total, 95 patients relapsed within the follow-up time, and more than 93% relapsed within 12 months after adefovir cessation. Cumulative relapse rates at months 6, 12, 24, 36, 48 and 60 were 53.8%, 61.4%, 65.5%, 65.5%, 65.5% and 65.5%, respectively. Age was the only factor associated with relapse, with lower relapse rates in younger patients shown by Cox regression analysis. HBsAg seroconversion occurred in 12 patients, and none of them relapsed during follow-up. The effectiveness of adefovir therapy does not persist in HBeAg-negative CHB patients, even when strict cessation criteria are applied, except for patients aged ≤ 25 years. HBsAg seroconversion is the ideal endpoint of adefovir treatment.","container-title":"Archives of Virology","DOI":"10/c9ksmh","ISSN":"1432-8798","issue":"2","journalAbbreviation":"Arch Virol","language":"eng","note":"PMID: 22080196","page":"285-290","source":"PubMed","title":"A prospective clinical study in hepatitis B e antigen-negative chronic hepatitis B patients with stringent cessation criteria for adefovir","volume":"157","author":[{"family":"Ha","given":"Minghao"},{"family":"Zhang","given":"Guotong"},{"family":"Diao","given":"Shu"},{"family":"Lin","given":"Mingfang"},{"family":"Sun","given":"Liping"},{"family":"She","given":"Huiyuan"},{"family":"Kuan","given":"Chenbao"},{"family":"Shen","given":"Lihui"},{"family":"Huang","given":"Chunhong"},{"family":"Shen","given":"Wenjuan"},{"family":"Huang","given":"Zhongming"}],"issued":{"date-parts":[["2012",2]]}}}],"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[79]</w:t>
            </w:r>
            <w:r>
              <w:rPr>
                <w:rFonts w:ascii="Book Antiqua" w:hAnsi="Book Antiqua" w:cs="Cordia New"/>
              </w:rPr>
              <w:fldChar w:fldCharType="end"/>
            </w:r>
            <w:r>
              <w:rPr>
                <w:rFonts w:ascii="Book Antiqua" w:hAnsi="Book Antiqua" w:cs="Cordia New"/>
              </w:rPr>
              <w:t>, 2012</w:t>
            </w:r>
          </w:p>
        </w:tc>
        <w:tc>
          <w:tcPr>
            <w:tcW w:w="1843" w:type="dxa"/>
          </w:tcPr>
          <w:p>
            <w:pPr>
              <w:snapToGrid w:val="0"/>
              <w:spacing w:line="360" w:lineRule="auto"/>
              <w:jc w:val="both"/>
              <w:rPr>
                <w:rFonts w:ascii="Book Antiqua" w:hAnsi="Book Antiqua" w:cs="Cordia New"/>
              </w:rPr>
            </w:pPr>
            <w:r>
              <w:rPr>
                <w:rFonts w:ascii="Book Antiqua" w:hAnsi="Book Antiqua" w:cs="Cordia New"/>
              </w:rPr>
              <w:t>China</w:t>
            </w:r>
          </w:p>
        </w:tc>
        <w:tc>
          <w:tcPr>
            <w:tcW w:w="1276" w:type="dxa"/>
          </w:tcPr>
          <w:p>
            <w:pPr>
              <w:snapToGrid w:val="0"/>
              <w:spacing w:line="360" w:lineRule="auto"/>
              <w:jc w:val="both"/>
              <w:rPr>
                <w:rFonts w:ascii="Book Antiqua" w:hAnsi="Book Antiqua" w:cs="Cordia New"/>
              </w:rPr>
            </w:pPr>
            <w:r>
              <w:rPr>
                <w:rFonts w:ascii="Book Antiqua" w:hAnsi="Book Antiqua" w:cs="Cordia New"/>
              </w:rPr>
              <w:t>145</w:t>
            </w:r>
          </w:p>
        </w:tc>
        <w:tc>
          <w:tcPr>
            <w:tcW w:w="1984" w:type="dxa"/>
          </w:tcPr>
          <w:p>
            <w:pPr>
              <w:snapToGrid w:val="0"/>
              <w:spacing w:line="360" w:lineRule="auto"/>
              <w:jc w:val="both"/>
              <w:rPr>
                <w:rFonts w:ascii="Book Antiqua" w:hAnsi="Book Antiqua" w:cs="Cordia New"/>
              </w:rPr>
            </w:pPr>
            <w:r>
              <w:rPr>
                <w:rFonts w:ascii="Book Antiqua" w:hAnsi="Book Antiqua" w:cs="Cordia New"/>
              </w:rPr>
              <w:t>145</w:t>
            </w:r>
          </w:p>
        </w:tc>
        <w:tc>
          <w:tcPr>
            <w:tcW w:w="1560" w:type="dxa"/>
          </w:tcPr>
          <w:p>
            <w:pPr>
              <w:snapToGrid w:val="0"/>
              <w:spacing w:line="360" w:lineRule="auto"/>
              <w:jc w:val="both"/>
              <w:rPr>
                <w:rFonts w:ascii="Book Antiqua" w:hAnsi="Book Antiqua" w:cs="Cordia New"/>
              </w:rPr>
            </w:pPr>
            <w:r>
              <w:rPr>
                <w:rFonts w:ascii="Book Antiqua" w:hAnsi="Book Antiqua" w:cs="Cordia New"/>
              </w:rPr>
              <w:t>16</w:t>
            </w:r>
          </w:p>
        </w:tc>
        <w:tc>
          <w:tcPr>
            <w:tcW w:w="1701" w:type="dxa"/>
            <w:noWrap/>
          </w:tcPr>
          <w:p>
            <w:pPr>
              <w:snapToGrid w:val="0"/>
              <w:spacing w:line="360" w:lineRule="auto"/>
              <w:jc w:val="both"/>
              <w:rPr>
                <w:rFonts w:ascii="Book Antiqua" w:hAnsi="Book Antiqua" w:cs="Cordia New"/>
              </w:rPr>
            </w:pPr>
            <w:r>
              <w:rPr>
                <w:rFonts w:ascii="Book Antiqua" w:hAnsi="Book Antiqua" w:cs="Cordia New"/>
              </w:rPr>
              <w:t>65.5</w:t>
            </w:r>
          </w:p>
        </w:tc>
        <w:tc>
          <w:tcPr>
            <w:tcW w:w="1559" w:type="dxa"/>
            <w:noWrap/>
          </w:tcPr>
          <w:p>
            <w:pPr>
              <w:snapToGrid w:val="0"/>
              <w:spacing w:line="360" w:lineRule="auto"/>
              <w:jc w:val="both"/>
              <w:rPr>
                <w:rFonts w:ascii="Book Antiqua" w:hAnsi="Book Antiqua" w:cs="Cordia New"/>
              </w:rPr>
            </w:pPr>
            <w:r>
              <w:rPr>
                <w:rFonts w:ascii="Book Antiqua" w:hAnsi="Book Antiqua" w:cs="Cordia New"/>
              </w:rPr>
              <w:t>64.1</w:t>
            </w:r>
          </w:p>
        </w:tc>
        <w:tc>
          <w:tcPr>
            <w:tcW w:w="1701" w:type="dxa"/>
          </w:tcPr>
          <w:p>
            <w:pPr>
              <w:snapToGrid w:val="0"/>
              <w:spacing w:line="360" w:lineRule="auto"/>
              <w:jc w:val="both"/>
              <w:rPr>
                <w:rFonts w:ascii="Book Antiqua" w:hAnsi="Book Antiqua" w:cs="Cordia New"/>
              </w:rPr>
            </w:pPr>
            <w:r>
              <w:rPr>
                <w:rFonts w:ascii="Book Antiqua" w:hAnsi="Book Antiqua" w:cs="Cordia New"/>
              </w:rPr>
              <w:t>NR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Song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{"citationID":"Xw792pfd","properties":{"formattedCitation":"\\super [80]\\nosupersub{}","plainCitation":"[80]","noteIndex":0},"citationItems":[{"id":1110,"uris":["http://zotero.org/users/local/NyhnE8P8/items/STN34ZEJ"],"uri":["http://zotero.org/users/local/NyhnE8P8/items/STN34ZEJ"],"itemData":{"id":1110,"type":"article-journal","abstract":"AIM: To evaluate the durability in hepatitis B e antigen (HBeAg) positive chronic hepatitis B patients who discontinued antiviral treatment., METHODS: A total of 48 HBeAg positive chronic hepatitis B patients who were administered nucleoside analogues and maintained virological response for ≥ 6 mo [hepatitis B virus (HBV) DNA &lt; 300 copies/mL and HBeAg seroconversion] before cessation of treatment were enrolled between February 2007 and January 2010. The criteria for the cessation of the antiviral treatment were defined as follows: (1) achievement of virological response; and (2) duration of consolidation therapy (≥ 6 mo). After treatment cessation, the patients were followed up at 3-6 mo intervals. The primary endpoint was serologic and virologic recurrence rates after withdrawal of antiviral treatment. Serologic recurrence was defined as reappearance of HBeAg positivity after HBeAg seroconversion. Virologic recurrence was defined as an increase in HBV-DNA level &gt; 104 copies/mL after HBeAg seroconversion with previously undetectable HBV-DNA level., RESULTS: During the median follow-up period of 18.2 mo (range: 5.1-47.5 mo) after cessation of antiviral treatment, the cumulative serological recurrence rate was 15 % at 12 mo. The median duration between the cessation of antiviral treatment and serologic recurrence was 7.2 mo (range: 1.2-10.9 mo). Of the 48 patients with HBeAg positive chronic hepatitis, 20 (41.6%) showed virological recurrence. The cumulative virologic recurrence rates at 12 mo after discontinuing the antiviral agent were 41%. The median duration between off-treatment and virologic recurrence was 7.6 mo (range: 4.3-27.1 mo). The mean age of the virological recurrence group was older than that of the non-recurrence group (46.7 ± 12.1 years vs 38.8 ± 12.7 years, respectively; P = 0.022). Age (&gt; 40 years) and the duration of consolidation treatment (≥ 15 mo) were significant predictive factors for offtreatment durability in the multivariate analysis [P = 0.049, relative risk (RR) 0.31, 95% CI (0.096-0.998) and P = 0.005, RR 11.29, 95% CI (2.054-65.12), respectively]. Patients with age (≤ 40 years) who received consolidation treatment (≥ 15 mo) significantly showed durability in HBeAg positive chronic hepatitis B patients (P = 0.014). These results suggest that additional treatment for more than 15 mo after HBeAg seroconversion in patients who are ≤ 40 years old may be beneficial in providing a sustained virological response., CONCLUSION: Our data suggest that HBeAg seroconversion is an imperfect end point in antiviral treatment. Long-term consolidation treatment (≥ 15 mo) in younger patients is important for producing better prognosis in HBeAg positive chronic hepatitis B.","container-title":"World Journal of Gastroenterology : WJG","DOI":"10/f4fn6r","ISSN":"1007-9327","issue":"43","journalAbbreviation":"World J Gastroenterol","note":"PMID: 23180949\nPMCID: PMC3501777","page":"6277-6283","source":"PubMed Central","title":"Durability of viral response after off-treatment in HBeAg positive chronic hepatitis B","volume":"18","author":[{"family":"Song","given":"Myeong Jun"},{"family":"Song","given":"Do Seon"},{"family":"Kim","given":"Hee Yeon"},{"family":"Yoo","given":"Sun Hong"},{"family":"Bae","given":"Si Hyun"},{"family":"Choi","given":"Jong Young"},{"family":"Yoon","given":"Seung Kew"},{"family":"Paik","given":"Yong-Han"},{"family":"Lee","given":"June Sung"},{"family":"Lee","given":"Hyun Woong"},{"family":"Kim","given":"Hyung Joon"}],"issued":{"date-parts":[["2012",11,21]]}}}],"schema":"https://github.com/citation-style-language/schema/raw/master/csl-citation.json"}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[80]</w:t>
            </w:r>
            <w:r>
              <w:rPr>
                <w:rFonts w:ascii="Book Antiqua" w:hAnsi="Book Antiqua" w:cs="Cordia New"/>
              </w:rPr>
              <w:fldChar w:fldCharType="end"/>
            </w:r>
            <w:r>
              <w:rPr>
                <w:rFonts w:ascii="Book Antiqua" w:hAnsi="Book Antiqua" w:cs="Cordia New"/>
              </w:rPr>
              <w:t>, 2012</w:t>
            </w:r>
          </w:p>
        </w:tc>
        <w:tc>
          <w:tcPr>
            <w:tcW w:w="1843" w:type="dxa"/>
          </w:tcPr>
          <w:p>
            <w:pPr>
              <w:snapToGrid w:val="0"/>
              <w:spacing w:line="360" w:lineRule="auto"/>
              <w:jc w:val="both"/>
              <w:rPr>
                <w:rFonts w:ascii="Book Antiqua" w:hAnsi="Book Antiqua" w:cs="Cordia New"/>
              </w:rPr>
            </w:pPr>
            <w:r>
              <w:rPr>
                <w:rFonts w:ascii="Book Antiqua" w:hAnsi="Book Antiqua" w:cs="Cordia New"/>
              </w:rPr>
              <w:t>South Korea</w:t>
            </w:r>
          </w:p>
        </w:tc>
        <w:tc>
          <w:tcPr>
            <w:tcW w:w="1276" w:type="dxa"/>
          </w:tcPr>
          <w:p>
            <w:pPr>
              <w:snapToGrid w:val="0"/>
              <w:spacing w:line="360" w:lineRule="auto"/>
              <w:jc w:val="both"/>
              <w:rPr>
                <w:rFonts w:ascii="Book Antiqua" w:hAnsi="Book Antiqua" w:cs="Cordia New"/>
              </w:rPr>
            </w:pPr>
            <w:r>
              <w:rPr>
                <w:rFonts w:ascii="Book Antiqua" w:hAnsi="Book Antiqua" w:cs="Cordia New"/>
              </w:rPr>
              <w:t>48</w:t>
            </w:r>
          </w:p>
        </w:tc>
        <w:tc>
          <w:tcPr>
            <w:tcW w:w="1984" w:type="dxa"/>
          </w:tcPr>
          <w:p>
            <w:pPr>
              <w:snapToGrid w:val="0"/>
              <w:spacing w:line="360" w:lineRule="auto"/>
              <w:jc w:val="both"/>
              <w:rPr>
                <w:rFonts w:ascii="Book Antiqua" w:hAnsi="Book Antiqua" w:cs="Cordia New"/>
              </w:rPr>
            </w:pPr>
            <w:r>
              <w:rPr>
                <w:rFonts w:ascii="Book Antiqua" w:hAnsi="Book Antiqua" w:cs="Cordia New"/>
              </w:rPr>
              <w:t>0</w:t>
            </w:r>
          </w:p>
        </w:tc>
        <w:tc>
          <w:tcPr>
            <w:tcW w:w="1560" w:type="dxa"/>
          </w:tcPr>
          <w:p>
            <w:pPr>
              <w:snapToGrid w:val="0"/>
              <w:spacing w:line="360" w:lineRule="auto"/>
              <w:jc w:val="both"/>
              <w:rPr>
                <w:rFonts w:ascii="Book Antiqua" w:hAnsi="Book Antiqua" w:cs="Cordia New"/>
              </w:rPr>
            </w:pPr>
            <w:r>
              <w:rPr>
                <w:rFonts w:ascii="Book Antiqua" w:hAnsi="Book Antiqua" w:cs="Cordia New"/>
              </w:rPr>
              <w:t>18</w:t>
            </w:r>
          </w:p>
        </w:tc>
        <w:tc>
          <w:tcPr>
            <w:tcW w:w="1701" w:type="dxa"/>
            <w:noWrap/>
          </w:tcPr>
          <w:p>
            <w:pPr>
              <w:snapToGrid w:val="0"/>
              <w:spacing w:line="360" w:lineRule="auto"/>
              <w:jc w:val="both"/>
              <w:rPr>
                <w:rFonts w:ascii="Book Antiqua" w:hAnsi="Book Antiqua" w:cs="Cordia New"/>
              </w:rPr>
            </w:pPr>
            <w:r>
              <w:rPr>
                <w:rFonts w:ascii="Book Antiqua" w:hAnsi="Book Antiqua" w:cs="Cordia New"/>
              </w:rPr>
              <w:t>41.6</w:t>
            </w:r>
          </w:p>
        </w:tc>
        <w:tc>
          <w:tcPr>
            <w:tcW w:w="1559" w:type="dxa"/>
            <w:noWrap/>
          </w:tcPr>
          <w:p>
            <w:pPr>
              <w:snapToGrid w:val="0"/>
              <w:spacing w:line="360" w:lineRule="auto"/>
              <w:jc w:val="both"/>
              <w:rPr>
                <w:rFonts w:ascii="Book Antiqua" w:hAnsi="Book Antiqua" w:cs="Cordia New"/>
              </w:rPr>
            </w:pPr>
            <w:r>
              <w:rPr>
                <w:rFonts w:ascii="Book Antiqua" w:hAnsi="Book Antiqua" w:cs="Cordia New"/>
              </w:rPr>
              <w:t>NR</w:t>
            </w:r>
          </w:p>
        </w:tc>
        <w:tc>
          <w:tcPr>
            <w:tcW w:w="1701" w:type="dxa"/>
          </w:tcPr>
          <w:p>
            <w:pPr>
              <w:snapToGrid w:val="0"/>
              <w:spacing w:line="360" w:lineRule="auto"/>
              <w:jc w:val="both"/>
              <w:rPr>
                <w:rFonts w:ascii="Book Antiqua" w:hAnsi="Book Antiqua" w:cs="Cordia New"/>
              </w:rPr>
            </w:pPr>
            <w:r>
              <w:rPr>
                <w:rFonts w:ascii="Book Antiqua" w:hAnsi="Book Antiqua" w:cs="Cordia New"/>
              </w:rPr>
              <w:t>NR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He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{"citationID":"9ZcHOIep","properties":{"formattedCitation":"\\super [81]\\nosupersub{}","plainCitation":"[81]","noteIndex":0},"citationItems":[{"id":1113,"uris":["http://zotero.org/users/local/NyhnE8P8/items/4AZLJ626"],"uri":["http://zotero.org/users/local/NyhnE8P8/items/4AZLJ626"],"itemData":{"id":1113,"type":"article-journal","abstract":"Hepatitis B e Antigen (HBeAg)-negative chronic hepatitis B (CHB) patients have an active liver disease with a high risk of progression to decompensated cirrhosis and hepatocellular carcinoma. The management strategy for HBeAg-negative CHB patients treated with nucleos(t)ide analogues (NUCs) is a topic of concern. To observe the outcomes for this population after NUCs withdrawal, HBeAg-negative CHB patients with loss of hepatitis B surface antigen (HBsAg) or sustained undetectable HBV DNA levels who had discontinued NUCs therapy were included in the study.","container-title":"BMC Infectious Diseases","DOI":"10/f5jq3d","ISSN":"1471-2334","issue":"1","journalAbbreviation":"BMC Infectious Diseases","page":"458","source":"BioMed Central","title":"Long-term outcomes after nucleos(t)ide analogues discontinuation in chronic hepatitis B patients with HBeAg-negative","volume":"13","author":[{"family":"He","given":"Dengming"},{"family":"Guo","given":"Shimin"},{"family":"Chen","given":"Wen"},{"family":"Chen","given":"Xianli"},{"family":"Yan","given":"Guohua"},{"family":"Wang","given":"Jie"},{"family":"Li","given":"Maoshi"},{"family":"Zhu","given":"Peng"},{"family":"Huang","given":"Hongfei"},{"family":"Wang","given":"Yuming"}],"issued":{"date-parts":[["2013",10,3]]}}}],"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[81]</w:t>
            </w:r>
            <w:r>
              <w:rPr>
                <w:rFonts w:ascii="Book Antiqua" w:hAnsi="Book Antiqua" w:cs="Cordia New"/>
              </w:rPr>
              <w:fldChar w:fldCharType="end"/>
            </w:r>
            <w:r>
              <w:rPr>
                <w:rFonts w:ascii="Book Antiqua" w:hAnsi="Book Antiqua" w:cs="Cordia New"/>
              </w:rPr>
              <w:t>, 2013</w:t>
            </w:r>
          </w:p>
        </w:tc>
        <w:tc>
          <w:tcPr>
            <w:tcW w:w="1843" w:type="dxa"/>
          </w:tcPr>
          <w:p>
            <w:pPr>
              <w:snapToGrid w:val="0"/>
              <w:spacing w:line="360" w:lineRule="auto"/>
              <w:jc w:val="both"/>
              <w:rPr>
                <w:rFonts w:ascii="Book Antiqua" w:hAnsi="Book Antiqua" w:cs="Cordia New"/>
              </w:rPr>
            </w:pPr>
            <w:r>
              <w:rPr>
                <w:rFonts w:ascii="Book Antiqua" w:hAnsi="Book Antiqua" w:cs="Cordia New"/>
              </w:rPr>
              <w:t>China</w:t>
            </w:r>
          </w:p>
        </w:tc>
        <w:tc>
          <w:tcPr>
            <w:tcW w:w="1276" w:type="dxa"/>
          </w:tcPr>
          <w:p>
            <w:pPr>
              <w:snapToGrid w:val="0"/>
              <w:spacing w:line="360" w:lineRule="auto"/>
              <w:jc w:val="both"/>
              <w:rPr>
                <w:rFonts w:ascii="Book Antiqua" w:hAnsi="Book Antiqua" w:cs="Cordia New"/>
              </w:rPr>
            </w:pPr>
            <w:r>
              <w:rPr>
                <w:rFonts w:ascii="Book Antiqua" w:hAnsi="Book Antiqua" w:cs="Cordia New"/>
              </w:rPr>
              <w:t>66</w:t>
            </w:r>
          </w:p>
        </w:tc>
        <w:tc>
          <w:tcPr>
            <w:tcW w:w="1984" w:type="dxa"/>
          </w:tcPr>
          <w:p>
            <w:pPr>
              <w:snapToGrid w:val="0"/>
              <w:spacing w:line="360" w:lineRule="auto"/>
              <w:jc w:val="both"/>
              <w:rPr>
                <w:rFonts w:ascii="Book Antiqua" w:hAnsi="Book Antiqua" w:cs="Cordia New"/>
              </w:rPr>
            </w:pPr>
            <w:r>
              <w:rPr>
                <w:rFonts w:ascii="Book Antiqua" w:hAnsi="Book Antiqua" w:cs="Cordia New"/>
              </w:rPr>
              <w:t>66</w:t>
            </w:r>
          </w:p>
        </w:tc>
        <w:tc>
          <w:tcPr>
            <w:tcW w:w="1560" w:type="dxa"/>
          </w:tcPr>
          <w:p>
            <w:pPr>
              <w:snapToGrid w:val="0"/>
              <w:spacing w:line="360" w:lineRule="auto"/>
              <w:jc w:val="both"/>
              <w:rPr>
                <w:rFonts w:ascii="Book Antiqua" w:hAnsi="Book Antiqua" w:cs="Cordia New"/>
              </w:rPr>
            </w:pPr>
            <w:r>
              <w:rPr>
                <w:rFonts w:ascii="Book Antiqua" w:hAnsi="Book Antiqua" w:cs="Cordia New"/>
              </w:rPr>
              <w:t>17</w:t>
            </w:r>
          </w:p>
        </w:tc>
        <w:tc>
          <w:tcPr>
            <w:tcW w:w="1701" w:type="dxa"/>
            <w:noWrap/>
          </w:tcPr>
          <w:p>
            <w:pPr>
              <w:snapToGrid w:val="0"/>
              <w:spacing w:line="360" w:lineRule="auto"/>
              <w:jc w:val="both"/>
              <w:rPr>
                <w:rFonts w:ascii="Book Antiqua" w:hAnsi="Book Antiqua" w:cs="Cordia New"/>
              </w:rPr>
            </w:pPr>
            <w:r>
              <w:rPr>
                <w:rFonts w:ascii="Book Antiqua" w:hAnsi="Book Antiqua" w:cs="Cordia New"/>
              </w:rPr>
              <w:t>28.8</w:t>
            </w:r>
          </w:p>
        </w:tc>
        <w:tc>
          <w:tcPr>
            <w:tcW w:w="1559" w:type="dxa"/>
            <w:noWrap/>
          </w:tcPr>
          <w:p>
            <w:pPr>
              <w:snapToGrid w:val="0"/>
              <w:spacing w:line="360" w:lineRule="auto"/>
              <w:jc w:val="both"/>
              <w:rPr>
                <w:rFonts w:ascii="Book Antiqua" w:hAnsi="Book Antiqua" w:cs="Cordia New"/>
              </w:rPr>
            </w:pPr>
            <w:r>
              <w:rPr>
                <w:rFonts w:ascii="Book Antiqua" w:hAnsi="Book Antiqua" w:cs="Cordia New"/>
              </w:rPr>
              <w:t>NR</w:t>
            </w:r>
          </w:p>
        </w:tc>
        <w:tc>
          <w:tcPr>
            <w:tcW w:w="1701" w:type="dxa"/>
          </w:tcPr>
          <w:p>
            <w:pPr>
              <w:snapToGrid w:val="0"/>
              <w:spacing w:line="360" w:lineRule="auto"/>
              <w:jc w:val="both"/>
              <w:rPr>
                <w:rFonts w:ascii="Book Antiqua" w:hAnsi="Book Antiqua" w:cs="Cordia New"/>
              </w:rPr>
            </w:pPr>
            <w:r>
              <w:rPr>
                <w:rFonts w:ascii="Book Antiqua" w:hAnsi="Book Antiqua" w:cs="Cordia New"/>
              </w:rPr>
              <w:t>2/66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Kim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{"citationID":"p3tcB4nB","properties":{"formattedCitation":"\\super [82]\\nosupersub{}","plainCitation":"[82]","noteIndex":0},"citationItems":[{"id":8,"uris":["http://zotero.org/users/local/NyhnE8P8/items/L5BYQAYL"],"uri":["http://zotero.org/users/local/NyhnE8P8/items/L5BYQAYL"],"itemData":{"id":8,"type":"article-journal","abstract":"BACKGROUND/AIMS: Relapse has been reported after stopping nucleos(t)ide (NUC) therapy in the majority of chronic HBeAg negative hepatitis patients. However, the ideal treatment duration of HBeAg negative chronic hepatitis B (CHB) is not well known. We investigated the frequency of relapse in HBeAg negative CHB patients receiving NUC therapy. METHODS: The NUC therapy was discontinued at least 3 times undetectable level of HBV DNA leave 6 months space in 45 patients.  Clinical relapse was defined as HBV DNA &gt;2,000 IU/mL and alanine aminotransferase (ALT) or aspartate aminotransferase (AST) &gt;2 times of upper limit of normal range. Virological relapse was defined as HBV DNA &gt;2,000 IU/mL. RESULTS: Clinical relapse developed in 16 (35.6%) and 24 (53.3%) patients after stopping therapy at 6 months and 12 months off therapy, respectively. Virological relapse developed 22 (48.9%) and 33 (73.3%) patients at 6 months and 12 months off therapy. The factors such as age, gender, cirrhosis, baseline AST, ALT, HBV DNA levels, treatment duration, and consolidation duration were analyzed to investigate the predictive factors associated with 1 year sustained response. Of these factors, cirrhosis (86.1% in CHB, 22.2% in LC) was significantly associated with 1 year virological relapse rate. Baseline HBV DNA and total treatment duration tended to be associated with virological relapse. CONCLUSIONS: Virological relapse developed in the majority (73.3%) of HBeAg negative CHB patients and clinical relapse developed in the half (53.3%) of patients at 1 year off therapy. Cirrhosis may be associated with the low rate of virological relapse.","container-title":"Clinical and molecular hepatology","DOI":"10.3350/cmh.2013.19.3.300","ISSN":"2287-285X 2287-2728","issue":"3","journalAbbreviation":"Clin Mol Hepatol","language":"eng","note":"PMID: 24133668 \nPMCID: PMC3796680","page":"300-304","title":"Durability after discontinuation of nucleos(t)ide therapy in chronic HBeAg negative hepatitis patients.","volume":"19","author":[{"family":"Kim","given":"Young Jip"},{"family":"Kim","given":"Kichan"},{"family":"Hwang","given":"Sun Hyuk"},{"family":"Kim","given":"Soon Sun"},{"family":"Lee","given":"Dami"},{"family":"Cheong","given":"Jae Youn"},{"family":"Cho","given":"Sung Won"}],"issued":{"date-parts":[["2013",9]]}}}],"schema":"https://github.com/citation-style-language/schema/raw/master/csl-citation.json"}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[82]</w:t>
            </w:r>
            <w:r>
              <w:rPr>
                <w:rFonts w:ascii="Book Antiqua" w:hAnsi="Book Antiqua" w:cs="Cordia New"/>
              </w:rPr>
              <w:fldChar w:fldCharType="end"/>
            </w:r>
            <w:r>
              <w:rPr>
                <w:rFonts w:ascii="Book Antiqua" w:hAnsi="Book Antiqua" w:cs="Cordia New"/>
              </w:rPr>
              <w:t>, 2013</w:t>
            </w:r>
          </w:p>
        </w:tc>
        <w:tc>
          <w:tcPr>
            <w:tcW w:w="1843" w:type="dxa"/>
          </w:tcPr>
          <w:p>
            <w:pPr>
              <w:snapToGrid w:val="0"/>
              <w:spacing w:line="360" w:lineRule="auto"/>
              <w:jc w:val="both"/>
              <w:rPr>
                <w:rFonts w:ascii="Book Antiqua" w:hAnsi="Book Antiqua" w:cs="Cordia New"/>
              </w:rPr>
            </w:pPr>
            <w:r>
              <w:rPr>
                <w:rFonts w:ascii="Book Antiqua" w:hAnsi="Book Antiqua" w:cs="Cordia New"/>
              </w:rPr>
              <w:t>Korea</w:t>
            </w:r>
          </w:p>
        </w:tc>
        <w:tc>
          <w:tcPr>
            <w:tcW w:w="1276" w:type="dxa"/>
          </w:tcPr>
          <w:p>
            <w:pPr>
              <w:snapToGrid w:val="0"/>
              <w:spacing w:line="360" w:lineRule="auto"/>
              <w:jc w:val="both"/>
              <w:rPr>
                <w:rFonts w:ascii="Book Antiqua" w:hAnsi="Book Antiqua" w:cs="Cordia New"/>
              </w:rPr>
            </w:pPr>
            <w:r>
              <w:rPr>
                <w:rFonts w:ascii="Book Antiqua" w:hAnsi="Book Antiqua" w:cs="Cordia New"/>
              </w:rPr>
              <w:t>45</w:t>
            </w:r>
          </w:p>
        </w:tc>
        <w:tc>
          <w:tcPr>
            <w:tcW w:w="1984" w:type="dxa"/>
          </w:tcPr>
          <w:p>
            <w:pPr>
              <w:snapToGrid w:val="0"/>
              <w:spacing w:line="360" w:lineRule="auto"/>
              <w:jc w:val="both"/>
              <w:rPr>
                <w:rFonts w:ascii="Book Antiqua" w:hAnsi="Book Antiqua" w:cs="Cordia New"/>
              </w:rPr>
            </w:pPr>
            <w:r>
              <w:rPr>
                <w:rFonts w:ascii="Book Antiqua" w:hAnsi="Book Antiqua" w:cs="Cordia New"/>
              </w:rPr>
              <w:t>45</w:t>
            </w:r>
          </w:p>
        </w:tc>
        <w:tc>
          <w:tcPr>
            <w:tcW w:w="1560" w:type="dxa"/>
          </w:tcPr>
          <w:p>
            <w:pPr>
              <w:snapToGrid w:val="0"/>
              <w:spacing w:line="360" w:lineRule="auto"/>
              <w:jc w:val="both"/>
              <w:rPr>
                <w:rFonts w:ascii="Book Antiqua" w:hAnsi="Book Antiqua" w:cs="Cordia New"/>
              </w:rPr>
            </w:pPr>
            <w:r>
              <w:rPr>
                <w:rFonts w:ascii="Book Antiqua" w:hAnsi="Book Antiqua" w:cs="Cordia New"/>
              </w:rPr>
              <w:t>26</w:t>
            </w:r>
          </w:p>
        </w:tc>
        <w:tc>
          <w:tcPr>
            <w:tcW w:w="1701" w:type="dxa"/>
            <w:noWrap/>
          </w:tcPr>
          <w:p>
            <w:pPr>
              <w:snapToGrid w:val="0"/>
              <w:spacing w:line="360" w:lineRule="auto"/>
              <w:jc w:val="both"/>
              <w:rPr>
                <w:rFonts w:ascii="Book Antiqua" w:hAnsi="Book Antiqua" w:cs="Cordia New"/>
              </w:rPr>
            </w:pPr>
            <w:r>
              <w:rPr>
                <w:rFonts w:ascii="Book Antiqua" w:hAnsi="Book Antiqua" w:cs="Cordia New"/>
              </w:rPr>
              <w:t>73.3</w:t>
            </w:r>
          </w:p>
        </w:tc>
        <w:tc>
          <w:tcPr>
            <w:tcW w:w="1559" w:type="dxa"/>
            <w:noWrap/>
          </w:tcPr>
          <w:p>
            <w:pPr>
              <w:snapToGrid w:val="0"/>
              <w:spacing w:line="360" w:lineRule="auto"/>
              <w:jc w:val="both"/>
              <w:rPr>
                <w:rFonts w:ascii="Book Antiqua" w:hAnsi="Book Antiqua" w:cs="Cordia New"/>
              </w:rPr>
            </w:pPr>
            <w:r>
              <w:rPr>
                <w:rFonts w:ascii="Book Antiqua" w:hAnsi="Book Antiqua" w:cs="Cordia New"/>
              </w:rPr>
              <w:t>53.3</w:t>
            </w:r>
          </w:p>
        </w:tc>
        <w:tc>
          <w:tcPr>
            <w:tcW w:w="1701" w:type="dxa"/>
          </w:tcPr>
          <w:p>
            <w:pPr>
              <w:snapToGrid w:val="0"/>
              <w:spacing w:line="360" w:lineRule="auto"/>
              <w:jc w:val="both"/>
              <w:rPr>
                <w:rFonts w:ascii="Book Antiqua" w:hAnsi="Book Antiqua" w:cs="Cordia New"/>
              </w:rPr>
            </w:pPr>
            <w:r>
              <w:rPr>
                <w:rFonts w:ascii="Book Antiqua" w:hAnsi="Book Antiqua" w:cs="Cordia New"/>
              </w:rPr>
              <w:t>NR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Jeng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{"citationID":"oQtRXGPA","properties":{"formattedCitation":"\\super [83]\\nosupersub{}","plainCitation":"[83]","noteIndex":0},"citationItems":[{"id":160,"uris":["http://zotero.org/users/local/NyhnE8P8/items/KGAA7NVX"],"uri":["http://zotero.org/users/local/NyhnE8P8/items/KGAA7NVX"],"itemData":{"id":160,"type":"article-journal","abstract":"The optimal duration of nucelos(t)ide analog (Nuc) treatment in hepatitis B e antigen (HBeAg)-negative patients with chronic hepatitis B virus (HBV) infection is unknown. The Asian Pacific Association for the Study of the Liver (APASL) guidelines recommend that treatment can be discontinued if undetectable HBV-DNA has been documented on three occasions ≥ 6 months apart. This study aimed to test this stopping rule in HBeAg-negative chronic hepatitis B (CHB) patients treated with entecavir (ETV). Ninety-five patients (39 cirrhosis) were treated with ETV for a median of 721 (395-1,762) days before stopping therapy and were then monitored with serum HBV DNA and alanine aminotransferase (ALT) at least every 3 months. Within 1 year after stopping ETV therapy, \"clinical relapse\" (an episode of ALT elevation &gt;2 × upper limit of normal plus HBV-DNA &gt;2,000 IU/mL) occurred in 43 (45.3%) of the 95 patients. Of the 39 cirrhosis patients, 17 (43.6%) relapsed and one (2.6%) developed decompensation. The median duration until relapse was 230 days (74.4% &gt;6 months). Logistic regression analysis showed that baseline HBV-DNA ≤ 2 × 10(5) IU/mL was the only significant independent factor for sustained response. The 1-year relapse rate was 29% in patients with a baseline HBV DNA ≤ 2 × 10(5) IU/mL versus 53% in those with HBV DNA &gt;2 × 10(5) IU/mL (P = 0.027). For the latter, consolidation therapy &gt;64 weeks reduced the relapse rate to 33.3% in patients without cirrhosis.\nCONCLUSION: With an overall 1-year relapse rate of 45% and 29% in those with a baseline serum HBV DNA ≤ 2 × 10(5) IU/mL, the APASL stopping rule for HBeAg-negative CHB patients with proper off-therapy monitoring is adequate even in patients with cirrhosis. Consolidation therapy &gt;64 weeks seems more appropriate for those with higher baseline HBV DNA.","container-title":"Hepatology (Baltimore, Md.)","DOI":"10.1002/hep.26549","ISSN":"1527-3350","issue":"6","journalAbbreviation":"Hepatology","language":"eng","note":"PMID: 23744454","page":"1888-1896","source":"PubMed","title":"Off-therapy durability of response to entecavir therapy in hepatitis B e antigen-negative chronic hepatitis B patients","volume":"58","author":[{"family":"Jeng","given":"Wen-Juei"},{"family":"Sheen","given":"I.-Shyan"},{"family":"Chen","given":"Yi-Cheng"},{"family":"Hsu","given":"Chao-Wei"},{"family":"Chien","given":"Rong-Nan"},{"family":"Chu","given":"Chia-Ming"},{"family":"Liaw","given":"Yun-Fan"}],"issued":{"date-parts":[["2013",12]]}}}],"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[83]</w:t>
            </w:r>
            <w:r>
              <w:rPr>
                <w:rFonts w:ascii="Book Antiqua" w:hAnsi="Book Antiqua" w:cs="Cordia New"/>
              </w:rPr>
              <w:fldChar w:fldCharType="end"/>
            </w:r>
            <w:r>
              <w:rPr>
                <w:rFonts w:ascii="Book Antiqua" w:hAnsi="Book Antiqua" w:cs="Cordia New"/>
              </w:rPr>
              <w:t>, 2013</w:t>
            </w:r>
          </w:p>
        </w:tc>
        <w:tc>
          <w:tcPr>
            <w:tcW w:w="1843" w:type="dxa"/>
          </w:tcPr>
          <w:p>
            <w:pPr>
              <w:snapToGrid w:val="0"/>
              <w:spacing w:line="360" w:lineRule="auto"/>
              <w:jc w:val="both"/>
              <w:rPr>
                <w:rFonts w:ascii="Book Antiqua" w:hAnsi="Book Antiqua" w:cs="Cordia New"/>
              </w:rPr>
            </w:pPr>
            <w:r>
              <w:rPr>
                <w:rFonts w:ascii="Book Antiqua" w:hAnsi="Book Antiqua" w:cs="Cordia New"/>
              </w:rPr>
              <w:t>Taiwan</w:t>
            </w:r>
          </w:p>
        </w:tc>
        <w:tc>
          <w:tcPr>
            <w:tcW w:w="1276" w:type="dxa"/>
          </w:tcPr>
          <w:p>
            <w:pPr>
              <w:snapToGrid w:val="0"/>
              <w:spacing w:line="360" w:lineRule="auto"/>
              <w:jc w:val="both"/>
              <w:rPr>
                <w:rFonts w:ascii="Book Antiqua" w:hAnsi="Book Antiqua" w:cs="Cordia New"/>
              </w:rPr>
            </w:pPr>
            <w:r>
              <w:rPr>
                <w:rFonts w:ascii="Book Antiqua" w:hAnsi="Book Antiqua" w:cs="Cordia New"/>
              </w:rPr>
              <w:t>95</w:t>
            </w:r>
          </w:p>
        </w:tc>
        <w:tc>
          <w:tcPr>
            <w:tcW w:w="1984" w:type="dxa"/>
          </w:tcPr>
          <w:p>
            <w:pPr>
              <w:snapToGrid w:val="0"/>
              <w:spacing w:line="360" w:lineRule="auto"/>
              <w:jc w:val="both"/>
              <w:rPr>
                <w:rFonts w:ascii="Book Antiqua" w:hAnsi="Book Antiqua" w:cs="Cordia New"/>
              </w:rPr>
            </w:pPr>
            <w:r>
              <w:rPr>
                <w:rFonts w:ascii="Book Antiqua" w:hAnsi="Book Antiqua" w:cs="Cordia New"/>
              </w:rPr>
              <w:t>95</w:t>
            </w:r>
          </w:p>
        </w:tc>
        <w:tc>
          <w:tcPr>
            <w:tcW w:w="1560" w:type="dxa"/>
          </w:tcPr>
          <w:p>
            <w:pPr>
              <w:snapToGrid w:val="0"/>
              <w:spacing w:line="360" w:lineRule="auto"/>
              <w:jc w:val="both"/>
              <w:rPr>
                <w:rFonts w:ascii="Book Antiqua" w:hAnsi="Book Antiqua" w:cs="Cordia New"/>
              </w:rPr>
            </w:pPr>
            <w:r>
              <w:rPr>
                <w:rFonts w:ascii="Book Antiqua" w:hAnsi="Book Antiqua" w:cs="Cordia New"/>
              </w:rPr>
              <w:t>&gt; 12</w:t>
            </w:r>
          </w:p>
        </w:tc>
        <w:tc>
          <w:tcPr>
            <w:tcW w:w="1701" w:type="dxa"/>
            <w:noWrap/>
          </w:tcPr>
          <w:p>
            <w:pPr>
              <w:snapToGrid w:val="0"/>
              <w:spacing w:line="360" w:lineRule="auto"/>
              <w:jc w:val="both"/>
              <w:rPr>
                <w:rFonts w:ascii="Book Antiqua" w:hAnsi="Book Antiqua" w:cs="Cordia New"/>
              </w:rPr>
            </w:pPr>
            <w:r>
              <w:rPr>
                <w:rFonts w:ascii="Book Antiqua" w:hAnsi="Book Antiqua" w:cs="Cordia New"/>
              </w:rPr>
              <w:t>57.9</w:t>
            </w:r>
          </w:p>
        </w:tc>
        <w:tc>
          <w:tcPr>
            <w:tcW w:w="1559" w:type="dxa"/>
            <w:noWrap/>
          </w:tcPr>
          <w:p>
            <w:pPr>
              <w:snapToGrid w:val="0"/>
              <w:spacing w:line="360" w:lineRule="auto"/>
              <w:jc w:val="both"/>
              <w:rPr>
                <w:rFonts w:ascii="Book Antiqua" w:hAnsi="Book Antiqua" w:cs="Cordia New"/>
              </w:rPr>
            </w:pPr>
            <w:r>
              <w:rPr>
                <w:rFonts w:ascii="Book Antiqua" w:hAnsi="Book Antiqua" w:cs="Cordia New"/>
              </w:rPr>
              <w:t>45.3</w:t>
            </w:r>
          </w:p>
        </w:tc>
        <w:tc>
          <w:tcPr>
            <w:tcW w:w="1701" w:type="dxa"/>
          </w:tcPr>
          <w:p>
            <w:pPr>
              <w:snapToGrid w:val="0"/>
              <w:spacing w:line="360" w:lineRule="auto"/>
              <w:jc w:val="both"/>
              <w:rPr>
                <w:rFonts w:ascii="Book Antiqua" w:hAnsi="Book Antiqua" w:cs="Cordia New"/>
              </w:rPr>
            </w:pPr>
            <w:r>
              <w:rPr>
                <w:rFonts w:ascii="Book Antiqua" w:hAnsi="Book Antiqua" w:cs="Cordia New"/>
              </w:rPr>
              <w:t>0/95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cs/>
              </w:rPr>
            </w:pPr>
            <w:r>
              <w:rPr>
                <w:rFonts w:ascii="Book Antiqua" w:hAnsi="Book Antiqua" w:cs="Cordia New"/>
              </w:rPr>
              <w:t xml:space="preserve">Kwon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{"citationID":"aM7AKAIn","properties":{"formattedCitation":"\\super [84]\\nosupersub{}","plainCitation":"[84]","noteIndex":0},"citationItems":[{"id":1120,"uris":["http://zotero.org/users/local/NyhnE8P8/items/TR26FDMG"],"uri":["http://zotero.org/users/local/NyhnE8P8/items/TR26FDMG"],"itemData":{"id":1120,"type":"article-journal","abstract":"Regarding the limited evidence for determining the optimal duration of antiviral treatment for hepatitis B, the long-term outcome of patients with favorable responses to over 5 years of lamivudine monotherapy was investigated. Two hundred seventy-one patients who had received lamivudine for at least 5 years were enrolled. Ultimately, 72 patients without YMDD mutations and showing hepatitis B virus (HBV) DNA levels &lt;2.5 pg/ml after 5 years of treatment were analyzed. Mean treatment duration with lamivudine was 9.1 ± 2.6 years. During the treatment, HBeAg and HBsAg loss/seroconversion rates were 95 and 6.9%, respectively. Decompensation and hepatocellular carcinoma (HCC) developed in 2.8 and 6.9% of patients, respectively. Old age and cirrhosis were risk factors for HCC development. Finally, 11.1% of patients developed YMDD mutations after 8.3 ± 2.4 years of treatment. There was no hepatic decompensation among the patients who developed delayed YMDD mutations. Sixteen patients who achieved a complete response stopped lamivudine and four patients showed relapses 10.3 ± 8.5 months after stopping lamivudine. Relapsed patients had more cirrhotic livers and higher rates of HBeAg positivity at 5 years than patients who maintained complete response. The present study suggests that patients who do not develop YMDD mutations over 5 years of treatment with lamivudine may continue lamivudine monotherapy until the loss of HBsAg. However, even for the patients showing favorable response over 5 years of treatment, those in older ages, with cirrhosis or who show poor HBeAg responses should be on careful monitoring to detect the development of viral mutations, relapse and even HCC.","container-title":"Journal of Medical Virology","DOI":"10/f4hrn5","ISSN":"1096-9071","issue":"1","journalAbbreviation":"J Med Virol","language":"eng","note":"PMID: 23154874","page":"34-42","source":"PubMed","title":"Should lamivudine monotherapy be stopped or continued in patients infected with hepatitis B with favorable responses after more than 5 years of treatment?","volume":"85","author":[{"family":"Kwon","given":"Jung Hyun"},{"family":"Jang","given":"Jeong Won"},{"family":"Choi","given":"Jong Young"},{"family":"Park","given":"Chung-Hwa"},{"family":"Yoo","given":"Sun Hong"},{"family":"Bae","given":"Si Hyun"},{"family":"Yoon","given":"Seung Kew"}],"issued":{"date-parts":[["2013",1]]}}}],"schema":"https://github.com/citation-style-language/schema/raw/master/csl-citation.json"}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[84]</w:t>
            </w:r>
            <w:r>
              <w:rPr>
                <w:rFonts w:ascii="Book Antiqua" w:hAnsi="Book Antiqua" w:cs="Cordia New"/>
              </w:rPr>
              <w:fldChar w:fldCharType="end"/>
            </w:r>
            <w:r>
              <w:rPr>
                <w:rFonts w:ascii="Book Antiqua" w:hAnsi="Book Antiqua" w:cs="Cordia New"/>
              </w:rPr>
              <w:t>, 2013</w:t>
            </w:r>
          </w:p>
        </w:tc>
        <w:tc>
          <w:tcPr>
            <w:tcW w:w="1843" w:type="dxa"/>
          </w:tcPr>
          <w:p>
            <w:pPr>
              <w:snapToGrid w:val="0"/>
              <w:spacing w:line="360" w:lineRule="auto"/>
              <w:jc w:val="both"/>
              <w:rPr>
                <w:rFonts w:ascii="Book Antiqua" w:hAnsi="Book Antiqua" w:cs="Cordia New"/>
              </w:rPr>
            </w:pPr>
            <w:r>
              <w:rPr>
                <w:rFonts w:ascii="Book Antiqua" w:hAnsi="Book Antiqua" w:cs="Cordia New"/>
              </w:rPr>
              <w:t>South Korea</w:t>
            </w:r>
          </w:p>
        </w:tc>
        <w:tc>
          <w:tcPr>
            <w:tcW w:w="1276" w:type="dxa"/>
          </w:tcPr>
          <w:p>
            <w:pPr>
              <w:snapToGrid w:val="0"/>
              <w:spacing w:line="360" w:lineRule="auto"/>
              <w:jc w:val="both"/>
              <w:rPr>
                <w:rFonts w:ascii="Book Antiqua" w:hAnsi="Book Antiqua" w:cs="Cordia New"/>
              </w:rPr>
            </w:pPr>
            <w:r>
              <w:rPr>
                <w:rFonts w:ascii="Book Antiqua" w:hAnsi="Book Antiqua" w:cs="Cordia New"/>
              </w:rPr>
              <w:t>16</w:t>
            </w:r>
          </w:p>
        </w:tc>
        <w:tc>
          <w:tcPr>
            <w:tcW w:w="1984" w:type="dxa"/>
          </w:tcPr>
          <w:p>
            <w:pPr>
              <w:snapToGrid w:val="0"/>
              <w:spacing w:line="360" w:lineRule="auto"/>
              <w:jc w:val="both"/>
              <w:rPr>
                <w:rFonts w:ascii="Book Antiqua" w:hAnsi="Book Antiqua" w:cs="Cordia New"/>
              </w:rPr>
            </w:pPr>
            <w:r>
              <w:rPr>
                <w:rFonts w:ascii="Book Antiqua" w:hAnsi="Book Antiqua" w:cs="Cordia New"/>
              </w:rPr>
              <w:t>NR</w:t>
            </w:r>
          </w:p>
        </w:tc>
        <w:tc>
          <w:tcPr>
            <w:tcW w:w="1560" w:type="dxa"/>
          </w:tcPr>
          <w:p>
            <w:pPr>
              <w:snapToGrid w:val="0"/>
              <w:spacing w:line="360" w:lineRule="auto"/>
              <w:jc w:val="both"/>
              <w:rPr>
                <w:rFonts w:ascii="Book Antiqua" w:hAnsi="Book Antiqua" w:cs="Cordia New"/>
              </w:rPr>
            </w:pPr>
            <w:r>
              <w:rPr>
                <w:rFonts w:ascii="Book Antiqua" w:hAnsi="Book Antiqua" w:cs="Cordia New"/>
              </w:rPr>
              <w:t>32</w:t>
            </w:r>
          </w:p>
        </w:tc>
        <w:tc>
          <w:tcPr>
            <w:tcW w:w="1701" w:type="dxa"/>
            <w:noWrap/>
          </w:tcPr>
          <w:p>
            <w:pPr>
              <w:snapToGrid w:val="0"/>
              <w:spacing w:line="360" w:lineRule="auto"/>
              <w:jc w:val="both"/>
              <w:rPr>
                <w:rFonts w:ascii="Book Antiqua" w:hAnsi="Book Antiqua" w:cs="Cordia New"/>
              </w:rPr>
            </w:pPr>
            <w:r>
              <w:rPr>
                <w:rFonts w:ascii="Book Antiqua" w:hAnsi="Book Antiqua" w:cs="Cordia New"/>
              </w:rPr>
              <w:t>25</w:t>
            </w:r>
          </w:p>
        </w:tc>
        <w:tc>
          <w:tcPr>
            <w:tcW w:w="1559" w:type="dxa"/>
            <w:noWrap/>
          </w:tcPr>
          <w:p>
            <w:pPr>
              <w:snapToGrid w:val="0"/>
              <w:spacing w:line="360" w:lineRule="auto"/>
              <w:jc w:val="both"/>
              <w:rPr>
                <w:rFonts w:ascii="Book Antiqua" w:hAnsi="Book Antiqua" w:cs="Cordia New"/>
              </w:rPr>
            </w:pPr>
            <w:r>
              <w:rPr>
                <w:rFonts w:ascii="Book Antiqua" w:hAnsi="Book Antiqua" w:cs="Cordia New"/>
              </w:rPr>
              <w:t>25</w:t>
            </w:r>
          </w:p>
        </w:tc>
        <w:tc>
          <w:tcPr>
            <w:tcW w:w="1701" w:type="dxa"/>
          </w:tcPr>
          <w:p>
            <w:pPr>
              <w:snapToGrid w:val="0"/>
              <w:spacing w:line="360" w:lineRule="auto"/>
              <w:jc w:val="both"/>
              <w:rPr>
                <w:rFonts w:ascii="Book Antiqua" w:hAnsi="Book Antiqua" w:cs="Cordia New"/>
              </w:rPr>
            </w:pPr>
            <w:r>
              <w:rPr>
                <w:rFonts w:ascii="Book Antiqua" w:hAnsi="Book Antiqua" w:cs="Cordia New"/>
              </w:rPr>
              <w:t>2/16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Ridruejo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{"citationID":"N2ba3WvH","properties":{"formattedCitation":"\\super [85]\\nosupersub{}","plainCitation":"[85]","noteIndex":0},"citationItems":[{"id":"KzFaBDxp/UATu6e5v","uris":["http://zotero.org/users/local/NyhnE8P8/items/ZPP9EM2B"],"uri":["http://zotero.org/users/local/NyhnE8P8/items/ZPP9EM2B"],"itemData":{"id":7,"type":"article-journal","abstract":"Registration studies show entecavir (ETV) to be effective and safe in NUC-naive patients with chronic hepatitis B, but relapse rates after treatment discontinuation have not been well established. Relapse rates and predictors of relapse were evaluated in naive HBeAg-positive and HBeAg-negative patients treated with ETV. Treatment duration was defined according to international guidelines. Virological relapse was defined as reappearance in serum of hepatitis B virus (HBV) DNA to &gt;2000 IU/mL after discontinuation of treatment. A hundred and sixty-nine consecutive patients were treated for a median 181 weeks. 61% were HBeAg positive, 23% had cirrhosis, and mean HBV DNA level was 6.88 +/- 1.74 log10 IU/mL. Ninety-two per cent became HBV DNA negative; 71% of HBeAg+ve patients became HBeAg negative and 68% anti-HBe positive; 14% became HBsAg negative and 13% anti-HBs positive. At the end of the study, 36 patients discontinued treatment: one due to breakthrough associated with resistant variants and 35 (20%) due to sustained virological response; 33 of these patients developed HBeAg seroconversion and 18 HBsAg seroconversion. Median off-treatment time was 69 weeks. Nine patients (26%), all HBeAg positive at baseline, developed virological relapse after a median 48 weeks off-treatment, 3 of them showed HBeAg reversion and 4 lost anti-HBe. No patient with HBsAg seroconversion relapsed. HBeAg clearance after week 48 of treatment was associated with an increase risk of relapse. After ETV discontinuation, HBsAg seroconversion was maintained in 100% of the patients, HBeAg seroconversion maintained in 90%, and virological relapse  rate was 24%.","container-title":"Journal of viral hepatitis","DOI":"10.1111/jvh.12200","ISSN":"1365-2893 1352-0504","issue":"8","journalAbbreviation":"J Viral Hepat","language":"eng","note":"PMID: 24188363","page":"590-596","title":"Relapse rates in chronic hepatitis B naive patients after discontinuation of antiviral therapy with entecavir.","volume":"21","author":[{"family":"Ridruejo","given":"E."},{"family":"Marciano","given":"S."},{"family":"Galdame","given":"O."},{"family":"Reggiardo","given":"M. V."},{"family":"Munoz","given":"A. E."},{"family":"Adrover","given":"R."},{"family":"Cocozzella","given":"D."},{"family":"Fernandez","given":"N."},{"family":"Estepo","given":"C."},{"family":"Mendizabal","given":"M."},{"family":"Romero","given":"G. A."},{"family":"Levi","given":"D."},{"family":"Schroder","given":"T."},{"family":"Paz","given":"S."},{"family":"Fainboim","given":"H."},{"family":"Mando","given":"O. G."},{"family":"Gadano","given":"A. C."},{"family":"Silva","given":"M. O."}],"issued":{"date-parts":[["2014",8]]}}}],"schema":"https://github.com/citation-style-language/schema/raw/master/csl-citation.json"}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[85]</w:t>
            </w:r>
            <w:r>
              <w:rPr>
                <w:rFonts w:ascii="Book Antiqua" w:hAnsi="Book Antiqua" w:cs="Cordia New"/>
              </w:rPr>
              <w:fldChar w:fldCharType="end"/>
            </w:r>
            <w:r>
              <w:rPr>
                <w:rFonts w:ascii="Book Antiqua" w:hAnsi="Book Antiqua" w:cs="Cordia New"/>
              </w:rPr>
              <w:t>, 2014</w:t>
            </w:r>
          </w:p>
        </w:tc>
        <w:tc>
          <w:tcPr>
            <w:tcW w:w="1843" w:type="dxa"/>
          </w:tcPr>
          <w:p>
            <w:pPr>
              <w:snapToGrid w:val="0"/>
              <w:spacing w:line="360" w:lineRule="auto"/>
              <w:jc w:val="both"/>
              <w:rPr>
                <w:rFonts w:ascii="Book Antiqua" w:hAnsi="Book Antiqua" w:cs="Cordia New"/>
              </w:rPr>
            </w:pPr>
            <w:r>
              <w:rPr>
                <w:rFonts w:ascii="Book Antiqua" w:hAnsi="Book Antiqua" w:cs="Cordia New"/>
              </w:rPr>
              <w:t>Argentina</w:t>
            </w:r>
          </w:p>
        </w:tc>
        <w:tc>
          <w:tcPr>
            <w:tcW w:w="1276" w:type="dxa"/>
          </w:tcPr>
          <w:p>
            <w:pPr>
              <w:snapToGrid w:val="0"/>
              <w:spacing w:line="360" w:lineRule="auto"/>
              <w:jc w:val="both"/>
              <w:rPr>
                <w:rFonts w:ascii="Book Antiqua" w:hAnsi="Book Antiqua" w:cs="Cordia New"/>
              </w:rPr>
            </w:pPr>
            <w:r>
              <w:rPr>
                <w:rFonts w:ascii="Book Antiqua" w:hAnsi="Book Antiqua" w:cs="Cordia New"/>
              </w:rPr>
              <w:t>35</w:t>
            </w:r>
          </w:p>
        </w:tc>
        <w:tc>
          <w:tcPr>
            <w:tcW w:w="1984" w:type="dxa"/>
          </w:tcPr>
          <w:p>
            <w:pPr>
              <w:snapToGrid w:val="0"/>
              <w:spacing w:line="360" w:lineRule="auto"/>
              <w:jc w:val="both"/>
              <w:rPr>
                <w:rFonts w:ascii="Book Antiqua" w:hAnsi="Book Antiqua" w:cs="Cordia New"/>
              </w:rPr>
            </w:pPr>
            <w:r>
              <w:rPr>
                <w:rFonts w:ascii="Book Antiqua" w:hAnsi="Book Antiqua" w:cs="Cordia New"/>
              </w:rPr>
              <w:t>0</w:t>
            </w:r>
          </w:p>
        </w:tc>
        <w:tc>
          <w:tcPr>
            <w:tcW w:w="1560" w:type="dxa"/>
          </w:tcPr>
          <w:p>
            <w:pPr>
              <w:snapToGrid w:val="0"/>
              <w:spacing w:line="360" w:lineRule="auto"/>
              <w:jc w:val="both"/>
              <w:rPr>
                <w:rFonts w:ascii="Book Antiqua" w:hAnsi="Book Antiqua" w:cs="Cordia New"/>
              </w:rPr>
            </w:pPr>
            <w:r>
              <w:rPr>
                <w:rFonts w:ascii="Book Antiqua" w:hAnsi="Book Antiqua" w:cs="Cordia New"/>
              </w:rPr>
              <w:t>15</w:t>
            </w:r>
          </w:p>
        </w:tc>
        <w:tc>
          <w:tcPr>
            <w:tcW w:w="1701" w:type="dxa"/>
            <w:noWrap/>
          </w:tcPr>
          <w:p>
            <w:pPr>
              <w:snapToGrid w:val="0"/>
              <w:spacing w:line="360" w:lineRule="auto"/>
              <w:jc w:val="both"/>
              <w:rPr>
                <w:rFonts w:ascii="Book Antiqua" w:hAnsi="Book Antiqua" w:cs="Cordia New"/>
              </w:rPr>
            </w:pPr>
            <w:r>
              <w:rPr>
                <w:rFonts w:ascii="Book Antiqua" w:hAnsi="Book Antiqua" w:cs="Cordia New"/>
              </w:rPr>
              <w:t>25.7</w:t>
            </w:r>
          </w:p>
        </w:tc>
        <w:tc>
          <w:tcPr>
            <w:tcW w:w="1559" w:type="dxa"/>
            <w:noWrap/>
          </w:tcPr>
          <w:p>
            <w:pPr>
              <w:snapToGrid w:val="0"/>
              <w:spacing w:line="360" w:lineRule="auto"/>
              <w:jc w:val="both"/>
              <w:rPr>
                <w:rFonts w:ascii="Book Antiqua" w:hAnsi="Book Antiqua" w:cs="Cordia New"/>
              </w:rPr>
            </w:pPr>
            <w:r>
              <w:rPr>
                <w:rFonts w:ascii="Book Antiqua" w:hAnsi="Book Antiqua" w:cs="Cordia New"/>
              </w:rPr>
              <w:t>NR</w:t>
            </w:r>
          </w:p>
        </w:tc>
        <w:tc>
          <w:tcPr>
            <w:tcW w:w="1701" w:type="dxa"/>
          </w:tcPr>
          <w:p>
            <w:pPr>
              <w:snapToGrid w:val="0"/>
              <w:spacing w:line="360" w:lineRule="auto"/>
              <w:jc w:val="both"/>
              <w:rPr>
                <w:rFonts w:ascii="Book Antiqua" w:hAnsi="Book Antiqua" w:cs="Cordia New"/>
              </w:rPr>
            </w:pPr>
            <w:r>
              <w:rPr>
                <w:rFonts w:ascii="Book Antiqua" w:hAnsi="Book Antiqua" w:cs="Cordia New"/>
              </w:rPr>
              <w:t>18/35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Sohn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{"citationID":"jGm5tPXT","properties":{"formattedCitation":"\\super [86]\\nosupersub{}","plainCitation":"[86]","noteIndex":0},"citationItems":[{"id":"KzFaBDxp/N1UAw5Vo","uris":["http://zotero.org/users/local/NyhnE8P8/items/FVNEECUF"],"uri":["http://zotero.org/users/local/NyhnE8P8/items/FVNEECUF"],"itemData":{"id":26,"type":"article-journal","abstract":"BACKGROUND: The durability of off-treatment virologic responses has not been fully elucidated in chronic hepatitis B (CHB) patients who have previously achieved complete virologic suppression with nucleos(t)ide analog (NA) therapy. This study aimed to assess off-treatment virologic relapse rates and to characterize the outcomes of subsequent re-treatment in CHB patients who have discontinued oral NA following complete virologic suppression. METHODS: Ninety-five CHB patients who showed complete virologic suppression were withdrawn from NAs: entecavir, lamivudine, and clevudine in 67, 15, and 13 patients, respectively. Consolidation therapy was given for 6 and 12 months for HBeAg-positive and -negative CHB, respectively, before cessation. Virologic relapse was managed with the same NA that had induced complete virologic response before discontinuation. RESULTS: The cumulative rates of virologic relapse at 12  and 24 months were 73.8% and 87.1%, respectively. The relapse rates were independent of HBeAg positivity, HBeAg seroconversion, and type of oral NA. In a  multivariate analysis, duration of oral NA therapy was the only significant predicting factor associated with off-treatment virologic relapse. Although the majority of patients regained complete virologic suppression, some patients did not respond to re-treatment with the initial NA and developed genotypic resistance. CONCLUSIONS: NA consolidation therapy for 6 and 12 months is associated with high off-treatment virologic relapse in HBeAg-positive and -negative CHB patients, respectively. Drugs with high genetic barriers to resistance should be considered as a rescue therapy for off-treatment relapse in  CHB.","container-title":"BMC infectious diseases","DOI":"10.1186/1471-2334-14-439","ISSN":"1471-2334 1471-2334","journalAbbreviation":"BMC Infect Dis","language":"eng","note":"PMID: 25125320 \nPMCID: PMC4148928","page":"439","title":"Off-treatment virologic relapse and outcomes of re-treatment in chronic hepatitis B patients who achieved complete viral suppression with oral nucleos(t)ide analogs.","volume":"14","author":[{"family":"Sohn","given":"Hyung Rae"},{"family":"Min","given":"Bo Young"},{"family":"Song","given":"Joon Chang"},{"family":"Seong","given":"Mun Hyuk"},{"family":"Lee","given":"Sang Soo"},{"family":"Jang","given":"Eun Sun"},{"family":"Shin","given":"Cheol Min"},{"family":"Park","given":"Young Soo"},{"family":"Hwang","given":"Jin-Hyeok"},{"family":"Jeong","given":"Sook-Hyang"},{"family":"Kim","given":"Nayoung"},{"family":"Lee","given":"Dong Ho"},{"family":"Kim","given":"Jin-Wook"}],"issued":{"date-parts":[["2014",8,13]]}}}],"schema":"https://github.com/citation-style-language/schema/raw/master/csl-citation.json"}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[86]</w:t>
            </w:r>
            <w:r>
              <w:rPr>
                <w:rFonts w:ascii="Book Antiqua" w:hAnsi="Book Antiqua" w:cs="Cordia New"/>
              </w:rPr>
              <w:fldChar w:fldCharType="end"/>
            </w:r>
            <w:r>
              <w:rPr>
                <w:rFonts w:ascii="Book Antiqua" w:hAnsi="Book Antiqua" w:cs="Cordia New"/>
              </w:rPr>
              <w:t>, 2014</w:t>
            </w:r>
          </w:p>
        </w:tc>
        <w:tc>
          <w:tcPr>
            <w:tcW w:w="1843" w:type="dxa"/>
          </w:tcPr>
          <w:p>
            <w:pPr>
              <w:snapToGrid w:val="0"/>
              <w:spacing w:line="360" w:lineRule="auto"/>
              <w:jc w:val="both"/>
              <w:rPr>
                <w:rFonts w:ascii="Book Antiqua" w:hAnsi="Book Antiqua" w:cs="Cordia New"/>
              </w:rPr>
            </w:pPr>
            <w:r>
              <w:rPr>
                <w:rFonts w:ascii="Book Antiqua" w:hAnsi="Book Antiqua" w:cs="Cordia New"/>
              </w:rPr>
              <w:t>South Korea</w:t>
            </w:r>
          </w:p>
        </w:tc>
        <w:tc>
          <w:tcPr>
            <w:tcW w:w="1276" w:type="dxa"/>
          </w:tcPr>
          <w:p>
            <w:pPr>
              <w:snapToGrid w:val="0"/>
              <w:spacing w:line="360" w:lineRule="auto"/>
              <w:jc w:val="both"/>
              <w:rPr>
                <w:rFonts w:ascii="Book Antiqua" w:hAnsi="Book Antiqua" w:cs="Cordia New"/>
              </w:rPr>
            </w:pPr>
            <w:r>
              <w:rPr>
                <w:rFonts w:ascii="Book Antiqua" w:hAnsi="Book Antiqua" w:cs="Cordia New"/>
              </w:rPr>
              <w:t>95</w:t>
            </w:r>
          </w:p>
        </w:tc>
        <w:tc>
          <w:tcPr>
            <w:tcW w:w="1984" w:type="dxa"/>
          </w:tcPr>
          <w:p>
            <w:pPr>
              <w:snapToGrid w:val="0"/>
              <w:spacing w:line="360" w:lineRule="auto"/>
              <w:jc w:val="both"/>
              <w:rPr>
                <w:rFonts w:ascii="Book Antiqua" w:hAnsi="Book Antiqua" w:cs="Cordia New"/>
              </w:rPr>
            </w:pPr>
            <w:r>
              <w:rPr>
                <w:rFonts w:ascii="Book Antiqua" w:hAnsi="Book Antiqua" w:cs="Cordia New"/>
              </w:rPr>
              <w:t>54</w:t>
            </w:r>
          </w:p>
        </w:tc>
        <w:tc>
          <w:tcPr>
            <w:tcW w:w="1560" w:type="dxa"/>
          </w:tcPr>
          <w:p>
            <w:pPr>
              <w:snapToGrid w:val="0"/>
              <w:spacing w:line="360" w:lineRule="auto"/>
              <w:jc w:val="both"/>
              <w:rPr>
                <w:rFonts w:ascii="Book Antiqua" w:hAnsi="Book Antiqua" w:cs="Cordia New"/>
              </w:rPr>
            </w:pPr>
            <w:r>
              <w:rPr>
                <w:rFonts w:ascii="Book Antiqua" w:hAnsi="Book Antiqua" w:cs="Cordia New"/>
              </w:rPr>
              <w:t>22</w:t>
            </w:r>
          </w:p>
        </w:tc>
        <w:tc>
          <w:tcPr>
            <w:tcW w:w="1701" w:type="dxa"/>
            <w:noWrap/>
          </w:tcPr>
          <w:p>
            <w:pPr>
              <w:snapToGrid w:val="0"/>
              <w:spacing w:line="360" w:lineRule="auto"/>
              <w:jc w:val="both"/>
              <w:rPr>
                <w:rFonts w:ascii="Book Antiqua" w:hAnsi="Book Antiqua" w:cs="Cordia New"/>
              </w:rPr>
            </w:pPr>
            <w:r>
              <w:rPr>
                <w:rFonts w:ascii="Book Antiqua" w:hAnsi="Book Antiqua" w:cs="Cordia New"/>
              </w:rPr>
              <w:t>83.1</w:t>
            </w:r>
          </w:p>
        </w:tc>
        <w:tc>
          <w:tcPr>
            <w:tcW w:w="1559" w:type="dxa"/>
            <w:noWrap/>
          </w:tcPr>
          <w:p>
            <w:pPr>
              <w:snapToGrid w:val="0"/>
              <w:spacing w:line="360" w:lineRule="auto"/>
              <w:jc w:val="both"/>
              <w:rPr>
                <w:rFonts w:ascii="Book Antiqua" w:hAnsi="Book Antiqua" w:cs="Cordia New"/>
              </w:rPr>
            </w:pPr>
            <w:r>
              <w:rPr>
                <w:rFonts w:ascii="Book Antiqua" w:hAnsi="Book Antiqua" w:cs="Cordia New"/>
              </w:rPr>
              <w:t>NR</w:t>
            </w:r>
          </w:p>
        </w:tc>
        <w:tc>
          <w:tcPr>
            <w:tcW w:w="1701" w:type="dxa"/>
          </w:tcPr>
          <w:p>
            <w:pPr>
              <w:snapToGrid w:val="0"/>
              <w:spacing w:line="360" w:lineRule="auto"/>
              <w:jc w:val="both"/>
              <w:rPr>
                <w:rFonts w:ascii="Book Antiqua" w:hAnsi="Book Antiqua" w:cs="Cordia New"/>
              </w:rPr>
            </w:pPr>
            <w:r>
              <w:rPr>
                <w:rFonts w:ascii="Book Antiqua" w:hAnsi="Book Antiqua" w:cs="Cordia New"/>
              </w:rPr>
              <w:t>0/95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Patwardhan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{"citationID":"Mh3t4yqt","properties":{"formattedCitation":"\\super [87]\\nosupersub{}","plainCitation":"[87]","noteIndex":0},"citationItems":[{"id":"KzFaBDxp/bPs9SO1k","uris":["http://zotero.org/users/local/NyhnE8P8/items/S6DLK3DD"],"uri":["http://zotero.org/users/local/NyhnE8P8/items/S6DLK3DD"],"itemData":{"id":626,"type":"article-journal","abstract":"Background The treatment of HBeAg-negative chronic hepatitis B (CHB) is considered to be open-ended, with no guidelines for treatment cessation. Aim To evaluate biochemical and virological relapse requiring retreatment in noncirrhotic HBeAg-negative CHB in patients who stopped treatment following a period of prolonged viral suppression with nucleotides/nucleosides. Methods We performed a single-centre retrospective chart review of patients with HBeAg-negative CHB who maintained viral suppression for 4–5 years on anti-viral treatment, and thus subsequently stopped treatment. The primary end point of composite relapse was defined by an increase in HBV DNA &gt;2000 IU/mL, ALT elevation above 1.25 × normal or doubling of ALT from cessation, and re-initiation of anti-viral therapy. Results We identified 33 patients with HBeAg-negative CHB who stopped treatment following viral suppression. Mean treatment duration was 5.28 ± 2.73 years. Patients were treated with lamivudine (3), adefovir (14), entecavir (4), and tenofovir (12). Eleven (33%) patients met the primary end point of composite relapse. For individual end points, 21 (63%) patients had a viral relapse, 16 (48%) had a biochemical relapse, and 16 (48%) restarted treatment, leaving 17 (52%) patients who remained treatment-free over a median 36 months of follow-up. Lower pre-treatment ALT and detectable HBV DNA within the first month after treatment discontinuation were associated with increased rates of composite relapse (HR 1.01; P = 0.022 for ALT and HR 1.01; P = 0.038 for HBV DNA). Conclusion Patients with noncirrhotic HBeAg-negative CHB can stop treatment after greater than 4–5 years of suppressive therapy with nucleosides/nucleotides with more than 50% remaining treatment-free.","container-title":"Alimentary Pharmacology &amp; Therapeutics","DOI":"10/f6jqsv","ISSN":"1365-2036","issue":"7","language":"en","note":"_eprint: https://onlinelibrary.wiley.com/doi/pdf/10.1111/apt.12908","page":"804-810","source":"Wiley Online Library","title":"Treatment cessation in noncirrhotic, e-antigen negative chronic hepatitis B is safe and effective following prolonged anti-viral suppression with nucleosides/nucleotides","volume":"40","author":[{"family":"Patwardhan","given":"V. R."},{"family":"Sengupta","given":"N."},{"family":"Bonder","given":"A."},{"family":"Lau","given":"D."},{"family":"Afdhal","given":"N. H."}],"issued":{"date-parts":[["2014"]]}}}],"schema":"https://github.com/citation-style-language/schema/raw/master/csl-citation.json"}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[87]</w:t>
            </w:r>
            <w:r>
              <w:rPr>
                <w:rFonts w:ascii="Book Antiqua" w:hAnsi="Book Antiqua" w:cs="Cordia New"/>
              </w:rPr>
              <w:fldChar w:fldCharType="end"/>
            </w:r>
            <w:r>
              <w:rPr>
                <w:rFonts w:ascii="Book Antiqua" w:hAnsi="Book Antiqua" w:cs="Cordia New"/>
              </w:rPr>
              <w:t>, 2014</w:t>
            </w:r>
          </w:p>
        </w:tc>
        <w:tc>
          <w:tcPr>
            <w:tcW w:w="1843" w:type="dxa"/>
          </w:tcPr>
          <w:p>
            <w:pPr>
              <w:snapToGrid w:val="0"/>
              <w:spacing w:line="360" w:lineRule="auto"/>
              <w:jc w:val="both"/>
              <w:rPr>
                <w:rFonts w:ascii="Book Antiqua" w:hAnsi="Book Antiqua" w:cs="Cordia New"/>
                <w:lang w:eastAsia="zh-CN"/>
              </w:rPr>
            </w:pPr>
            <w:r>
              <w:rPr>
                <w:rFonts w:ascii="Book Antiqua" w:hAnsi="Book Antiqua" w:cs="Cordia New"/>
              </w:rPr>
              <w:t>U</w:t>
            </w:r>
            <w:r>
              <w:rPr>
                <w:rFonts w:ascii="Book Antiqua" w:hAnsi="Book Antiqua" w:cs="Cordia New"/>
                <w:lang w:eastAsia="zh-CN"/>
              </w:rPr>
              <w:t>nited States</w:t>
            </w:r>
          </w:p>
        </w:tc>
        <w:tc>
          <w:tcPr>
            <w:tcW w:w="1276" w:type="dxa"/>
          </w:tcPr>
          <w:p>
            <w:pPr>
              <w:snapToGrid w:val="0"/>
              <w:spacing w:line="360" w:lineRule="auto"/>
              <w:jc w:val="both"/>
              <w:rPr>
                <w:rFonts w:ascii="Book Antiqua" w:hAnsi="Book Antiqua" w:cs="Cordia New"/>
              </w:rPr>
            </w:pPr>
            <w:r>
              <w:rPr>
                <w:rFonts w:ascii="Book Antiqua" w:hAnsi="Book Antiqua" w:cs="Cordia New"/>
              </w:rPr>
              <w:t>33</w:t>
            </w:r>
          </w:p>
        </w:tc>
        <w:tc>
          <w:tcPr>
            <w:tcW w:w="1984" w:type="dxa"/>
          </w:tcPr>
          <w:p>
            <w:pPr>
              <w:snapToGrid w:val="0"/>
              <w:spacing w:line="360" w:lineRule="auto"/>
              <w:jc w:val="both"/>
              <w:rPr>
                <w:rFonts w:ascii="Book Antiqua" w:hAnsi="Book Antiqua" w:cs="Cordia New"/>
              </w:rPr>
            </w:pPr>
            <w:r>
              <w:rPr>
                <w:rFonts w:ascii="Book Antiqua" w:hAnsi="Book Antiqua" w:cs="Cordia New"/>
              </w:rPr>
              <w:t>33</w:t>
            </w:r>
          </w:p>
        </w:tc>
        <w:tc>
          <w:tcPr>
            <w:tcW w:w="1560" w:type="dxa"/>
          </w:tcPr>
          <w:p>
            <w:pPr>
              <w:snapToGrid w:val="0"/>
              <w:spacing w:line="360" w:lineRule="auto"/>
              <w:jc w:val="both"/>
              <w:rPr>
                <w:rFonts w:ascii="Book Antiqua" w:hAnsi="Book Antiqua" w:cs="Cordia New"/>
              </w:rPr>
            </w:pPr>
            <w:r>
              <w:rPr>
                <w:rFonts w:ascii="Book Antiqua" w:hAnsi="Book Antiqua" w:cs="Cordia New"/>
              </w:rPr>
              <w:t>36</w:t>
            </w:r>
          </w:p>
        </w:tc>
        <w:tc>
          <w:tcPr>
            <w:tcW w:w="1701" w:type="dxa"/>
            <w:noWrap/>
          </w:tcPr>
          <w:p>
            <w:pPr>
              <w:snapToGrid w:val="0"/>
              <w:spacing w:line="360" w:lineRule="auto"/>
              <w:jc w:val="both"/>
              <w:rPr>
                <w:rFonts w:ascii="Book Antiqua" w:hAnsi="Book Antiqua" w:cs="Cordia New"/>
              </w:rPr>
            </w:pPr>
            <w:r>
              <w:rPr>
                <w:rFonts w:ascii="Book Antiqua" w:hAnsi="Book Antiqua" w:cs="Cordia New"/>
              </w:rPr>
              <w:t>63.6</w:t>
            </w:r>
          </w:p>
        </w:tc>
        <w:tc>
          <w:tcPr>
            <w:tcW w:w="1559" w:type="dxa"/>
            <w:noWrap/>
          </w:tcPr>
          <w:p>
            <w:pPr>
              <w:snapToGrid w:val="0"/>
              <w:spacing w:line="360" w:lineRule="auto"/>
              <w:jc w:val="both"/>
              <w:rPr>
                <w:rFonts w:ascii="Book Antiqua" w:hAnsi="Book Antiqua" w:cs="Cordia New"/>
              </w:rPr>
            </w:pPr>
            <w:r>
              <w:rPr>
                <w:rFonts w:ascii="Book Antiqua" w:hAnsi="Book Antiqua" w:cs="Cordia New"/>
              </w:rPr>
              <w:t>48.5</w:t>
            </w:r>
          </w:p>
        </w:tc>
        <w:tc>
          <w:tcPr>
            <w:tcW w:w="1701" w:type="dxa"/>
          </w:tcPr>
          <w:p>
            <w:pPr>
              <w:snapToGrid w:val="0"/>
              <w:spacing w:line="360" w:lineRule="auto"/>
              <w:jc w:val="both"/>
              <w:rPr>
                <w:rFonts w:ascii="Book Antiqua" w:hAnsi="Book Antiqua" w:cs="Cordia New"/>
              </w:rPr>
            </w:pPr>
            <w:r>
              <w:rPr>
                <w:rFonts w:ascii="Book Antiqua" w:hAnsi="Book Antiqua" w:cs="Cordia New"/>
              </w:rPr>
              <w:t>0/33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He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{"citationID":"OeDRGA4v","properties":{"formattedCitation":"\\super [88]\\nosupersub{}","plainCitation":"[88]","noteIndex":0},"citationItems":[{"id":12,"uris":["http://zotero.org/users/local/NyhnE8P8/items/JYUMVVWJ"],"uri":["http://zotero.org/users/local/NyhnE8P8/items/JYUMVVWJ"],"itemData":{"id":12,"type":"article-journal","abstract":"Nucleos(t)ide analogue (NUC) resistance is an important clinical risk resulting from long-term therapy in chronic hepatitis B (CHB) management. Discontinuation of NUCs is a feasible strategy to reduce resistance. We aimed to observe the outcomes after NUC withdrawal in HBeAg-positive CHB patients. A total of 97 patients (11 patients with HBsAg loss and 86 patients with sustained HBeAg seroconversion) were enrolled. HBV DNA levels and alanine aminotransferase (ALT)  levels were monitored regularly after discontinuation. Relapse was defined as HBV DNA levels &gt;2000 IU/mL in at least two determinations more than 4 weeks apart. HBeAg seroconversion was achieved within 48 weeks (interquartile range (IQR),","container-title":"Clinical microbiology and infection : the official publication of the European Society of Clinical Microbiology and Infectious Diseases","DOI":"10.1111/1469-0691.12605","ISSN":"1469-0691 1198-743X","issue":"10","journalAbbreviation":"Clin Microbiol Infect","language":"eng","note":"PMID: 25469947","page":"O687-693","title":"Long-term outcomes after nucleos(t)ide analogue discontinuation in HBeAg-positive chronic hepatitis B patients.","volume":"20","author":[{"family":"He","given":"D."},{"family":"Guo","given":"S."},{"family":"Zhu","given":"P."},{"family":"Tao","given":"S."},{"family":"Li","given":"M."},{"family":"Huang","given":"H."},{"family":"Wang","given":"J."},{"family":"Wang","given":"Y."},{"family":"Ding","given":"M."}],"issued":{"date-parts":[["2014",10]]}}}],"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[88]</w:t>
            </w:r>
            <w:r>
              <w:rPr>
                <w:rFonts w:ascii="Book Antiqua" w:hAnsi="Book Antiqua" w:cs="Cordia New"/>
              </w:rPr>
              <w:fldChar w:fldCharType="end"/>
            </w:r>
            <w:r>
              <w:rPr>
                <w:rFonts w:ascii="Book Antiqua" w:hAnsi="Book Antiqua" w:cs="Cordia New"/>
              </w:rPr>
              <w:t>, 2014</w:t>
            </w:r>
          </w:p>
        </w:tc>
        <w:tc>
          <w:tcPr>
            <w:tcW w:w="1843" w:type="dxa"/>
          </w:tcPr>
          <w:p>
            <w:pPr>
              <w:snapToGrid w:val="0"/>
              <w:spacing w:line="360" w:lineRule="auto"/>
              <w:jc w:val="both"/>
              <w:rPr>
                <w:rFonts w:ascii="Book Antiqua" w:hAnsi="Book Antiqua" w:cs="Cordia New"/>
              </w:rPr>
            </w:pPr>
            <w:r>
              <w:rPr>
                <w:rFonts w:ascii="Book Antiqua" w:hAnsi="Book Antiqua" w:cs="Cordia New"/>
              </w:rPr>
              <w:t>China</w:t>
            </w:r>
          </w:p>
        </w:tc>
        <w:tc>
          <w:tcPr>
            <w:tcW w:w="1276" w:type="dxa"/>
          </w:tcPr>
          <w:p>
            <w:pPr>
              <w:snapToGrid w:val="0"/>
              <w:spacing w:line="360" w:lineRule="auto"/>
              <w:jc w:val="both"/>
              <w:rPr>
                <w:rFonts w:ascii="Book Antiqua" w:hAnsi="Book Antiqua" w:cs="Cordia New"/>
              </w:rPr>
            </w:pPr>
            <w:r>
              <w:rPr>
                <w:rFonts w:ascii="Book Antiqua" w:hAnsi="Book Antiqua" w:cs="Cordia New"/>
              </w:rPr>
              <w:t>97</w:t>
            </w:r>
          </w:p>
        </w:tc>
        <w:tc>
          <w:tcPr>
            <w:tcW w:w="1984" w:type="dxa"/>
          </w:tcPr>
          <w:p>
            <w:pPr>
              <w:snapToGrid w:val="0"/>
              <w:spacing w:line="360" w:lineRule="auto"/>
              <w:jc w:val="both"/>
              <w:rPr>
                <w:rFonts w:ascii="Book Antiqua" w:hAnsi="Book Antiqua" w:cs="Cordia New"/>
              </w:rPr>
            </w:pPr>
            <w:r>
              <w:rPr>
                <w:rFonts w:ascii="Book Antiqua" w:hAnsi="Book Antiqua" w:cs="Cordia New"/>
              </w:rPr>
              <w:t>0</w:t>
            </w:r>
          </w:p>
        </w:tc>
        <w:tc>
          <w:tcPr>
            <w:tcW w:w="1560" w:type="dxa"/>
          </w:tcPr>
          <w:p>
            <w:pPr>
              <w:snapToGrid w:val="0"/>
              <w:spacing w:line="360" w:lineRule="auto"/>
              <w:jc w:val="both"/>
              <w:rPr>
                <w:rFonts w:ascii="Book Antiqua" w:hAnsi="Book Antiqua" w:cs="Cordia New"/>
              </w:rPr>
            </w:pPr>
            <w:r>
              <w:rPr>
                <w:rFonts w:ascii="Book Antiqua" w:hAnsi="Book Antiqua" w:cs="Cordia New"/>
              </w:rPr>
              <w:t>32</w:t>
            </w:r>
          </w:p>
        </w:tc>
        <w:tc>
          <w:tcPr>
            <w:tcW w:w="1701" w:type="dxa"/>
            <w:noWrap/>
          </w:tcPr>
          <w:p>
            <w:pPr>
              <w:snapToGrid w:val="0"/>
              <w:spacing w:line="360" w:lineRule="auto"/>
              <w:jc w:val="both"/>
              <w:rPr>
                <w:rFonts w:ascii="Book Antiqua" w:hAnsi="Book Antiqua" w:cs="Cordia New"/>
              </w:rPr>
            </w:pPr>
            <w:r>
              <w:rPr>
                <w:rFonts w:ascii="Book Antiqua" w:hAnsi="Book Antiqua" w:cs="Cordia New"/>
              </w:rPr>
              <w:t>8.2</w:t>
            </w:r>
          </w:p>
        </w:tc>
        <w:tc>
          <w:tcPr>
            <w:tcW w:w="1559" w:type="dxa"/>
            <w:noWrap/>
          </w:tcPr>
          <w:p>
            <w:pPr>
              <w:snapToGrid w:val="0"/>
              <w:spacing w:line="360" w:lineRule="auto"/>
              <w:jc w:val="both"/>
              <w:rPr>
                <w:rFonts w:ascii="Book Antiqua" w:hAnsi="Book Antiqua" w:cs="Cordia New"/>
              </w:rPr>
            </w:pPr>
            <w:r>
              <w:rPr>
                <w:rFonts w:ascii="Book Antiqua" w:hAnsi="Book Antiqua" w:cs="Cordia New"/>
              </w:rPr>
              <w:t>1</w:t>
            </w:r>
          </w:p>
        </w:tc>
        <w:tc>
          <w:tcPr>
            <w:tcW w:w="1701" w:type="dxa"/>
          </w:tcPr>
          <w:p>
            <w:pPr>
              <w:snapToGrid w:val="0"/>
              <w:spacing w:line="360" w:lineRule="auto"/>
              <w:jc w:val="both"/>
              <w:rPr>
                <w:rFonts w:ascii="Book Antiqua" w:hAnsi="Book Antiqua" w:cs="Cordia New"/>
              </w:rPr>
            </w:pPr>
            <w:r>
              <w:rPr>
                <w:rFonts w:ascii="Book Antiqua" w:hAnsi="Book Antiqua" w:cs="Cordia New"/>
              </w:rPr>
              <w:t>11/97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Chen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{"citationID":"eTbeORgE","properties":{"formattedCitation":"\\super [40]\\nosupersub{}","plainCitation":"[40]","noteIndex":0},"citationItems":[{"id":232,"uris":["http://zotero.org/users/local/NyhnE8P8/items/PZQPJNGH"],"uri":["http://zotero.org/users/local/NyhnE8P8/items/PZQPJNGH"],"itemData":{"id":232,"type":"article-journal","abstract":"BACKGROUND &amp; AIMS: We investigated whether the quantification of hepatitis surface antigen (HBsAg) could predict HBsAg loss or hepatitis B virus (HBV) relapse after stopping lamivudine treatment. METHODS: A total of 188 naive chronic hepatitis B patients (83 HBeAg-positive, 105 HBeAg-negative patients), who were previously treated with lamivudine (treatment duration: 89.3 +/- 35.9 weeks, range: 52-243 weeks) but stopped the treatment for at least 12 months were recruited. RESULTS: The cumulative incidence of HBsAg loss and HBV relapse at year 6 after stopping lamivudine treatment was 24% and 65.9% respectively. Cox regression analysis revealed that lower alanine aminotransferase (ALT) at baseline, lower HBsAg levels at the end of treatment, and longer treatment duration were independent predictors for HBsAg loss, and old age, male sex and higher HBsAg levels at the end of treatment were independent predictors for post-treatment HBV relapse. At the end of treatment, the HBsAg cut-off value of 300 IU/ml could predict 55.6% (5/9) HBsAg loss in HBeAg-positive patients. In HBeAg-negative patients, the HBsAg cut-off values of 120 and 200 IU/ml could predict 79.2% (19/24) HBsAg loss and 93.3% (28/30) post-treatment sustained response respectively. Further HBsAg reduction (&gt;0.22 log IU/ml) at month 6 after stopping treatment was an independent predictor for HBsAg loss after adjusting for HBsAg level at the end of treatment. CONCLUSIONS: Serum HBsAg level at the end of treatment is a useful predictor to guide the timing of stopping lamivudine treatment in chronic hepatitis B patients.","container-title":"Journal of hepatology","DOI":"10/f2tkx3","ISSN":"1600-0641 0168-8278","issue":"3","journalAbbreviation":"J Hepatol","language":"eng","note":"PMID: 24798617","page":"515-522","title":"The role of hepatitis B surface antigen quantification in predicting HBsAg loss and HBV relapse after discontinuation of lamivudine treatment.","volume":"61","author":[{"family":"Chen","given":"Chien-Hung"},{"family":"Lu","given":"Sheng-Nan"},{"family":"Hung","given":"Chao-Hung"},{"family":"Wang","given":"Jing-Houng"},{"family":"Hu","given":"Tsung-Hui"},{"family":"Changchien","given":"Chi-Sin"},{"family":"Lee","given":"Chuan-Mo"}],"issued":{"date-parts":[["2014",9]]}}}],"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[40]</w:t>
            </w:r>
            <w:r>
              <w:rPr>
                <w:rFonts w:ascii="Book Antiqua" w:hAnsi="Book Antiqua" w:cs="Cordia New"/>
              </w:rPr>
              <w:fldChar w:fldCharType="end"/>
            </w:r>
            <w:r>
              <w:rPr>
                <w:rFonts w:ascii="Book Antiqua" w:hAnsi="Book Antiqua" w:cs="Cordia New"/>
              </w:rPr>
              <w:t>, 2014</w:t>
            </w:r>
          </w:p>
        </w:tc>
        <w:tc>
          <w:tcPr>
            <w:tcW w:w="1843" w:type="dxa"/>
          </w:tcPr>
          <w:p>
            <w:pPr>
              <w:snapToGrid w:val="0"/>
              <w:spacing w:line="360" w:lineRule="auto"/>
              <w:jc w:val="both"/>
              <w:rPr>
                <w:rFonts w:ascii="Book Antiqua" w:hAnsi="Book Antiqua" w:cs="Cordia New"/>
              </w:rPr>
            </w:pPr>
            <w:r>
              <w:rPr>
                <w:rFonts w:ascii="Book Antiqua" w:hAnsi="Book Antiqua" w:cs="Cordia New"/>
              </w:rPr>
              <w:t>Taiwan</w:t>
            </w:r>
          </w:p>
        </w:tc>
        <w:tc>
          <w:tcPr>
            <w:tcW w:w="1276" w:type="dxa"/>
          </w:tcPr>
          <w:p>
            <w:pPr>
              <w:snapToGrid w:val="0"/>
              <w:spacing w:line="360" w:lineRule="auto"/>
              <w:jc w:val="both"/>
              <w:rPr>
                <w:rFonts w:ascii="Book Antiqua" w:hAnsi="Book Antiqua" w:cs="Cordia New"/>
              </w:rPr>
            </w:pPr>
            <w:r>
              <w:rPr>
                <w:rFonts w:ascii="Book Antiqua" w:hAnsi="Book Antiqua" w:cs="Cordia New"/>
              </w:rPr>
              <w:t>188</w:t>
            </w:r>
          </w:p>
        </w:tc>
        <w:tc>
          <w:tcPr>
            <w:tcW w:w="1984" w:type="dxa"/>
          </w:tcPr>
          <w:p>
            <w:pPr>
              <w:snapToGrid w:val="0"/>
              <w:spacing w:line="360" w:lineRule="auto"/>
              <w:jc w:val="both"/>
              <w:rPr>
                <w:rFonts w:ascii="Book Antiqua" w:hAnsi="Book Antiqua" w:cs="Cordia New"/>
              </w:rPr>
            </w:pPr>
            <w:r>
              <w:rPr>
                <w:rFonts w:ascii="Book Antiqua" w:hAnsi="Book Antiqua" w:cs="Cordia New"/>
              </w:rPr>
              <w:t>105</w:t>
            </w:r>
          </w:p>
        </w:tc>
        <w:tc>
          <w:tcPr>
            <w:tcW w:w="1560" w:type="dxa"/>
          </w:tcPr>
          <w:p>
            <w:pPr>
              <w:snapToGrid w:val="0"/>
              <w:spacing w:line="360" w:lineRule="auto"/>
              <w:jc w:val="both"/>
              <w:rPr>
                <w:rFonts w:ascii="Book Antiqua" w:hAnsi="Book Antiqua" w:cs="Cordia New"/>
              </w:rPr>
            </w:pPr>
            <w:r>
              <w:rPr>
                <w:rFonts w:ascii="Book Antiqua" w:hAnsi="Book Antiqua" w:cs="Cordia New"/>
              </w:rPr>
              <w:t>49</w:t>
            </w:r>
          </w:p>
        </w:tc>
        <w:tc>
          <w:tcPr>
            <w:tcW w:w="1701" w:type="dxa"/>
            <w:noWrap/>
          </w:tcPr>
          <w:p>
            <w:pPr>
              <w:snapToGrid w:val="0"/>
              <w:spacing w:line="360" w:lineRule="auto"/>
              <w:jc w:val="both"/>
              <w:rPr>
                <w:rFonts w:ascii="Book Antiqua" w:hAnsi="Book Antiqua" w:cs="Cordia New"/>
              </w:rPr>
            </w:pPr>
            <w:r>
              <w:rPr>
                <w:rFonts w:ascii="Book Antiqua" w:hAnsi="Book Antiqua" w:cs="Cordia New"/>
              </w:rPr>
              <w:t>66.5</w:t>
            </w:r>
          </w:p>
        </w:tc>
        <w:tc>
          <w:tcPr>
            <w:tcW w:w="1559" w:type="dxa"/>
            <w:noWrap/>
          </w:tcPr>
          <w:p>
            <w:pPr>
              <w:snapToGrid w:val="0"/>
              <w:spacing w:line="360" w:lineRule="auto"/>
              <w:jc w:val="both"/>
              <w:rPr>
                <w:rFonts w:ascii="Book Antiqua" w:hAnsi="Book Antiqua" w:cs="Cordia New"/>
              </w:rPr>
            </w:pPr>
            <w:r>
              <w:rPr>
                <w:rFonts w:ascii="Book Antiqua" w:hAnsi="Book Antiqua" w:cs="Cordia New"/>
              </w:rPr>
              <w:t>NR</w:t>
            </w:r>
          </w:p>
        </w:tc>
        <w:tc>
          <w:tcPr>
            <w:tcW w:w="1701" w:type="dxa"/>
          </w:tcPr>
          <w:p>
            <w:pPr>
              <w:snapToGrid w:val="0"/>
              <w:spacing w:line="360" w:lineRule="auto"/>
              <w:jc w:val="both"/>
              <w:rPr>
                <w:rFonts w:ascii="Book Antiqua" w:hAnsi="Book Antiqua" w:cs="Cordia New"/>
              </w:rPr>
            </w:pPr>
            <w:r>
              <w:rPr>
                <w:rFonts w:ascii="Book Antiqua" w:hAnsi="Book Antiqua" w:cs="Cordia New"/>
              </w:rPr>
              <w:t>33/185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Jiang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{"citationID":"8ROXOO50","properties":{"formattedCitation":"\\super [89]\\nosupersub{}","plainCitation":"[89]","noteIndex":0},"citationItems":[{"id":1133,"uris":["http://zotero.org/users/local/NyhnE8P8/items/I52ZQ9P8"],"uri":["http://zotero.org/users/local/NyhnE8P8/items/I52ZQ9P8"],"itemData":{"id":1133,"type":"article-journal","abstract":"OBJECTIVE: To investigate the relationship between relapse and the levels of the residual amount of HBV DNA in serum at cessation in chronic hepatitis B patients meeting 2008 Asian Pacific Association for the Study of the Liver (APASL) nucleos(t)ide analogs (NAs) cessation criteria.\nMETHODS: A total of 72 chronic hepatitis B patients who took NAs and had reached 2008 APASL cessation criteria entered the study. Patients were followed up for 6 months or longer after antiviral therapy was stopped. Serum HBV DNA level at cessation was detected by a highly sensitive polymerase chain reaction assay with detection limitation of 2 IU/mL.\nRESULTS: Of all the 72 patients, 42 patients (65.3%) relapsed after NA cessation. The detectable rate of the trace amount of HBV DNA at cessation was 41.7% by highly sensitive polymerase chain reaction reagents. The detectable rate of patients with consolidation treatment duration of &lt;18 months was higher than that with consolidation duration of ≥18 months (47.5% vs. 15.4%, P=0.034), and the detectable rate of patients with HBeAg seroconversion within 6 months of treatment was lower than that of ≥6 months (25.0% vs. 61.5%, P=0.036). The residual amount of HBV DNA and detectable rate at cessation showed significant differences between relapsed and nonrelapsed patients (130.4±420.90 vs 44.6±155.16 IU/mL, P=0.004; 55.3% vs. 16.0%, P=0.001). The cutoff value predicting relapse was 2.24 IU/mL, with a sensitivity of 0.553 and specificity of 0.840.\nCONCLUSIONS: Residual amount of HBV DNA in serum at NA cessation is associated with HBV relapse. The cutoff value predicting relapse was 2.24 IU/mL, with a sensitivity of 0.553 and specificity of 0.840.","container-title":"Journal of Clinical Gastroenterology","DOI":"10/f66n5f","ISSN":"1539-2031","issue":"4","journalAbbreviation":"J Clin Gastroenterol","language":"eng","note":"PMID: 25014234","page":"323-328","source":"PubMed","title":"Residual amount of HBV DNA in serum is related to relapse in chronic hepatitis B patients after cessation of nucleos(t)ide analogs","volume":"49","author":[{"family":"Jiang","given":"Jian-ning"},{"family":"Huang","given":"Zhan-lian"},{"family":"He","given":"Li-xia"},{"family":"Huang","given":"Yue-hua"},{"family":"Su","given":"Ming-hua"},{"family":"Xie","given":"Rong"},{"family":"Liang","given":"Yan-xiu"},{"family":"Fu","given":"Wu-dao"},{"family":"Huang","given":"Xiao-hong"},{"family":"Guo","given":"Wen-wen"},{"family":"Zhong","given":"Shao-hua"},{"family":"Liu","given":"Zhi-hong"},{"family":"Li","given":"Shi-hua"},{"family":"Zhu","given":"Tuo-fu"},{"family":"Gao","given":"Zhi-liang"}],"issued":{"date-parts":[["2015",4]]}}}],"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[89]</w:t>
            </w:r>
            <w:r>
              <w:rPr>
                <w:rFonts w:ascii="Book Antiqua" w:hAnsi="Book Antiqua" w:cs="Cordia New"/>
              </w:rPr>
              <w:fldChar w:fldCharType="end"/>
            </w:r>
            <w:r>
              <w:rPr>
                <w:rFonts w:ascii="Book Antiqua" w:hAnsi="Book Antiqua" w:cs="Cordia New"/>
              </w:rPr>
              <w:t>, 2015</w:t>
            </w:r>
          </w:p>
        </w:tc>
        <w:tc>
          <w:tcPr>
            <w:tcW w:w="1843" w:type="dxa"/>
          </w:tcPr>
          <w:p>
            <w:pPr>
              <w:snapToGrid w:val="0"/>
              <w:spacing w:line="360" w:lineRule="auto"/>
              <w:jc w:val="both"/>
              <w:rPr>
                <w:rFonts w:ascii="Book Antiqua" w:hAnsi="Book Antiqua" w:cs="Cordia New"/>
              </w:rPr>
            </w:pPr>
            <w:r>
              <w:rPr>
                <w:rFonts w:ascii="Book Antiqua" w:hAnsi="Book Antiqua" w:cs="Cordia New"/>
              </w:rPr>
              <w:t>China</w:t>
            </w:r>
          </w:p>
        </w:tc>
        <w:tc>
          <w:tcPr>
            <w:tcW w:w="1276" w:type="dxa"/>
          </w:tcPr>
          <w:p>
            <w:pPr>
              <w:snapToGrid w:val="0"/>
              <w:spacing w:line="360" w:lineRule="auto"/>
              <w:jc w:val="both"/>
              <w:rPr>
                <w:rFonts w:ascii="Book Antiqua" w:hAnsi="Book Antiqua" w:cs="Cordia New"/>
              </w:rPr>
            </w:pPr>
            <w:r>
              <w:rPr>
                <w:rFonts w:ascii="Book Antiqua" w:hAnsi="Book Antiqua" w:cs="Cordia New"/>
              </w:rPr>
              <w:t>72</w:t>
            </w:r>
          </w:p>
        </w:tc>
        <w:tc>
          <w:tcPr>
            <w:tcW w:w="1984" w:type="dxa"/>
          </w:tcPr>
          <w:p>
            <w:pPr>
              <w:snapToGrid w:val="0"/>
              <w:spacing w:line="360" w:lineRule="auto"/>
              <w:jc w:val="both"/>
              <w:rPr>
                <w:rFonts w:ascii="Book Antiqua" w:hAnsi="Book Antiqua" w:cs="Cordia New"/>
              </w:rPr>
            </w:pPr>
            <w:r>
              <w:rPr>
                <w:rFonts w:ascii="Book Antiqua" w:hAnsi="Book Antiqua" w:cs="Cordia New"/>
              </w:rPr>
              <w:t>39</w:t>
            </w:r>
          </w:p>
        </w:tc>
        <w:tc>
          <w:tcPr>
            <w:tcW w:w="1560" w:type="dxa"/>
          </w:tcPr>
          <w:p>
            <w:pPr>
              <w:snapToGrid w:val="0"/>
              <w:spacing w:line="360" w:lineRule="auto"/>
              <w:jc w:val="both"/>
              <w:rPr>
                <w:rFonts w:ascii="Book Antiqua" w:hAnsi="Book Antiqua" w:cs="Cordia New"/>
              </w:rPr>
            </w:pPr>
            <w:r>
              <w:rPr>
                <w:rFonts w:ascii="Book Antiqua" w:hAnsi="Book Antiqua" w:cs="Cordia New"/>
              </w:rPr>
              <w:t>13</w:t>
            </w:r>
          </w:p>
        </w:tc>
        <w:tc>
          <w:tcPr>
            <w:tcW w:w="1701" w:type="dxa"/>
            <w:noWrap/>
          </w:tcPr>
          <w:p>
            <w:pPr>
              <w:snapToGrid w:val="0"/>
              <w:spacing w:line="360" w:lineRule="auto"/>
              <w:jc w:val="both"/>
              <w:rPr>
                <w:rFonts w:ascii="Book Antiqua" w:hAnsi="Book Antiqua" w:cs="Cordia New"/>
              </w:rPr>
            </w:pPr>
            <w:r>
              <w:rPr>
                <w:rFonts w:ascii="Book Antiqua" w:hAnsi="Book Antiqua" w:cs="Cordia New"/>
              </w:rPr>
              <w:t>65.3</w:t>
            </w:r>
          </w:p>
        </w:tc>
        <w:tc>
          <w:tcPr>
            <w:tcW w:w="1559" w:type="dxa"/>
            <w:noWrap/>
          </w:tcPr>
          <w:p>
            <w:pPr>
              <w:snapToGrid w:val="0"/>
              <w:spacing w:line="360" w:lineRule="auto"/>
              <w:jc w:val="both"/>
              <w:rPr>
                <w:rFonts w:ascii="Book Antiqua" w:hAnsi="Book Antiqua" w:cs="Cordia New"/>
              </w:rPr>
            </w:pPr>
            <w:r>
              <w:rPr>
                <w:rFonts w:ascii="Book Antiqua" w:hAnsi="Book Antiqua" w:cs="Cordia New"/>
              </w:rPr>
              <w:t>41.7</w:t>
            </w:r>
          </w:p>
        </w:tc>
        <w:tc>
          <w:tcPr>
            <w:tcW w:w="1701" w:type="dxa"/>
          </w:tcPr>
          <w:p>
            <w:pPr>
              <w:snapToGrid w:val="0"/>
              <w:spacing w:line="360" w:lineRule="auto"/>
              <w:jc w:val="both"/>
              <w:rPr>
                <w:rFonts w:ascii="Book Antiqua" w:hAnsi="Book Antiqua" w:cs="Cordia New"/>
              </w:rPr>
            </w:pPr>
            <w:r>
              <w:rPr>
                <w:rFonts w:ascii="Book Antiqua" w:hAnsi="Book Antiqua" w:cs="Cordia New"/>
              </w:rPr>
              <w:t>NR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Seto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{"citationID":"p80ffXyN","properties":{"formattedCitation":"\\super [90]\\nosupersub{}","plainCitation":"[90]","noteIndex":0},"citationItems":[{"id":165,"uris":["http://zotero.org/users/local/NyhnE8P8/items/RF9UKXES"],"uri":["http://zotero.org/users/local/NyhnE8P8/items/RF9UKXES"],"itemData":{"id":165,"type":"article-journal","abstract":"BACKGROUND AND OBJECTIVE: The off-treatment durability of nucleos(t)ide analogue therapy in Asian hepatitis B e antigen (HBeAg) negative chronic hepatitis B (CHB) and the role of hepatitis B surface antigen (HBsAg) levels in predicting off-treatment durability has not been well investigated.\nMETHODS: Following Asia-Pacific Association for the Study of the Liver guidelines, entecavir was stopped in Asian HBeAg negative patients treated for ≥ 2 years with undetectable HBV DNA levels on ≥ 3 separate occasions 6 months apart before treatment cessation. HBsAg and HBV DNA levels were prospectively monitored every 6-12 weeks for 48 weeks. Entecavir was restarted if there was virologic relapse (defined as HBV DNA &gt;2000IU/mL).\nRESULT: 184 patients (mean age 53.9 years, 67.9% male) were recruited. The cumulative rate of virologic relapse at 24 and 48 weeks was 74.2% and 91.4%, respectively. The median HBV DNA level at virologic relapse was 11000 (range 2115 to &gt;1.98×10(8)) IU/mL. 42 (25.8%) patients had elevated alanine aminotransferase (median level 97 U/L, range 37-1058 U/L) during virologic relapse. Mean rate of off-treatment HBsAg decline was 0.018 (± 0.456) log IU/mL/year. No patients cleared HBsAg. There was no correlation between off-treatment serial HBsAg and HBV DNA levels (r=-0.026, p=0.541). HBsAg levels at the time of entecavir commencement, entecavir cessation and the subsequent rate of HBsAg reduction were not associated with virologic relapse (all p&gt;0.05).\nCONCLUSIONS: Entecavir cessation in Asian HBeAg negative CHB resulted in high rates of virologic relapse, suggesting nucleos(t)ide analogue therapy should be continued indefinitely until the recognised treatment endpoint of HBsAg seroclearance.","container-title":"Gut","DOI":"10.1136/gutjnl-2014-307237","ISSN":"1468-3288","issue":"4","journalAbbreviation":"Gut","language":"eng","note":"PMID: 24833635","page":"667-672","source":"PubMed","title":"Treatment cessation of entecavir in Asian patients with hepatitis B e antigen negative chronic hepatitis B: a multicentre prospective study","title-short":"Treatment cessation of entecavir in Asian patients with hepatitis B e antigen negative chronic hepatitis B","volume":"64","author":[{"family":"Seto","given":"Wai-Kay"},{"family":"Hui","given":"Aric Josun"},{"family":"Wong","given":"Vincent Wai-Sun"},{"family":"Wong","given":"Grace Lai-Hung"},{"family":"Liu","given":"Kevin Sze-Hang"},{"family":"Lai","given":"Ching-Lung"},{"family":"Yuen","given":"Man-Fung"},{"family":"Chan","given":"Henry Lik-Yuen"}],"issued":{"date-parts":[["2015",4]]}}}],"schema":"https://github.com/citation-style-language/schema/raw/master/csl-citation.json"}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[90]</w:t>
            </w:r>
            <w:r>
              <w:rPr>
                <w:rFonts w:ascii="Book Antiqua" w:hAnsi="Book Antiqua" w:cs="Cordia New"/>
              </w:rPr>
              <w:fldChar w:fldCharType="end"/>
            </w:r>
            <w:r>
              <w:rPr>
                <w:rFonts w:ascii="Book Antiqua" w:hAnsi="Book Antiqua" w:cs="Cordia New"/>
              </w:rPr>
              <w:t>, 2015</w:t>
            </w:r>
          </w:p>
        </w:tc>
        <w:tc>
          <w:tcPr>
            <w:tcW w:w="1843" w:type="dxa"/>
          </w:tcPr>
          <w:p>
            <w:pPr>
              <w:snapToGrid w:val="0"/>
              <w:spacing w:line="360" w:lineRule="auto"/>
              <w:jc w:val="both"/>
              <w:rPr>
                <w:rFonts w:ascii="Book Antiqua" w:hAnsi="Book Antiqua" w:cs="Cordia New"/>
              </w:rPr>
            </w:pPr>
            <w:r>
              <w:rPr>
                <w:rFonts w:ascii="Book Antiqua" w:hAnsi="Book Antiqua" w:cs="Cordia New"/>
              </w:rPr>
              <w:t>Hongkong</w:t>
            </w:r>
          </w:p>
        </w:tc>
        <w:tc>
          <w:tcPr>
            <w:tcW w:w="1276" w:type="dxa"/>
          </w:tcPr>
          <w:p>
            <w:pPr>
              <w:snapToGrid w:val="0"/>
              <w:spacing w:line="360" w:lineRule="auto"/>
              <w:jc w:val="both"/>
              <w:rPr>
                <w:rFonts w:ascii="Book Antiqua" w:hAnsi="Book Antiqua" w:cs="Cordia New"/>
              </w:rPr>
            </w:pPr>
            <w:r>
              <w:rPr>
                <w:rFonts w:ascii="Book Antiqua" w:hAnsi="Book Antiqua" w:cs="Cordia New"/>
              </w:rPr>
              <w:t>184</w:t>
            </w:r>
          </w:p>
        </w:tc>
        <w:tc>
          <w:tcPr>
            <w:tcW w:w="1984" w:type="dxa"/>
          </w:tcPr>
          <w:p>
            <w:pPr>
              <w:snapToGrid w:val="0"/>
              <w:spacing w:line="360" w:lineRule="auto"/>
              <w:jc w:val="both"/>
              <w:rPr>
                <w:rFonts w:ascii="Book Antiqua" w:hAnsi="Book Antiqua" w:cs="Cordia New"/>
              </w:rPr>
            </w:pPr>
            <w:r>
              <w:rPr>
                <w:rFonts w:ascii="Book Antiqua" w:hAnsi="Book Antiqua" w:cs="Cordia New"/>
              </w:rPr>
              <w:t>184</w:t>
            </w:r>
          </w:p>
        </w:tc>
        <w:tc>
          <w:tcPr>
            <w:tcW w:w="1560" w:type="dxa"/>
          </w:tcPr>
          <w:p>
            <w:pPr>
              <w:snapToGrid w:val="0"/>
              <w:spacing w:line="360" w:lineRule="auto"/>
              <w:jc w:val="both"/>
              <w:rPr>
                <w:rFonts w:ascii="Book Antiqua" w:hAnsi="Book Antiqua" w:cs="Cordia New"/>
              </w:rPr>
            </w:pPr>
            <w:r>
              <w:rPr>
                <w:rFonts w:ascii="Book Antiqua" w:hAnsi="Book Antiqua" w:cs="Cordia New"/>
              </w:rPr>
              <w:t>12</w:t>
            </w:r>
          </w:p>
        </w:tc>
        <w:tc>
          <w:tcPr>
            <w:tcW w:w="1701" w:type="dxa"/>
            <w:noWrap/>
          </w:tcPr>
          <w:p>
            <w:pPr>
              <w:snapToGrid w:val="0"/>
              <w:spacing w:line="360" w:lineRule="auto"/>
              <w:jc w:val="both"/>
              <w:rPr>
                <w:rFonts w:ascii="Book Antiqua" w:hAnsi="Book Antiqua" w:cs="Cordia New"/>
              </w:rPr>
            </w:pPr>
            <w:r>
              <w:rPr>
                <w:rFonts w:ascii="Book Antiqua" w:hAnsi="Book Antiqua" w:cs="Cordia New"/>
              </w:rPr>
              <w:t>91.8</w:t>
            </w:r>
          </w:p>
        </w:tc>
        <w:tc>
          <w:tcPr>
            <w:tcW w:w="1559" w:type="dxa"/>
            <w:noWrap/>
          </w:tcPr>
          <w:p>
            <w:pPr>
              <w:snapToGrid w:val="0"/>
              <w:spacing w:line="360" w:lineRule="auto"/>
              <w:jc w:val="both"/>
              <w:rPr>
                <w:rFonts w:ascii="Book Antiqua" w:hAnsi="Book Antiqua" w:cs="Cordia New"/>
              </w:rPr>
            </w:pPr>
            <w:r>
              <w:rPr>
                <w:rFonts w:ascii="Book Antiqua" w:hAnsi="Book Antiqua" w:cs="Cordia New"/>
              </w:rPr>
              <w:t>22.8</w:t>
            </w:r>
          </w:p>
        </w:tc>
        <w:tc>
          <w:tcPr>
            <w:tcW w:w="1701" w:type="dxa"/>
          </w:tcPr>
          <w:p>
            <w:pPr>
              <w:snapToGrid w:val="0"/>
              <w:spacing w:line="360" w:lineRule="auto"/>
              <w:jc w:val="both"/>
              <w:rPr>
                <w:rFonts w:ascii="Book Antiqua" w:hAnsi="Book Antiqua" w:cs="Cordia New"/>
              </w:rPr>
            </w:pPr>
            <w:r>
              <w:rPr>
                <w:rFonts w:ascii="Book Antiqua" w:hAnsi="Book Antiqua" w:cs="Cordia New"/>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Peng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{"citationID":"C614hsYf","properties":{"formattedCitation":"\\super [91]\\nosupersub{}","plainCitation":"[91]","noteIndex":0},"citationItems":[{"id":1142,"uris":["http://zotero.org/users/local/NyhnE8P8/items/H4PCANTY"],"uri":["http://zotero.org/users/local/NyhnE8P8/items/H4PCANTY"],"itemData":{"id":1142,"type":"article-journal","abstract":"Background/Aims:\nThe aim of this study was to identify the predictors for relapse after discontinuation of oral nucleos(t)ide analog treatment for chronic hepatitis B (CHB).\n\nPatients and Methods:\nWe evaluated patients who were receiving long-term, regular antiviral therapy with nucleos(t)ide analogs, and subsequently achieved the discontinuation criteria from the Asia-Pacific guideline. After they voluntarily discontinued the drug therapy, data were prospectively collected to observe the potential virologic relapse, and the parameters that predicted recurrence were analyzed.\n\nResults:\nSixty-five patients met the inclusion criteria, and were included in this study. Twenty-eight patients relapsed, and the accumulative recurrence rates at the 3-month, 6-month, and 1-year follow-ups were 13.85%, 32.31%, and 49.23%, respectively. There was no difference in the accumulative recurrence rate 12 months after discontinuation among patients who were positive or negative for the hepatitis B e antigen (HBeAg) before they received the medication. Logistic regression analysis revealed that the time to complete response, age at discontinuation, and HBsAg levels at discontinuation affected the rate of relapse.\n\nConclusions:\nAmong patients who received orally administrated nucleos(t)ide analogs, serum levels of HBsAg, age at discontinuation, and the time to complete response might be used as a guide to discontinue treatment. Among younger patients, those with low serum HBsAg levels, and those with an earlier complete response, the risk of relapse is lower and discontinuation is much safer.","container-title":"Saudi Journal of Gastroenterology : Official Journal of the Saudi Gastroenterology Association","DOI":"10/ghwqn8","ISSN":"1319-3767","issue":"4","journalAbbreviation":"Saudi J Gastroenterol","note":"PMID: 26228369\nPMCID: PMC4542424","page":"245-253","source":"PubMed Central","title":"Predictors of Sustained Virologic Response after Discontinuation of Nucleos(t)ide Analog Treatment for Chronic Hepatitis B","volume":"21","author":[{"family":"Peng","given":"Jie"},{"family":"Cao","given":"Jiawei"},{"family":"Yu","given":"Tao"},{"family":"Cai","given":"Shaohang"},{"family":"Li","given":"Zhandong"},{"family":"Zhang","given":"Xiaoyong"},{"family":"Sun","given":"Jian"}],"issued":{"date-parts":[["2015"]]}}}],"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[91]</w:t>
            </w:r>
            <w:r>
              <w:rPr>
                <w:rFonts w:ascii="Book Antiqua" w:hAnsi="Book Antiqua" w:cs="Cordia New"/>
              </w:rPr>
              <w:fldChar w:fldCharType="end"/>
            </w:r>
            <w:r>
              <w:rPr>
                <w:rFonts w:ascii="Book Antiqua" w:hAnsi="Book Antiqua" w:cs="Cordia New"/>
              </w:rPr>
              <w:t>, 2015</w:t>
            </w:r>
          </w:p>
        </w:tc>
        <w:tc>
          <w:tcPr>
            <w:tcW w:w="1843" w:type="dxa"/>
          </w:tcPr>
          <w:p>
            <w:pPr>
              <w:snapToGrid w:val="0"/>
              <w:spacing w:line="360" w:lineRule="auto"/>
              <w:jc w:val="both"/>
              <w:rPr>
                <w:rFonts w:ascii="Book Antiqua" w:hAnsi="Book Antiqua" w:cs="Cordia New"/>
              </w:rPr>
            </w:pPr>
            <w:r>
              <w:rPr>
                <w:rFonts w:ascii="Book Antiqua" w:hAnsi="Book Antiqua" w:cs="Cordia New"/>
              </w:rPr>
              <w:t>China</w:t>
            </w:r>
          </w:p>
        </w:tc>
        <w:tc>
          <w:tcPr>
            <w:tcW w:w="1276" w:type="dxa"/>
          </w:tcPr>
          <w:p>
            <w:pPr>
              <w:snapToGrid w:val="0"/>
              <w:spacing w:line="360" w:lineRule="auto"/>
              <w:jc w:val="both"/>
              <w:rPr>
                <w:rFonts w:ascii="Book Antiqua" w:hAnsi="Book Antiqua" w:cs="Cordia New"/>
              </w:rPr>
            </w:pPr>
            <w:r>
              <w:rPr>
                <w:rFonts w:ascii="Book Antiqua" w:hAnsi="Book Antiqua" w:cs="Cordia New"/>
              </w:rPr>
              <w:t>65</w:t>
            </w:r>
          </w:p>
        </w:tc>
        <w:tc>
          <w:tcPr>
            <w:tcW w:w="1984" w:type="dxa"/>
          </w:tcPr>
          <w:p>
            <w:pPr>
              <w:snapToGrid w:val="0"/>
              <w:spacing w:line="360" w:lineRule="auto"/>
              <w:jc w:val="both"/>
              <w:rPr>
                <w:rFonts w:ascii="Book Antiqua" w:hAnsi="Book Antiqua" w:cs="Cordia New"/>
              </w:rPr>
            </w:pPr>
            <w:r>
              <w:rPr>
                <w:rFonts w:ascii="Book Antiqua" w:hAnsi="Book Antiqua" w:cs="Cordia New"/>
              </w:rPr>
              <w:t>21</w:t>
            </w:r>
          </w:p>
        </w:tc>
        <w:tc>
          <w:tcPr>
            <w:tcW w:w="1560" w:type="dxa"/>
          </w:tcPr>
          <w:p>
            <w:pPr>
              <w:snapToGrid w:val="0"/>
              <w:spacing w:line="360" w:lineRule="auto"/>
              <w:jc w:val="both"/>
              <w:rPr>
                <w:rFonts w:ascii="Book Antiqua" w:hAnsi="Book Antiqua" w:cs="Cordia New"/>
              </w:rPr>
            </w:pPr>
            <w:r>
              <w:rPr>
                <w:rFonts w:ascii="Book Antiqua" w:hAnsi="Book Antiqua" w:cs="Cordia New"/>
              </w:rPr>
              <w:t>12</w:t>
            </w:r>
          </w:p>
        </w:tc>
        <w:tc>
          <w:tcPr>
            <w:tcW w:w="1701" w:type="dxa"/>
            <w:noWrap/>
          </w:tcPr>
          <w:p>
            <w:pPr>
              <w:snapToGrid w:val="0"/>
              <w:spacing w:line="360" w:lineRule="auto"/>
              <w:jc w:val="both"/>
              <w:rPr>
                <w:rFonts w:ascii="Book Antiqua" w:hAnsi="Book Antiqua" w:cs="Cordia New"/>
              </w:rPr>
            </w:pPr>
            <w:r>
              <w:rPr>
                <w:rFonts w:ascii="Book Antiqua" w:hAnsi="Book Antiqua" w:cs="Cordia New"/>
              </w:rPr>
              <w:t>43.1</w:t>
            </w:r>
          </w:p>
        </w:tc>
        <w:tc>
          <w:tcPr>
            <w:tcW w:w="1559" w:type="dxa"/>
            <w:noWrap/>
          </w:tcPr>
          <w:p>
            <w:pPr>
              <w:snapToGrid w:val="0"/>
              <w:spacing w:line="360" w:lineRule="auto"/>
              <w:jc w:val="both"/>
              <w:rPr>
                <w:rFonts w:ascii="Book Antiqua" w:hAnsi="Book Antiqua" w:cs="Cordia New"/>
              </w:rPr>
            </w:pPr>
            <w:r>
              <w:rPr>
                <w:rFonts w:ascii="Book Antiqua" w:hAnsi="Book Antiqua" w:cs="Cordia New"/>
              </w:rPr>
              <w:t>27.7</w:t>
            </w:r>
          </w:p>
        </w:tc>
        <w:tc>
          <w:tcPr>
            <w:tcW w:w="1701" w:type="dxa"/>
          </w:tcPr>
          <w:p>
            <w:pPr>
              <w:snapToGrid w:val="0"/>
              <w:spacing w:line="360" w:lineRule="auto"/>
              <w:jc w:val="both"/>
              <w:rPr>
                <w:rFonts w:ascii="Book Antiqua" w:hAnsi="Book Antiqua" w:cs="Cordia New"/>
              </w:rPr>
            </w:pPr>
            <w:r>
              <w:rPr>
                <w:rFonts w:ascii="Book Antiqua" w:hAnsi="Book Antiqua" w:cs="Cordia New"/>
              </w:rPr>
              <w:t>1/65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Jeng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{"citationID":"7UKn0pmE","properties":{"formattedCitation":"\\super [92]\\nosupersub{}","plainCitation":"[92]","noteIndex":0},"citationItems":[{"id":1140,"uris":["http://zotero.org/users/local/NyhnE8P8/items/TV6A2NN2"],"uri":["http://zotero.org/users/local/NyhnE8P8/items/TV6A2NN2"],"itemData":{"id":1140,"type":"article-journal","abstract":"BACKGROUND &amp; AIMS: Of the hepatitis B e antigen-negative chronic hepatitis B patients with more than 1 year of sustained hepatitis B virus (HBV) suppression during therapy, the 1-year clinical relapse rate after cessation of entecavir therapy was 45%, of which 25.6% occurred within 6 months. The events after cessation of another preferred drug tenofovir were investigated.\nMETHODS: A retrospective-prospective study was conducted in 85 hepatitis B e antigen-negative chronic hepatitis B patients with sustained HBV suppression who had stopped tenofovir therapy and were monitored every 1 to 3 months for a median duration of 39 weeks (range, 4-133 wk).\nRESULTS: Clinical relapse occurred in 38 patients, 57.9% and 86.8% within 3 and 6 months, respectively, with an estimated 1-year cumulative incidence of 52%. The optimal duration of therapy and consolidation therapy were calculated to be 3 and 2 years, respectively. Of the relapsers, 81.6% and 57.9% showed an alanine aminotransferase level greater than 5 and 10 times the upper limit of normal, respectively, 23.7% showed a bilirubin level of 2 mg/dL or greater, and 2 developed hepatic decompensation. Relapsers had significantly higher pretherapy baseline hepatitis B surface antigen level, more prior anti-HBV therapy experience, later alanine aminotransferase level normalization, and a shorter duration of treatment and consolidation therapy. Cox regression analyses showed that treatment for more than 3 years combined with consolidation therapy for more than 2 years was an independent significant manageable factor of clinical relapse (adjusted hazard ratio, 0.387; P = .008). With this combination, the clinical relapse rate was reduced to 30%.\nCONCLUSIONS: Clinical relapses occurred mostly within 6 months, with high alanine aminotransferase and serum bilirubin levels. Closer monitoring, monthly in the first 3 to 6 months, with timely re-treatment is mandatory for a safe cessation of tenofovir therapy.","container-title":"Clinical Gastroenterology and Hepatology: The Official Clinical Practice Journal of the American Gastroenterological Association","DOI":"10/f9dpws","ISSN":"1542-7714","issue":"12","journalAbbreviation":"Clin Gastroenterol Hepatol","language":"eng","note":"PMID: 27404969","page":"1813-1820.e1","source":"PubMed","title":"Clinical Relapse After Cessation of Tenofovir Therapy in Hepatitis B e Antigen-Negative Patients","volume":"14","author":[{"family":"Jeng","given":"Wen-Juei"},{"family":"Chen","given":"Yi-Cheng"},{"family":"Sheen","given":"I.-Shyan"},{"family":"Lin","given":"Chih-Lang"},{"family":"Hu","given":"Tsung-Hui"},{"family":"Chien","given":"Rong-Nan"},{"family":"Liaw","given":"Yun-Fan"}],"issued":{"date-parts":[["2016",12]]}}}],"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[92]</w:t>
            </w:r>
            <w:r>
              <w:rPr>
                <w:rFonts w:ascii="Book Antiqua" w:hAnsi="Book Antiqua" w:cs="Cordia New"/>
              </w:rPr>
              <w:fldChar w:fldCharType="end"/>
            </w:r>
            <w:r>
              <w:rPr>
                <w:rFonts w:ascii="Book Antiqua" w:hAnsi="Book Antiqua" w:cs="Cordia New"/>
              </w:rPr>
              <w:t>, 2016</w:t>
            </w:r>
          </w:p>
        </w:tc>
        <w:tc>
          <w:tcPr>
            <w:tcW w:w="1843" w:type="dxa"/>
          </w:tcPr>
          <w:p>
            <w:pPr>
              <w:snapToGrid w:val="0"/>
              <w:spacing w:line="360" w:lineRule="auto"/>
              <w:jc w:val="both"/>
              <w:rPr>
                <w:rFonts w:ascii="Book Antiqua" w:hAnsi="Book Antiqua" w:cs="Cordia New"/>
              </w:rPr>
            </w:pPr>
            <w:r>
              <w:rPr>
                <w:rFonts w:ascii="Book Antiqua" w:hAnsi="Book Antiqua" w:cs="Cordia New"/>
              </w:rPr>
              <w:t>Taiwan</w:t>
            </w:r>
          </w:p>
        </w:tc>
        <w:tc>
          <w:tcPr>
            <w:tcW w:w="1276" w:type="dxa"/>
          </w:tcPr>
          <w:p>
            <w:pPr>
              <w:snapToGrid w:val="0"/>
              <w:spacing w:line="360" w:lineRule="auto"/>
              <w:jc w:val="both"/>
              <w:rPr>
                <w:rFonts w:ascii="Book Antiqua" w:hAnsi="Book Antiqua" w:cs="Cordia New"/>
              </w:rPr>
            </w:pPr>
            <w:r>
              <w:rPr>
                <w:rFonts w:ascii="Book Antiqua" w:hAnsi="Book Antiqua" w:cs="Cordia New"/>
              </w:rPr>
              <w:t>85</w:t>
            </w:r>
          </w:p>
        </w:tc>
        <w:tc>
          <w:tcPr>
            <w:tcW w:w="1984" w:type="dxa"/>
          </w:tcPr>
          <w:p>
            <w:pPr>
              <w:snapToGrid w:val="0"/>
              <w:spacing w:line="360" w:lineRule="auto"/>
              <w:jc w:val="both"/>
              <w:rPr>
                <w:rFonts w:ascii="Book Antiqua" w:hAnsi="Book Antiqua" w:cs="Cordia New"/>
              </w:rPr>
            </w:pPr>
            <w:r>
              <w:rPr>
                <w:rFonts w:ascii="Book Antiqua" w:hAnsi="Book Antiqua" w:cs="Cordia New"/>
              </w:rPr>
              <w:t>85</w:t>
            </w:r>
          </w:p>
        </w:tc>
        <w:tc>
          <w:tcPr>
            <w:tcW w:w="1560" w:type="dxa"/>
          </w:tcPr>
          <w:p>
            <w:pPr>
              <w:snapToGrid w:val="0"/>
              <w:spacing w:line="360" w:lineRule="auto"/>
              <w:jc w:val="both"/>
              <w:rPr>
                <w:rFonts w:ascii="Book Antiqua" w:hAnsi="Book Antiqua" w:cs="Cordia New"/>
              </w:rPr>
            </w:pPr>
            <w:r>
              <w:rPr>
                <w:rFonts w:ascii="Book Antiqua" w:hAnsi="Book Antiqua" w:cs="Cordia New"/>
              </w:rPr>
              <w:t>155</w:t>
            </w:r>
          </w:p>
        </w:tc>
        <w:tc>
          <w:tcPr>
            <w:tcW w:w="1701" w:type="dxa"/>
            <w:noWrap/>
          </w:tcPr>
          <w:p>
            <w:pPr>
              <w:snapToGrid w:val="0"/>
              <w:spacing w:line="360" w:lineRule="auto"/>
              <w:jc w:val="both"/>
              <w:rPr>
                <w:rFonts w:ascii="Book Antiqua" w:hAnsi="Book Antiqua" w:cs="Cordia New"/>
              </w:rPr>
            </w:pPr>
            <w:r>
              <w:rPr>
                <w:rFonts w:ascii="Book Antiqua" w:hAnsi="Book Antiqua" w:cs="Cordia New"/>
              </w:rPr>
              <w:t>69</w:t>
            </w:r>
          </w:p>
        </w:tc>
        <w:tc>
          <w:tcPr>
            <w:tcW w:w="1559" w:type="dxa"/>
            <w:noWrap/>
          </w:tcPr>
          <w:p>
            <w:pPr>
              <w:snapToGrid w:val="0"/>
              <w:spacing w:line="360" w:lineRule="auto"/>
              <w:jc w:val="both"/>
              <w:rPr>
                <w:rFonts w:ascii="Book Antiqua" w:hAnsi="Book Antiqua" w:cs="Cordia New"/>
              </w:rPr>
            </w:pPr>
            <w:r>
              <w:rPr>
                <w:rFonts w:ascii="Book Antiqua" w:hAnsi="Book Antiqua" w:cs="Cordia New"/>
              </w:rPr>
              <w:t>52</w:t>
            </w:r>
          </w:p>
        </w:tc>
        <w:tc>
          <w:tcPr>
            <w:tcW w:w="1701" w:type="dxa"/>
          </w:tcPr>
          <w:p>
            <w:pPr>
              <w:snapToGrid w:val="0"/>
              <w:spacing w:line="360" w:lineRule="auto"/>
              <w:jc w:val="both"/>
              <w:rPr>
                <w:rFonts w:ascii="Book Antiqua" w:hAnsi="Book Antiqua" w:cs="Cordia New"/>
              </w:rPr>
            </w:pPr>
            <w:r>
              <w:rPr>
                <w:rFonts w:ascii="Book Antiqua" w:hAnsi="Book Antiqua" w:cs="Cordia New"/>
              </w:rPr>
              <w:t>2/85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Qiu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{"citationID":"09q08KX3","properties":{"formattedCitation":"\\super [93]\\nosupersub{}","plainCitation":"[93]","noteIndex":0},"citationItems":[{"id":1146,"uris":["http://zotero.org/users/local/NyhnE8P8/items/YNQW8LL5"],"uri":["http://zotero.org/users/local/NyhnE8P8/items/YNQW8LL5"],"itemData":{"id":1146,"type":"article-journal","abstract":"OBJECTIVES: To assess off-treatment virological relapse rates and to determine the role of hepatitis B surface antigen (HBsAg) quantification in predicting virological relapse after stopping entecavir (ETV) treatment in patients with hepatitis B e antigen (HBeAg)-positive chronic hepatitis B (CHB).\nMETHODS: One hundred and twelve CHB patients for whom ETV was stopped in accordance with the Asian Pacific Association for the Study of the Liver guidelines stopping rules were enrolled. Patient HBsAg and HBV DNA levels were monitored every 4-12 weeks during ETV treatment and after ETV cessation. Post-treatment virological relapse was defined as a serum HBV DNA level of &gt;10 000 copies/ml after stopping ETV treatment.\nRESULTS: The virological relapse rate at 52 weeks after stopping ETV was 48.2%. The post-treatment virological relapse rate was significantly higher in patients aged &gt;50 years than in those aged &lt;50 years (p &lt; 0.001), and the virological relapse rate was significantly lower in patients with an HBsAg level &lt;2.0 log10 IU /ml than in those with a level ≥ 2.0 log10 IU /ml at ETV cessation (p = 0.005). An HBsAg level of 2.5 log10 IU/ml at HBeAg seroconversion was the optimal cut-off value for predicting post-treatment virological relapse (p &lt; 0.001). In those aged &lt;50 years and with HBsAg ≤ 2.5 log10 IU/ml at HBeAg seroconversion, the relapse rate was only 5%. In patients with HBsAg ≤ 2.5 log10 IU/ml at HBeAg seroconversion, 52.4% achieved HBsAg levels ≤ 2.0 log10 IU/ml at ETV cessation, while in those with HBsAg &gt;2.5 log10 IU/ml at HBeAg seroconversion, only 4.4% achieved this criterion.\nCONCLUSIONS: HBsAg levels can help guide the timing of cessation of ETV treatment. HBsAg levels of 2.5 log10 IU/ml at HBeAg seroconversion may be a useful marker to predict virological relapse after the cessation of ETV treatment in HBeAg-positive CHB patients.","container-title":"International journal of infectious diseases: IJID: official publication of the International Society for Infectious Diseases","DOI":"10/f786rr","ISSN":"1878-3511","journalAbbreviation":"Int J Infect Dis","language":"eng","note":"PMID: 26523639","page":"43-48","source":"PubMed","title":"Hepatitis B surface antigen quantification at hepatitis B e antigen seroconversion predicts virological relapse after the cessation of entecavir treatment in hepatitis B e antigen-positive patients","volume":"43","author":[{"family":"Qiu","given":"Yuan-Wang"},{"family":"Huang","given":"Li-Hua"},{"family":"Yang","given":"Wen-Long"},{"family":"Wang","given":"Zhen"},{"family":"Zhang","given":"Bo"},{"family":"Li","given":"Yi-Guang"},{"family":"Su","given":"Ting-Ting"},{"family":"Zhou","given":"Hong-Yan"},{"family":"Xu","given":"Wei"},{"family":"Wang","given":"Xue-Dong"},{"family":"Dai","given":"Ya-Ping"},{"family":"Gan","given":"Jian-He"}],"issued":{"date-parts":[["2016",2]]}}}],"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[93]</w:t>
            </w:r>
            <w:r>
              <w:rPr>
                <w:rFonts w:ascii="Book Antiqua" w:hAnsi="Book Antiqua" w:cs="Cordia New"/>
              </w:rPr>
              <w:fldChar w:fldCharType="end"/>
            </w:r>
            <w:r>
              <w:rPr>
                <w:rFonts w:ascii="Book Antiqua" w:hAnsi="Book Antiqua" w:cs="Cordia New"/>
              </w:rPr>
              <w:t>, 2016</w:t>
            </w:r>
          </w:p>
        </w:tc>
        <w:tc>
          <w:tcPr>
            <w:tcW w:w="1843" w:type="dxa"/>
          </w:tcPr>
          <w:p>
            <w:pPr>
              <w:snapToGrid w:val="0"/>
              <w:spacing w:line="360" w:lineRule="auto"/>
              <w:jc w:val="both"/>
              <w:rPr>
                <w:rFonts w:ascii="Book Antiqua" w:hAnsi="Book Antiqua" w:cs="Cordia New"/>
              </w:rPr>
            </w:pPr>
            <w:r>
              <w:rPr>
                <w:rFonts w:ascii="Book Antiqua" w:hAnsi="Book Antiqua" w:cs="Cordia New"/>
              </w:rPr>
              <w:t>China</w:t>
            </w:r>
          </w:p>
        </w:tc>
        <w:tc>
          <w:tcPr>
            <w:tcW w:w="1276" w:type="dxa"/>
          </w:tcPr>
          <w:p>
            <w:pPr>
              <w:snapToGrid w:val="0"/>
              <w:spacing w:line="360" w:lineRule="auto"/>
              <w:jc w:val="both"/>
              <w:rPr>
                <w:rFonts w:ascii="Book Antiqua" w:hAnsi="Book Antiqua" w:cs="Cordia New"/>
              </w:rPr>
            </w:pPr>
            <w:r>
              <w:rPr>
                <w:rFonts w:ascii="Book Antiqua" w:hAnsi="Book Antiqua" w:cs="Cordia New"/>
              </w:rPr>
              <w:t>112</w:t>
            </w:r>
          </w:p>
        </w:tc>
        <w:tc>
          <w:tcPr>
            <w:tcW w:w="1984" w:type="dxa"/>
          </w:tcPr>
          <w:p>
            <w:pPr>
              <w:snapToGrid w:val="0"/>
              <w:spacing w:line="360" w:lineRule="auto"/>
              <w:jc w:val="both"/>
              <w:rPr>
                <w:rFonts w:ascii="Book Antiqua" w:hAnsi="Book Antiqua" w:cs="Cordia New"/>
              </w:rPr>
            </w:pPr>
            <w:r>
              <w:rPr>
                <w:rFonts w:ascii="Book Antiqua" w:hAnsi="Book Antiqua" w:cs="Cordia New"/>
              </w:rPr>
              <w:t>0</w:t>
            </w:r>
          </w:p>
        </w:tc>
        <w:tc>
          <w:tcPr>
            <w:tcW w:w="1560" w:type="dxa"/>
          </w:tcPr>
          <w:p>
            <w:pPr>
              <w:snapToGrid w:val="0"/>
              <w:spacing w:line="360" w:lineRule="auto"/>
              <w:jc w:val="both"/>
              <w:rPr>
                <w:rFonts w:ascii="Book Antiqua" w:hAnsi="Book Antiqua" w:cs="Cordia New"/>
              </w:rPr>
            </w:pPr>
            <w:r>
              <w:rPr>
                <w:rFonts w:ascii="Book Antiqua" w:hAnsi="Book Antiqua" w:cs="Cordia New"/>
              </w:rPr>
              <w:t>52</w:t>
            </w:r>
          </w:p>
        </w:tc>
        <w:tc>
          <w:tcPr>
            <w:tcW w:w="1701" w:type="dxa"/>
            <w:noWrap/>
          </w:tcPr>
          <w:p>
            <w:pPr>
              <w:snapToGrid w:val="0"/>
              <w:spacing w:line="360" w:lineRule="auto"/>
              <w:jc w:val="both"/>
              <w:rPr>
                <w:rFonts w:ascii="Book Antiqua" w:hAnsi="Book Antiqua" w:cs="Cordia New"/>
              </w:rPr>
            </w:pPr>
            <w:r>
              <w:rPr>
                <w:rFonts w:ascii="Book Antiqua" w:hAnsi="Book Antiqua" w:cs="Cordia New"/>
              </w:rPr>
              <w:t>48.2</w:t>
            </w:r>
          </w:p>
        </w:tc>
        <w:tc>
          <w:tcPr>
            <w:tcW w:w="1559" w:type="dxa"/>
            <w:noWrap/>
          </w:tcPr>
          <w:p>
            <w:pPr>
              <w:snapToGrid w:val="0"/>
              <w:spacing w:line="360" w:lineRule="auto"/>
              <w:jc w:val="both"/>
              <w:rPr>
                <w:rFonts w:ascii="Book Antiqua" w:hAnsi="Book Antiqua" w:cs="Cordia New"/>
              </w:rPr>
            </w:pPr>
            <w:r>
              <w:rPr>
                <w:rFonts w:ascii="Book Antiqua" w:hAnsi="Book Antiqua" w:cs="Cordia New"/>
              </w:rPr>
              <w:t>NR</w:t>
            </w:r>
          </w:p>
        </w:tc>
        <w:tc>
          <w:tcPr>
            <w:tcW w:w="1701" w:type="dxa"/>
          </w:tcPr>
          <w:p>
            <w:pPr>
              <w:snapToGrid w:val="0"/>
              <w:spacing w:line="360" w:lineRule="auto"/>
              <w:jc w:val="both"/>
              <w:rPr>
                <w:rFonts w:ascii="Book Antiqua" w:hAnsi="Book Antiqua" w:cs="Cordia New"/>
              </w:rPr>
            </w:pPr>
            <w:r>
              <w:rPr>
                <w:rFonts w:ascii="Book Antiqua" w:hAnsi="Book Antiqua" w:cs="Cordia New"/>
              </w:rPr>
              <w:t>1/112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tcBorders>
              <w:bottom w:val="nil"/>
            </w:tcBorders>
            <w:noWrap/>
          </w:tcPr>
          <w:p>
            <w:pPr>
              <w:snapToGrid w:val="0"/>
              <w:spacing w:line="360" w:lineRule="auto"/>
              <w:jc w:val="both"/>
              <w:rPr>
                <w:rFonts w:ascii="Book Antiqua" w:hAnsi="Book Antiqua" w:cs="Cordia New"/>
              </w:rPr>
            </w:pPr>
            <w:r>
              <w:rPr>
                <w:rFonts w:ascii="Book Antiqua" w:hAnsi="Book Antiqua" w:cs="Cordia New"/>
              </w:rPr>
              <w:t xml:space="preserve">Yao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{"citationID":"JSaMQbqJ","properties":{"formattedCitation":"\\super [94]\\nosupersub{}","plainCitation":"[94]","noteIndex":0},"citationItems":[{"id":632,"uris":["http://zotero.org/users/local/NyhnE8P8/items/5SS79GRD"],"uri":["http://zotero.org/users/local/NyhnE8P8/items/5SS79GRD"],"itemData":{"id":632,"type":"article-journal","abstract":"The predictors of hepatitis B virus (HBV) relapse and HBsAg loss after cessation of nucleos(t)ide analogues (NA) in HBeAg-negative patients with end-of-treatment HBsAg</w:instrText>
            </w:r>
            <w:r>
              <w:instrText xml:space="preserve"> </w:instrText>
            </w:r>
            <w:r>
              <w:rPr>
                <w:rFonts w:ascii="Book Antiqua" w:hAnsi="Book Antiqua" w:cs="Cordia New"/>
              </w:rPr>
              <w:instrText xml:space="preserve">≤</w:instrText>
            </w:r>
            <w:r>
              <w:instrText xml:space="preserve"> </w:instrText>
            </w:r>
            <w:r>
              <w:rPr>
                <w:rFonts w:ascii="Book Antiqua" w:hAnsi="Book Antiqua" w:cs="Cordia New"/>
              </w:rPr>
              <w:instrText xml:space="preserve">200</w:instrText>
            </w:r>
            <w:r>
              <w:instrText xml:space="preserve"> </w:instrText>
            </w:r>
            <w:r>
              <w:rPr>
                <w:rFonts w:ascii="Book Antiqua" w:hAnsi="Book Antiqua" w:cs="Cordia New"/>
              </w:rPr>
              <w:instrText xml:space="preserve">IU/mL remains unclear. The study recruited 119 chronic hepatitis B (CHB) patients who achieved end-of-treatment HBsAg</w:instrText>
            </w:r>
            <w:r>
              <w:instrText xml:space="preserve"> </w:instrText>
            </w:r>
            <w:r>
              <w:rPr>
                <w:rFonts w:ascii="Book Antiqua" w:hAnsi="Book Antiqua" w:cs="Cordia New"/>
              </w:rPr>
              <w:instrText xml:space="preserve">≤</w:instrText>
            </w:r>
            <w:r>
              <w:instrText xml:space="preserve"> </w:instrText>
            </w:r>
            <w:r>
              <w:rPr>
                <w:rFonts w:ascii="Book Antiqua" w:hAnsi="Book Antiqua" w:cs="Cordia New"/>
              </w:rPr>
              <w:instrText xml:space="preserve">200</w:instrText>
            </w:r>
            <w:r>
              <w:instrText xml:space="preserve"> </w:instrText>
            </w:r>
            <w:r>
              <w:rPr>
                <w:rFonts w:ascii="Book Antiqua" w:hAnsi="Book Antiqua" w:cs="Cordia New"/>
              </w:rPr>
              <w:instrText xml:space="preserve">IU/mL, were treated with lamivudine (n</w:instrText>
            </w:r>
            <w:r>
              <w:instrText xml:space="preserve"> </w:instrText>
            </w:r>
            <w:r>
              <w:rPr>
                <w:rFonts w:ascii="Book Antiqua" w:hAnsi="Book Antiqua" w:cs="Cordia New"/>
              </w:rPr>
              <w:instrText xml:space="preserve">=</w:instrText>
            </w:r>
            <w:r>
              <w:instrText xml:space="preserve"> </w:instrText>
            </w:r>
            <w:r>
              <w:rPr>
                <w:rFonts w:ascii="Book Antiqua" w:hAnsi="Book Antiqua" w:cs="Cordia New"/>
              </w:rPr>
              <w:instrText xml:space="preserve">34) and entecavir (n</w:instrText>
            </w:r>
            <w:r>
              <w:instrText xml:space="preserve"> </w:instrText>
            </w:r>
            <w:r>
              <w:rPr>
                <w:rFonts w:ascii="Book Antiqua" w:hAnsi="Book Antiqua" w:cs="Cordia New"/>
              </w:rPr>
              <w:instrText xml:space="preserve">=</w:instrText>
            </w:r>
            <w:r>
              <w:instrText xml:space="preserve"> </w:instrText>
            </w:r>
            <w:r>
              <w:rPr>
                <w:rFonts w:ascii="Book Antiqua" w:hAnsi="Book Antiqua" w:cs="Cordia New"/>
              </w:rPr>
              <w:instrText xml:space="preserve">85). The 5-year rates of post-treatment virological relapse, clinical relapse, and HBsAg loss at 60 months were 39.4%, 27.6%, and 45.9%, respectively. Cox regression analysis revealed that HBV DNA at entry and end-of-treatment HBsAg levels were independent predictors of virolgical and clinical relapse. HBV genotype C and end-of-treatment HBsAg were independent factors of HBsAg loss. Patients with a combination of end-of-treatment HBsAg</w:instrText>
            </w:r>
            <w:r>
              <w:instrText xml:space="preserve"> </w:instrText>
            </w:r>
            <w:r>
              <w:rPr>
                <w:rFonts w:ascii="Book Antiqua" w:hAnsi="Book Antiqua" w:cs="Cordia New"/>
              </w:rPr>
              <w:instrText xml:space="preserve">&lt;</w:instrText>
            </w:r>
            <w:r>
              <w:instrText xml:space="preserve"> </w:instrText>
            </w:r>
            <w:r>
              <w:rPr>
                <w:rFonts w:ascii="Book Antiqua" w:hAnsi="Book Antiqua" w:cs="Cordia New"/>
              </w:rPr>
              <w:instrText xml:space="preserve">50</w:instrText>
            </w:r>
            <w:r>
              <w:instrText xml:space="preserve"> </w:instrText>
            </w:r>
            <w:r>
              <w:rPr>
                <w:rFonts w:ascii="Book Antiqua" w:hAnsi="Book Antiqua" w:cs="Cordia New"/>
              </w:rPr>
              <w:instrText xml:space="preserve">IU/mL and HBV DNA</w:instrText>
            </w:r>
            <w:r>
              <w:instrText xml:space="preserve"> </w:instrText>
            </w:r>
            <w:r>
              <w:rPr>
                <w:rFonts w:ascii="Book Antiqua" w:hAnsi="Book Antiqua" w:cs="Cordia New"/>
              </w:rPr>
              <w:instrText xml:space="preserve">&lt;</w:instrText>
            </w:r>
            <w:r>
              <w:instrText xml:space="preserve"> </w:instrText>
            </w:r>
            <w:r>
              <w:rPr>
                <w:rFonts w:ascii="Book Antiqua" w:hAnsi="Book Antiqua" w:cs="Cordia New"/>
              </w:rPr>
              <w:instrText xml:space="preserve">2</w:instrText>
            </w:r>
            <w:r>
              <w:instrText xml:space="preserve"> </w:instrText>
            </w:r>
            <w:r>
              <w:rPr>
                <w:rFonts w:ascii="Book Antiqua" w:hAnsi="Book Antiqua" w:cs="Cordia New"/>
              </w:rPr>
              <w:instrText xml:space="preserve">×</w:instrText>
            </w:r>
            <w:r>
              <w:instrText xml:space="preserve"> </w:instrText>
            </w:r>
            <w:r>
              <w:rPr>
                <w:rFonts w:ascii="Book Antiqua" w:hAnsi="Book Antiqua" w:cs="Cordia New"/>
              </w:rPr>
              <w:instrText xml:space="preserve">105</w:instrText>
            </w:r>
            <w:r>
              <w:instrText xml:space="preserve"> </w:instrText>
            </w:r>
            <w:r>
              <w:rPr>
                <w:rFonts w:ascii="Book Antiqua" w:hAnsi="Book Antiqua" w:cs="Cordia New"/>
              </w:rPr>
              <w:instrText xml:space="preserve">IU/mL at entry experienced the lowest virological and clinical relapse rates (5% and 0% at 60 months, respectively). In contract, patients with a combination of end-of-treatment HBsAg</w:instrText>
            </w:r>
            <w:r>
              <w:instrText xml:space="preserve"> </w:instrText>
            </w:r>
            <w:r>
              <w:rPr>
                <w:rFonts w:ascii="Book Antiqua" w:hAnsi="Book Antiqua" w:cs="Cordia New"/>
              </w:rPr>
              <w:instrText xml:space="preserve">≥</w:instrText>
            </w:r>
            <w:r>
              <w:instrText xml:space="preserve"> </w:instrText>
            </w:r>
            <w:r>
              <w:rPr>
                <w:rFonts w:ascii="Book Antiqua" w:hAnsi="Book Antiqua" w:cs="Cordia New"/>
              </w:rPr>
              <w:instrText xml:space="preserve">50</w:instrText>
            </w:r>
            <w:r>
              <w:instrText xml:space="preserve"> </w:instrText>
            </w:r>
            <w:r>
              <w:rPr>
                <w:rFonts w:ascii="Book Antiqua" w:hAnsi="Book Antiqua" w:cs="Cordia New"/>
              </w:rPr>
              <w:instrText xml:space="preserve">IU/mL and HBV DNA</w:instrText>
            </w:r>
            <w:r>
              <w:instrText xml:space="preserve"> </w:instrText>
            </w:r>
            <w:r>
              <w:rPr>
                <w:rFonts w:ascii="Book Antiqua" w:hAnsi="Book Antiqua" w:cs="Cordia New"/>
              </w:rPr>
              <w:instrText xml:space="preserve">≥</w:instrText>
            </w:r>
            <w:r>
              <w:instrText xml:space="preserve"> </w:instrText>
            </w:r>
            <w:r>
              <w:rPr>
                <w:rFonts w:ascii="Book Antiqua" w:hAnsi="Book Antiqua" w:cs="Cordia New"/>
              </w:rPr>
              <w:instrText xml:space="preserve">2</w:instrText>
            </w:r>
            <w:r>
              <w:instrText xml:space="preserve"> </w:instrText>
            </w:r>
            <w:r>
              <w:rPr>
                <w:rFonts w:ascii="Book Antiqua" w:hAnsi="Book Antiqua" w:cs="Cordia New"/>
              </w:rPr>
              <w:instrText xml:space="preserve">×</w:instrText>
            </w:r>
            <w:r>
              <w:instrText xml:space="preserve"> </w:instrText>
            </w:r>
            <w:r>
              <w:rPr>
                <w:rFonts w:ascii="Book Antiqua" w:hAnsi="Book Antiqua" w:cs="Cordia New"/>
              </w:rPr>
              <w:instrText xml:space="preserve">105</w:instrText>
            </w:r>
            <w:r>
              <w:instrText xml:space="preserve"> </w:instrText>
            </w:r>
            <w:r>
              <w:rPr>
                <w:rFonts w:ascii="Book Antiqua" w:hAnsi="Book Antiqua" w:cs="Cordia New"/>
              </w:rPr>
              <w:instrText xml:space="preserve">IU/mL at entry experienced high virological and clinical relapse (80.7% and 71.5% at 60 months, respectively). No patients experienced hepatic decompensation when clinical relapse occurred after timely retreatment. A combination of HBV DNA levels at entry and end-of-treatment HBsAg levels was useful for predicting the post-treatment HBV relapse in HBeAg-negative patients with HBsAg</w:instrText>
            </w:r>
            <w:r>
              <w:instrText xml:space="preserve"> </w:instrText>
            </w:r>
            <w:r>
              <w:rPr>
                <w:rFonts w:ascii="Book Antiqua" w:hAnsi="Book Antiqua" w:cs="Cordia New"/>
              </w:rPr>
              <w:instrText xml:space="preserve">≤</w:instrText>
            </w:r>
            <w:r>
              <w:instrText xml:space="preserve"> </w:instrText>
            </w:r>
            <w:r>
              <w:rPr>
                <w:rFonts w:ascii="Book Antiqua" w:hAnsi="Book Antiqua" w:cs="Cordia New"/>
              </w:rPr>
              <w:instrText xml:space="preserve">200</w:instrText>
            </w:r>
            <w:r>
              <w:instrText xml:space="preserve"> </w:instrText>
            </w:r>
            <w:r>
              <w:rPr>
                <w:rFonts w:ascii="Book Antiqua" w:hAnsi="Book Antiqua" w:cs="Cordia New"/>
              </w:rPr>
              <w:instrText xml:space="preserve">IU/mL.","container-title":"Scientific Reports","DOI":"10/gg565q","ISSN":"2045-2322","issue":"1","journalAbbreviation":"Sci Rep","language":"eng","note":"PMID: 28500322\nPMCID: PMC5431802","page":"1839","source":"PubMed","title":"Incidence and predictors of HBV relapse after cessation of nucleoside analogues in HBeAg-negative patients with HBsAg</w:instrText>
            </w:r>
            <w:r>
              <w:instrText xml:space="preserve"> </w:instrText>
            </w:r>
            <w:r>
              <w:rPr>
                <w:rFonts w:ascii="Book Antiqua" w:hAnsi="Book Antiqua" w:cs="Cordia New"/>
              </w:rPr>
              <w:instrText xml:space="preserve">≤</w:instrText>
            </w:r>
            <w:r>
              <w:instrText xml:space="preserve"> </w:instrText>
            </w:r>
            <w:r>
              <w:rPr>
                <w:rFonts w:ascii="Book Antiqua" w:hAnsi="Book Antiqua" w:cs="Cordia New"/>
              </w:rPr>
              <w:instrText xml:space="preserve">200</w:instrText>
            </w:r>
            <w:r>
              <w:instrText xml:space="preserve"> </w:instrText>
            </w:r>
            <w:r>
              <w:rPr>
                <w:rFonts w:ascii="Book Antiqua" w:hAnsi="Book Antiqua" w:cs="Cordia New"/>
              </w:rPr>
              <w:instrText xml:space="preserve">IU/mL","volume":"7","author":[{"family":"Yao","given":"Chih-Chien"},{"family":"Hung","given":"Chao-Hung"},{"family":"Hu","given":"Tsung-Hui"},{"family":"Lu","given":"Sheng-Nan"},{"family":"Wang","given":"Jing-Hung"},{"family":"Lee","given":"Chung-Mo"},{"family":"Chen","given":"Chien-Hung"}],"issued":{"date-parts":[["2017"]],"season":"12"}}}],"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[94]</w:t>
            </w:r>
            <w:r>
              <w:rPr>
                <w:rFonts w:ascii="Book Antiqua" w:hAnsi="Book Antiqua" w:cs="Cordia New"/>
              </w:rPr>
              <w:fldChar w:fldCharType="end"/>
            </w:r>
            <w:r>
              <w:rPr>
                <w:rFonts w:ascii="Book Antiqua" w:hAnsi="Book Antiqua" w:cs="Cordia New"/>
              </w:rPr>
              <w:t>, 2017</w:t>
            </w:r>
          </w:p>
        </w:tc>
        <w:tc>
          <w:tcPr>
            <w:tcW w:w="1843" w:type="dxa"/>
            <w:tcBorders>
              <w:bottom w:val="nil"/>
            </w:tcBorders>
          </w:tcPr>
          <w:p>
            <w:pPr>
              <w:snapToGrid w:val="0"/>
              <w:spacing w:line="360" w:lineRule="auto"/>
              <w:jc w:val="both"/>
              <w:rPr>
                <w:rFonts w:ascii="Book Antiqua" w:hAnsi="Book Antiqua" w:cs="Cordia New"/>
              </w:rPr>
            </w:pPr>
            <w:r>
              <w:rPr>
                <w:rFonts w:ascii="Book Antiqua" w:hAnsi="Book Antiqua" w:cs="Cordia New"/>
              </w:rPr>
              <w:t>Taiwan</w:t>
            </w:r>
          </w:p>
        </w:tc>
        <w:tc>
          <w:tcPr>
            <w:tcW w:w="1276" w:type="dxa"/>
            <w:tcBorders>
              <w:bottom w:val="nil"/>
            </w:tcBorders>
          </w:tcPr>
          <w:p>
            <w:pPr>
              <w:snapToGrid w:val="0"/>
              <w:spacing w:line="360" w:lineRule="auto"/>
              <w:jc w:val="both"/>
              <w:rPr>
                <w:rFonts w:ascii="Book Antiqua" w:hAnsi="Book Antiqua" w:cs="Cordia New"/>
              </w:rPr>
            </w:pPr>
            <w:r>
              <w:rPr>
                <w:rFonts w:ascii="Book Antiqua" w:hAnsi="Book Antiqua" w:cs="Cordia New"/>
              </w:rPr>
              <w:t>119</w:t>
            </w:r>
          </w:p>
        </w:tc>
        <w:tc>
          <w:tcPr>
            <w:tcW w:w="1984" w:type="dxa"/>
            <w:tcBorders>
              <w:bottom w:val="nil"/>
            </w:tcBorders>
          </w:tcPr>
          <w:p>
            <w:pPr>
              <w:snapToGrid w:val="0"/>
              <w:spacing w:line="360" w:lineRule="auto"/>
              <w:jc w:val="both"/>
              <w:rPr>
                <w:rFonts w:ascii="Book Antiqua" w:hAnsi="Book Antiqua" w:cs="Cordia New"/>
              </w:rPr>
            </w:pPr>
            <w:r>
              <w:rPr>
                <w:rFonts w:ascii="Book Antiqua" w:hAnsi="Book Antiqua" w:cs="Cordia New"/>
              </w:rPr>
              <w:t>119</w:t>
            </w:r>
          </w:p>
        </w:tc>
        <w:tc>
          <w:tcPr>
            <w:tcW w:w="1560" w:type="dxa"/>
            <w:tcBorders>
              <w:bottom w:val="nil"/>
            </w:tcBorders>
          </w:tcPr>
          <w:p>
            <w:pPr>
              <w:snapToGrid w:val="0"/>
              <w:spacing w:line="360" w:lineRule="auto"/>
              <w:jc w:val="both"/>
              <w:rPr>
                <w:rFonts w:ascii="Book Antiqua" w:hAnsi="Book Antiqua" w:cs="Cordia New"/>
                <w:lang w:eastAsia="zh-CN"/>
              </w:rPr>
            </w:pPr>
            <w:r>
              <w:rPr>
                <w:rFonts w:ascii="Book Antiqua" w:hAnsi="Book Antiqua" w:cs="Cordia New"/>
              </w:rPr>
              <w:t>6 yr</w:t>
            </w:r>
          </w:p>
        </w:tc>
        <w:tc>
          <w:tcPr>
            <w:tcW w:w="1701" w:type="dxa"/>
            <w:tcBorders>
              <w:bottom w:val="nil"/>
            </w:tcBorders>
            <w:noWrap/>
          </w:tcPr>
          <w:p>
            <w:pPr>
              <w:snapToGrid w:val="0"/>
              <w:spacing w:line="360" w:lineRule="auto"/>
              <w:jc w:val="both"/>
              <w:rPr>
                <w:rFonts w:ascii="Book Antiqua" w:hAnsi="Book Antiqua" w:cs="Cordia New"/>
              </w:rPr>
            </w:pPr>
            <w:r>
              <w:rPr>
                <w:rFonts w:ascii="Book Antiqua" w:hAnsi="Book Antiqua" w:cs="Cordia New"/>
              </w:rPr>
              <w:t>25.2</w:t>
            </w:r>
          </w:p>
        </w:tc>
        <w:tc>
          <w:tcPr>
            <w:tcW w:w="1559" w:type="dxa"/>
            <w:tcBorders>
              <w:bottom w:val="nil"/>
            </w:tcBorders>
            <w:noWrap/>
          </w:tcPr>
          <w:p>
            <w:pPr>
              <w:snapToGrid w:val="0"/>
              <w:spacing w:line="360" w:lineRule="auto"/>
              <w:jc w:val="both"/>
              <w:rPr>
                <w:rFonts w:ascii="Book Antiqua" w:hAnsi="Book Antiqua" w:cs="Cordia New"/>
              </w:rPr>
            </w:pPr>
            <w:r>
              <w:rPr>
                <w:rFonts w:ascii="Book Antiqua" w:hAnsi="Book Antiqua" w:cs="Cordia New"/>
              </w:rPr>
              <w:t>12.7</w:t>
            </w:r>
          </w:p>
        </w:tc>
        <w:tc>
          <w:tcPr>
            <w:tcW w:w="1701" w:type="dxa"/>
            <w:tcBorders>
              <w:bottom w:val="nil"/>
            </w:tcBorders>
          </w:tcPr>
          <w:p>
            <w:pPr>
              <w:snapToGrid w:val="0"/>
              <w:spacing w:line="360" w:lineRule="auto"/>
              <w:jc w:val="both"/>
              <w:rPr>
                <w:rFonts w:ascii="Book Antiqua" w:hAnsi="Book Antiqua" w:cs="Cordia New"/>
              </w:rPr>
            </w:pPr>
            <w:r>
              <w:rPr>
                <w:rFonts w:ascii="Book Antiqua" w:hAnsi="Book Antiqua" w:cs="Cordia New"/>
              </w:rPr>
              <w:t>44/119</w:t>
            </w:r>
            <w:r>
              <w:rPr>
                <w:rFonts w:ascii="Book Antiqua" w:hAnsi="Book Antiqua" w:cs="Cordia New"/>
                <w:vertAlign w:val="superscript"/>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tcBorders>
              <w:top w:val="nil"/>
              <w:bottom w:val="nil"/>
            </w:tcBorders>
            <w:noWrap/>
          </w:tcPr>
          <w:p>
            <w:pPr>
              <w:snapToGrid w:val="0"/>
              <w:spacing w:line="360" w:lineRule="auto"/>
              <w:jc w:val="both"/>
              <w:rPr>
                <w:rFonts w:ascii="Book Antiqua" w:hAnsi="Book Antiqua" w:cs="Cordia New"/>
              </w:rPr>
            </w:pPr>
            <w:r>
              <w:rPr>
                <w:rFonts w:ascii="Book Antiqua" w:hAnsi="Book Antiqua" w:cs="Cordia New"/>
              </w:rPr>
              <w:t xml:space="preserve">Cao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{"citationID":"p86gm6ZV","properties":{"formattedCitation":"\\super [95]\\nosupersub{}","plainCitation":"[95]","noteIndex":0},"citationItems":[{"id":19,"uris":["http://zotero.org/users/local/NyhnE8P8/items/ZU8YTBSK"],"uri":["http://zotero.org/users/local/NyhnE8P8/items/ZU8YTBSK"],"itemData":{"id":19,"type":"article-journal","abstract":"Background: The optimal management remains unknown after nucleos(t)ide analogue (NA) discontinuation in patients with chronic hepatitis B (CHB). This prospective study investigated the role of off-treatment viral kinetics in predicting relapse after discontinuation of NA therapy. Methods: A total of 82 noncirrhotic Asian patients with CHB who discontinued NA therapy according to international guidelines were prospectively followed. Patients with a hepatitis B virus (HBV) DNA level of &gt;2000 IU/mL and an alanine aminotransferase (ALT) level of &gt;2 times  the upper limit of normal (clinical relapse) were retreated. Results: Sixty patients were HBV envelope antigen (HBeAg) positive at the start of treatment, and 22 were HBeAg negative. Clinical relapse developed in 28 patients (2-year rates, 31% among HBeAg-positive patients and 53% among HBeAg-negative patients).  Age of &lt;/=35 years (hazard ratio [HR], 0.37; P = .026) and end-of-treatment HBsAg level of &lt;/=200 IU/mL (HR, 0.39; P = .078) were independently associated with lower relapse rates. A high risk of biochemical relapse (defined as an ALT level  of &gt;2 times the upper limit of normal) was observed if the HBV DNA level was &gt;200000 IU/mL when the level was initially elevated, compared with HBV DNA levels of &gt;2000 to &lt;/=200000 IU/mL (HR, 8.42; P &lt; .001). The risk of biochemical relapse was also high in patients with persistent elevation in the HBV DNA level (confirmed to be &gt;2000 IU/mL within 3 months), compared with the group with transient elevation (HR, 6.87; P &lt; .001). Conclusions: After NA discontinuation,  a lower relapse rate was observed in younger patients and in those with low end-of-treatment HBsAg levels. The level and persistence of off-treatment elevated HBV DNA levels were useful in the prediction of a subsequent biochemical relapse and may thus be used to guide off-treatment management.","container-title":"The Journal of infectious diseases","DOI":"10.1093/infdis/jix025","ISSN":"1537-6613 0022-1899","issue":"4","journalAbbreviation":"J Infect Dis","language":"eng","note":"PMID: 28329347","page":"581-589","title":"Off-Treatment Hepatitis B Virus (HBV) DNA Levels and the Prediction of Relapse After Discontinuation of Nucleos(t)ide Analogue Therapy in Patients With Chronic  Hepatitis B: A Prospective Stop Study.","volume":"215","author":[{"family":"Cao","given":"Jiawei"},{"family":"Chi","given":"Heng"},{"family":"Yu","given":"Tao"},{"family":"Li","given":"Zhandong"},{"family":"Hansen","given":"Bettina E."},{"family":"Zhang","given":"Xiaoyong"},{"family":"Zhong","given":"Chunxiu"},{"family":"Sun","given":"Jian"},{"family":"Hou","given":"Jinlin"},{"family":"Janssen","given":"Harry L. A."},{"family":"Peng","given":"Jie"}],"issued":{"date-parts":[["2017",2,15]]}}}],"schema":"https://github.com/citation-style-language/schema/raw/master/csl-citation.json"}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[95]</w:t>
            </w:r>
            <w:r>
              <w:rPr>
                <w:rFonts w:ascii="Book Antiqua" w:hAnsi="Book Antiqua" w:cs="Cordia New"/>
              </w:rPr>
              <w:fldChar w:fldCharType="end"/>
            </w:r>
            <w:r>
              <w:rPr>
                <w:rFonts w:ascii="Book Antiqua" w:hAnsi="Book Antiqua" w:cs="Cordia New"/>
              </w:rPr>
              <w:t>, 2017</w:t>
            </w:r>
          </w:p>
        </w:tc>
        <w:tc>
          <w:tcPr>
            <w:tcW w:w="1843" w:type="dxa"/>
            <w:tcBorders>
              <w:top w:val="nil"/>
              <w:bottom w:val="nil"/>
            </w:tcBorders>
          </w:tcPr>
          <w:p>
            <w:pPr>
              <w:snapToGrid w:val="0"/>
              <w:spacing w:line="360" w:lineRule="auto"/>
              <w:jc w:val="both"/>
              <w:rPr>
                <w:rFonts w:ascii="Book Antiqua" w:hAnsi="Book Antiqua" w:cs="Cordia New"/>
              </w:rPr>
            </w:pPr>
            <w:r>
              <w:rPr>
                <w:rFonts w:ascii="Book Antiqua" w:hAnsi="Book Antiqua" w:cs="Cordia New"/>
              </w:rPr>
              <w:t>China</w:t>
            </w:r>
          </w:p>
        </w:tc>
        <w:tc>
          <w:tcPr>
            <w:tcW w:w="1276" w:type="dxa"/>
            <w:tcBorders>
              <w:top w:val="nil"/>
              <w:bottom w:val="nil"/>
            </w:tcBorders>
          </w:tcPr>
          <w:p>
            <w:pPr>
              <w:snapToGrid w:val="0"/>
              <w:spacing w:line="360" w:lineRule="auto"/>
              <w:jc w:val="both"/>
              <w:rPr>
                <w:rFonts w:ascii="Book Antiqua" w:hAnsi="Book Antiqua" w:cs="Cordia New"/>
              </w:rPr>
            </w:pPr>
            <w:r>
              <w:rPr>
                <w:rFonts w:ascii="Book Antiqua" w:hAnsi="Book Antiqua" w:cs="Cordia New"/>
              </w:rPr>
              <w:t>82</w:t>
            </w:r>
          </w:p>
        </w:tc>
        <w:tc>
          <w:tcPr>
            <w:tcW w:w="1984" w:type="dxa"/>
            <w:tcBorders>
              <w:top w:val="nil"/>
              <w:bottom w:val="nil"/>
            </w:tcBorders>
          </w:tcPr>
          <w:p>
            <w:pPr>
              <w:snapToGrid w:val="0"/>
              <w:spacing w:line="360" w:lineRule="auto"/>
              <w:jc w:val="both"/>
              <w:rPr>
                <w:rFonts w:ascii="Book Antiqua" w:hAnsi="Book Antiqua" w:cs="Cordia New"/>
              </w:rPr>
            </w:pPr>
            <w:r>
              <w:rPr>
                <w:rFonts w:ascii="Book Antiqua" w:hAnsi="Book Antiqua" w:cs="Cordia New"/>
              </w:rPr>
              <w:t>22</w:t>
            </w:r>
          </w:p>
        </w:tc>
        <w:tc>
          <w:tcPr>
            <w:tcW w:w="1560" w:type="dxa"/>
            <w:tcBorders>
              <w:top w:val="nil"/>
              <w:bottom w:val="nil"/>
            </w:tcBorders>
          </w:tcPr>
          <w:p>
            <w:pPr>
              <w:snapToGrid w:val="0"/>
              <w:spacing w:line="360" w:lineRule="auto"/>
              <w:jc w:val="both"/>
              <w:rPr>
                <w:rFonts w:ascii="Book Antiqua" w:hAnsi="Book Antiqua" w:cs="Cordia New"/>
              </w:rPr>
            </w:pPr>
            <w:r>
              <w:rPr>
                <w:rFonts w:ascii="Book Antiqua" w:hAnsi="Book Antiqua" w:cs="Cordia New"/>
              </w:rPr>
              <w:t>91</w:t>
            </w:r>
          </w:p>
        </w:tc>
        <w:tc>
          <w:tcPr>
            <w:tcW w:w="1701" w:type="dxa"/>
            <w:tcBorders>
              <w:top w:val="nil"/>
              <w:bottom w:val="nil"/>
            </w:tcBorders>
            <w:noWrap/>
          </w:tcPr>
          <w:p>
            <w:pPr>
              <w:snapToGrid w:val="0"/>
              <w:spacing w:line="360" w:lineRule="auto"/>
              <w:jc w:val="both"/>
              <w:rPr>
                <w:rFonts w:ascii="Book Antiqua" w:hAnsi="Book Antiqua" w:cs="Cordia New"/>
              </w:rPr>
            </w:pPr>
            <w:r>
              <w:rPr>
                <w:rFonts w:ascii="Book Antiqua" w:hAnsi="Book Antiqua" w:cs="Cordia New"/>
              </w:rPr>
              <w:t>70.7</w:t>
            </w:r>
          </w:p>
        </w:tc>
        <w:tc>
          <w:tcPr>
            <w:tcW w:w="1559" w:type="dxa"/>
            <w:tcBorders>
              <w:top w:val="nil"/>
              <w:bottom w:val="nil"/>
            </w:tcBorders>
            <w:noWrap/>
          </w:tcPr>
          <w:p>
            <w:pPr>
              <w:snapToGrid w:val="0"/>
              <w:spacing w:line="360" w:lineRule="auto"/>
              <w:jc w:val="both"/>
              <w:rPr>
                <w:rFonts w:ascii="Book Antiqua" w:hAnsi="Book Antiqua" w:cs="Cordia New"/>
              </w:rPr>
            </w:pPr>
            <w:r>
              <w:rPr>
                <w:rFonts w:ascii="Book Antiqua" w:hAnsi="Book Antiqua" w:cs="Cordia New"/>
              </w:rPr>
              <w:t>34.1</w:t>
            </w:r>
          </w:p>
        </w:tc>
        <w:tc>
          <w:tcPr>
            <w:tcW w:w="1701" w:type="dxa"/>
            <w:tcBorders>
              <w:top w:val="nil"/>
              <w:bottom w:val="nil"/>
            </w:tcBorders>
          </w:tcPr>
          <w:p>
            <w:pPr>
              <w:snapToGrid w:val="0"/>
              <w:spacing w:line="360" w:lineRule="auto"/>
              <w:jc w:val="both"/>
              <w:rPr>
                <w:rFonts w:ascii="Book Antiqua" w:hAnsi="Book Antiqua" w:cs="Cordia New"/>
              </w:rPr>
            </w:pPr>
            <w:r>
              <w:rPr>
                <w:rFonts w:ascii="Book Antiqua" w:hAnsi="Book Antiqua" w:cs="Cordia New"/>
              </w:rPr>
              <w:t>5/82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tcBorders>
              <w:top w:val="nil"/>
            </w:tcBorders>
            <w:noWrap/>
          </w:tcPr>
          <w:p>
            <w:pPr>
              <w:snapToGrid w:val="0"/>
              <w:spacing w:line="360" w:lineRule="auto"/>
              <w:jc w:val="both"/>
              <w:rPr>
                <w:rFonts w:ascii="Book Antiqua" w:hAnsi="Book Antiqua" w:cs="Cordia New"/>
                <w:lang w:eastAsia="zh-CN"/>
              </w:rPr>
            </w:pPr>
            <w:r>
              <w:rPr>
                <w:rFonts w:ascii="Book Antiqua" w:hAnsi="Book Antiqua" w:cs="Cordia New"/>
              </w:rPr>
              <w:t xml:space="preserve">Chen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{"citationID":"r8PJn8uP","properties":{"formattedCitation":"\\super [96]\\nosupersub{}","plainCitation":"[96]","noteIndex":0},"citationItems":[{"id":"KzFaBDxp/mivworyi","uris":["http://zotero.org/users/local/NyhnE8P8/items/8T6WUDCL"],"uri":["http://zotero.org/users/local/NyhnE8P8/items/8T6WUDCL"],"itemData":{"id":1152,"type":"article-journal","abstract":"This study investigates the incidences and predictors of hepatitis B virus (HBV) relapse after tenofovir disoproxil fumarate (TDF) therapy in hepatitis B e antigen (HBeAg)-positive and -negative patients. We retrospectively recruited 143 chronic hepatitis B (CHB) patients without cirrhosis (39 HBeAg-positive and 104 HBeAg-negative patients) who were previously treated with TDF and had post-treatment follow-up for at least 6 months (median: 55, IQR 36-85 weeks). All the patients fulfilled the stopping criteria of APASL 2012. The virological and clinical relapse rates at 104 weeks in HBeAg-positive patients were 66.6% and 59.1%, while they were 72.3% and 55.9%, respectively, in HBeAg-negative patients. Cox regression analysis revealed that the higher end-of-treatment HBsAg levels were an independent factor of virological relapse in HBeAg-positive and HBeAg-negative patients. The end-of-treatment HBsAg levels of 200 (area under the receiver operating characteristic (AUROC): 0.624) and 80 IU/mL (AUROC: 0.959) were the optimal values for predicting HBV relapse in HBeAg-positive and HBeAg-negative patients, respectively. The virological relapse rate at 78 weeks was 14.3% and 19.6% in HBeAg-positive and HBeAg-negative patients who achieved HBsAg ≤200 IU/mL and HBsAg ≤80 IU/mL, respectively. Two patients experienced hepatic decompensation upon hepatitis flares, and no patient died after timely retreatment. Seven patients experienced off-therapy HBsAg loss. The cumulative rates of HBsAg loss at 104 weeks were 45.5% and 59.3% in patients with end-of-treatment HBsAg ≤80 IU/mL and ≤50 IU/mL, respectively. In conclusions, the end-of-treatment HBsAg levels were a useful marker for predicting HBV relapse in HBeAg-positive and HBeAg-negative CHB patients.","container-title":"Journal of Viral Hepatitis","DOI":"10/ghwqpx","ISSN":"1365-2893","issue":"5","journalAbbreviation":"J Viral Hepat","language":"eng","note":"PMID: 29274189","page":"590-597","source":"PubMed","title":"The incidence and predictors of HBV relapse after cessation of tenofovir therapy in chronic hepatitis B patients","volume":"25","author":[{"family":"Chen","given":"C.-H."},{"family":"Hsu","given":"Y.-C."},{"family":"Lu","given":"S.-N."},{"family":"Hung","given":"C.-H."},{"family":"Wang","given":"J.-H."},{"family":"Lee","given":"C.-M."},{"family":"Hu","given":"T.-H."}],"issued":{"date-parts":[["2018",5]]}}}],"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[96]</w:t>
            </w:r>
            <w:r>
              <w:rPr>
                <w:rFonts w:ascii="Book Antiqua" w:hAnsi="Book Antiqua" w:cs="Cordia New"/>
              </w:rPr>
              <w:fldChar w:fldCharType="end"/>
            </w:r>
            <w:r>
              <w:rPr>
                <w:rFonts w:ascii="Book Antiqua" w:hAnsi="Book Antiqua" w:cs="Cordia New"/>
              </w:rPr>
              <w:t>, 201</w:t>
            </w:r>
            <w:r>
              <w:rPr>
                <w:rFonts w:ascii="Book Antiqua" w:hAnsi="Book Antiqua" w:cs="Cordia New"/>
                <w:lang w:eastAsia="zh-CN"/>
              </w:rPr>
              <w:t>8</w:t>
            </w:r>
          </w:p>
        </w:tc>
        <w:tc>
          <w:tcPr>
            <w:tcW w:w="1843" w:type="dxa"/>
            <w:tcBorders>
              <w:top w:val="nil"/>
            </w:tcBorders>
          </w:tcPr>
          <w:p>
            <w:pPr>
              <w:snapToGrid w:val="0"/>
              <w:spacing w:line="360" w:lineRule="auto"/>
              <w:jc w:val="both"/>
              <w:rPr>
                <w:rFonts w:ascii="Book Antiqua" w:hAnsi="Book Antiqua" w:cs="Cordia New"/>
              </w:rPr>
            </w:pPr>
            <w:r>
              <w:rPr>
                <w:rFonts w:ascii="Book Antiqua" w:hAnsi="Book Antiqua" w:cs="Cordia New"/>
              </w:rPr>
              <w:t>Taiwan</w:t>
            </w:r>
          </w:p>
        </w:tc>
        <w:tc>
          <w:tcPr>
            <w:tcW w:w="1276" w:type="dxa"/>
            <w:tcBorders>
              <w:top w:val="nil"/>
            </w:tcBorders>
          </w:tcPr>
          <w:p>
            <w:pPr>
              <w:snapToGrid w:val="0"/>
              <w:spacing w:line="360" w:lineRule="auto"/>
              <w:jc w:val="both"/>
              <w:rPr>
                <w:rFonts w:ascii="Book Antiqua" w:hAnsi="Book Antiqua" w:cs="Cordia New"/>
              </w:rPr>
            </w:pPr>
            <w:r>
              <w:rPr>
                <w:rFonts w:ascii="Book Antiqua" w:hAnsi="Book Antiqua" w:cs="Cordia New"/>
              </w:rPr>
              <w:t>143</w:t>
            </w:r>
          </w:p>
        </w:tc>
        <w:tc>
          <w:tcPr>
            <w:tcW w:w="1984" w:type="dxa"/>
            <w:tcBorders>
              <w:top w:val="nil"/>
            </w:tcBorders>
          </w:tcPr>
          <w:p>
            <w:pPr>
              <w:snapToGrid w:val="0"/>
              <w:spacing w:line="360" w:lineRule="auto"/>
              <w:jc w:val="both"/>
              <w:rPr>
                <w:rFonts w:ascii="Book Antiqua" w:hAnsi="Book Antiqua" w:cs="Cordia New"/>
              </w:rPr>
            </w:pPr>
            <w:r>
              <w:rPr>
                <w:rFonts w:ascii="Book Antiqua" w:hAnsi="Book Antiqua" w:cs="Cordia New"/>
              </w:rPr>
              <w:t>104</w:t>
            </w:r>
          </w:p>
        </w:tc>
        <w:tc>
          <w:tcPr>
            <w:tcW w:w="1560" w:type="dxa"/>
            <w:tcBorders>
              <w:top w:val="nil"/>
            </w:tcBorders>
          </w:tcPr>
          <w:p>
            <w:pPr>
              <w:snapToGrid w:val="0"/>
              <w:spacing w:line="360" w:lineRule="auto"/>
              <w:jc w:val="both"/>
              <w:rPr>
                <w:rFonts w:ascii="Book Antiqua" w:hAnsi="Book Antiqua" w:cs="Cordia New"/>
              </w:rPr>
            </w:pPr>
            <w:r>
              <w:rPr>
                <w:rFonts w:ascii="Book Antiqua" w:hAnsi="Book Antiqua" w:cs="Cordia New"/>
              </w:rPr>
              <w:t>104</w:t>
            </w:r>
          </w:p>
        </w:tc>
        <w:tc>
          <w:tcPr>
            <w:tcW w:w="1701" w:type="dxa"/>
            <w:tcBorders>
              <w:top w:val="nil"/>
            </w:tcBorders>
            <w:noWrap/>
          </w:tcPr>
          <w:p>
            <w:pPr>
              <w:snapToGrid w:val="0"/>
              <w:spacing w:line="360" w:lineRule="auto"/>
              <w:jc w:val="both"/>
              <w:rPr>
                <w:rFonts w:ascii="Book Antiqua" w:hAnsi="Book Antiqua" w:cs="Cordia New"/>
              </w:rPr>
            </w:pPr>
            <w:r>
              <w:rPr>
                <w:rFonts w:ascii="Book Antiqua" w:hAnsi="Book Antiqua" w:cs="Cordia New"/>
              </w:rPr>
              <w:t>67.1</w:t>
            </w:r>
          </w:p>
        </w:tc>
        <w:tc>
          <w:tcPr>
            <w:tcW w:w="1559" w:type="dxa"/>
            <w:tcBorders>
              <w:top w:val="nil"/>
            </w:tcBorders>
            <w:noWrap/>
          </w:tcPr>
          <w:p>
            <w:pPr>
              <w:snapToGrid w:val="0"/>
              <w:spacing w:line="360" w:lineRule="auto"/>
              <w:jc w:val="both"/>
              <w:rPr>
                <w:rFonts w:ascii="Book Antiqua" w:hAnsi="Book Antiqua" w:cs="Cordia New"/>
              </w:rPr>
            </w:pPr>
            <w:r>
              <w:rPr>
                <w:rFonts w:ascii="Book Antiqua" w:hAnsi="Book Antiqua" w:cs="Cordia New"/>
              </w:rPr>
              <w:t>48.9</w:t>
            </w:r>
          </w:p>
        </w:tc>
        <w:tc>
          <w:tcPr>
            <w:tcW w:w="1701" w:type="dxa"/>
            <w:tcBorders>
              <w:top w:val="nil"/>
            </w:tcBorders>
          </w:tcPr>
          <w:p>
            <w:pPr>
              <w:snapToGrid w:val="0"/>
              <w:spacing w:line="360" w:lineRule="auto"/>
              <w:jc w:val="both"/>
              <w:rPr>
                <w:rFonts w:ascii="Book Antiqua" w:hAnsi="Book Antiqua" w:cs="Cordia New"/>
              </w:rPr>
            </w:pPr>
            <w:r>
              <w:rPr>
                <w:rFonts w:ascii="Book Antiqua" w:hAnsi="Book Antiqua" w:cs="Cordia New"/>
              </w:rPr>
              <w:t>7/143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Hung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{"citationID":"l2YkkaHb","properties":{"formattedCitation":"\\super [97]\\nosupersub{}","plainCitation":"[97]","noteIndex":0},"citationItems":[{"id":1157,"uris":["http://zotero.org/users/local/NyhnE8P8/items/5CIKPC7Z"],"uri":["http://zotero.org/users/local/NyhnE8P8/items/5CIKPC7Z"],"itemData":{"id":1157,"type":"article-journal","abstract":"We investigated the incidence and predictors of post-treatment hepatitis B virus (HBV) relapse and hepatitis B surface antigen (HBsAg) loss. After cessation of nucleoside analogue (NA) treatment in hepatitis B e antigen (HBeAg)-negative patients with cirrhosis. The rates of HBsAg loss and hepatocellular carcinoma (HCC) development in HBeAg-negative patients with cirrhosis who continued NA treatment were compared with those who discontinued treatment. Patients with compensated cirrhosis who had discontinued NA treatment for at least 12 months (discontinuing group; n=73) and patients who continued entecavir treatment for at least 4 years (continuing group; n=158) were recruited. Serum HBsAg levels were analysed at the end of treatment (discontinuing group) or at 2.5-3 years of treatment (continuing group). In the discontinuing group, the 6-year cumulative incidence of post-treatment virological relapse and HBsAg loss were 56.3% and 46.7%, respectively. The end-of-treatment HBsAg level of 300 IU/mL was a cut-off value for subsequent post-treatment HBsAg loss and sustained response. In the continuing group, HBsAg loss occurred in five of 158 patients. Cox regression analysis showed that HBsAg levels in the discontinuing group were independent predictors for HBsAg loss in all patients and 104 propensity score (PS)-matched patients. There was no significant difference in HCC development between the groups in all patients and 104 PS-matched patients. Two patients experienced post-treatment alanine aminotransferase flare with hepatic decompensation, and neither of them died after retreatment. In conclusion, HBeAg-negative patients with cirrhosis who discontinued NA treatment might have a higher rate of HBsAg loss and their risk of developing HCC did not increase compared with those who continued entecavir treatment.","container-title":"Journal of Viral Hepatitis","DOI":"10/ghwqp4","ISSN":"1365-2893","issue":"7","language":"en","note":"_eprint: https://onlinelibrary.wiley.com/doi/pdf/10.1111/jvh.12683","page":"599-607","source":"Wiley Online Library","title":"Hepatitis B surface antigen loss and clinical outcomes between HBeAg-negative cirrhosis patients who discontinued or continued nucleoside analogue therapy","volume":"24","author":[{"family":"Hung","given":"C.-H."},{"family":"Wang","given":"J.-H."},{"family":"Lu","given":"S.-N."},{"family":"Hu","given":"T.-H."},{"family":"Lee","given":"C.-M."},{"family":"Chen","given":"C.-H."}],"issued":{"date-parts":[["2017"]]}}}],"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[97]</w:t>
            </w:r>
            <w:r>
              <w:rPr>
                <w:rFonts w:ascii="Book Antiqua" w:hAnsi="Book Antiqua" w:cs="Cordia New"/>
              </w:rPr>
              <w:fldChar w:fldCharType="end"/>
            </w:r>
            <w:r>
              <w:rPr>
                <w:rFonts w:ascii="Book Antiqua" w:hAnsi="Book Antiqua" w:cs="Cordia New"/>
              </w:rPr>
              <w:t>, 2017</w:t>
            </w:r>
          </w:p>
        </w:tc>
        <w:tc>
          <w:tcPr>
            <w:tcW w:w="1843" w:type="dxa"/>
          </w:tcPr>
          <w:p>
            <w:pPr>
              <w:snapToGrid w:val="0"/>
              <w:spacing w:line="360" w:lineRule="auto"/>
              <w:jc w:val="both"/>
              <w:rPr>
                <w:rFonts w:ascii="Book Antiqua" w:hAnsi="Book Antiqua" w:cs="Cordia New"/>
              </w:rPr>
            </w:pPr>
            <w:r>
              <w:rPr>
                <w:rFonts w:ascii="Book Antiqua" w:hAnsi="Book Antiqua" w:cs="Cordia New"/>
              </w:rPr>
              <w:t>Taiwan</w:t>
            </w:r>
          </w:p>
        </w:tc>
        <w:tc>
          <w:tcPr>
            <w:tcW w:w="1276" w:type="dxa"/>
          </w:tcPr>
          <w:p>
            <w:pPr>
              <w:snapToGrid w:val="0"/>
              <w:spacing w:line="360" w:lineRule="auto"/>
              <w:jc w:val="both"/>
              <w:rPr>
                <w:rFonts w:ascii="Book Antiqua" w:hAnsi="Book Antiqua" w:cs="Cordia New"/>
              </w:rPr>
            </w:pPr>
            <w:r>
              <w:rPr>
                <w:rFonts w:ascii="Book Antiqua" w:hAnsi="Book Antiqua" w:cs="Cordia New"/>
              </w:rPr>
              <w:t>73</w:t>
            </w:r>
          </w:p>
        </w:tc>
        <w:tc>
          <w:tcPr>
            <w:tcW w:w="1984" w:type="dxa"/>
          </w:tcPr>
          <w:p>
            <w:pPr>
              <w:snapToGrid w:val="0"/>
              <w:spacing w:line="360" w:lineRule="auto"/>
              <w:jc w:val="both"/>
              <w:rPr>
                <w:rFonts w:ascii="Book Antiqua" w:hAnsi="Book Antiqua" w:cs="Cordia New"/>
              </w:rPr>
            </w:pPr>
            <w:r>
              <w:rPr>
                <w:rFonts w:ascii="Book Antiqua" w:hAnsi="Book Antiqua" w:cs="Cordia New"/>
              </w:rPr>
              <w:t>73</w:t>
            </w:r>
          </w:p>
        </w:tc>
        <w:tc>
          <w:tcPr>
            <w:tcW w:w="1560" w:type="dxa"/>
          </w:tcPr>
          <w:p>
            <w:pPr>
              <w:snapToGrid w:val="0"/>
              <w:spacing w:line="360" w:lineRule="auto"/>
              <w:jc w:val="both"/>
              <w:rPr>
                <w:rFonts w:ascii="Book Antiqua" w:hAnsi="Book Antiqua" w:cs="Cordia New"/>
                <w:lang w:eastAsia="zh-CN"/>
              </w:rPr>
            </w:pPr>
            <w:r>
              <w:rPr>
                <w:rFonts w:ascii="Book Antiqua" w:hAnsi="Book Antiqua" w:cs="Cordia New"/>
              </w:rPr>
              <w:t>6 yr</w:t>
            </w:r>
          </w:p>
        </w:tc>
        <w:tc>
          <w:tcPr>
            <w:tcW w:w="1701" w:type="dxa"/>
            <w:noWrap/>
          </w:tcPr>
          <w:p>
            <w:pPr>
              <w:snapToGrid w:val="0"/>
              <w:spacing w:line="360" w:lineRule="auto"/>
              <w:jc w:val="both"/>
              <w:rPr>
                <w:rFonts w:ascii="Book Antiqua" w:hAnsi="Book Antiqua" w:cs="Cordia New"/>
              </w:rPr>
            </w:pPr>
            <w:r>
              <w:rPr>
                <w:rFonts w:ascii="Book Antiqua" w:hAnsi="Book Antiqua" w:cs="Cordia New"/>
              </w:rPr>
              <w:t>54.8</w:t>
            </w:r>
          </w:p>
        </w:tc>
        <w:tc>
          <w:tcPr>
            <w:tcW w:w="1559" w:type="dxa"/>
            <w:noWrap/>
          </w:tcPr>
          <w:p>
            <w:pPr>
              <w:snapToGrid w:val="0"/>
              <w:spacing w:line="360" w:lineRule="auto"/>
              <w:jc w:val="both"/>
              <w:rPr>
                <w:rFonts w:ascii="Book Antiqua" w:hAnsi="Book Antiqua" w:cs="Cordia New"/>
              </w:rPr>
            </w:pPr>
            <w:r>
              <w:rPr>
                <w:rFonts w:ascii="Book Antiqua" w:hAnsi="Book Antiqua" w:cs="Cordia New"/>
              </w:rPr>
              <w:t>6.8</w:t>
            </w:r>
          </w:p>
        </w:tc>
        <w:tc>
          <w:tcPr>
            <w:tcW w:w="1701" w:type="dxa"/>
          </w:tcPr>
          <w:p>
            <w:pPr>
              <w:snapToGrid w:val="0"/>
              <w:spacing w:line="360" w:lineRule="auto"/>
              <w:jc w:val="both"/>
              <w:rPr>
                <w:rFonts w:ascii="Book Antiqua" w:hAnsi="Book Antiqua" w:cs="Cordia New"/>
              </w:rPr>
            </w:pPr>
            <w:r>
              <w:rPr>
                <w:rFonts w:ascii="Book Antiqua" w:hAnsi="Book Antiqua" w:cs="Cordia New"/>
              </w:rPr>
              <w:t>20/73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Berg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{"citationID":"5p1FuG1S","properties":{"formattedCitation":"\\super [42]\\nosupersub{}","plainCitation":"[42]","noteIndex":0},"citationItems":[{"id":1166,"uris":["http://zotero.org/users/local/NyhnE8P8/items/79RD66DY"],"uri":["http://zotero.org/users/local/NyhnE8P8/items/79RD66DY"],"itemData":{"id":1166,"type":"article-journal","container-title":"Journal of Hepatology","DOI":"10/gftqrm","ISSN":"01688278","issue":"5","journalAbbreviation":"Journal of Hepatology","language":"en","page":"918-924","source":"DOI.org (Crossref)","title":"Long-term response after stopping tenofovir disoproxil fumarate in non-cirrhotic HBeAg-negative patients – FINITE study","volume":"67","author":[{"family":"Berg","given":"Thomas"},{"family":"Simon","given":"Karl-Georg"},{"family":"Mauss","given":"Stefan"},{"family":"Schott","given":"Eckart"},{"family":"Heyne","given":"Renate"},{"family":"Klass","given":"Dietmar M."},{"family":"Eisenbach","given":"Christoph"},{"family":"Welzel","given":"Tania Mara"},{"family":"Zachoval","given":"Reinhart"},{"family":"Felten","given":"Gisela"},{"family":"Schulze-zur-Wiesch","given":"Julian"},{"family":"Cornberg","given":"Markus"},{"family":"Op den Brouw","given":"Marjoleine L."},{"family":"Jump","given":"Belinda"},{"family":"Reiser","given":"Hans"},{"family":"Gallo","given":"Lothar"},{"family":"Warger","given":"Tobias"},{"family":"Petersen","given":"Jörg"}],"issued":{"date-parts":[["2017",11]]}}}],"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[42]</w:t>
            </w:r>
            <w:r>
              <w:rPr>
                <w:rFonts w:ascii="Book Antiqua" w:hAnsi="Book Antiqua" w:cs="Cordia New"/>
              </w:rPr>
              <w:fldChar w:fldCharType="end"/>
            </w:r>
            <w:r>
              <w:rPr>
                <w:rFonts w:ascii="Book Antiqua" w:hAnsi="Book Antiqua" w:cs="Cordia New"/>
              </w:rPr>
              <w:t>, 2017</w:t>
            </w:r>
          </w:p>
        </w:tc>
        <w:tc>
          <w:tcPr>
            <w:tcW w:w="1843" w:type="dxa"/>
          </w:tcPr>
          <w:p>
            <w:pPr>
              <w:snapToGrid w:val="0"/>
              <w:spacing w:line="360" w:lineRule="auto"/>
              <w:jc w:val="both"/>
              <w:rPr>
                <w:rFonts w:ascii="Book Antiqua" w:hAnsi="Book Antiqua" w:cs="Cordia New"/>
              </w:rPr>
            </w:pPr>
            <w:r>
              <w:rPr>
                <w:rFonts w:ascii="Book Antiqua" w:hAnsi="Book Antiqua" w:cs="Cordia New"/>
              </w:rPr>
              <w:t>German</w:t>
            </w:r>
          </w:p>
        </w:tc>
        <w:tc>
          <w:tcPr>
            <w:tcW w:w="1276" w:type="dxa"/>
          </w:tcPr>
          <w:p>
            <w:pPr>
              <w:snapToGrid w:val="0"/>
              <w:spacing w:line="360" w:lineRule="auto"/>
              <w:jc w:val="both"/>
              <w:rPr>
                <w:rFonts w:ascii="Book Antiqua" w:hAnsi="Book Antiqua" w:cs="Cordia New"/>
              </w:rPr>
            </w:pPr>
            <w:r>
              <w:rPr>
                <w:rFonts w:ascii="Book Antiqua" w:hAnsi="Book Antiqua" w:cs="Cordia New"/>
              </w:rPr>
              <w:t>21</w:t>
            </w:r>
          </w:p>
        </w:tc>
        <w:tc>
          <w:tcPr>
            <w:tcW w:w="1984" w:type="dxa"/>
          </w:tcPr>
          <w:p>
            <w:pPr>
              <w:snapToGrid w:val="0"/>
              <w:spacing w:line="360" w:lineRule="auto"/>
              <w:jc w:val="both"/>
              <w:rPr>
                <w:rFonts w:ascii="Book Antiqua" w:hAnsi="Book Antiqua" w:cs="Cordia New"/>
              </w:rPr>
            </w:pPr>
            <w:r>
              <w:rPr>
                <w:rFonts w:ascii="Book Antiqua" w:hAnsi="Book Antiqua" w:cs="Cordia New"/>
              </w:rPr>
              <w:t>21</w:t>
            </w:r>
          </w:p>
        </w:tc>
        <w:tc>
          <w:tcPr>
            <w:tcW w:w="1560" w:type="dxa"/>
          </w:tcPr>
          <w:p>
            <w:pPr>
              <w:snapToGrid w:val="0"/>
              <w:spacing w:line="360" w:lineRule="auto"/>
              <w:jc w:val="both"/>
              <w:rPr>
                <w:rFonts w:ascii="Book Antiqua" w:hAnsi="Book Antiqua" w:cs="Cordia New"/>
              </w:rPr>
            </w:pPr>
            <w:r>
              <w:rPr>
                <w:rFonts w:ascii="Book Antiqua" w:hAnsi="Book Antiqua" w:cs="Cordia New"/>
              </w:rPr>
              <w:t>144</w:t>
            </w:r>
          </w:p>
        </w:tc>
        <w:tc>
          <w:tcPr>
            <w:tcW w:w="1701" w:type="dxa"/>
            <w:noWrap/>
          </w:tcPr>
          <w:p>
            <w:pPr>
              <w:snapToGrid w:val="0"/>
              <w:spacing w:line="360" w:lineRule="auto"/>
              <w:jc w:val="both"/>
              <w:rPr>
                <w:rFonts w:ascii="Book Antiqua" w:hAnsi="Book Antiqua" w:cs="Cordia New"/>
              </w:rPr>
            </w:pPr>
            <w:r>
              <w:rPr>
                <w:rFonts w:ascii="Book Antiqua" w:hAnsi="Book Antiqua" w:cs="Cordia New"/>
              </w:rPr>
              <w:t>52</w:t>
            </w:r>
          </w:p>
        </w:tc>
        <w:tc>
          <w:tcPr>
            <w:tcW w:w="1559" w:type="dxa"/>
            <w:noWrap/>
          </w:tcPr>
          <w:p>
            <w:pPr>
              <w:snapToGrid w:val="0"/>
              <w:spacing w:line="360" w:lineRule="auto"/>
              <w:jc w:val="both"/>
              <w:rPr>
                <w:rFonts w:ascii="Book Antiqua" w:hAnsi="Book Antiqua" w:cs="Cordia New"/>
              </w:rPr>
            </w:pPr>
            <w:r>
              <w:rPr>
                <w:rFonts w:ascii="Book Antiqua" w:hAnsi="Book Antiqua" w:cs="Cordia New"/>
              </w:rPr>
              <w:t>23</w:t>
            </w:r>
          </w:p>
        </w:tc>
        <w:tc>
          <w:tcPr>
            <w:tcW w:w="1701" w:type="dxa"/>
          </w:tcPr>
          <w:p>
            <w:pPr>
              <w:snapToGrid w:val="0"/>
              <w:spacing w:line="360" w:lineRule="auto"/>
              <w:jc w:val="both"/>
              <w:rPr>
                <w:rFonts w:ascii="Book Antiqua" w:hAnsi="Book Antiqua" w:cs="Cordia New"/>
              </w:rPr>
            </w:pPr>
            <w:r>
              <w:rPr>
                <w:rFonts w:ascii="Book Antiqua" w:hAnsi="Book Antiqua" w:cs="Cordia New"/>
              </w:rPr>
              <w:t>4/21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Jeng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{"citationID":"rcfUjzGq","properties":{"formattedCitation":"\\super [33]\\nosupersub{}","plainCitation":"[33]","noteIndex":0},"citationItems":[{"id":4,"uris":["http://zotero.org/users/local/NyhnE8P8/items/P87D6NII"],"uri":["http://zotero.org/users/local/NyhnE8P8/items/P87D6NII"],"itemData":{"id":4,"type":"article-journal","abstract":"Hepatitis B surface antigen (HBsAg) loss is a rare event during nucleos(t)ide analogue (Nuc) therapy. Limited data suggest that stopping Nuc therapy may increase HBsAg loss rate in hepatitis B e antigen-negative patients. A large study was conducted to investigate this issue in more detail. Of the 1,075 hepatitis B e antigen-negative patients treated with Nuc for a median of 156 (61-430) weeks, 5 showed HBsAg seroclearance during treatment at an estimated annual incidence of 0.15%. Of the patients who remained HBsAg-seropositive, 691 (52.3 years old, 86% male, 44.6% cirrhosis) had stopped Nuc therapy by the Asian-Pacific Association for the Study of the Liver stopping rule and then were  prospectively followed up. Baseline and on-treatment clinical and viral features, treatment duration, consolidation duration, time to undetectable hepatitis B virus DNA, time to normal alanine aminotransferase, end-of-treatment HBsAg, and HBsAg log reduction were compared between patients with and without HBsAg seroclearance after end of treatment. During a median off-therapy follow-up period of 155 (2-614) weeks, HBsAg seroclearance was confirmed in 42 patients. The 6-year cumulative incidence was 13% with an estimated annual incidence of 1.78%. Cox regression analysis showed that shorter time to undetectable hepatitis B virus DNA (&lt;12 weeks), greater HBsAg reduction during therapy (&gt;1 log10 ), lower end-of-treatment HBsAg level (&lt;100 IU/mL), patients with sustained response, and relapsers not retreated were factors for off-therapy HBsAg seroclearance. CONCLUSION: The incidence of HBsAg seroclearance after stopping Nuc was much higher than that during therapy and highest in patients without virologic and clinical relapse; patients with clinical relapse who remained untreated had a 7.34 times higher incidence of HBsAg clearance than those who received retreatment, suggesting that transient untreated clinical relapse may drive sufficient immune control to functional cure. (Hepatology 2017).","container-title":"Hepatology (Baltimore, Md.)","DOI":"10.1002/hep.29640","ISSN":"1527-3350 0270-9139","issue":"2","journalAbbreviation":"Hepatology","language":"eng","note":"PMID: 29108132","page":"425-434","title":"Incidence and predictors of hepatitis B surface antigen seroclearance after cessation of nucleos(t)ide analogue therapy in hepatitis B e antigen-negative chronic hepatitis B.","volume":"68","author":[{"family":"Jeng","given":"Wen-Juei"},{"family":"Chen","given":"Yi-Cheng"},{"family":"Chien","given":"Rong-Nan"},{"family":"Sheen","given":"I.-Shyan"},{"family":"Liaw","given":"Yun-Fan"}],"issued":{"date-parts":[["2018",8]]}}}],"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[33]</w:t>
            </w:r>
            <w:r>
              <w:rPr>
                <w:rFonts w:ascii="Book Antiqua" w:hAnsi="Book Antiqua" w:cs="Cordia New"/>
              </w:rPr>
              <w:fldChar w:fldCharType="end"/>
            </w:r>
            <w:r>
              <w:rPr>
                <w:rFonts w:ascii="Book Antiqua" w:hAnsi="Book Antiqua" w:cs="Cordia New"/>
              </w:rPr>
              <w:t>, 2018</w:t>
            </w:r>
          </w:p>
        </w:tc>
        <w:tc>
          <w:tcPr>
            <w:tcW w:w="1843" w:type="dxa"/>
          </w:tcPr>
          <w:p>
            <w:pPr>
              <w:snapToGrid w:val="0"/>
              <w:spacing w:line="360" w:lineRule="auto"/>
              <w:jc w:val="both"/>
              <w:rPr>
                <w:rFonts w:ascii="Book Antiqua" w:hAnsi="Book Antiqua" w:cs="Cordia New"/>
              </w:rPr>
            </w:pPr>
            <w:r>
              <w:rPr>
                <w:rFonts w:ascii="Book Antiqua" w:hAnsi="Book Antiqua" w:cs="Cordia New"/>
              </w:rPr>
              <w:t>Taiwan</w:t>
            </w:r>
          </w:p>
        </w:tc>
        <w:tc>
          <w:tcPr>
            <w:tcW w:w="1276" w:type="dxa"/>
          </w:tcPr>
          <w:p>
            <w:pPr>
              <w:snapToGrid w:val="0"/>
              <w:spacing w:line="360" w:lineRule="auto"/>
              <w:jc w:val="both"/>
              <w:rPr>
                <w:rFonts w:ascii="Book Antiqua" w:hAnsi="Book Antiqua" w:cs="Cordia New"/>
              </w:rPr>
            </w:pPr>
            <w:r>
              <w:rPr>
                <w:rFonts w:ascii="Book Antiqua" w:hAnsi="Book Antiqua" w:cs="Cordia New"/>
              </w:rPr>
              <w:t>691</w:t>
            </w:r>
          </w:p>
        </w:tc>
        <w:tc>
          <w:tcPr>
            <w:tcW w:w="1984" w:type="dxa"/>
          </w:tcPr>
          <w:p>
            <w:pPr>
              <w:snapToGrid w:val="0"/>
              <w:spacing w:line="360" w:lineRule="auto"/>
              <w:jc w:val="both"/>
              <w:rPr>
                <w:rFonts w:ascii="Book Antiqua" w:hAnsi="Book Antiqua" w:cs="Cordia New"/>
              </w:rPr>
            </w:pPr>
            <w:r>
              <w:rPr>
                <w:rFonts w:ascii="Book Antiqua" w:hAnsi="Book Antiqua" w:cs="Cordia New"/>
              </w:rPr>
              <w:t>691</w:t>
            </w:r>
          </w:p>
        </w:tc>
        <w:tc>
          <w:tcPr>
            <w:tcW w:w="1560" w:type="dxa"/>
          </w:tcPr>
          <w:p>
            <w:pPr>
              <w:snapToGrid w:val="0"/>
              <w:spacing w:line="360" w:lineRule="auto"/>
              <w:jc w:val="both"/>
              <w:rPr>
                <w:rFonts w:ascii="Book Antiqua" w:hAnsi="Book Antiqua" w:cs="Cordia New"/>
                <w:lang w:eastAsia="zh-CN"/>
              </w:rPr>
            </w:pPr>
            <w:r>
              <w:rPr>
                <w:rFonts w:ascii="Book Antiqua" w:hAnsi="Book Antiqua" w:cs="Cordia New"/>
              </w:rPr>
              <w:t>6 yr</w:t>
            </w:r>
          </w:p>
        </w:tc>
        <w:tc>
          <w:tcPr>
            <w:tcW w:w="1701" w:type="dxa"/>
            <w:noWrap/>
          </w:tcPr>
          <w:p>
            <w:pPr>
              <w:snapToGrid w:val="0"/>
              <w:spacing w:line="360" w:lineRule="auto"/>
              <w:jc w:val="both"/>
              <w:rPr>
                <w:rFonts w:ascii="Book Antiqua" w:hAnsi="Book Antiqua" w:cs="Cordia New"/>
              </w:rPr>
            </w:pPr>
            <w:r>
              <w:rPr>
                <w:rFonts w:ascii="Book Antiqua" w:hAnsi="Book Antiqua" w:cs="Cordia New"/>
              </w:rPr>
              <w:t>79.2</w:t>
            </w:r>
          </w:p>
        </w:tc>
        <w:tc>
          <w:tcPr>
            <w:tcW w:w="1559" w:type="dxa"/>
            <w:noWrap/>
          </w:tcPr>
          <w:p>
            <w:pPr>
              <w:snapToGrid w:val="0"/>
              <w:spacing w:line="360" w:lineRule="auto"/>
              <w:jc w:val="both"/>
              <w:rPr>
                <w:rFonts w:ascii="Book Antiqua" w:hAnsi="Book Antiqua" w:cs="Cordia New"/>
              </w:rPr>
            </w:pPr>
            <w:r>
              <w:rPr>
                <w:rFonts w:ascii="Book Antiqua" w:hAnsi="Book Antiqua" w:cs="Cordia New"/>
              </w:rPr>
              <w:t>60.6</w:t>
            </w:r>
          </w:p>
        </w:tc>
        <w:tc>
          <w:tcPr>
            <w:tcW w:w="1701" w:type="dxa"/>
          </w:tcPr>
          <w:p>
            <w:pPr>
              <w:snapToGrid w:val="0"/>
              <w:spacing w:line="360" w:lineRule="auto"/>
              <w:jc w:val="both"/>
              <w:rPr>
                <w:rFonts w:ascii="Book Antiqua" w:hAnsi="Book Antiqua" w:cs="Cordia New"/>
              </w:rPr>
            </w:pPr>
            <w:r>
              <w:rPr>
                <w:rFonts w:ascii="Book Antiqua" w:hAnsi="Book Antiqua" w:cs="Cordia New"/>
              </w:rPr>
              <w:t>42/691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Liem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{"citationID":"CUt4SPoe","properties":{"formattedCitation":"\\super [39]\\nosupersub{}","plainCitation":"[39]","noteIndex":0},"citationItems":[{"id":225,"uris":["http://zotero.org/users/local/NyhnE8P8/items/WGT7LC8A"],"uri":["http://zotero.org/users/local/NyhnE8P8/items/WGT7LC8A"],"itemData":{"id":225,"type":"article-journal","abstract":"OBJECTIVE: Although most patients with chronic hepatitis B (CHB) reach effective  virological suppression with long-term nucleos(t)ide analogues (NA) therapy, some might not need to continue treatment for life. In this randomised, controlled, phase IV trial, we evaluated off-therapy outcomes in patients after discontinuing long-term NA therapy. DESIGN: Patients who had received NA therapy for &gt;/=1 year  and achieved virological suppression (hepatitis B e antigen (HBeAg) seroconversion combined with undetectable hepatitis B virus (HBV) DNA &gt;/=12 months in HBeAg-positive patients or undetectable HBV DNA &gt;/=36 months in HBeAg-negative patients) were randomised 2:1 to stop or continue NA therapy for 72 weeks. Sustained disease remission (HBeAg negative, HBV DNA &lt;2000 IU/mL and normal alanine aminotransferase (ALT)) was evaluated at 72 weeks after stopping NA therapy. RESULTS: Among 67 enrolled patients, sustained disease remission was  observed in 13/45 (29%) stop versus 18/22 (82%) continue patients. Hepatitis B surface antigen (HBsAg) loss occurred in two patients (one in each group). The median HBsAg decline from randomisation to week 72 was similar in both groups (0.2 (0.0-0.4) vs 0.1 (0.0-0.2) log IU/mL in stop vs continue patients). Among patients who stopped, 15/45 (33%) had virological or biochemical relapse and 17/45 (38%) were retreated according to predefined criteria. A total of 11/18 (61%) pretreatment HBeAg-positive versus 6/27 (22%) HBeAg-negative patients required retreatment (p=0.01). Fourteen (31%) patients developed ALT &gt;10x upper limit of normal (ULN) and another 7 (16%) had ALT &gt;5x ULN. No patients experienced liver decompensation or died. CONCLUSION: The findings of this prospective study suggest limited benefit of stopping NA therapy in chronic hepatitis B. TRIAL REGISTRATION NUMBER: NCT01911156.","container-title":"Gut","DOI":"10/ggf2vc","ISSN":"1468-3288 0017-5749","issue":"12","journalAbbreviation":"Gut","language":"eng","note":"PMID: 31462554","page":"2206-2213","title":"Limited sustained response after stopping nucleos(t)ide analogues in patients with chronic hepatitis B: results from a randomised controlled trial (Toronto STOP study).","volume":"68","author":[{"family":"Liem","given":"Kin Seng"},{"family":"Fung","given":"Scott"},{"family":"Wong","given":"David K."},{"family":"Yim","given":"Colina"},{"family":"Noureldin","given":"Seham"},{"family":"Chen","given":"Jiayun"},{"family":"Feld","given":"Jordan J."},{"family":"Hansen","given":"Bettina E."},{"family":"Janssen","given":"Harry L. A."}],"issued":{"date-parts":[["2019",12]]}}}],"schema":"https://github.com/citation-style-language/schema/raw/master/csl-citation.json"}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[39]</w:t>
            </w:r>
            <w:r>
              <w:rPr>
                <w:rFonts w:ascii="Book Antiqua" w:hAnsi="Book Antiqua" w:cs="Cordia New"/>
              </w:rPr>
              <w:fldChar w:fldCharType="end"/>
            </w:r>
            <w:r>
              <w:rPr>
                <w:rFonts w:ascii="Book Antiqua" w:hAnsi="Book Antiqua" w:cs="Cordia New"/>
              </w:rPr>
              <w:t>, 2019</w:t>
            </w:r>
          </w:p>
        </w:tc>
        <w:tc>
          <w:tcPr>
            <w:tcW w:w="1843" w:type="dxa"/>
          </w:tcPr>
          <w:p>
            <w:pPr>
              <w:snapToGrid w:val="0"/>
              <w:spacing w:line="360" w:lineRule="auto"/>
              <w:jc w:val="both"/>
              <w:rPr>
                <w:rFonts w:ascii="Book Antiqua" w:hAnsi="Book Antiqua" w:cs="Cordia New"/>
              </w:rPr>
            </w:pPr>
            <w:r>
              <w:rPr>
                <w:rFonts w:ascii="Book Antiqua" w:hAnsi="Book Antiqua" w:cs="Cordia New"/>
              </w:rPr>
              <w:t>Canada</w:t>
            </w:r>
          </w:p>
        </w:tc>
        <w:tc>
          <w:tcPr>
            <w:tcW w:w="1276" w:type="dxa"/>
          </w:tcPr>
          <w:p>
            <w:pPr>
              <w:snapToGrid w:val="0"/>
              <w:spacing w:line="360" w:lineRule="auto"/>
              <w:jc w:val="both"/>
              <w:rPr>
                <w:rFonts w:ascii="Book Antiqua" w:hAnsi="Book Antiqua" w:cs="Cordia New"/>
              </w:rPr>
            </w:pPr>
            <w:r>
              <w:rPr>
                <w:rFonts w:ascii="Book Antiqua" w:hAnsi="Book Antiqua" w:cs="Cordia New"/>
              </w:rPr>
              <w:t>45</w:t>
            </w:r>
          </w:p>
        </w:tc>
        <w:tc>
          <w:tcPr>
            <w:tcW w:w="1984" w:type="dxa"/>
          </w:tcPr>
          <w:p>
            <w:pPr>
              <w:snapToGrid w:val="0"/>
              <w:spacing w:line="360" w:lineRule="auto"/>
              <w:jc w:val="both"/>
              <w:rPr>
                <w:rFonts w:ascii="Book Antiqua" w:hAnsi="Book Antiqua" w:cs="Cordia New"/>
              </w:rPr>
            </w:pPr>
            <w:r>
              <w:rPr>
                <w:rFonts w:ascii="Book Antiqua" w:hAnsi="Book Antiqua" w:cs="Cordia New"/>
              </w:rPr>
              <w:t>27</w:t>
            </w:r>
          </w:p>
        </w:tc>
        <w:tc>
          <w:tcPr>
            <w:tcW w:w="1560" w:type="dxa"/>
          </w:tcPr>
          <w:p>
            <w:pPr>
              <w:snapToGrid w:val="0"/>
              <w:spacing w:line="360" w:lineRule="auto"/>
              <w:jc w:val="both"/>
              <w:rPr>
                <w:rFonts w:ascii="Book Antiqua" w:hAnsi="Book Antiqua" w:cs="Cordia New"/>
              </w:rPr>
            </w:pPr>
            <w:r>
              <w:rPr>
                <w:rFonts w:ascii="Book Antiqua" w:hAnsi="Book Antiqua" w:cs="Cordia New"/>
              </w:rPr>
              <w:t>72</w:t>
            </w:r>
          </w:p>
        </w:tc>
        <w:tc>
          <w:tcPr>
            <w:tcW w:w="1701" w:type="dxa"/>
            <w:noWrap/>
          </w:tcPr>
          <w:p>
            <w:pPr>
              <w:snapToGrid w:val="0"/>
              <w:spacing w:line="360" w:lineRule="auto"/>
              <w:jc w:val="both"/>
              <w:rPr>
                <w:rFonts w:ascii="Book Antiqua" w:hAnsi="Book Antiqua" w:cs="Cordia New"/>
              </w:rPr>
            </w:pPr>
            <w:r>
              <w:rPr>
                <w:rFonts w:ascii="Book Antiqua" w:hAnsi="Book Antiqua" w:cs="Cordia New"/>
              </w:rPr>
              <w:t>71</w:t>
            </w:r>
          </w:p>
        </w:tc>
        <w:tc>
          <w:tcPr>
            <w:tcW w:w="1559" w:type="dxa"/>
            <w:noWrap/>
          </w:tcPr>
          <w:p>
            <w:pPr>
              <w:snapToGrid w:val="0"/>
              <w:spacing w:line="360" w:lineRule="auto"/>
              <w:jc w:val="both"/>
              <w:rPr>
                <w:rFonts w:ascii="Book Antiqua" w:hAnsi="Book Antiqua" w:cs="Cordia New"/>
              </w:rPr>
            </w:pPr>
            <w:r>
              <w:rPr>
                <w:rFonts w:ascii="Book Antiqua" w:hAnsi="Book Antiqua" w:cs="Cordia New"/>
              </w:rPr>
              <w:t>13</w:t>
            </w:r>
          </w:p>
        </w:tc>
        <w:tc>
          <w:tcPr>
            <w:tcW w:w="1701" w:type="dxa"/>
          </w:tcPr>
          <w:p>
            <w:pPr>
              <w:snapToGrid w:val="0"/>
              <w:spacing w:line="360" w:lineRule="auto"/>
              <w:jc w:val="both"/>
              <w:rPr>
                <w:rFonts w:ascii="Book Antiqua" w:hAnsi="Book Antiqua" w:cs="Cordia New"/>
              </w:rPr>
            </w:pPr>
            <w:r>
              <w:rPr>
                <w:rFonts w:ascii="Book Antiqua" w:hAnsi="Book Antiqua" w:cs="Cordia New"/>
              </w:rPr>
              <w:t>1/45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68" w:type="dxa"/>
            <w:noWrap/>
          </w:tcPr>
          <w:p>
            <w:pPr>
              <w:snapToGrid w:val="0"/>
              <w:spacing w:line="360" w:lineRule="auto"/>
              <w:jc w:val="both"/>
              <w:rPr>
                <w:rFonts w:ascii="Book Antiqua" w:hAnsi="Book Antiqua" w:cs="Cordia New"/>
              </w:rPr>
            </w:pPr>
            <w:r>
              <w:rPr>
                <w:rFonts w:ascii="Book Antiqua" w:hAnsi="Book Antiqua" w:cs="Cordia New"/>
              </w:rPr>
              <w:t xml:space="preserve">Kaewdech </w:t>
            </w:r>
            <w:r>
              <w:rPr>
                <w:rFonts w:ascii="Book Antiqua" w:hAnsi="Book Antiqua" w:cs="Cordia New"/>
                <w:i/>
                <w:iCs/>
              </w:rPr>
              <w:t>et al</w:t>
            </w:r>
            <w:r>
              <w:rPr>
                <w:rFonts w:ascii="Book Antiqua" w:hAnsi="Book Antiqua" w:cs="Cordia New"/>
              </w:rPr>
              <w:fldChar w:fldCharType="begin"/>
            </w:r>
            <w:r>
              <w:rPr>
                <w:rFonts w:ascii="Book Antiqua" w:hAnsi="Book Antiqua" w:cs="Cordia New"/>
              </w:rPr>
              <w:instrText xml:space="preserve"> ADDIN ZOTERO_ITEM CSL_CITATION {"citationID":"7u2MLhBS","properties":{"formattedCitation":"\\super [12]\\nosupersub{}","plainCitation":"[12]","noteIndex":0},"citationItems":[{"id":1072,"uris":["http://zotero.org/users/local/NyhnE8P8/items/KGFJAQCE"],"uri":["http://zotero.org/users/local/NyhnE8P8/items/KGFJAQCE"],"itemData":{"id":1072,"type":"article-journal","abstract":"Background &amp; Aims The safe discontinuation of nucleos(t)ide analogue therapy remains challenging in chronic hepatitis B. We investigated the potential role of quantitative hepatitis B surface antigen, hepatitis B core-related antigen and hepatitis B virus RNA at the end of treatment in predicting off-therapy relapse. Methods Patients who fulfilled the stopping criteria of the Asian Pacific Association for the Study of the Liver guideline were enrolled. Virological relapse was defined as hepatitis B virus DNA level greater than 2000 IU/mL, and clinical relapse was defined as virological relapse plus alanine aminotransferase level of more than twice the upper limit of normal. Results Ninety-two patients participated. The combination of end-of-treatment hepatitis B core-related antigen and hepatitis B virus RNA levels was most predictive of clinical relapse. Multivariate analysis revealed that end-of-treatment hepatitis B core-related antigen and hepatitis B virus RNA were independently associated with clinical relapse. During follow-up, no patients with undetectable hepatitis B core-related antigen (&lt;3.0 log10 U/mL) and hepatitis B virusRNA (&lt;2.0 log10 copies/mL) at end of treatment developed clinical relapse, in comparison with 22.9% and 62.5% patients with detectable levels of one or both biomarkers respectively. End-of-treatment quantitative hepatitis B surface antigen was linked to a likelihood of hepatitis B surface antigen clearance. Conclusions The combined hepatitis B core-related antigen and hepatitis B virus RNA assays at end of treatment were highly predictive of subsequent clinical relapse. These novel biomarkers could potentially be used to identify patients who could safely discontinue nucleos(t)ide analogue therapy.","container-title":"Liver International","DOI":"10/gg47ck","ISSN":"1478-3231","issue":"12","language":"en","note":"_eprint: https://onlinelibrary.wiley.com/doi/pdf/10.1111/liv.14606","page":"2961-2971","source":"Wiley Online Library","title":"Hepatitis B surface antigen, core-related antigen and HBV RNA: Predicting clinical relapse after NA therapy discontinuation","title-short":"Hepatitis B surface antigen, core-related antigen and HBV RNA","volume":"40","author":[{"family":"Kaewdech","given":"Apichat"},{"family":"Tangkijvanich","given":"Pisit"},{"family":"Sripongpun","given":"Pimsiri"},{"family":"Witeerungrot","given":"Teepawit"},{"family":"Jandee","given":"Sawangpong"},{"family":"Tanaka","given":"Yasuhito"},{"family":"Piratvisuth","given":"Teerha"}],"issued":{"date-parts":[["2020"]]}}}],"schema":"https://github.com/citation-style-language/schema/raw/master/csl-citation.json"} </w:instrText>
            </w:r>
            <w:r>
              <w:rPr>
                <w:rFonts w:ascii="Book Antiqua" w:hAnsi="Book Antiqua" w:cs="Cordia New"/>
              </w:rPr>
              <w:fldChar w:fldCharType="separate"/>
            </w:r>
            <w:r>
              <w:rPr>
                <w:rFonts w:ascii="Book Antiqua" w:hAnsi="Book Antiqua" w:cs="Angsana New"/>
                <w:vertAlign w:val="superscript"/>
              </w:rPr>
              <w:t>[12]</w:t>
            </w:r>
            <w:r>
              <w:rPr>
                <w:rFonts w:ascii="Book Antiqua" w:hAnsi="Book Antiqua" w:cs="Cordia New"/>
              </w:rPr>
              <w:fldChar w:fldCharType="end"/>
            </w:r>
            <w:r>
              <w:rPr>
                <w:rFonts w:ascii="Book Antiqua" w:hAnsi="Book Antiqua" w:cs="Cordia New"/>
              </w:rPr>
              <w:t>, 2020</w:t>
            </w:r>
          </w:p>
        </w:tc>
        <w:tc>
          <w:tcPr>
            <w:tcW w:w="1843" w:type="dxa"/>
          </w:tcPr>
          <w:p>
            <w:pPr>
              <w:snapToGrid w:val="0"/>
              <w:spacing w:line="360" w:lineRule="auto"/>
              <w:jc w:val="both"/>
              <w:rPr>
                <w:rFonts w:ascii="Book Antiqua" w:hAnsi="Book Antiqua" w:cs="Cordia New"/>
              </w:rPr>
            </w:pPr>
            <w:r>
              <w:rPr>
                <w:rFonts w:ascii="Book Antiqua" w:hAnsi="Book Antiqua" w:cs="Cordia New"/>
              </w:rPr>
              <w:t>Thailand</w:t>
            </w:r>
          </w:p>
        </w:tc>
        <w:tc>
          <w:tcPr>
            <w:tcW w:w="1276" w:type="dxa"/>
          </w:tcPr>
          <w:p>
            <w:pPr>
              <w:snapToGrid w:val="0"/>
              <w:spacing w:line="360" w:lineRule="auto"/>
              <w:jc w:val="both"/>
              <w:rPr>
                <w:rFonts w:ascii="Book Antiqua" w:hAnsi="Book Antiqua" w:cs="Cordia New"/>
              </w:rPr>
            </w:pPr>
            <w:r>
              <w:rPr>
                <w:rFonts w:ascii="Book Antiqua" w:hAnsi="Book Antiqua" w:cs="Cordia New"/>
              </w:rPr>
              <w:t>92</w:t>
            </w:r>
          </w:p>
        </w:tc>
        <w:tc>
          <w:tcPr>
            <w:tcW w:w="1984" w:type="dxa"/>
          </w:tcPr>
          <w:p>
            <w:pPr>
              <w:snapToGrid w:val="0"/>
              <w:spacing w:line="360" w:lineRule="auto"/>
              <w:jc w:val="both"/>
              <w:rPr>
                <w:rFonts w:ascii="Book Antiqua" w:hAnsi="Book Antiqua" w:cs="Cordia New"/>
              </w:rPr>
            </w:pPr>
            <w:r>
              <w:rPr>
                <w:rFonts w:ascii="Book Antiqua" w:hAnsi="Book Antiqua" w:cs="Cordia New"/>
              </w:rPr>
              <w:t>70</w:t>
            </w:r>
          </w:p>
        </w:tc>
        <w:tc>
          <w:tcPr>
            <w:tcW w:w="1560" w:type="dxa"/>
          </w:tcPr>
          <w:p>
            <w:pPr>
              <w:snapToGrid w:val="0"/>
              <w:spacing w:line="360" w:lineRule="auto"/>
              <w:jc w:val="both"/>
              <w:rPr>
                <w:rFonts w:ascii="Book Antiqua" w:hAnsi="Book Antiqua" w:cs="Cordia New"/>
              </w:rPr>
            </w:pPr>
            <w:r>
              <w:rPr>
                <w:rFonts w:ascii="Book Antiqua" w:hAnsi="Book Antiqua" w:cs="Cordia New"/>
              </w:rPr>
              <w:t>48</w:t>
            </w:r>
          </w:p>
        </w:tc>
        <w:tc>
          <w:tcPr>
            <w:tcW w:w="1701" w:type="dxa"/>
            <w:noWrap/>
          </w:tcPr>
          <w:p>
            <w:pPr>
              <w:snapToGrid w:val="0"/>
              <w:spacing w:line="360" w:lineRule="auto"/>
              <w:jc w:val="both"/>
              <w:rPr>
                <w:rFonts w:ascii="Book Antiqua" w:hAnsi="Book Antiqua" w:cs="Cordia New"/>
              </w:rPr>
            </w:pPr>
            <w:r>
              <w:rPr>
                <w:rFonts w:ascii="Book Antiqua" w:hAnsi="Book Antiqua" w:cs="Cordia New"/>
              </w:rPr>
              <w:t>63</w:t>
            </w:r>
          </w:p>
        </w:tc>
        <w:tc>
          <w:tcPr>
            <w:tcW w:w="1559" w:type="dxa"/>
            <w:noWrap/>
          </w:tcPr>
          <w:p>
            <w:pPr>
              <w:snapToGrid w:val="0"/>
              <w:spacing w:line="360" w:lineRule="auto"/>
              <w:jc w:val="both"/>
              <w:rPr>
                <w:rFonts w:ascii="Book Antiqua" w:hAnsi="Book Antiqua" w:cs="Cordia New"/>
              </w:rPr>
            </w:pPr>
            <w:r>
              <w:rPr>
                <w:rFonts w:ascii="Book Antiqua" w:hAnsi="Book Antiqua" w:cs="Cordia New"/>
              </w:rPr>
              <w:t>33.7</w:t>
            </w:r>
          </w:p>
        </w:tc>
        <w:tc>
          <w:tcPr>
            <w:tcW w:w="1701" w:type="dxa"/>
          </w:tcPr>
          <w:p>
            <w:pPr>
              <w:snapToGrid w:val="0"/>
              <w:spacing w:line="360" w:lineRule="auto"/>
              <w:jc w:val="both"/>
              <w:rPr>
                <w:rFonts w:ascii="Book Antiqua" w:hAnsi="Book Antiqua" w:cs="Cordia New"/>
              </w:rPr>
            </w:pPr>
            <w:r>
              <w:rPr>
                <w:rFonts w:ascii="Book Antiqua" w:hAnsi="Book Antiqua" w:cs="Cordia New"/>
              </w:rPr>
              <w:t>2/92</w:t>
            </w:r>
          </w:p>
        </w:tc>
      </w:tr>
    </w:tbl>
    <w:p>
      <w:pPr>
        <w:spacing w:line="360" w:lineRule="auto"/>
        <w:jc w:val="both"/>
        <w:rPr>
          <w:rFonts w:ascii="Book Antiqua" w:hAnsi="Book Antiqua" w:cs="Cordia New"/>
          <w:lang w:eastAsia="zh-CN"/>
        </w:rPr>
      </w:pPr>
      <w:r>
        <w:rPr>
          <w:rFonts w:ascii="Book Antiqua" w:hAnsi="Book Antiqua" w:cs="Cordia New"/>
          <w:vertAlign w:val="superscript"/>
        </w:rPr>
        <w:t>1</w:t>
      </w:r>
      <w:r>
        <w:rPr>
          <w:rFonts w:ascii="Book Antiqua" w:hAnsi="Book Antiqua" w:cs="Cordia New"/>
        </w:rPr>
        <w:t>Not reported</w:t>
      </w:r>
      <w:r>
        <w:rPr>
          <w:rFonts w:hint="eastAsia" w:ascii="Book Antiqua" w:hAnsi="Book Antiqua" w:cs="Cordia New"/>
          <w:lang w:eastAsia="zh-CN"/>
        </w:rPr>
        <w:t>.</w:t>
      </w:r>
      <w:r>
        <w:rPr>
          <w:rFonts w:ascii="Book Antiqua" w:hAnsi="Book Antiqua" w:cs="Cordia New"/>
          <w:lang w:eastAsia="zh-CN"/>
        </w:rPr>
        <w:t xml:space="preserve"> </w:t>
      </w:r>
    </w:p>
    <w:p>
      <w:pPr>
        <w:spacing w:line="360" w:lineRule="auto"/>
        <w:jc w:val="both"/>
        <w:rPr>
          <w:rFonts w:ascii="Book Antiqua" w:hAnsi="Book Antiqua" w:cs="Cordia New"/>
          <w:lang w:eastAsia="zh-CN"/>
        </w:rPr>
      </w:pPr>
      <w:r>
        <w:rPr>
          <w:rFonts w:ascii="Book Antiqua" w:hAnsi="Book Antiqua" w:cs="Cordia New"/>
          <w:vertAlign w:val="superscript"/>
        </w:rPr>
        <w:t>2</w:t>
      </w:r>
      <w:r>
        <w:rPr>
          <w:rFonts w:ascii="Book Antiqua" w:hAnsi="Book Antiqua" w:cs="Cordia New"/>
        </w:rPr>
        <w:t xml:space="preserve">All patients had </w:t>
      </w:r>
      <w:r>
        <w:rPr>
          <w:rFonts w:ascii="Book Antiqua" w:hAnsi="Book Antiqua" w:cs="Cordia New"/>
          <w:lang w:eastAsia="zh-CN"/>
        </w:rPr>
        <w:t>h</w:t>
      </w:r>
      <w:r>
        <w:rPr>
          <w:rFonts w:ascii="Book Antiqua" w:hAnsi="Book Antiqua" w:cs="Cordia New"/>
        </w:rPr>
        <w:t xml:space="preserve">epatitis B surface antigen level &lt; 200 IU/mL at the </w:t>
      </w:r>
      <w:r>
        <w:rPr>
          <w:rFonts w:ascii="Book Antiqua" w:hAnsi="Book Antiqua" w:cs="Book Antiqua"/>
          <w:color w:val="000000"/>
          <w:lang w:eastAsia="zh-CN"/>
        </w:rPr>
        <w:t>e</w:t>
      </w:r>
      <w:r>
        <w:rPr>
          <w:rFonts w:ascii="Book Antiqua" w:hAnsi="Book Antiqua" w:eastAsia="Book Antiqua" w:cs="Book Antiqua"/>
          <w:color w:val="000000"/>
        </w:rPr>
        <w:t>nd of treatment</w:t>
      </w:r>
      <w:r>
        <w:rPr>
          <w:rFonts w:ascii="Book Antiqua" w:hAnsi="Book Antiqua" w:cs="Cordia New"/>
        </w:rPr>
        <w:t xml:space="preserve">. </w:t>
      </w:r>
    </w:p>
    <w:p>
      <w:pPr>
        <w:spacing w:line="360" w:lineRule="auto"/>
        <w:jc w:val="both"/>
        <w:rPr>
          <w:rFonts w:ascii="Book Antiqua" w:hAnsi="Book Antiqua" w:cs="Cordia New"/>
          <w:lang w:eastAsia="zh-CN" w:bidi="th-TH"/>
        </w:rPr>
      </w:pPr>
      <w:r>
        <w:rPr>
          <w:rFonts w:ascii="Book Antiqua" w:hAnsi="Book Antiqua" w:cs="Book Antiqua"/>
          <w:bCs/>
          <w:color w:val="000000"/>
          <w:lang w:eastAsia="zh-CN"/>
        </w:rPr>
        <w:t xml:space="preserve">EOT: </w:t>
      </w:r>
      <w:r>
        <w:rPr>
          <w:rFonts w:ascii="Book Antiqua" w:hAnsi="Book Antiqua" w:cs="Book Antiqua"/>
          <w:color w:val="000000"/>
          <w:lang w:eastAsia="zh-CN"/>
        </w:rPr>
        <w:t>E</w:t>
      </w:r>
      <w:r>
        <w:rPr>
          <w:rFonts w:ascii="Book Antiqua" w:hAnsi="Book Antiqua" w:eastAsia="Book Antiqua" w:cs="Book Antiqua"/>
          <w:color w:val="000000"/>
        </w:rPr>
        <w:t>nd of treatment;</w:t>
      </w:r>
      <w:r>
        <w:rPr>
          <w:rFonts w:ascii="Book Antiqua" w:hAnsi="Book Antiqua" w:cs="Cordia New"/>
        </w:rPr>
        <w:t xml:space="preserve"> </w:t>
      </w:r>
      <w:r>
        <w:rPr>
          <w:rFonts w:ascii="Book Antiqua" w:hAnsi="Book Antiqua" w:cs="Book Antiqua"/>
          <w:bCs/>
          <w:color w:val="000000"/>
          <w:lang w:eastAsia="zh-CN"/>
        </w:rPr>
        <w:t xml:space="preserve">HBsAg: </w:t>
      </w:r>
      <w:r>
        <w:rPr>
          <w:rFonts w:ascii="Book Antiqua" w:hAnsi="Book Antiqua" w:cs="Cordia New"/>
          <w:lang w:eastAsia="zh-CN"/>
        </w:rPr>
        <w:t>H</w:t>
      </w:r>
      <w:r>
        <w:rPr>
          <w:rFonts w:ascii="Book Antiqua" w:hAnsi="Book Antiqua" w:cs="Cordia New"/>
        </w:rPr>
        <w:t>epatitis B surface antigen</w:t>
      </w:r>
      <w:r>
        <w:rPr>
          <w:rFonts w:ascii="Book Antiqua" w:hAnsi="Book Antiqua" w:cs="Book Antiqua"/>
          <w:bCs/>
          <w:color w:val="000000"/>
          <w:lang w:eastAsia="zh-CN"/>
        </w:rPr>
        <w:t xml:space="preserve">; </w:t>
      </w:r>
      <w:r>
        <w:rPr>
          <w:rFonts w:ascii="Book Antiqua" w:hAnsi="Book Antiqua" w:cs="Cordia New"/>
        </w:rPr>
        <w:t>NR</w:t>
      </w:r>
      <w:r>
        <w:rPr>
          <w:rFonts w:ascii="Book Antiqua" w:hAnsi="Book Antiqua" w:cs="Cordia New"/>
          <w:lang w:eastAsia="zh-CN"/>
        </w:rPr>
        <w:t>:</w:t>
      </w:r>
      <w:r>
        <w:rPr>
          <w:rFonts w:ascii="Book Antiqua" w:hAnsi="Book Antiqua" w:cs="Cordia New"/>
        </w:rPr>
        <w:t xml:space="preserve"> Not reported</w:t>
      </w:r>
      <w:r>
        <w:rPr>
          <w:rFonts w:ascii="Book Antiqua" w:hAnsi="Book Antiqua" w:cs="Book Antiqua"/>
          <w:bCs/>
          <w:color w:val="000000"/>
          <w:lang w:eastAsia="zh-CN"/>
        </w:rPr>
        <w:t>.</w:t>
      </w:r>
    </w:p>
    <w:p>
      <w:pPr>
        <w:snapToGrid w:val="0"/>
        <w:spacing w:line="360" w:lineRule="auto"/>
        <w:jc w:val="both"/>
        <w:rPr>
          <w:rFonts w:ascii="Book Antiqua" w:hAnsi="Book Antiqua" w:cs="Cordia New"/>
          <w:lang w:eastAsia="zh-CN" w:bidi="th-TH"/>
        </w:rPr>
      </w:pPr>
    </w:p>
    <w:p>
      <w:pPr>
        <w:spacing w:line="360" w:lineRule="auto"/>
        <w:jc w:val="both"/>
        <w:rPr>
          <w:rFonts w:ascii="Book Antiqua" w:hAnsi="Book Antiqua" w:cs="Cordia New"/>
        </w:rPr>
        <w:sectPr>
          <w:pgSz w:w="16840" w:h="11900" w:orient="landscape"/>
          <w:pgMar w:top="1440" w:right="1440" w:bottom="1440" w:left="1440" w:header="708" w:footer="708" w:gutter="0"/>
          <w:cols w:space="720" w:num="1"/>
          <w:docGrid w:linePitch="326" w:charSpace="0"/>
        </w:sectPr>
      </w:pPr>
    </w:p>
    <w:p>
      <w:pPr>
        <w:spacing w:line="360" w:lineRule="auto"/>
        <w:jc w:val="both"/>
        <w:rPr>
          <w:rFonts w:ascii="Book Antiqua" w:hAnsi="Book Antiqua" w:cs="Cordia New"/>
          <w:b/>
          <w:bCs/>
          <w:lang w:eastAsia="zh-CN"/>
        </w:rPr>
      </w:pPr>
      <w:r>
        <w:rPr>
          <w:rFonts w:ascii="Book Antiqua" w:hAnsi="Book Antiqua" w:cs="Cordia New"/>
          <w:b/>
          <w:bCs/>
        </w:rPr>
        <w:t xml:space="preserve">Table 3 Factors predictive of </w:t>
      </w:r>
      <w:r>
        <w:rPr>
          <w:rFonts w:ascii="Book Antiqua" w:hAnsi="Book Antiqua" w:cs="Cordia New"/>
          <w:b/>
          <w:lang w:eastAsia="zh-CN"/>
        </w:rPr>
        <w:t>h</w:t>
      </w:r>
      <w:r>
        <w:rPr>
          <w:rFonts w:ascii="Book Antiqua" w:hAnsi="Book Antiqua" w:cs="Cordia New"/>
          <w:b/>
        </w:rPr>
        <w:t>epatitis B virus</w:t>
      </w:r>
      <w:r>
        <w:rPr>
          <w:rFonts w:ascii="Book Antiqua" w:hAnsi="Book Antiqua" w:cs="Cordia New"/>
          <w:b/>
          <w:bCs/>
        </w:rPr>
        <w:t xml:space="preserve"> relapse</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03"/>
        <w:gridCol w:w="3003"/>
        <w:gridCol w:w="300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03" w:type="dxa"/>
            <w:tcBorders>
              <w:top w:val="single" w:color="auto" w:sz="4" w:space="0"/>
              <w:bottom w:val="single" w:color="auto" w:sz="4" w:space="0"/>
            </w:tcBorders>
            <w:shd w:val="clear" w:color="auto" w:fill="auto"/>
          </w:tcPr>
          <w:p>
            <w:pPr>
              <w:pStyle w:val="17"/>
              <w:spacing w:after="0" w:line="360" w:lineRule="auto"/>
              <w:ind w:firstLine="0" w:firstLineChars="0"/>
              <w:jc w:val="both"/>
              <w:rPr>
                <w:rFonts w:ascii="Book Antiqua" w:hAnsi="Book Antiqua" w:cs="Cordia New"/>
                <w:b/>
                <w:bCs/>
                <w:sz w:val="24"/>
                <w:szCs w:val="24"/>
                <w:cs/>
              </w:rPr>
            </w:pPr>
            <w:r>
              <w:rPr>
                <w:rFonts w:ascii="Book Antiqua" w:hAnsi="Book Antiqua" w:cs="Cordia New"/>
                <w:b/>
                <w:bCs/>
                <w:sz w:val="24"/>
                <w:szCs w:val="24"/>
              </w:rPr>
              <w:t>Baseline at pretreatment</w:t>
            </w:r>
          </w:p>
        </w:tc>
        <w:tc>
          <w:tcPr>
            <w:tcW w:w="3003" w:type="dxa"/>
            <w:tcBorders>
              <w:top w:val="single" w:color="auto" w:sz="4" w:space="0"/>
              <w:bottom w:val="single" w:color="auto" w:sz="4" w:space="0"/>
            </w:tcBorders>
            <w:shd w:val="clear" w:color="auto" w:fill="auto"/>
          </w:tcPr>
          <w:p>
            <w:pPr>
              <w:pStyle w:val="17"/>
              <w:spacing w:after="0" w:line="360" w:lineRule="auto"/>
              <w:ind w:firstLine="0" w:firstLineChars="0"/>
              <w:jc w:val="both"/>
              <w:rPr>
                <w:rFonts w:ascii="Book Antiqua" w:hAnsi="Book Antiqua" w:cs="Cordia New"/>
                <w:b/>
                <w:bCs/>
                <w:sz w:val="24"/>
                <w:szCs w:val="24"/>
              </w:rPr>
            </w:pPr>
            <w:r>
              <w:rPr>
                <w:rFonts w:ascii="Book Antiqua" w:hAnsi="Book Antiqua" w:cs="Cordia New"/>
                <w:b/>
                <w:bCs/>
                <w:sz w:val="24"/>
                <w:szCs w:val="24"/>
              </w:rPr>
              <w:t>On-treatment</w:t>
            </w:r>
          </w:p>
        </w:tc>
        <w:tc>
          <w:tcPr>
            <w:tcW w:w="3004" w:type="dxa"/>
            <w:tcBorders>
              <w:top w:val="single" w:color="auto" w:sz="4" w:space="0"/>
              <w:bottom w:val="single" w:color="auto" w:sz="4" w:space="0"/>
            </w:tcBorders>
            <w:shd w:val="clear" w:color="auto" w:fill="auto"/>
          </w:tcPr>
          <w:p>
            <w:pPr>
              <w:pStyle w:val="17"/>
              <w:spacing w:after="0" w:line="360" w:lineRule="auto"/>
              <w:ind w:firstLine="0" w:firstLineChars="0"/>
              <w:jc w:val="both"/>
              <w:rPr>
                <w:rFonts w:ascii="Book Antiqua" w:hAnsi="Book Antiqua" w:cs="Cordia New"/>
                <w:b/>
                <w:bCs/>
                <w:sz w:val="24"/>
                <w:szCs w:val="24"/>
              </w:rPr>
            </w:pPr>
            <w:r>
              <w:rPr>
                <w:rFonts w:ascii="Book Antiqua" w:hAnsi="Book Antiqua" w:cs="Cordia New"/>
                <w:b/>
                <w:bCs/>
                <w:sz w:val="24"/>
                <w:szCs w:val="24"/>
              </w:rPr>
              <w:t>End of treatment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0" w:type="dxa"/>
            <w:gridSpan w:val="3"/>
            <w:tcBorders>
              <w:top w:val="single" w:color="auto" w:sz="4" w:space="0"/>
            </w:tcBorders>
            <w:shd w:val="clear" w:color="auto" w:fill="auto"/>
          </w:tcPr>
          <w:p>
            <w:pPr>
              <w:pStyle w:val="17"/>
              <w:spacing w:after="0" w:line="360" w:lineRule="auto"/>
              <w:ind w:firstLine="0" w:firstLineChars="0"/>
              <w:jc w:val="both"/>
              <w:rPr>
                <w:rFonts w:ascii="Book Antiqua" w:hAnsi="Book Antiqua" w:cs="Cordia New"/>
                <w:b/>
                <w:sz w:val="24"/>
                <w:szCs w:val="24"/>
              </w:rPr>
            </w:pPr>
            <w:r>
              <w:rPr>
                <w:rFonts w:ascii="Book Antiqua" w:hAnsi="Book Antiqua" w:cs="Cordia New"/>
                <w:b/>
                <w:sz w:val="24"/>
                <w:szCs w:val="24"/>
              </w:rPr>
              <w:t xml:space="preserve">Virological </w:t>
            </w:r>
            <w:r>
              <w:rPr>
                <w:rFonts w:ascii="Book Antiqua" w:hAnsi="Book Antiqua" w:cs="Cordia New"/>
                <w:b/>
                <w:sz w:val="24"/>
                <w:szCs w:val="24"/>
                <w:lang w:eastAsia="zh-CN"/>
              </w:rPr>
              <w:t>r</w:t>
            </w:r>
            <w:r>
              <w:rPr>
                <w:rFonts w:ascii="Book Antiqua" w:hAnsi="Book Antiqua" w:cs="Cordia New"/>
                <w:b/>
                <w:sz w:val="24"/>
                <w:szCs w:val="24"/>
              </w:rPr>
              <w:t>elapse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3003" w:type="dxa"/>
            <w:shd w:val="clear" w:color="auto" w:fill="auto"/>
          </w:tcPr>
          <w:p>
            <w:pPr>
              <w:pStyle w:val="17"/>
              <w:spacing w:after="0" w:line="360" w:lineRule="auto"/>
              <w:ind w:firstLine="0" w:firstLineChars="0"/>
              <w:jc w:val="both"/>
              <w:rPr>
                <w:rFonts w:ascii="Book Antiqua" w:hAnsi="Book Antiqua" w:cs="Cordia New"/>
                <w:sz w:val="24"/>
                <w:szCs w:val="24"/>
                <w:lang w:eastAsia="zh-CN"/>
              </w:rPr>
            </w:pPr>
            <w:r>
              <w:rPr>
                <w:rFonts w:ascii="Book Antiqua" w:hAnsi="Book Antiqua" w:cs="Cordia New"/>
                <w:sz w:val="24"/>
                <w:szCs w:val="24"/>
              </w:rPr>
              <w:t>High age</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{"citationID":"P0uCWKe2","properties":{"formattedCitation":"\\super [40,44]\\nosupersub{}","plainCitation":"[40,44]","noteIndex":0},"citationItems":[{"id":232,"uris":["http://zotero.org/users/local/NyhnE8P8/items/PZQPJNGH"],"uri":["http://zotero.org/users/local/NyhnE8P8/items/PZQPJNGH"],"itemData":{"id":232,"type":"article-journal","abstract":"BACKGROUND &amp; AIMS: We investigated whether the quantification of hepatitis surface antigen (HBsAg) could predict HBsAg loss or hepatitis B virus (HBV) relapse after stopping lamivudine treatment. METHODS: A total of 188 naive chronic hepatitis B patients (83 HBeAg-positive, 105 HBeAg-negative patients), who were previously treated with lamivudine (treatment duration: 89.3 +/- 35.9 weeks, range: 52-243 weeks) but stopped the treatment for at least 12 months were recruited. RESULTS: The cumulative incidence of HBsAg loss and HBV relapse at year 6 after stopping lamivudine treatment was 24% and 65.9% respectively. Cox regression analysis revealed that lower alanine aminotransferase (ALT) at baseline, lower HBsAg levels at the end of treatment, and longer treatment duration were independent predictors for HBsAg loss, and old age, male sex and higher HBsAg levels at the end of treatment were independent predictors for post-treatment HBV relapse. At the end of treatment, the HBsAg cut-off value of 300 IU/ml could predict 55.6% (5/9) HBsAg loss in HBeAg-positive patients. In HBeAg-negative patients, the HBsAg cut-off values of 120 and 200 IU/ml could predict 79.2% (19/24) HBsAg loss and 93.3% (28/30) post-treatment sustained response respectively. Further HBsAg reduction (&gt;0.22 log IU/ml) at month 6 after stopping treatment was an independent predictor for HBsAg loss after adjusting for HBsAg level at the end of treatment. CONCLUSIONS: Serum HBsAg level at the end of treatment is a useful predictor to guide the timing of stopping lamivudine treatment in chronic hepatitis B patients.","container-title":"Journal of hepatology","DOI":"10/f2tkx3","ISSN":"1600-0641 0168-8278","issue":"3","journalAbbreviation":"J Hepatol","language":"eng","note":"PMID: 24798617","page":"515-522","title":"The role of hepatitis B surface antigen quantification in predicting HBsAg loss and HBV relapse after discontinuation of lamivudine treatment.","volume":"61","author":[{"family":"Chen","given":"Chien-Hung"},{"family":"Lu","given":"Sheng-Nan"},{"family":"Hung","given":"Chao-Hung"},{"family":"Wang","given":"Jing-Houng"},{"family":"Hu","given":"Tsung-Hui"},{"family":"Changchien","given":"Chi-Sin"},{"family":"Lee","given":"Chuan-Mo"}],"issued":{"date-parts":[["2014",9]]}}},{"id":1139,"uris":["http://zotero.org/users/local/NyhnE8P8/items/2BH9LPK4"],"uri":["http://zotero.org/users/local/NyhnE8P8/items/2BH9LPK4"],"itemData":{"id":1139,"type":"article-journal","abstract":"Objectives: The aim of this study was to identify the predictors of relapse after the withdrawal of nucleos (t)ide analog (NA) therapy in patients with hepatitis B e antigen (HBeAg)-negative chronic hepatitis B (CHB).\nMethods: The PubMed, EMBASE, Cochrane Central Register of Controlled Trials, and Web of Science databases were searched through January 2019. A random-effects model meta-analysis was performed, with hazard ratios (HR) and 95% conﬁdence intervals (CI) used as summary statistics.\nResults: Seventeen studies were included in the meta-analysis. Age (HR = 1.022 per year), baseline hepatitis B surface antigen (HBsAg) (HR = 1.509 per log IU/l), end of treatment (EOT) HBsAg level (HR = 1.896 per log IU/l), EOT HBsAg level !1000 IU/ml (HR = 1.749), and HBsAg decline from baseline to EOT (HR = 0.748 per log IU/l) were associated with virological relapse. The predictors of clinical relapse were baseline HBsAg level (HR = 1.312 per log IU/l), EOT HBsAg level (HR = 1.458 per log IU/l), EOT HBsAg level !100 IU/ml (HR = 3.199) or !1000 IU/ml (HR = 1.810), and duration of consolidation therapy (HR = 0.991 per month).\nConclusions: This meta-analysis indicates that age, the duration of consolidation therapy, and levels of baseline and EOT HBsAg were factors predictive of relapse in HBeAg-negative CHB patients who discontinued NA treatment.","container-title":"International Journal of Infectious Diseases","DOI":"10/ghwqnx","ISSN":"12019712","journalAbbreviation":"International Journal of Infectious Diseases","language":"en","page":"201-207","source":"DOI.org (Crossref)","title":"Predictors of relapse after cessation of nucleos(t)ide analog treatment in HBeAg-negative chronic hepatitis B patients: A meta-analysis","title-short":"Predictors of relapse after cessation of nucleos(t)ide analog treatment in HBeAg-negative chronic hepatitis B patients","volume":"86","author":[{"family":"Liu","given":"Yun"},{"family":"Jia","given":"Minglei"},{"family":"Wu","given":"Shengdi"},{"family":"Jiang","given":"Wei"},{"family":"Feng","given":"Yifan"}],"issued":{"date-parts":[["2019",9]]}}}],"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[40,44]</w:t>
            </w:r>
            <w:r>
              <w:rPr>
                <w:rFonts w:ascii="Book Antiqua" w:hAnsi="Book Antiqua" w:cs="Cordia New"/>
                <w:sz w:val="24"/>
                <w:szCs w:val="24"/>
              </w:rPr>
              <w:fldChar w:fldCharType="end"/>
            </w:r>
          </w:p>
        </w:tc>
        <w:tc>
          <w:tcPr>
            <w:tcW w:w="3003" w:type="dxa"/>
            <w:vMerge w:val="restart"/>
            <w:shd w:val="clear" w:color="auto" w:fill="auto"/>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Short consolidation duration</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{"citationID":"wmYMBxJy","properties":{"formattedCitation":"\\super [38]\\nosupersub{}","plainCitation":"[38]","noteIndex":0},"citationItems":[{"id":23,"uris":["http://zotero.org/users/local/NyhnE8P8/items/6D7AE88F"],"uri":["http://zotero.org/users/local/NyhnE8P8/items/6D7AE88F"],"itemData":{"id":23,"type":"article-journal","abstract":"BACKGROUND: Before stopping nucleos(t)ide analogue (NA) treatment in chronic hepatitis B (CHB), 6-12 months of consolidation therapy is recommended. AIM: To investigate the effect of consolidation therapy on off-treatment outcomes in CHB  patients. METHODS: We included 94 patients who stopped NA after at least 1 year of therapy. Patients could be HBeAg-positive or HBeAg-negative at start-of-treatment, but were HBeAg-negative and had undetectable HBV DNA at time  of discontinuation. Consolidation therapy was defined as treatment after the first undetectable HBV DNA (and HBeAg loss for HBeAg-positive patients) until NA  cessation. RESULTS: At 3 years, 74% of the start-of-treatment HBeAg-positive and  75% of the start-of-treatment HBeAg-negative patients developed HBV DNA &gt;2000 IU/mL at a single time point, whereas a persistent virological relapse (&gt;/=2 tests of HBV DNA &gt;2000 IU/mL 6 months apart within 1 year) developed in 49% of the start-of-treatment HBeAg-positive and 53% of the start-of-treatment HBeAg-negative patients. For both HBeAg-positive and HBeAg-negative patients, consolidation therapy of &gt;/=3 years was associated with lower persistent virological relapse rates compared to &lt;1 year (1-year relapse rate: 25% vs. 54%;  P = 0.063 and 24% vs. 57%; P = 0.036, respectively). At 3 years, 9% of the HBeAg-positive and 14% of the HBeAg-negative patients became HBsAg-negative. Prolonged consolidation therapy increased the likelihood of HBsAg loss. Two cirrhotic patients developed hepatic decompensation but both recovered. CONCLUSIONS: After nucleos(t)ide analogue discontinuation, relapse was common in  patients with chronic hepatitis B. Prolongation of consolidation therapy beyond 3 years decreased the risk of persistent virological relapse and increased the likelihood of HBsAg loss.","container-title":"Alimentary pharmacology &amp; therapeutics","DOI":"10.1111/apt.13150","ISSN":"1365-2036 0269-2813","issue":"9","journalAbbreviation":"Aliment Pharmacol Ther","language":"eng","note":"PMID: 25752878","page":"867-876","title":"Reduced risk of relapse after long-term nucleos(t)ide analogue consolidation therapy for chronic hepatitis B.","volume":"41","author":[{"family":"Chi","given":"H."},{"family":"Hansen","given":"B. E."},{"family":"Yim","given":"C."},{"family":"Arends","given":"P."},{"family":"Abu-Amara","given":"M."},{"family":"Eijk","given":"A. A.","non-dropping-particle":"van der"},{"family":"Feld","given":"J. J."},{"family":"Knegt","given":"R. J.","non-dropping-particle":"de"},{"family":"Wong","given":"D. K. H."},{"family":"Janssen","given":"H. L. A."}],"issued":{"date-parts":[["2015",5]]}}}],"schema":"https://github.com/citation-style-language/schema/raw/master/csl-citation.json"}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[38]</w:t>
            </w:r>
            <w:r>
              <w:rPr>
                <w:rFonts w:ascii="Book Antiqua" w:hAnsi="Book Antiqua" w:cs="Cordia New"/>
                <w:sz w:val="24"/>
                <w:szCs w:val="24"/>
              </w:rPr>
              <w:fldChar w:fldCharType="end"/>
            </w:r>
          </w:p>
        </w:tc>
        <w:tc>
          <w:tcPr>
            <w:tcW w:w="3004" w:type="dxa"/>
            <w:shd w:val="clear" w:color="auto" w:fill="auto"/>
          </w:tcPr>
          <w:p>
            <w:pPr>
              <w:pStyle w:val="17"/>
              <w:spacing w:after="0" w:line="360" w:lineRule="auto"/>
              <w:ind w:firstLine="0" w:firstLineChars="0"/>
              <w:jc w:val="both"/>
              <w:rPr>
                <w:rFonts w:ascii="Book Antiqua" w:hAnsi="Book Antiqua" w:cs="Cordia New"/>
                <w:sz w:val="24"/>
                <w:szCs w:val="24"/>
                <w:lang w:eastAsia="zh-CN"/>
              </w:rPr>
            </w:pPr>
            <w:r>
              <w:rPr>
                <w:rFonts w:ascii="Book Antiqua" w:hAnsi="Book Antiqua" w:cs="Cordia New"/>
                <w:sz w:val="24"/>
                <w:szCs w:val="24"/>
              </w:rPr>
              <w:t>High HBsAg level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{"citationID":"s6FPdpE1","properties":{"formattedCitation":"\\super [40,41]\\nosupersub{}","plainCitation":"[40,41]","noteIndex":0},"citationItems":[{"id":232,"uris":["http://zotero.org/users/local/NyhnE8P8/items/PZQPJNGH"],"uri":["http://zotero.org/users/local/NyhnE8P8/items/PZQPJNGH"],"itemData":{"id":232,"type":"article-journal","abstract":"BACKGROUND &amp; AIMS: We investigated whether the quantification of hepatitis surface antigen (HBsAg) could predict HBsAg loss or hepatitis B virus (HBV) relapse after stopping lamivudine treatment. METHODS: A total of 188 naive chronic hepatitis B patients (83 HBeAg-positive, 105 HBeAg-negative patients), who were previously treated with lamivudine (treatment duration: 89.3 +/- 35.9 weeks, range: 52-243 weeks) but stopped the treatment for at least 12 months were recruited. RESULTS: The cumulative incidence of HBsAg loss and HBV relapse at year 6 after stopping lamivudine treatment was 24% and 65.9% respectively. Cox regression analysis revealed that lower alanine aminotransferase (ALT) at baseline, lower HBsAg levels at the end of treatment, and longer treatment duration were independent predictors for HBsAg loss, and old age, male sex and higher HBsAg levels at the end of treatment were independent predictors for post-treatment HBV relapse. At the end of treatment, the HBsAg cut-off value of 300 IU/ml could predict 55.6% (5/9) HBsAg loss in HBeAg-positive patients. In HBeAg-negative patients, the HBsAg cut-off values of 120 and 200 IU/ml could predict 79.2% (19/24) HBsAg loss and 93.3% (28/30) post-treatment sustained response respectively. Further HBsAg reduction (&gt;0.22 log IU/ml) at month 6 after stopping treatment was an independent predictor for HBsAg loss after adjusting for HBsAg level at the end of treatment. CONCLUSIONS: Serum HBsAg level at the end of treatment is a useful predictor to guide the timing of stopping lamivudine treatment in chronic hepatitis B patients.","container-title":"Journal of hepatology","DOI":"10/f2tkx3","ISSN":"1600-0641 0168-8278","issue":"3","journalAbbreviation":"J Hepatol","language":"eng","note":"PMID: 24798617","page":"515-522","title":"The role of hepatitis B surface antigen quantification in predicting HBsAg loss and HBV relapse after discontinuation of lamivudine treatment.","volume":"61","author":[{"family":"Chen","given":"Chien-Hung"},{"family":"Lu","given":"Sheng-Nan"},{"family":"Hung","given":"Chao-Hung"},{"family":"Wang","given":"Jing-Houng"},{"family":"Hu","given":"Tsung-Hui"},{"family":"Changchien","given":"Chi-Sin"},{"family":"Lee","given":"Chuan-Mo"}],"issued":{"date-parts":[["2014",9]]}}},{"id":185,"uris":["http://zotero.org/users/local/NyhnE8P8/items/SLCM2IIW"],"uri":["http://zotero.org/users/local/NyhnE8P8/items/SLCM2IIW"],"itemData":{"id":185,"type":"article-journal","abstract":"In actual clinical practice, infinite nucleos(t)ide analogues (NAs) treatment for chronic hepatitis B virus (HBV) infection is unrealistic. The most commonly used endpoint is suppression of HBV DNA to undetectable levels with normalization of alanine aminotransferase. However, this criterion for cessation of treatment is associated with various incidences of virological and clinical relapse. Recent studies suggest that decreasing the hepatitis B surface antigen (HBsAg) level at the end of treatment (EOT) to an appropriate cut-off value appears to be a practicable and attainable cessation criterion. We performed a systematic review to explore the optimal cut-off value of HBsAg at EOT for the cessation of NAs treatment. Eleven studies with 1,716 patients were included in this review. When the HBsAg levels at EOT were &lt;100 IU/mL and &gt;100 IU/mL, the respective off-therapy virological relapse rates were 9.1%-19.6% (range) and 31.4%-86.8% (range) at ≥12 months off therapy, regardless of hepatitis B e antigen (HBeAg) status; the respective off-therapy clinical relapse rates were 15.4%-29.4% (range) and 48.1%-63.6% (range) at ≥12 months off therapy, regardless of HBeAg status; and the respective off-therapy HBsAg loss rates were 21.1%-58.8% (range) and 3.3%-7.4% (range) for HBeAg-negative patients at ≥39 months off therapy. Conclusion: Cessation of long-term NAs therapy before HBsAg seroclearance in patients with chronic hepatitis B is a feasible alternative to indefinite treatment. An HBsAg level &lt;100 IU/mL at EOT seems to be a useful marker for deciding when to discontinue NAs therapy. However, regular monitoring is required after the cessation of NAs treatment, and long-term outcomes must be further evaluated.","container-title":"Hepatology (Baltimore, Md.)","DOI":"10.1002/hep.30474","ISSN":"1527-3350","issue":"3","journalAbbreviation":"Hepatology","language":"eng","note":"PMID: 30561829","page":"1045-1055","source":"PubMed","title":"The Role of Hepatitis B Surface Antigen in Nucleos(t)ide Analogues Cessation Among Asian Patients With Chronic Hepatitis B: A Systematic Review","title-short":"The Role of Hepatitis B Surface Antigen in Nucleos(t)ide Analogues Cessation Among Asian Patients With Chronic Hepatitis B","volume":"70","author":[{"family":"Liu","given":"Jiaye"},{"family":"Li","given":"Tao"},{"family":"Zhang","given":"Li"},{"family":"Xu","given":"Aiqiang"}],"issued":{"date-parts":[["2019",9]]}}}],"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[40,41]</w:t>
            </w:r>
            <w:r>
              <w:rPr>
                <w:rFonts w:ascii="Book Antiqua" w:hAnsi="Book Antiqua" w:cs="Cordia New"/>
                <w:sz w:val="24"/>
                <w:szCs w:val="24"/>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003" w:type="dxa"/>
            <w:shd w:val="clear" w:color="auto" w:fill="auto"/>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Male sex</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{"citationID":"kIVrHbUw","properties":{"formattedCitation":"\\super [40]\\nosupersub{}","plainCitation":"[40]","noteIndex":0},"citationItems":[{"id":232,"uris":["http://zotero.org/users/local/NyhnE8P8/items/PZQPJNGH"],"uri":["http://zotero.org/users/local/NyhnE8P8/items/PZQPJNGH"],"itemData":{"id":232,"type":"article-journal","abstract":"BACKGROUND &amp; AIMS: We investigated whether the quantification of hepatitis surface antigen (HBsAg) could predict HBsAg loss or hepatitis B virus (HBV) relapse after stopping lamivudine treatment. METHODS: A total of 188 naive chronic hepatitis B patients (83 HBeAg-positive, 105 HBeAg-negative patients), who were previously treated with lamivudine (treatment duration: 89.3 +/- 35.9 weeks, range: 52-243 weeks) but stopped the treatment for at least 12 months were recruited. RESULTS: The cumulative incidence of HBsAg loss and HBV relapse at year 6 after stopping lamivudine treatment was 24% and 65.9% respectively. Cox regression analysis revealed that lower alanine aminotransferase (ALT) at baseline, lower HBsAg levels at the end of treatment, and longer treatment duration were independent predictors for HBsAg loss, and old age, male sex and higher HBsAg levels at the end of treatment were independent predictors for post-treatment HBV relapse. At the end of treatment, the HBsAg cut-off value of 300 IU/ml could predict 55.6% (5/9) HBsAg loss in HBeAg-positive patients. In HBeAg-negative patients, the HBsAg cut-off values of 120 and 200 IU/ml could predict 79.2% (19/24) HBsAg loss and 93.3% (28/30) post-treatment sustained response respectively. Further HBsAg reduction (&gt;0.22 log IU/ml) at month 6 after stopping treatment was an independent predictor for HBsAg loss after adjusting for HBsAg level at the end of treatment. CONCLUSIONS: Serum HBsAg level at the end of treatment is a useful predictor to guide the timing of stopping lamivudine treatment in chronic hepatitis B patients.","container-title":"Journal of hepatology","DOI":"10/f2tkx3","ISSN":"1600-0641 0168-8278","issue":"3","journalAbbreviation":"J Hepatol","language":"eng","note":"PMID: 24798617","page":"515-522","title":"The role of hepatitis B surface antigen quantification in predicting HBsAg loss and HBV relapse after discontinuation of lamivudine treatment.","volume":"61","author":[{"family":"Chen","given":"Chien-Hung"},{"family":"Lu","given":"Sheng-Nan"},{"family":"Hung","given":"Chao-Hung"},{"family":"Wang","given":"Jing-Houng"},{"family":"Hu","given":"Tsung-Hui"},{"family":"Changchien","given":"Chi-Sin"},{"family":"Lee","given":"Chuan-Mo"}],"issued":{"date-parts":[["2014",9]]}}}],"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[40]</w:t>
            </w:r>
            <w:r>
              <w:rPr>
                <w:rFonts w:ascii="Book Antiqua" w:hAnsi="Book Antiqua" w:cs="Cordia New"/>
                <w:sz w:val="24"/>
                <w:szCs w:val="24"/>
              </w:rPr>
              <w:fldChar w:fldCharType="end"/>
            </w:r>
          </w:p>
        </w:tc>
        <w:tc>
          <w:tcPr>
            <w:tcW w:w="3003" w:type="dxa"/>
            <w:vMerge w:val="continue"/>
            <w:shd w:val="clear" w:color="auto" w:fill="auto"/>
          </w:tcPr>
          <w:p>
            <w:pPr>
              <w:pStyle w:val="17"/>
              <w:spacing w:after="0" w:line="360" w:lineRule="auto"/>
              <w:ind w:firstLine="0" w:firstLineChars="0"/>
              <w:jc w:val="both"/>
              <w:rPr>
                <w:rFonts w:ascii="Book Antiqua" w:hAnsi="Book Antiqua" w:cs="Cordia New"/>
                <w:sz w:val="24"/>
                <w:szCs w:val="24"/>
              </w:rPr>
            </w:pPr>
          </w:p>
        </w:tc>
        <w:tc>
          <w:tcPr>
            <w:tcW w:w="3004" w:type="dxa"/>
            <w:shd w:val="clear" w:color="auto" w:fill="auto"/>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High HBcrAg level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{"citationID":"l07PVpNb","properties":{"formattedCitation":"\\super [12]\\nosupersub{}","plainCitation":"[12]","noteIndex":0},"citationItems":[{"id":1072,"uris":["http://zotero.org/users/local/NyhnE8P8/items/KGFJAQCE"],"uri":["http://zotero.org/users/local/NyhnE8P8/items/KGFJAQCE"],"itemData":{"id":1072,"type":"article-journal","abstract":"Background &amp; Aims The safe discontinuation of nucleos(t)ide analogue therapy remains challenging in chronic hepatitis B. We investigated the potential role of quantitative hepatitis B surface antigen, hepatitis B core-related antigen and hepatitis B virus RNA at the end of treatment in predicting off-therapy relapse. Methods Patients who fulfilled the stopping criteria of the Asian Pacific Association for the Study of the Liver guideline were enrolled. Virological relapse was defined as hepatitis B virus DNA level greater than 2000 IU/mL, and clinical relapse was defined as virological relapse plus alanine aminotransferase level of more than twice the upper limit of normal. Results Ninety-two patients participated. The combination of end-of-treatment hepatitis B core-related antigen and hepatitis B virus RNA levels was most predictive of clinical relapse. Multivariate analysis revealed that end-of-treatment hepatitis B core-related antigen and hepatitis B virus RNA were independently associated with clinical relapse. During follow-up, no patients with undetectable hepatitis B core-related antigen (&lt;3.0 log10 U/mL) and hepatitis B virusRNA (&lt;2.0 log10 copies/mL) at end of treatment developed clinical relapse, in comparison with 22.9% and 62.5% patients with detectable levels of one or both biomarkers respectively. End-of-treatment quantitative hepatitis B surface antigen was linked to a likelihood of hepatitis B surface antigen clearance. Conclusions The combined hepatitis B core-related antigen and hepatitis B virus RNA assays at end of treatment were highly predictive of subsequent clinical relapse. These novel biomarkers could potentially be used to identify patients who could safely discontinue nucleos(t)ide analogue therapy.","container-title":"Liver International","DOI":"10/gg47ck","ISSN":"1478-3231","issue":"12","language":"en","note":"_eprint: https://onlinelibrary.wiley.com/doi/pdf/10.1111/liv.14606","page":"2961-2971","source":"Wiley Online Library","title":"Hepatitis B surface antigen, core-related antigen and HBV RNA: Predicting clinical relapse after NA therapy discontinuation","title-short":"Hepatitis B surface antigen, core-related antigen and HBV RNA","volume":"40","author":[{"family":"Kaewdech","given":"Apichat"},{"family":"Tangkijvanich","given":"Pisit"},{"family":"Sripongpun","given":"Pimsiri"},{"family":"Witeerungrot","given":"Teepawit"},{"family":"Jandee","given":"Sawangpong"},{"family":"Tanaka","given":"Yasuhito"},{"family":"Piratvisuth","given":"Teerha"}],"issued":{"date-parts":[["2020"]]}}}],"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[12]</w:t>
            </w:r>
            <w:r>
              <w:rPr>
                <w:rFonts w:ascii="Book Antiqua" w:hAnsi="Book Antiqua" w:cs="Cordia New"/>
                <w:sz w:val="24"/>
                <w:szCs w:val="24"/>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003" w:type="dxa"/>
            <w:shd w:val="clear" w:color="auto" w:fill="auto"/>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High HBsAg level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{"citationID":"umYW9C6f","properties":{"formattedCitation":"\\super [44]\\nosupersub{}","plainCitation":"[44]","noteIndex":0},"citationItems":[{"id":1139,"uris":["http://zotero.org/users/local/NyhnE8P8/items/2BH9LPK4"],"uri":["http://zotero.org/users/local/NyhnE8P8/items/2BH9LPK4"],"itemData":{"id":1139,"type":"article-journal","abstract":"Objectives: The aim of this study was to identify the predictors of relapse after the withdrawal of nucleos (t)ide analog (NA) therapy in patients with hepatitis B e antigen (HBeAg)-negative chronic hepatitis B (CHB).\nMethods: The PubMed, EMBASE, Cochrane Central Register of Controlled Trials, and Web of Science databases were searched through January 2019. A random-effects model meta-analysis was performed, with hazard ratios (HR) and 95% conﬁdence intervals (CI) used as summary statistics.\nResults: Seventeen studies were included in the meta-analysis. Age (HR = 1.022 per year), baseline hepatitis B surface antigen (HBsAg) (HR = 1.509 per log IU/l), end of treatment (EOT) HBsAg level (HR = 1.896 per log IU/l), EOT HBsAg level !1000 IU/ml (HR = 1.749), and HBsAg decline from baseline to EOT (HR = 0.748 per log IU/l) were associated with virological relapse. The predictors of clinical relapse were baseline HBsAg level (HR = 1.312 per log IU/l), EOT HBsAg level (HR = 1.458 per log IU/l), EOT HBsAg level !100 IU/ml (HR = 3.199) or !1000 IU/ml (HR = 1.810), and duration of consolidation therapy (HR = 0.991 per month).\nConclusions: This meta-analysis indicates that age, the duration of consolidation therapy, and levels of baseline and EOT HBsAg were factors predictive of relapse in HBeAg-negative CHB patients who discontinued NA treatment.","container-title":"International Journal of Infectious Diseases","DOI":"10/ghwqnx","ISSN":"12019712","journalAbbreviation":"International Journal of Infectious Diseases","language":"en","page":"201-207","source":"DOI.org (Crossref)","title":"Predictors of relapse after cessation of nucleos(t)ide analog treatment in HBeAg-negative chronic hepatitis B patients: A meta-analysis","title-short":"Predictors of relapse after cessation of nucleos(t)ide analog treatment in HBeAg-negative chronic hepatitis B patients","volume":"86","author":[{"family":"Liu","given":"Yun"},{"family":"Jia","given":"Minglei"},{"family":"Wu","given":"Shengdi"},{"family":"Jiang","given":"Wei"},{"family":"Feng","given":"Yifan"}],"issued":{"date-parts":[["2019",9]]}}}],"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[44]</w:t>
            </w:r>
            <w:r>
              <w:rPr>
                <w:rFonts w:ascii="Book Antiqua" w:hAnsi="Book Antiqua" w:cs="Cordia New"/>
                <w:sz w:val="24"/>
                <w:szCs w:val="24"/>
              </w:rPr>
              <w:fldChar w:fldCharType="end"/>
            </w:r>
          </w:p>
        </w:tc>
        <w:tc>
          <w:tcPr>
            <w:tcW w:w="3003" w:type="dxa"/>
            <w:vMerge w:val="continue"/>
            <w:shd w:val="clear" w:color="auto" w:fill="auto"/>
          </w:tcPr>
          <w:p>
            <w:pPr>
              <w:pStyle w:val="17"/>
              <w:spacing w:after="0" w:line="360" w:lineRule="auto"/>
              <w:ind w:firstLine="0" w:firstLineChars="0"/>
              <w:jc w:val="both"/>
              <w:rPr>
                <w:rFonts w:ascii="Book Antiqua" w:hAnsi="Book Antiqua" w:cs="Cordia New"/>
                <w:sz w:val="24"/>
                <w:szCs w:val="24"/>
              </w:rPr>
            </w:pPr>
          </w:p>
        </w:tc>
        <w:tc>
          <w:tcPr>
            <w:tcW w:w="3004" w:type="dxa"/>
            <w:shd w:val="clear" w:color="auto" w:fill="auto"/>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High HBV RNA level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{"citationID":"xc3057Pn","properties":{"formattedCitation":"\\super [12]\\nosupersub{}","plainCitation":"[12]","noteIndex":0},"citationItems":[{"id":1072,"uris":["http://zotero.org/users/local/NyhnE8P8/items/KGFJAQCE"],"uri":["http://zotero.org/users/local/NyhnE8P8/items/KGFJAQCE"],"itemData":{"id":1072,"type":"article-journal","abstract":"Background &amp; Aims The safe discontinuation of nucleos(t)ide analogue therapy remains challenging in chronic hepatitis B. We investigated the potential role of quantitative hepatitis B surface antigen, hepatitis B core-related antigen and hepatitis B virus RNA at the end of treatment in predicting off-therapy relapse. Methods Patients who fulfilled the stopping criteria of the Asian Pacific Association for the Study of the Liver guideline were enrolled. Virological relapse was defined as hepatitis B virus DNA level greater than 2000 IU/mL, and clinical relapse was defined as virological relapse plus alanine aminotransferase level of more than twice the upper limit of normal. Results Ninety-two patients participated. The combination of end-of-treatment hepatitis B core-related antigen and hepatitis B virus RNA levels was most predictive of clinical relapse. Multivariate analysis revealed that end-of-treatment hepatitis B core-related antigen and hepatitis B virus RNA were independently associated with clinical relapse. During follow-up, no patients with undetectable hepatitis B core-related antigen (&lt;3.0 log10 U/mL) and hepatitis B virusRNA (&lt;2.0 log10 copies/mL) at end of treatment developed clinical relapse, in comparison with 22.9% and 62.5% patients with detectable levels of one or both biomarkers respectively. End-of-treatment quantitative hepatitis B surface antigen was linked to a likelihood of hepatitis B surface antigen clearance. Conclusions The combined hepatitis B core-related antigen and hepatitis B virus RNA assays at end of treatment were highly predictive of subsequent clinical relapse. These novel biomarkers could potentially be used to identify patients who could safely discontinue nucleos(t)ide analogue therapy.","container-title":"Liver International","DOI":"10/gg47ck","ISSN":"1478-3231","issue":"12","language":"en","note":"_eprint: https://onlinelibrary.wiley.com/doi/pdf/10.1111/liv.14606","page":"2961-2971","source":"Wiley Online Library","title":"Hepatitis B surface antigen, core-related antigen and HBV RNA: Predicting clinical relapse after NA therapy discontinuation","title-short":"Hepatitis B surface antigen, core-related antigen and HBV RNA","volume":"40","author":[{"family":"Kaewdech","given":"Apichat"},{"family":"Tangkijvanich","given":"Pisit"},{"family":"Sripongpun","given":"Pimsiri"},{"family":"Witeerungrot","given":"Teepawit"},{"family":"Jandee","given":"Sawangpong"},{"family":"Tanaka","given":"Yasuhito"},{"family":"Piratvisuth","given":"Teerha"}],"issued":{"date-parts":[["2020"]]}}}],"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[12]</w:t>
            </w:r>
            <w:r>
              <w:rPr>
                <w:rFonts w:ascii="Book Antiqua" w:hAnsi="Book Antiqua" w:cs="Cordia New"/>
                <w:sz w:val="24"/>
                <w:szCs w:val="24"/>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0" w:type="dxa"/>
            <w:gridSpan w:val="3"/>
            <w:shd w:val="clear" w:color="auto" w:fill="auto"/>
          </w:tcPr>
          <w:p>
            <w:pPr>
              <w:pStyle w:val="17"/>
              <w:spacing w:after="0" w:line="360" w:lineRule="auto"/>
              <w:ind w:firstLine="0" w:firstLineChars="0"/>
              <w:jc w:val="both"/>
              <w:rPr>
                <w:rFonts w:ascii="Book Antiqua" w:hAnsi="Book Antiqua" w:cs="Cordia New"/>
                <w:b/>
                <w:sz w:val="24"/>
                <w:szCs w:val="24"/>
              </w:rPr>
            </w:pPr>
            <w:r>
              <w:rPr>
                <w:rFonts w:ascii="Book Antiqua" w:hAnsi="Book Antiqua" w:cs="Cordia New"/>
                <w:b/>
                <w:sz w:val="24"/>
                <w:szCs w:val="24"/>
              </w:rPr>
              <w:t xml:space="preserve">Clinical </w:t>
            </w:r>
            <w:r>
              <w:rPr>
                <w:rFonts w:ascii="Book Antiqua" w:hAnsi="Book Antiqua" w:cs="Cordia New"/>
                <w:b/>
                <w:sz w:val="24"/>
                <w:szCs w:val="24"/>
                <w:lang w:eastAsia="zh-CN"/>
              </w:rPr>
              <w:t>r</w:t>
            </w:r>
            <w:r>
              <w:rPr>
                <w:rFonts w:ascii="Book Antiqua" w:hAnsi="Book Antiqua" w:cs="Cordia New"/>
                <w:b/>
                <w:sz w:val="24"/>
                <w:szCs w:val="24"/>
              </w:rPr>
              <w:t>elapse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03" w:type="dxa"/>
            <w:vMerge w:val="restart"/>
            <w:shd w:val="clear" w:color="auto" w:fill="auto"/>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High HBsAg level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{"citationID":"K7K6xgvp","properties":{"formattedCitation":"\\super [44]\\nosupersub{}","plainCitation":"[44]","noteIndex":0},"citationItems":[{"id":1139,"uris":["http://zotero.org/users/local/NyhnE8P8/items/2BH9LPK4"],"uri":["http://zotero.org/users/local/NyhnE8P8/items/2BH9LPK4"],"itemData":{"id":1139,"type":"article-journal","abstract":"Objectives: The aim of this study was to identify the predictors of relapse after the withdrawal of nucleos (t)ide analog (NA) therapy in patients with hepatitis B e antigen (HBeAg)-negative chronic hepatitis B (CHB).\nMethods: The PubMed, EMBASE, Cochrane Central Register of Controlled Trials, and Web of Science databases were searched through January 2019. A random-effects model meta-analysis was performed, with hazard ratios (HR) and 95% conﬁdence intervals (CI) used as summary statistics.\nResults: Seventeen studies were included in the meta-analysis. Age (HR = 1.022 per year), baseline hepatitis B surface antigen (HBsAg) (HR = 1.509 per log IU/l), end of treatment (EOT) HBsAg level (HR = 1.896 per log IU/l), EOT HBsAg level !1000 IU/ml (HR = 1.749), and HBsAg decline from baseline to EOT (HR = 0.748 per log IU/l) were associated with virological relapse. The predictors of clinical relapse were baseline HBsAg level (HR = 1.312 per log IU/l), EOT HBsAg level (HR = 1.458 per log IU/l), EOT HBsAg level !100 IU/ml (HR = 3.199) or !1000 IU/ml (HR = 1.810), and duration of consolidation therapy (HR = 0.991 per month).\nConclusions: This meta-analysis indicates that age, the duration of consolidation therapy, and levels of baseline and EOT HBsAg were factors predictive of relapse in HBeAg-negative CHB patients who discontinued NA treatment.","container-title":"International Journal of Infectious Diseases","DOI":"10/ghwqnx","ISSN":"12019712","journalAbbreviation":"International Journal of Infectious Diseases","language":"en","page":"201-207","source":"DOI.org (Crossref)","title":"Predictors of relapse after cessation of nucleos(t)ide analog treatment in HBeAg-negative chronic hepatitis B patients: A meta-analysis","title-short":"Predictors of relapse after cessation of nucleos(t)ide analog treatment in HBeAg-negative chronic hepatitis B patients","volume":"86","author":[{"family":"Liu","given":"Yun"},{"family":"Jia","given":"Minglei"},{"family":"Wu","given":"Shengdi"},{"family":"Jiang","given":"Wei"},{"family":"Feng","given":"Yifan"}],"issued":{"date-parts":[["2019",9]]}}}],"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[44]</w:t>
            </w:r>
            <w:r>
              <w:rPr>
                <w:rFonts w:ascii="Book Antiqua" w:hAnsi="Book Antiqua" w:cs="Cordia New"/>
                <w:sz w:val="24"/>
                <w:szCs w:val="24"/>
              </w:rPr>
              <w:fldChar w:fldCharType="end"/>
            </w:r>
          </w:p>
        </w:tc>
        <w:tc>
          <w:tcPr>
            <w:tcW w:w="3003" w:type="dxa"/>
            <w:vMerge w:val="restart"/>
            <w:shd w:val="clear" w:color="auto" w:fill="auto"/>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Short consolidation duration</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{"citationID":"I9xyVDzj","properties":{"formattedCitation":"\\super [44]\\nosupersub{}","plainCitation":"[44]","noteIndex":0},"citationItems":[{"id":1139,"uris":["http://zotero.org/users/local/NyhnE8P8/items/2BH9LPK4"],"uri":["http://zotero.org/users/local/NyhnE8P8/items/2BH9LPK4"],"itemData":{"id":1139,"type":"article-journal","abstract":"Objectives: The aim of this study was to identify the predictors of relapse after the withdrawal of nucleos (t)ide analog (NA) therapy in patients with hepatitis B e antigen (HBeAg)-negative chronic hepatitis B (CHB).\nMethods: The PubMed, EMBASE, Cochrane Central Register of Controlled Trials, and Web of Science databases were searched through January 2019. A random-effects model meta-analysis was performed, with hazard ratios (HR) and 95% conﬁdence intervals (CI) used as summary statistics.\nResults: Seventeen studies were included in the meta-analysis. Age (HR = 1.022 per year), baseline hepatitis B surface antigen (HBsAg) (HR = 1.509 per log IU/l), end of treatment (EOT) HBsAg level (HR = 1.896 per log IU/l), EOT HBsAg level !1000 IU/ml (HR = 1.749), and HBsAg decline from baseline to EOT (HR = 0.748 per log IU/l) were associated with virological relapse. The predictors of clinical relapse were baseline HBsAg level (HR = 1.312 per log IU/l), EOT HBsAg level (HR = 1.458 per log IU/l), EOT HBsAg level !100 IU/ml (HR = 3.199) or !1000 IU/ml (HR = 1.810), and duration of consolidation therapy (HR = 0.991 per month).\nConclusions: This meta-analysis indicates that age, the duration of consolidation therapy, and levels of baseline and EOT HBsAg were factors predictive of relapse in HBeAg-negative CHB patients who discontinued NA treatment.","container-title":"International Journal of Infectious Diseases","DOI":"10/ghwqnx","ISSN":"12019712","journalAbbreviation":"International Journal of Infectious Diseases","language":"en","page":"201-207","source":"DOI.org (Crossref)","title":"Predictors of relapse after cessation of nucleos(t)ide analog treatment in HBeAg-negative chronic hepatitis B patients: A meta-analysis","title-short":"Predictors of relapse after cessation of nucleos(t)ide analog treatment in HBeAg-negative chronic hepatitis B patients","volume":"86","author":[{"family":"Liu","given":"Yun"},{"family":"Jia","given":"Minglei"},{"family":"Wu","given":"Shengdi"},{"family":"Jiang","given":"Wei"},{"family":"Feng","given":"Yifan"}],"issued":{"date-parts":[["2019",9]]}}}],"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[44]</w:t>
            </w:r>
            <w:r>
              <w:rPr>
                <w:rFonts w:ascii="Book Antiqua" w:hAnsi="Book Antiqua" w:cs="Cordia New"/>
                <w:sz w:val="24"/>
                <w:szCs w:val="24"/>
              </w:rPr>
              <w:fldChar w:fldCharType="end"/>
            </w:r>
          </w:p>
        </w:tc>
        <w:tc>
          <w:tcPr>
            <w:tcW w:w="3004" w:type="dxa"/>
            <w:shd w:val="clear" w:color="auto" w:fill="auto"/>
          </w:tcPr>
          <w:p>
            <w:pPr>
              <w:pStyle w:val="17"/>
              <w:spacing w:after="0" w:line="360" w:lineRule="auto"/>
              <w:ind w:firstLine="0" w:firstLineChars="0"/>
              <w:jc w:val="both"/>
              <w:rPr>
                <w:rFonts w:ascii="Book Antiqua" w:hAnsi="Book Antiqua" w:cs="Cordia New"/>
                <w:sz w:val="24"/>
                <w:szCs w:val="24"/>
                <w:lang w:eastAsia="zh-CN"/>
              </w:rPr>
            </w:pPr>
            <w:r>
              <w:rPr>
                <w:rFonts w:ascii="Book Antiqua" w:hAnsi="Book Antiqua" w:cs="Cordia New"/>
                <w:sz w:val="24"/>
                <w:szCs w:val="24"/>
              </w:rPr>
              <w:t>High HBsAg level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{"citationID":"soPTRUfM","properties":{"formattedCitation":"\\super [13,40,41]\\nosupersub{}","plainCitation":"[13,40,41]","noteIndex":0},"citationItems":[{"id":1074,"uris":["http://zotero.org/users/local/NyhnE8P8/items/LCAZEB5R"],"uri":["http://zotero.org/users/local/NyhnE8P8/items/LCAZEB5R"],"itemData":{"id":1074,"type":"article-journal","abstract":"&lt;h3&gt;Background &amp; Aims&lt;/h3&gt;&lt;p&gt;Predictors of successful nucleo(s)tide analogue (NA) therapy withdrawal remain elusive. We studied the relationship between end-of-treatment levels of hepatitis B core-related antigen (HBcrAg) and hepatitis B surface antigen (HBsAg) and outcome after therapy cessation.&lt;/p&gt;&lt;h3&gt;Methods&lt;/h3&gt;&lt;p&gt;Patients who discontinued NA therapy in centers in Asia and Europe were enrolled. HBcrAg and HBsAg were measured at treatment cessation, and associations with off-treatment outcomes were explored. The SCALE-B score was calculated as previously reported. End points included sustained virologic response (VR; hepatitis B virus DNA level &lt;2000 IU/mL), HBsAg loss, and alanine aminotransferase (ALT) flares (&gt;3× upper limit of normal). Re-treated patients were considered nonresponders.&lt;/p&gt;&lt;h3&gt;Results&lt;/h3&gt;&lt;p&gt;We analyzed 572 patients, 457 (80%) were Asian and 95 (17%) were hepatitis B e antigen positive at the start of NA therapy. The median treatment duration was 295 weeks. VR was observed in 267 (47%), HBsAg loss was observed in 24 (4.2%), and ALT flare was observed in 92 (16%). VR (67% vs 42%) and HBsAg loss (15% vs 1.5%) was observed more frequently in non-Asian patients (&lt;i&gt;P&lt;/i&gt; &lt; .001). Lower HBcrAg levels were associated with higher rates of VR (odds ratio [OR], 0.701; &lt;i&gt;P&lt;/i&gt; &lt; .001) and HBsAg loss (OR, 0.476; &lt;i&gt;P&lt;/i&gt; &lt; .001), and lower rates of ALT flares (OR, 1.288; &lt;i&gt;P&lt;/i&gt; = .005). Similar results were observed with HBsAg (VR: OR, 0.812; &lt;i&gt;P&lt;/i&gt; = .011; HBsAg loss: OR, 0.380; &lt;i&gt;P&lt;/i&gt; &lt; .001; and ALT flare: OR, 1.833; &lt;i&gt;P&lt;/i&gt; &lt; .001). Lower SCALE-B scores were associated with higher rates of VR, HBsAg loss, and lower rates of ALT flares in both Asian and non-Asian patients (&lt;i&gt;P&lt;/i&gt; &lt; .001).&lt;/p&gt;&lt;h3&gt;Conclusions&lt;/h3&gt;&lt;p&gt;In this multicenter study, off-treatment outcomes after NA cessation varied with ethnicity. Lower levels of HBcrAg and HBsAg were associated with favorable outcomes. A risk score comprising both factors can be used for risk stratification.&lt;/p&gt;","container-title":"Clinical Gastroenterology and Hepatology","DOI":"10/ghr737","ISSN":"1542-3565, 1542-7714","issue":"0","journalAbbreviation":"Clinical Gastroenterology and Hepatology","language":"English","note":"publisher: Elsevier\nPMID: 33309804","source":"www.cghjournal.org","title":"Prediction of Sustained Response After Nucleo(s)tide Analogue Cessation Using HBsAg and HBcrAg Levels: A Multicenter Study (CREATE)","title-short":"Prediction of Sustained Response After Nucleo(s)tide Analogue Cessation Using HBsAg and HBcrAg Levels","URL":"https://www.cghjournal.org/article/S1542-3565(20)31662-1/abstract","volume":"0","author":[{"family":"Sonneveld","given":"Milan J."},{"family":"Park","given":"J. Y."},{"family":"Kaewdech","given":"A."},{"family":"Seto","given":"W. K."},{"family":"Tanaka","given":"Y."},{"family":"Carey","given":"I."},{"family":"Papatheodoridi","given":"M."},{"family":"Bömmel","given":"F.","dropping-particle":"van"},{"family":"Berg","given":"T."},{"family":"Zoulim","given":"F."},{"family":"Ahn","given":"S. H."},{"family":"Dalekos","given":"G. N."},{"family":"Erler","given":"N. S."},{"family":"Siederdissen","given":"C. Höner","dropping-particle":"zu"},{"family":"Wedemeyer","given":"H."},{"family":"Cornberg","given":"M."},{"family":"Yuen","given":"M. F."},{"family":"Agarwal","given":"K."},{"family":"Boonstra","given":"A."},{"family":"Buti","given":"M."},{"family":"Piratvisuth","given":"T."},{"family":"Papatheodoridis","given":"G."},{"family":"Maasoumy","given":"B."}],"accessed":{"date-parts":[["2021",1,31]]},"issued":{"date-parts":[["2020",12,9]]}}},{"id":232,"uris":["http://zotero.org/users/local/NyhnE8P8/items/PZQPJNGH"],"uri":["http://zotero.org/users/local/NyhnE8P8/items/PZQPJNGH"],"itemData":{"id":232,"type":"article-journal","abstract":"BACKGROUND &amp; AIMS: We investigated whether the quantification of hepatitis surface antigen (HBsAg) could predict HBsAg loss or hepatitis B virus (HBV) relapse after stopping lamivudine treatment. METHODS: A total of 188 naive chronic hepatitis B patients (83 HBeAg-positive, 105 HBeAg-negative patients), who were previously treated with lamivudine (treatment duration: 89.3 +/- 35.9 weeks, range: 52-243 weeks) but stopped the treatment for at least 12 months were recruited. RESULTS: The cumulative incidence of HBsAg loss and HBV relapse at year 6 after stopping lamivudine treatment was 24% and 65.9% respectively. Cox regression analysis revealed that lower alanine aminotransferase (ALT) at baseline, lower HBsAg levels at the end of treatment, and longer treatment duration were independent predictors for HBsAg loss, and old age, male sex and higher HBsAg levels at the end of treatment were independent predictors for post-treatment HBV relapse. At the end of treatment, the HBsAg cut-off value of 300 IU/ml could predict 55.6% (5/9) HBsAg loss in HBeAg-positive patients. In HBeAg-negative patients, the HBsAg cut-off values of 120 and 200 IU/ml could predict 79.2% (19/24) HBsAg loss and 93.3% (28/30) post-treatment sustained response respectively. Further HBsAg reduction (&gt;0.22 log IU/ml) at month 6 after stopping treatment was an independent predictor for HBsAg loss after adjusting for HBsAg level at the end of treatment. CONCLUSIONS: Serum HBsAg level at the end of treatment is a useful predictor to guide the timing of stopping lamivudine treatment in chronic hepatitis B patients.","container-title":"Journal of hepatology","DOI":"10/f2tkx3","ISSN":"1600-0641 0168-8278","issue":"3","journalAbbreviation":"J Hepatol","language":"eng","note":"PMID: 24798617","page":"515-522","title":"The role of hepatitis B surface antigen quantification in predicting HBsAg loss and HBV relapse after discontinuation of lamivudine treatment.","volume":"61","author":[{"family":"Chen","given":"Chien-Hung"},{"family":"Lu","given":"Sheng-Nan"},{"family":"Hung","given":"Chao-Hung"},{"family":"Wang","given":"Jing-Houng"},{"family":"Hu","given":"Tsung-Hui"},{"family":"Changchien","given":"Chi-Sin"},{"family":"Lee","given":"Chuan-Mo"}],"issued":{"date-parts":[["2014",9]]}}},{"id":185,"uris":["http://zotero.org/users/local/NyhnE8P8/items/SLCM2IIW"],"uri":["http://zotero.org/users/local/NyhnE8P8/items/SLCM2IIW"],"itemData":{"id":185,"type":"article-journal","abstract":"In actual clinical practice, infinite nucleos(t)ide analogues (NAs) treatment for chronic hepatitis B virus (HBV) infection is unrealistic. The most commonly used endpoint is suppression of HBV DNA to undetectable levels with normalization of alanine aminotransferase. However, this criterion for cessation of treatment is associated with various incidences of virological and clinical relapse. Recent studies suggest that decreasing the hepatitis B surface antigen (HBsAg) level at the end of treatment (EOT) to an appropriate cut-off value appears to be a practicable and attainable cessation criterion. We performed a systematic review to explore the optimal cut-off value of HBsAg at EOT for the cessation of NAs treatment. Eleven studies with 1,716 patients were included in this review. When the HBsAg levels at EOT were &lt;100 IU/mL and &gt;100 IU/mL, the respective off-therapy virological relapse rates were 9.1%-19.6% (range) and 31.4%-86.8% (range) at ≥12 months off therapy, regardless of hepatitis B e antigen (HBeAg) status; the respective off-therapy clinical relapse rates were 15.4%-29.4% (range) and 48.1%-63.6% (range) at ≥12 months off therapy, regardless of HBeAg status; and the respective off-therapy HBsAg loss rates were 21.1%-58.8% (range) and 3.3%-7.4% (range) for HBeAg-negative patients at ≥39 months off therapy. Conclusion: Cessation of long-term NAs therapy before HBsAg seroclearance in patients with chronic hepatitis B is a feasible alternative to indefinite treatment. An HBsAg level &lt;100 IU/mL at EOT seems to be a useful marker for deciding when to discontinue NAs therapy. However, regular monitoring is required after the cessation of NAs treatment, and long-term outcomes must be further evaluated.","container-title":"Hepatology (Baltimore, Md.)","DOI":"10.1002/hep.30474","ISSN":"1527-3350","issue":"3","journalAbbreviation":"Hepatology","language":"eng","note":"PMID: 30561829","page":"1045-1055","source":"PubMed","title":"The Role of Hepatitis B Surface Antigen in Nucleos(t)ide Analogues Cessation Among Asian Patients With Chronic Hepatitis B: A Systematic Review","title-short":"The Role of Hepatitis B Surface Antigen in Nucleos(t)ide Analogues Cessation Among Asian Patients With Chronic Hepatitis B","volume":"70","author":[{"family":"Liu","given":"Jiaye"},{"family":"Li","given":"Tao"},{"family":"Zhang","given":"Li"},{"family":"Xu","given":"Aiqiang"}],"issued":{"date-parts":[["2019",9]]}}}],"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[13,40,41]</w:t>
            </w:r>
            <w:r>
              <w:rPr>
                <w:rFonts w:ascii="Book Antiqua" w:hAnsi="Book Antiqua" w:cs="Cordia New"/>
                <w:sz w:val="24"/>
                <w:szCs w:val="24"/>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03" w:type="dxa"/>
            <w:vMerge w:val="continue"/>
            <w:shd w:val="clear" w:color="auto" w:fill="auto"/>
          </w:tcPr>
          <w:p>
            <w:pPr>
              <w:pStyle w:val="17"/>
              <w:spacing w:after="0" w:line="360" w:lineRule="auto"/>
              <w:ind w:firstLine="0" w:firstLineChars="0"/>
              <w:jc w:val="both"/>
              <w:rPr>
                <w:rFonts w:ascii="Book Antiqua" w:hAnsi="Book Antiqua" w:cs="Cordia New"/>
                <w:sz w:val="24"/>
                <w:szCs w:val="24"/>
              </w:rPr>
            </w:pPr>
          </w:p>
        </w:tc>
        <w:tc>
          <w:tcPr>
            <w:tcW w:w="3003" w:type="dxa"/>
            <w:vMerge w:val="continue"/>
            <w:shd w:val="clear" w:color="auto" w:fill="auto"/>
          </w:tcPr>
          <w:p>
            <w:pPr>
              <w:pStyle w:val="17"/>
              <w:spacing w:after="0" w:line="360" w:lineRule="auto"/>
              <w:ind w:firstLine="0" w:firstLineChars="0"/>
              <w:jc w:val="both"/>
              <w:rPr>
                <w:rFonts w:ascii="Book Antiqua" w:hAnsi="Book Antiqua" w:cs="Cordia New"/>
                <w:sz w:val="24"/>
                <w:szCs w:val="24"/>
              </w:rPr>
            </w:pPr>
          </w:p>
        </w:tc>
        <w:tc>
          <w:tcPr>
            <w:tcW w:w="3004" w:type="dxa"/>
            <w:shd w:val="clear" w:color="auto" w:fill="auto"/>
          </w:tcPr>
          <w:p>
            <w:pPr>
              <w:pStyle w:val="17"/>
              <w:spacing w:after="0" w:line="360" w:lineRule="auto"/>
              <w:ind w:firstLine="0" w:firstLineChars="0"/>
              <w:jc w:val="both"/>
              <w:rPr>
                <w:rFonts w:ascii="Book Antiqua" w:hAnsi="Book Antiqua" w:cs="Cordia New"/>
                <w:sz w:val="24"/>
                <w:szCs w:val="24"/>
                <w:lang w:eastAsia="zh-CN"/>
              </w:rPr>
            </w:pPr>
            <w:r>
              <w:rPr>
                <w:rFonts w:ascii="Book Antiqua" w:hAnsi="Book Antiqua" w:cs="Cordia New"/>
                <w:sz w:val="24"/>
                <w:szCs w:val="24"/>
              </w:rPr>
              <w:t>High HBcrAg level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{"citationID":"TxL3i2EQ","properties":{"formattedCitation":"\\super [12,13,52]\\nosupersub{}","plainCitation":"[12,13,52]","noteIndex":0},"citationItems":[{"id":1072,"uris":["http://zotero.org/users/local/NyhnE8P8/items/KGFJAQCE"],"uri":["http://zotero.org/users/local/NyhnE8P8/items/KGFJAQCE"],"itemData":{"id":1072,"type":"article-journal","abstract":"Background &amp; Aims The safe discontinuation of nucleos(t)ide analogue therapy remains challenging in chronic hepatitis B. We investigated the potential role of quantitative hepatitis B surface antigen, hepatitis B core-related antigen and hepatitis B virus RNA at the end of treatment in predicting off-therapy relapse. Methods Patients who fulfilled the stopping criteria of the Asian Pacific Association for the Study of the Liver guideline were enrolled. Virological relapse was defined as hepatitis B virus DNA level greater than 2000 IU/mL, and clinical relapse was defined as virological relapse plus alanine aminotransferase level of more than twice the upper limit of normal. Results Ninety-two patients participated. The combination of end-of-treatment hepatitis B core-related antigen and hepatitis B virus RNA levels was most predictive of clinical relapse. Multivariate analysis revealed that end-of-treatment hepatitis B core-related antigen and hepatitis B virus RNA were independently associated with clinical relapse. During follow-up, no patients with undetectable hepatitis B core-related antigen (&lt;3.0 log10 U/mL) and hepatitis B virusRNA (&lt;2.0 log10 copies/mL) at end of treatment developed clinical relapse, in comparison with 22.9% and 62.5% patients with detectable levels of one or both biomarkers respectively. End-of-treatment quantitative hepatitis B surface antigen was linked to a likelihood of hepatitis B surface antigen clearance. Conclusions The combined hepatitis B core-related antigen and hepatitis B virus RNA assays at end of treatment were highly predictive of subsequent clinical relapse. These novel biomarkers could potentially be used to identify patients who could safely discontinue nucleos(t)ide analogue therapy.","container-title":"Liver International","DOI":"10/gg47ck","ISSN":"1478-3231","issue":"12","language":"en","note":"_eprint: https://onlinelibrary.wiley.com/doi/pdf/10.1111/liv.14606","page":"2961-2971","source":"Wiley Online Library","title":"Hepatitis B surface antigen, core-related antigen and HBV RNA: Predicting clinical relapse after NA therapy discontinuation","title-short":"Hepatitis B surface antigen, core-related antigen and HBV RNA","volume":"40","author":[{"family":"Kaewdech","given":"Apichat"},{"family":"Tangkijvanich","given":"Pisit"},{"family":"Sripongpun","given":"Pimsiri"},{"family":"Witeerungrot","given":"Teepawit"},{"family":"Jandee","given":"Sawangpong"},{"family":"Tanaka","given":"Yasuhito"},{"family":"Piratvisuth","given":"Teerha"}],"issued":{"date-parts":[["2020"]]}}},{"id":1074,"uris":["http://zotero.org/users/local/NyhnE8P8/items/LCAZEB5R"],"uri":["http://zotero.org/users/local/NyhnE8P8/items/LCAZEB5R"],"itemData":{"id":1074,"type":"article-journal","abstract":"&lt;h3&gt;Background &amp; Aims&lt;/h3&gt;&lt;p&gt;Predictors of successful nucleo(s)tide analogue (NA) therapy withdrawal remain elusive. We studied the relationship between end-of-treatment levels of hepatitis B core-related antigen (HBcrAg) and hepatitis B surface antigen (HBsAg) and outcome after therapy cessation.&lt;/p&gt;&lt;h3&gt;Methods&lt;/h3&gt;&lt;p&gt;Patients who discontinued NA therapy in centers in Asia and Europe were enrolled. HBcrAg and HBsAg were measured at treatment cessation, and associations with off-treatment outcomes were explored. The SCALE-B score was calculated as previously reported. End points included sustained virologic response (VR; hepatitis B virus DNA level &lt;2000 IU/mL), HBsAg loss, and alanine aminotransferase (ALT) flares (&gt;3× upper limit of normal). Re-treated patients were considered nonresponders.&lt;/p&gt;&lt;h3&gt;Results&lt;/h3&gt;&lt;p&gt;We analyzed 572 patients, 457 (80%) were Asian and 95 (17%) were hepatitis B e antigen positive at the start of NA therapy. The median treatment duration was 295 weeks. VR was observed in 267 (47%), HBsAg loss was observed in 24 (4.2%), and ALT flare was observed in 92 (16%). VR (67% vs 42%) and HBsAg loss (15% vs 1.5%) was observed more frequently in non-Asian patients (&lt;i&gt;P&lt;/i&gt; &lt; .001). Lower HBcrAg levels were associated with higher rates of VR (odds ratio [OR], 0.701; &lt;i&gt;P&lt;/i&gt; &lt; .001) and HBsAg loss (OR, 0.476; &lt;i&gt;P&lt;/i&gt; &lt; .001), and lower rates of ALT flares (OR, 1.288; &lt;i&gt;P&lt;/i&gt; = .005). Similar results were observed with HBsAg (VR: OR, 0.812; &lt;i&gt;P&lt;/i&gt; = .011; HBsAg loss: OR, 0.380; &lt;i&gt;P&lt;/i&gt; &lt; .001; and ALT flare: OR, 1.833; &lt;i&gt;P&lt;/i&gt; &lt; .001). Lower SCALE-B scores were associated with higher rates of VR, HBsAg loss, and lower rates of ALT flares in both Asian and non-Asian patients (&lt;i&gt;P&lt;/i&gt; &lt; .001).&lt;/p&gt;&lt;h3&gt;Conclusions&lt;/h3&gt;&lt;p&gt;In this multicenter study, off-treatment outcomes after NA cessation varied with ethnicity. Lower levels of HBcrAg and HBsAg were associated with favorable outcomes. A risk score comprising both factors can be used for risk stratification.&lt;/p&gt;","container-title":"Clinical Gastroenterology and Hepatology","DOI":"10/ghr737","ISSN":"1542-3565, 1542-7714","issue":"0","journalAbbreviation":"Clinical Gastroenterology and Hepatology","language":"English","note":"publisher: Elsevier\nPMID: 33309804","source":"www.cghjournal.org","title":"Prediction of Sustained Response After Nucleo(s)tide Analogue Cessation Using HBsAg and HBcrAg Levels: A Multicenter Study (CREATE)","title-short":"Prediction of Sustained Response After Nucleo(s)tide Analogue Cessation Using HBsAg and HBcrAg Levels","URL":"https://www.cghjournal.org/article/S1542-3565(20)31662-1/abstract","volume":"0","author":[{"family":"Sonneveld","given":"Milan J."},{"family":"Park","given":"J. Y."},{"family":"Kaewdech","given":"A."},{"family":"Seto","given":"W. K."},{"family":"Tanaka","given":"Y."},{"family":"Carey","given":"I."},{"family":"Papatheodoridi","given":"M."},{"family":"Bömmel","given":"F.","dropping-particle":"van"},{"family":"Berg","given":"T."},{"family":"Zoulim","given":"F."},{"family":"Ahn","given":"S. H."},{"family":"Dalekos","given":"G. N."},{"family":"Erler","given":"N. S."},{"family":"Siederdissen","given":"C. Höner","dropping-particle":"zu"},{"family":"Wedemeyer","given":"H."},{"family":"Cornberg","given":"M."},{"family":"Yuen","given":"M. F."},{"family":"Agarwal","given":"K."},{"family":"Boonstra","given":"A."},{"family":"Buti","given":"M."},{"family":"Piratvisuth","given":"T."},{"family":"Papatheodoridis","given":"G."},{"family":"Maasoumy","given":"B."}],"accessed":{"date-parts":[["2021",1,31]]},"issued":{"date-parts":[["2020",12,9]]}}},{"id":650,"uris":["http://zotero.org/users/local/NyhnE8P8/items/R3XVMWC8"],"uri":["http://zotero.org/users/local/NyhnE8P8/items/R3XVMWC8"],"itemData":{"id":650,"type":"article-journal","abstract":"BACKGROUND: Safe nucleos(t)ide analogue discontinuation in chronic hepatitis B (CHB) is an unmet need. We aimed to investigate whether combining hepatitis B virus (HBV) RNA and hepatitis B core-related antigen (HBcrAg) could perform satisfactorily in predicting off-treatment outcomes.\nMETHODS: The evaluation cohort included 127 hepatitis B e antigen (HBeAg)-positive patients from a multicenter prospective trial who stopped telbivudine-based therapy after achieving HBeAg seroconversion and HBV DNA</w:instrText>
            </w:r>
            <w:r>
              <w:rPr>
                <w:rFonts w:ascii="Times New Roman" w:hAnsi="Times New Roman"/>
                <w:sz w:val="24"/>
                <w:szCs w:val="24"/>
              </w:rPr>
              <w:instrText xml:space="preserve"> </w:instrText>
            </w:r>
            <w:r>
              <w:rPr>
                <w:rFonts w:ascii="Book Antiqua" w:hAnsi="Book Antiqua" w:cs="Cordia New"/>
                <w:sz w:val="24"/>
                <w:szCs w:val="24"/>
              </w:rPr>
              <w:instrText xml:space="preserve">&lt;</w:instrText>
            </w:r>
            <w:r>
              <w:rPr>
                <w:rFonts w:ascii="Times New Roman" w:hAnsi="Times New Roman"/>
                <w:sz w:val="24"/>
                <w:szCs w:val="24"/>
              </w:rPr>
              <w:instrText xml:space="preserve"> </w:instrText>
            </w:r>
            <w:r>
              <w:rPr>
                <w:rFonts w:ascii="Book Antiqua" w:hAnsi="Book Antiqua" w:cs="Cordia New"/>
                <w:sz w:val="24"/>
                <w:szCs w:val="24"/>
              </w:rPr>
              <w:instrText xml:space="preserve">50 IU/mL for</w:instrText>
            </w:r>
            <w:r>
              <w:rPr>
                <w:rFonts w:ascii="Times New Roman" w:hAnsi="Times New Roman"/>
                <w:sz w:val="24"/>
                <w:szCs w:val="24"/>
              </w:rPr>
              <w:instrText xml:space="preserve"> </w:instrText>
            </w:r>
            <w:r>
              <w:rPr>
                <w:rFonts w:ascii="Book Antiqua" w:hAnsi="Book Antiqua" w:cs="Cordia New"/>
                <w:sz w:val="24"/>
                <w:szCs w:val="24"/>
              </w:rPr>
              <w:instrText xml:space="preserve">&gt;</w:instrText>
            </w:r>
            <w:r>
              <w:rPr>
                <w:rFonts w:ascii="Times New Roman" w:hAnsi="Times New Roman"/>
                <w:sz w:val="24"/>
                <w:szCs w:val="24"/>
              </w:rPr>
              <w:instrText xml:space="preserve"> </w:instrText>
            </w:r>
            <w:r>
              <w:rPr>
                <w:rFonts w:ascii="Book Antiqua" w:hAnsi="Book Antiqua" w:cs="Cordia New"/>
                <w:sz w:val="24"/>
                <w:szCs w:val="24"/>
              </w:rPr>
              <w:instrText xml:space="preserve">48 weeks. As validation, 59 patients treated with entecavir or tenofovir before discontinuation were analyzed.\nRESULTS: At the end of treatment (EOT), HBV RNA and HBcrAg were significant independent predictors of the clinical relapse risk. In the evaluation cohort, no clinical relapse occurred among patients with negative HBV RNA and HBcrAg</w:instrText>
            </w:r>
            <w:r>
              <w:rPr>
                <w:rFonts w:ascii="Times New Roman" w:hAnsi="Times New Roman"/>
                <w:sz w:val="24"/>
                <w:szCs w:val="24"/>
              </w:rPr>
              <w:instrText xml:space="preserve"> </w:instrText>
            </w:r>
            <w:r>
              <w:rPr>
                <w:rFonts w:ascii="Book Antiqua" w:hAnsi="Book Antiqua" w:cs="Cordia New"/>
                <w:sz w:val="24"/>
                <w:szCs w:val="24"/>
              </w:rPr>
              <w:instrText xml:space="preserve">&lt;</w:instrText>
            </w:r>
            <w:r>
              <w:rPr>
                <w:rFonts w:ascii="Times New Roman" w:hAnsi="Times New Roman"/>
                <w:sz w:val="24"/>
                <w:szCs w:val="24"/>
              </w:rPr>
              <w:instrText xml:space="preserve"> </w:instrText>
            </w:r>
            <w:r>
              <w:rPr>
                <w:rFonts w:ascii="Book Antiqua" w:hAnsi="Book Antiqua" w:cs="Cordia New"/>
                <w:sz w:val="24"/>
                <w:szCs w:val="24"/>
              </w:rPr>
              <w:instrText xml:space="preserve">4 log10 U/mL at EOT (low-risk group), whereas 46.8% patients with positive HBV RNA and HBcrAg</w:instrText>
            </w:r>
            <w:r>
              <w:rPr>
                <w:rFonts w:ascii="Times New Roman" w:hAnsi="Times New Roman"/>
                <w:sz w:val="24"/>
                <w:szCs w:val="24"/>
              </w:rPr>
              <w:instrText xml:space="preserve"> </w:instrText>
            </w:r>
            <w:r>
              <w:rPr>
                <w:rFonts w:ascii="Book Antiqua" w:hAnsi="Book Antiqua" w:cs="Cordia New"/>
                <w:sz w:val="24"/>
                <w:szCs w:val="24"/>
              </w:rPr>
              <w:instrText xml:space="preserve">≥</w:instrText>
            </w:r>
            <w:r>
              <w:rPr>
                <w:rFonts w:ascii="Times New Roman" w:hAnsi="Times New Roman"/>
                <w:sz w:val="24"/>
                <w:szCs w:val="24"/>
              </w:rPr>
              <w:instrText xml:space="preserve"> </w:instrText>
            </w:r>
            <w:r>
              <w:rPr>
                <w:rFonts w:ascii="Book Antiqua" w:hAnsi="Book Antiqua" w:cs="Cordia New"/>
                <w:sz w:val="24"/>
                <w:szCs w:val="24"/>
              </w:rPr>
              <w:instrText xml:space="preserve">4 log10 U/mL (high-risk group) experienced clinical relapse during 4-year posttreatment follow-up (P</w:instrText>
            </w:r>
            <w:r>
              <w:rPr>
                <w:rFonts w:ascii="Times New Roman" w:hAnsi="Times New Roman"/>
                <w:sz w:val="24"/>
                <w:szCs w:val="24"/>
              </w:rPr>
              <w:instrText xml:space="preserve"> </w:instrText>
            </w:r>
            <w:r>
              <w:rPr>
                <w:rFonts w:ascii="Book Antiqua" w:hAnsi="Book Antiqua" w:cs="Cordia New"/>
                <w:sz w:val="24"/>
                <w:szCs w:val="24"/>
              </w:rPr>
              <w:instrText xml:space="preserve">&lt;</w:instrText>
            </w:r>
            <w:r>
              <w:rPr>
                <w:rFonts w:ascii="Times New Roman" w:hAnsi="Times New Roman"/>
                <w:sz w:val="24"/>
                <w:szCs w:val="24"/>
              </w:rPr>
              <w:instrText xml:space="preserve"> </w:instrText>
            </w:r>
            <w:r>
              <w:rPr>
                <w:rFonts w:ascii="Book Antiqua" w:hAnsi="Book Antiqua" w:cs="Cordia New"/>
                <w:sz w:val="24"/>
                <w:szCs w:val="24"/>
              </w:rPr>
              <w:instrText xml:space="preserve">.001); the corresponding incidences in the validation cohort were 0% and 69.4% (P</w:instrText>
            </w:r>
            <w:r>
              <w:rPr>
                <w:rFonts w:ascii="Times New Roman" w:hAnsi="Times New Roman"/>
                <w:sz w:val="24"/>
                <w:szCs w:val="24"/>
              </w:rPr>
              <w:instrText xml:space="preserve"> </w:instrText>
            </w:r>
            <w:r>
              <w:rPr>
                <w:rFonts w:ascii="Book Antiqua" w:hAnsi="Book Antiqua" w:cs="Cordia New"/>
                <w:sz w:val="24"/>
                <w:szCs w:val="24"/>
              </w:rPr>
              <w:instrText xml:space="preserve">&lt;</w:instrText>
            </w:r>
            <w:r>
              <w:rPr>
                <w:rFonts w:ascii="Times New Roman" w:hAnsi="Times New Roman"/>
                <w:sz w:val="24"/>
                <w:szCs w:val="24"/>
              </w:rPr>
              <w:instrText xml:space="preserve"> </w:instrText>
            </w:r>
            <w:r>
              <w:rPr>
                <w:rFonts w:ascii="Book Antiqua" w:hAnsi="Book Antiqua" w:cs="Cordia New"/>
                <w:sz w:val="24"/>
                <w:szCs w:val="24"/>
              </w:rPr>
              <w:instrText xml:space="preserve">.001), respectively. More patients in the low-risk group achieved HBsAg loss than the other patients after treatment cessation (16.1% vs 1.3%, P</w:instrText>
            </w:r>
            <w:r>
              <w:rPr>
                <w:rFonts w:ascii="Times New Roman" w:hAnsi="Times New Roman"/>
                <w:sz w:val="24"/>
                <w:szCs w:val="24"/>
              </w:rPr>
              <w:instrText xml:space="preserve"> </w:instrText>
            </w:r>
            <w:r>
              <w:rPr>
                <w:rFonts w:ascii="Book Antiqua" w:hAnsi="Book Antiqua" w:cs="Cordia New"/>
                <w:sz w:val="24"/>
                <w:szCs w:val="24"/>
              </w:rPr>
              <w:instrText xml:space="preserve">=</w:instrText>
            </w:r>
            <w:r>
              <w:rPr>
                <w:rFonts w:ascii="Times New Roman" w:hAnsi="Times New Roman"/>
                <w:sz w:val="24"/>
                <w:szCs w:val="24"/>
              </w:rPr>
              <w:instrText xml:space="preserve"> </w:instrText>
            </w:r>
            <w:r>
              <w:rPr>
                <w:rFonts w:ascii="Book Antiqua" w:hAnsi="Book Antiqua" w:cs="Cordia New"/>
                <w:sz w:val="24"/>
                <w:szCs w:val="24"/>
              </w:rPr>
              <w:instrText xml:space="preserve">.002).\nCONCLUSIONS: Combining HBV RNA and HBcrAg performed satisfactorily in predicting clinical relapse and HBsAg loss after treatment cessation in HBeAg-positive patients with CHB.The combination of hepatitis B virus RNA and hepatitis B core-related antigen performed satisfactorily in predicting clinical relapse and hepatitis B surface antigen loss after stopping nucleos(t)ide analogue treatment among noncirrhotic hepatitis B e antigen-positive patients with chronic hepatitis B and could be used to guide safe discontinuation.","container-title":"The Journal of Infectious Diseases","DOI":"10/gg57zz","ISSN":"1537-6613","issue":"4","journalAbbreviation":"J. Infect. Dis.","language":"eng","note":"PMID: 32211776","page":"611-618","source":"PubMed","title":"Combining Hepatitis B Virus RNA and Hepatitis B Core-Related Antigen: Guidance for Safely Stopping Nucleos(t)ide Analogues in Hepatitis B e Antigen-Positive Patients With Chronic Hepatitis B","title-short":"Combining Hepatitis B Virus RNA and Hepatitis B Core-Related Antigen","volume":"222","author":[{"family":"Fan","given":"Rong"},{"family":"Peng","given":"Jie"},{"family":"Xie","given":"Qing"},{"family":"Tan","given":"Deming"},{"family":"Xu","given":"Min"},{"family":"Niu","given":"Junqi"},{"family":"Wang","given":"Hao"},{"family":"Ren","given":"Hong"},{"family":"Chen","given":"Xinyue"},{"family":"Wang","given":"Maorong"},{"family":"Sheng","given":"Jifang"},{"family":"Tang","given":"Hong"},{"family":"Bai","given":"Xuefan"},{"family":"Wu","given":"Yaobo"},{"family":"Zhou","given":"Bin"},{"family":"Sun","given":"Jian"},{"family":"Hou","given":"Jinlin"},{"literal":"Chronic Hepatitis B Study Consortium"}],"issued":{"date-parts":[["2020",7,23]]}}}],"schema":"https://github.com/citation-style-language/schema/raw/master/csl-citation.json"}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[12,13,52]</w:t>
            </w:r>
            <w:r>
              <w:rPr>
                <w:rFonts w:ascii="Book Antiqua" w:hAnsi="Book Antiqua" w:cs="Cordia New"/>
                <w:sz w:val="24"/>
                <w:szCs w:val="24"/>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03" w:type="dxa"/>
            <w:vMerge w:val="continue"/>
            <w:shd w:val="clear" w:color="auto" w:fill="auto"/>
          </w:tcPr>
          <w:p>
            <w:pPr>
              <w:pStyle w:val="17"/>
              <w:spacing w:after="0" w:line="360" w:lineRule="auto"/>
              <w:ind w:firstLine="0" w:firstLineChars="0"/>
              <w:jc w:val="both"/>
              <w:rPr>
                <w:rFonts w:ascii="Book Antiqua" w:hAnsi="Book Antiqua" w:cs="Cordia New"/>
                <w:sz w:val="24"/>
                <w:szCs w:val="24"/>
              </w:rPr>
            </w:pPr>
          </w:p>
        </w:tc>
        <w:tc>
          <w:tcPr>
            <w:tcW w:w="3003" w:type="dxa"/>
            <w:vMerge w:val="continue"/>
            <w:shd w:val="clear" w:color="auto" w:fill="auto"/>
          </w:tcPr>
          <w:p>
            <w:pPr>
              <w:pStyle w:val="17"/>
              <w:spacing w:after="0" w:line="360" w:lineRule="auto"/>
              <w:ind w:firstLine="0" w:firstLineChars="0"/>
              <w:jc w:val="both"/>
              <w:rPr>
                <w:rFonts w:ascii="Book Antiqua" w:hAnsi="Book Antiqua" w:cs="Cordia New"/>
                <w:sz w:val="24"/>
                <w:szCs w:val="24"/>
              </w:rPr>
            </w:pPr>
          </w:p>
        </w:tc>
        <w:tc>
          <w:tcPr>
            <w:tcW w:w="3004" w:type="dxa"/>
            <w:shd w:val="clear" w:color="auto" w:fill="auto"/>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High HBV RNA level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{"citationID":"6As5EcK2","properties":{"formattedCitation":"\\super [12,52]\\nosupersub{}","plainCitation":"[12,52]","noteIndex":0},"citationItems":[{"id":1072,"uris":["http://zotero.org/users/local/NyhnE8P8/items/KGFJAQCE"],"uri":["http://zotero.org/users/local/NyhnE8P8/items/KGFJAQCE"],"itemData":{"id":1072,"type":"article-journal","abstract":"Background &amp; Aims The safe discontinuation of nucleos(t)ide analogue therapy remains challenging in chronic hepatitis B. We investigated the potential role of quantitative hepatitis B surface antigen, hepatitis B core-related antigen and hepatitis B virus RNA at the end of treatment in predicting off-therapy relapse. Methods Patients who fulfilled the stopping criteria of the Asian Pacific Association for the Study of the Liver guideline were enrolled. Virological relapse was defined as hepatitis B virus DNA level greater than 2000 IU/mL, and clinical relapse was defined as virological relapse plus alanine aminotransferase level of more than twice the upper limit of normal. Results Ninety-two patients participated. The combination of end-of-treatment hepatitis B core-related antigen and hepatitis B virus RNA levels was most predictive of clinical relapse. Multivariate analysis revealed that end-of-treatment hepatitis B core-related antigen and hepatitis B virus RNA were independently associated with clinical relapse. During follow-up, no patients with undetectable hepatitis B core-related antigen (&lt;3.0 log10 U/mL) and hepatitis B virusRNA (&lt;2.0 log10 copies/mL) at end of treatment developed clinical relapse, in comparison with 22.9% and 62.5% patients with detectable levels of one or both biomarkers respectively. End-of-treatment quantitative hepatitis B surface antigen was linked to a likelihood of hepatitis B surface antigen clearance. Conclusions The combined hepatitis B core-related antigen and hepatitis B virus RNA assays at end of treatment were highly predictive of subsequent clinical relapse. These novel biomarkers could potentially be used to identify patients who could safely discontinue nucleos(t)ide analogue therapy.","container-title":"Liver International","DOI":"10/gg47ck","ISSN":"1478-3231","issue":"12","language":"en","note":"_eprint: https://onlinelibrary.wiley.com/doi/pdf/10.1111/liv.14606","page":"2961-2971","source":"Wiley Online Library","title":"Hepatitis B surface antigen, core-related antigen and HBV RNA: Predicting clinical relapse after NA therapy discontinuation","title-short":"Hepatitis B surface antigen, core-related antigen and HBV RNA","volume":"40","author":[{"family":"Kaewdech","given":"Apichat"},{"family":"Tangkijvanich","given":"Pisit"},{"family":"Sripongpun","given":"Pimsiri"},{"family":"Witeerungrot","given":"Teepawit"},{"family":"Jandee","given":"Sawangpong"},{"family":"Tanaka","given":"Yasuhito"},{"family":"Piratvisuth","given":"Teerha"}],"issued":{"date-parts":[["2020"]]}}},{"id":650,"uris":["http://zotero.org/users/local/NyhnE8P8/items/R3XVMWC8"],"uri":["http://zotero.org/users/local/NyhnE8P8/items/R3XVMWC8"],"itemData":{"id":650,"type":"article-journal","abstract":"BACKGROUND: Safe nucleos(t)ide analogue discontinuation in chronic hepatitis B (CHB) is an unmet need. We aimed to investigate whether combining hepatitis B virus (HBV) RNA and hepatitis B core-related antigen (HBcrAg) could perform satisfactorily in predicting off-treatment outcomes.\nMETHODS: The evaluation cohort included 127 hepatitis B e antigen (HBeAg)-positive patients from a multicenter prospective trial who stopped telbivudine-based therapy after achieving HBeAg seroconversion and HBV DNA</w:instrText>
            </w:r>
            <w:r>
              <w:rPr>
                <w:rFonts w:ascii="Times New Roman" w:hAnsi="Times New Roman"/>
                <w:sz w:val="24"/>
                <w:szCs w:val="24"/>
              </w:rPr>
              <w:instrText xml:space="preserve"> </w:instrText>
            </w:r>
            <w:r>
              <w:rPr>
                <w:rFonts w:ascii="Book Antiqua" w:hAnsi="Book Antiqua" w:cs="Cordia New"/>
                <w:sz w:val="24"/>
                <w:szCs w:val="24"/>
              </w:rPr>
              <w:instrText xml:space="preserve">&lt;</w:instrText>
            </w:r>
            <w:r>
              <w:rPr>
                <w:rFonts w:ascii="Times New Roman" w:hAnsi="Times New Roman"/>
                <w:sz w:val="24"/>
                <w:szCs w:val="24"/>
              </w:rPr>
              <w:instrText xml:space="preserve"> </w:instrText>
            </w:r>
            <w:r>
              <w:rPr>
                <w:rFonts w:ascii="Book Antiqua" w:hAnsi="Book Antiqua" w:cs="Cordia New"/>
                <w:sz w:val="24"/>
                <w:szCs w:val="24"/>
              </w:rPr>
              <w:instrText xml:space="preserve">50 IU/mL for</w:instrText>
            </w:r>
            <w:r>
              <w:rPr>
                <w:rFonts w:ascii="Times New Roman" w:hAnsi="Times New Roman"/>
                <w:sz w:val="24"/>
                <w:szCs w:val="24"/>
              </w:rPr>
              <w:instrText xml:space="preserve"> </w:instrText>
            </w:r>
            <w:r>
              <w:rPr>
                <w:rFonts w:ascii="Book Antiqua" w:hAnsi="Book Antiqua" w:cs="Cordia New"/>
                <w:sz w:val="24"/>
                <w:szCs w:val="24"/>
              </w:rPr>
              <w:instrText xml:space="preserve">&gt;</w:instrText>
            </w:r>
            <w:r>
              <w:rPr>
                <w:rFonts w:ascii="Times New Roman" w:hAnsi="Times New Roman"/>
                <w:sz w:val="24"/>
                <w:szCs w:val="24"/>
              </w:rPr>
              <w:instrText xml:space="preserve"> </w:instrText>
            </w:r>
            <w:r>
              <w:rPr>
                <w:rFonts w:ascii="Book Antiqua" w:hAnsi="Book Antiqua" w:cs="Cordia New"/>
                <w:sz w:val="24"/>
                <w:szCs w:val="24"/>
              </w:rPr>
              <w:instrText xml:space="preserve">48 weeks. As validation, 59 patients treated with entecavir or tenofovir before discontinuation were analyzed.\nRESULTS: At the end of treatment (EOT), HBV RNA and HBcrAg were significant independent predictors of the clinical relapse risk. In the evaluation cohort, no clinical relapse occurred among patients with negative HBV RNA and HBcrAg</w:instrText>
            </w:r>
            <w:r>
              <w:rPr>
                <w:rFonts w:ascii="Times New Roman" w:hAnsi="Times New Roman"/>
                <w:sz w:val="24"/>
                <w:szCs w:val="24"/>
              </w:rPr>
              <w:instrText xml:space="preserve"> </w:instrText>
            </w:r>
            <w:r>
              <w:rPr>
                <w:rFonts w:ascii="Book Antiqua" w:hAnsi="Book Antiqua" w:cs="Cordia New"/>
                <w:sz w:val="24"/>
                <w:szCs w:val="24"/>
              </w:rPr>
              <w:instrText xml:space="preserve">&lt;</w:instrText>
            </w:r>
            <w:r>
              <w:rPr>
                <w:rFonts w:ascii="Times New Roman" w:hAnsi="Times New Roman"/>
                <w:sz w:val="24"/>
                <w:szCs w:val="24"/>
              </w:rPr>
              <w:instrText xml:space="preserve"> </w:instrText>
            </w:r>
            <w:r>
              <w:rPr>
                <w:rFonts w:ascii="Book Antiqua" w:hAnsi="Book Antiqua" w:cs="Cordia New"/>
                <w:sz w:val="24"/>
                <w:szCs w:val="24"/>
              </w:rPr>
              <w:instrText xml:space="preserve">4 log10 U/mL at EOT (low-risk group), whereas 46.8% patients with positive HBV RNA and HBcrAg</w:instrText>
            </w:r>
            <w:r>
              <w:rPr>
                <w:rFonts w:ascii="Times New Roman" w:hAnsi="Times New Roman"/>
                <w:sz w:val="24"/>
                <w:szCs w:val="24"/>
              </w:rPr>
              <w:instrText xml:space="preserve"> </w:instrText>
            </w:r>
            <w:r>
              <w:rPr>
                <w:rFonts w:ascii="Book Antiqua" w:hAnsi="Book Antiqua" w:cs="Cordia New"/>
                <w:sz w:val="24"/>
                <w:szCs w:val="24"/>
              </w:rPr>
              <w:instrText xml:space="preserve">≥</w:instrText>
            </w:r>
            <w:r>
              <w:rPr>
                <w:rFonts w:ascii="Times New Roman" w:hAnsi="Times New Roman"/>
                <w:sz w:val="24"/>
                <w:szCs w:val="24"/>
              </w:rPr>
              <w:instrText xml:space="preserve"> </w:instrText>
            </w:r>
            <w:r>
              <w:rPr>
                <w:rFonts w:ascii="Book Antiqua" w:hAnsi="Book Antiqua" w:cs="Cordia New"/>
                <w:sz w:val="24"/>
                <w:szCs w:val="24"/>
              </w:rPr>
              <w:instrText xml:space="preserve">4 log10 U/mL (high-risk group) experienced clinical relapse during 4-year posttreatment follow-up (P</w:instrText>
            </w:r>
            <w:r>
              <w:rPr>
                <w:rFonts w:ascii="Times New Roman" w:hAnsi="Times New Roman"/>
                <w:sz w:val="24"/>
                <w:szCs w:val="24"/>
              </w:rPr>
              <w:instrText xml:space="preserve"> </w:instrText>
            </w:r>
            <w:r>
              <w:rPr>
                <w:rFonts w:ascii="Book Antiqua" w:hAnsi="Book Antiqua" w:cs="Cordia New"/>
                <w:sz w:val="24"/>
                <w:szCs w:val="24"/>
              </w:rPr>
              <w:instrText xml:space="preserve">&lt;</w:instrText>
            </w:r>
            <w:r>
              <w:rPr>
                <w:rFonts w:ascii="Times New Roman" w:hAnsi="Times New Roman"/>
                <w:sz w:val="24"/>
                <w:szCs w:val="24"/>
              </w:rPr>
              <w:instrText xml:space="preserve"> </w:instrText>
            </w:r>
            <w:r>
              <w:rPr>
                <w:rFonts w:ascii="Book Antiqua" w:hAnsi="Book Antiqua" w:cs="Cordia New"/>
                <w:sz w:val="24"/>
                <w:szCs w:val="24"/>
              </w:rPr>
              <w:instrText xml:space="preserve">.001); the corresponding incidences in the validation cohort were 0% and 69.4% (P</w:instrText>
            </w:r>
            <w:r>
              <w:rPr>
                <w:rFonts w:ascii="Times New Roman" w:hAnsi="Times New Roman"/>
                <w:sz w:val="24"/>
                <w:szCs w:val="24"/>
              </w:rPr>
              <w:instrText xml:space="preserve"> </w:instrText>
            </w:r>
            <w:r>
              <w:rPr>
                <w:rFonts w:ascii="Book Antiqua" w:hAnsi="Book Antiqua" w:cs="Cordia New"/>
                <w:sz w:val="24"/>
                <w:szCs w:val="24"/>
              </w:rPr>
              <w:instrText xml:space="preserve">&lt;</w:instrText>
            </w:r>
            <w:r>
              <w:rPr>
                <w:rFonts w:ascii="Times New Roman" w:hAnsi="Times New Roman"/>
                <w:sz w:val="24"/>
                <w:szCs w:val="24"/>
              </w:rPr>
              <w:instrText xml:space="preserve"> </w:instrText>
            </w:r>
            <w:r>
              <w:rPr>
                <w:rFonts w:ascii="Book Antiqua" w:hAnsi="Book Antiqua" w:cs="Cordia New"/>
                <w:sz w:val="24"/>
                <w:szCs w:val="24"/>
              </w:rPr>
              <w:instrText xml:space="preserve">.001), respectively. More patients in the low-risk group achieved HBsAg loss than the other patients after treatment cessation (16.1% vs 1.3%, P</w:instrText>
            </w:r>
            <w:r>
              <w:rPr>
                <w:rFonts w:ascii="Times New Roman" w:hAnsi="Times New Roman"/>
                <w:sz w:val="24"/>
                <w:szCs w:val="24"/>
              </w:rPr>
              <w:instrText xml:space="preserve"> </w:instrText>
            </w:r>
            <w:r>
              <w:rPr>
                <w:rFonts w:ascii="Book Antiqua" w:hAnsi="Book Antiqua" w:cs="Cordia New"/>
                <w:sz w:val="24"/>
                <w:szCs w:val="24"/>
              </w:rPr>
              <w:instrText xml:space="preserve">=</w:instrText>
            </w:r>
            <w:r>
              <w:rPr>
                <w:rFonts w:ascii="Times New Roman" w:hAnsi="Times New Roman"/>
                <w:sz w:val="24"/>
                <w:szCs w:val="24"/>
              </w:rPr>
              <w:instrText xml:space="preserve"> </w:instrText>
            </w:r>
            <w:r>
              <w:rPr>
                <w:rFonts w:ascii="Book Antiqua" w:hAnsi="Book Antiqua" w:cs="Cordia New"/>
                <w:sz w:val="24"/>
                <w:szCs w:val="24"/>
              </w:rPr>
              <w:instrText xml:space="preserve">.002).\nCONCLUSIONS: Combining HBV RNA and HBcrAg performed satisfactorily in predicting clinical relapse and HBsAg loss after treatment cessation in HBeAg-positive patients with CHB.The combination of hepatitis B virus RNA and hepatitis B core-related antigen performed satisfactorily in predicting clinical relapse and hepatitis B surface antigen loss after stopping nucleos(t)ide analogue treatment among noncirrhotic hepatitis B e antigen-positive patients with chronic hepatitis B and could be used to guide safe discontinuation.","container-title":"The Journal of Infectious Diseases","DOI":"10/gg57zz","ISSN":"1537-6613","issue":"4","journalAbbreviation":"J. Infect. Dis.","language":"eng","note":"PMID: 32211776","page":"611-618","source":"PubMed","title":"Combining Hepatitis B Virus RNA and Hepatitis B Core-Related Antigen: Guidance for Safely Stopping Nucleos(t)ide Analogues in Hepatitis B e Antigen-Positive Patients With Chronic Hepatitis B","title-short":"Combining Hepatitis B Virus RNA and Hepatitis B Core-Related Antigen","volume":"222","author":[{"family":"Fan","given":"Rong"},{"family":"Peng","given":"Jie"},{"family":"Xie","given":"Qing"},{"family":"Tan","given":"Deming"},{"family":"Xu","given":"Min"},{"family":"Niu","given":"Junqi"},{"family":"Wang","given":"Hao"},{"family":"Ren","given":"Hong"},{"family":"Chen","given":"Xinyue"},{"family":"Wang","given":"Maorong"},{"family":"Sheng","given":"Jifang"},{"family":"Tang","given":"Hong"},{"family":"Bai","given":"Xuefan"},{"family":"Wu","given":"Yaobo"},{"family":"Zhou","given":"Bin"},{"family":"Sun","given":"Jian"},{"family":"Hou","given":"Jinlin"},{"literal":"Chronic Hepatitis B Study Consortium"}],"issued":{"date-parts":[["2020",7,23]]}}}],"schema":"https://github.com/citation-style-language/schema/raw/master/csl-citation.json"}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[12,52]</w:t>
            </w:r>
            <w:r>
              <w:rPr>
                <w:rFonts w:ascii="Book Antiqua" w:hAnsi="Book Antiqua" w:cs="Cordia New"/>
                <w:sz w:val="24"/>
                <w:szCs w:val="24"/>
              </w:rPr>
              <w:fldChar w:fldCharType="end"/>
            </w:r>
          </w:p>
        </w:tc>
      </w:tr>
    </w:tbl>
    <w:p>
      <w:pPr>
        <w:pStyle w:val="17"/>
        <w:spacing w:after="0" w:line="360" w:lineRule="auto"/>
        <w:ind w:firstLine="0" w:firstLineChars="0"/>
        <w:jc w:val="both"/>
        <w:rPr>
          <w:rFonts w:ascii="Book Antiqua" w:hAnsi="Book Antiqua" w:cs="Cordia New"/>
          <w:sz w:val="24"/>
          <w:szCs w:val="24"/>
          <w:lang w:bidi="th-TH"/>
        </w:rPr>
      </w:pPr>
      <w:r>
        <w:rPr>
          <w:rFonts w:ascii="Book Antiqua" w:hAnsi="Book Antiqua" w:cs="Cordia New"/>
          <w:sz w:val="24"/>
          <w:szCs w:val="24"/>
        </w:rPr>
        <w:t>HBcrAg</w:t>
      </w:r>
      <w:r>
        <w:rPr>
          <w:rFonts w:ascii="Book Antiqua" w:hAnsi="Book Antiqua" w:cs="Cordia New"/>
          <w:sz w:val="24"/>
          <w:szCs w:val="24"/>
          <w:lang w:eastAsia="zh-CN"/>
        </w:rPr>
        <w:t>:</w:t>
      </w:r>
      <w:r>
        <w:rPr>
          <w:rFonts w:ascii="Book Antiqua" w:hAnsi="Book Antiqua" w:cs="Cordia New"/>
          <w:sz w:val="24"/>
          <w:szCs w:val="24"/>
        </w:rPr>
        <w:t xml:space="preserve"> Hepatitis B core-related antigen; HBsAg</w:t>
      </w:r>
      <w:r>
        <w:rPr>
          <w:rFonts w:ascii="Book Antiqua" w:hAnsi="Book Antiqua" w:cs="Cordia New"/>
          <w:sz w:val="24"/>
          <w:szCs w:val="24"/>
          <w:lang w:eastAsia="zh-CN"/>
        </w:rPr>
        <w:t>:</w:t>
      </w:r>
      <w:r>
        <w:rPr>
          <w:rFonts w:ascii="Book Antiqua" w:hAnsi="Book Antiqua" w:cs="Cordia New"/>
          <w:sz w:val="24"/>
          <w:szCs w:val="24"/>
        </w:rPr>
        <w:t xml:space="preserve"> Hepatitis B surface antigen; HBV</w:t>
      </w:r>
      <w:r>
        <w:rPr>
          <w:rFonts w:ascii="Book Antiqua" w:hAnsi="Book Antiqua" w:cs="Cordia New"/>
          <w:sz w:val="24"/>
          <w:szCs w:val="24"/>
          <w:lang w:eastAsia="zh-CN"/>
        </w:rPr>
        <w:t>:</w:t>
      </w:r>
      <w:r>
        <w:rPr>
          <w:rFonts w:ascii="Book Antiqua" w:hAnsi="Book Antiqua" w:cs="Cordia New"/>
          <w:sz w:val="24"/>
          <w:szCs w:val="24"/>
        </w:rPr>
        <w:t xml:space="preserve"> </w:t>
      </w:r>
      <w:r>
        <w:rPr>
          <w:rFonts w:ascii="Book Antiqua" w:hAnsi="Book Antiqua" w:cs="Cordia New"/>
          <w:sz w:val="24"/>
          <w:szCs w:val="24"/>
          <w:lang w:eastAsia="zh-CN"/>
        </w:rPr>
        <w:t>H</w:t>
      </w:r>
      <w:r>
        <w:rPr>
          <w:rFonts w:ascii="Book Antiqua" w:hAnsi="Book Antiqua" w:cs="Cordia New"/>
          <w:sz w:val="24"/>
          <w:szCs w:val="24"/>
        </w:rPr>
        <w:t>epatitis B virus.</w:t>
      </w:r>
    </w:p>
    <w:p>
      <w:pPr>
        <w:spacing w:line="360" w:lineRule="auto"/>
        <w:jc w:val="both"/>
        <w:rPr>
          <w:rFonts w:ascii="Book Antiqua" w:hAnsi="Book Antiqua" w:eastAsia="宋体" w:cs="Cordia New"/>
          <w:b/>
          <w:bCs/>
          <w:lang w:val="en-GB"/>
        </w:rPr>
      </w:pPr>
      <w:r>
        <w:rPr>
          <w:rFonts w:ascii="Book Antiqua" w:hAnsi="Book Antiqua" w:cs="Cordia New"/>
          <w:b/>
          <w:bCs/>
        </w:rPr>
        <w:br w:type="page"/>
      </w:r>
      <w:r>
        <w:rPr>
          <w:rFonts w:ascii="Book Antiqua" w:hAnsi="Book Antiqua" w:cs="Cordia New"/>
          <w:b/>
          <w:bCs/>
        </w:rPr>
        <w:t xml:space="preserve">Table 4 Factors predictive of </w:t>
      </w:r>
      <w:r>
        <w:rPr>
          <w:rFonts w:ascii="Book Antiqua" w:hAnsi="Book Antiqua" w:cs="Cordia New"/>
          <w:b/>
          <w:lang w:eastAsia="zh-CN"/>
        </w:rPr>
        <w:t>h</w:t>
      </w:r>
      <w:r>
        <w:rPr>
          <w:rFonts w:ascii="Book Antiqua" w:hAnsi="Book Antiqua" w:cs="Cordia New"/>
          <w:b/>
        </w:rPr>
        <w:t>epatitis B surface antigen</w:t>
      </w:r>
      <w:r>
        <w:rPr>
          <w:rFonts w:ascii="Book Antiqua" w:hAnsi="Book Antiqua" w:cs="Cordia New"/>
          <w:b/>
          <w:bCs/>
        </w:rPr>
        <w:t xml:space="preserve"> clearance</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7"/>
        <w:gridCol w:w="3375"/>
        <w:gridCol w:w="346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tcPr>
          <w:p>
            <w:pPr>
              <w:pStyle w:val="17"/>
              <w:spacing w:after="0" w:line="360" w:lineRule="auto"/>
              <w:ind w:firstLine="29" w:firstLineChars="12"/>
              <w:jc w:val="both"/>
              <w:rPr>
                <w:rFonts w:ascii="Book Antiqua" w:hAnsi="Book Antiqua" w:cs="Cordia New"/>
                <w:b/>
                <w:bCs/>
                <w:sz w:val="24"/>
                <w:szCs w:val="24"/>
              </w:rPr>
            </w:pPr>
            <w:r>
              <w:rPr>
                <w:rFonts w:ascii="Book Antiqua" w:hAnsi="Book Antiqua" w:cs="Cordia New"/>
                <w:b/>
                <w:bCs/>
                <w:sz w:val="24"/>
                <w:szCs w:val="24"/>
              </w:rPr>
              <w:t>Baseline at pretreatment</w:t>
            </w:r>
          </w:p>
        </w:tc>
        <w:tc>
          <w:tcPr>
            <w:tcW w:w="0" w:type="auto"/>
            <w:tcBorders>
              <w:top w:val="single" w:color="auto" w:sz="4" w:space="0"/>
              <w:bottom w:val="single" w:color="auto" w:sz="4" w:space="0"/>
            </w:tcBorders>
          </w:tcPr>
          <w:p>
            <w:pPr>
              <w:pStyle w:val="17"/>
              <w:spacing w:after="0" w:line="360" w:lineRule="auto"/>
              <w:ind w:firstLine="29" w:firstLineChars="12"/>
              <w:jc w:val="both"/>
              <w:rPr>
                <w:rFonts w:ascii="Book Antiqua" w:hAnsi="Book Antiqua" w:cs="Cordia New"/>
                <w:b/>
                <w:bCs/>
                <w:sz w:val="24"/>
                <w:szCs w:val="24"/>
              </w:rPr>
            </w:pPr>
            <w:r>
              <w:rPr>
                <w:rFonts w:ascii="Book Antiqua" w:hAnsi="Book Antiqua" w:cs="Cordia New"/>
                <w:b/>
                <w:bCs/>
                <w:sz w:val="24"/>
                <w:szCs w:val="24"/>
              </w:rPr>
              <w:t>On-treatment</w:t>
            </w:r>
          </w:p>
        </w:tc>
        <w:tc>
          <w:tcPr>
            <w:tcW w:w="0" w:type="auto"/>
            <w:tcBorders>
              <w:top w:val="single" w:color="auto" w:sz="4" w:space="0"/>
              <w:bottom w:val="single" w:color="auto" w:sz="4" w:space="0"/>
            </w:tcBorders>
          </w:tcPr>
          <w:p>
            <w:pPr>
              <w:pStyle w:val="17"/>
              <w:spacing w:after="0" w:line="360" w:lineRule="auto"/>
              <w:ind w:firstLine="29" w:firstLineChars="12"/>
              <w:jc w:val="both"/>
              <w:rPr>
                <w:rFonts w:ascii="Book Antiqua" w:hAnsi="Book Antiqua" w:cs="Cordia New"/>
                <w:b/>
                <w:bCs/>
                <w:sz w:val="24"/>
                <w:szCs w:val="24"/>
              </w:rPr>
            </w:pPr>
            <w:r>
              <w:rPr>
                <w:rFonts w:ascii="Book Antiqua" w:hAnsi="Book Antiqua" w:cs="Cordia New"/>
                <w:b/>
                <w:bCs/>
                <w:sz w:val="24"/>
                <w:szCs w:val="24"/>
              </w:rPr>
              <w:t>End of treatment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tcBorders>
          </w:tcPr>
          <w:p>
            <w:pPr>
              <w:pStyle w:val="17"/>
              <w:spacing w:after="0" w:line="360" w:lineRule="auto"/>
              <w:ind w:firstLine="28" w:firstLineChars="12"/>
              <w:jc w:val="both"/>
              <w:rPr>
                <w:rFonts w:ascii="Book Antiqua" w:hAnsi="Book Antiqua" w:cs="Cordia New"/>
                <w:sz w:val="24"/>
                <w:szCs w:val="24"/>
              </w:rPr>
            </w:pPr>
            <w:r>
              <w:rPr>
                <w:rFonts w:ascii="Book Antiqua" w:hAnsi="Book Antiqua" w:cs="Cordia New"/>
                <w:sz w:val="24"/>
                <w:szCs w:val="24"/>
              </w:rPr>
              <w:t>Low ALT level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{"citationID":"g99Hj0Z2","properties":{"formattedCitation":"\\super [40]\\nosupersub{}","plainCitation":"[40]","noteIndex":0},"citationItems":[{"id":232,"uris":["http://zotero.org/users/local/NyhnE8P8/items/PZQPJNGH"],"uri":["http://zotero.org/users/local/NyhnE8P8/items/PZQPJNGH"],"itemData":{"id":232,"type":"article-journal","abstract":"BACKGROUND &amp; AIMS: We investigated whether the quantification of hepatitis surface antigen (HBsAg) could predict HBsAg loss or hepatitis B virus (HBV) relapse after stopping lamivudine treatment. METHODS: A total of 188 naive chronic hepatitis B patients (83 HBeAg-positive, 105 HBeAg-negative patients), who were previously treated with lamivudine (treatment duration: 89.3 +/- 35.9 weeks, range: 52-243 weeks) but stopped the treatment for at least 12 months were recruited. RESULTS: The cumulative incidence of HBsAg loss and HBV relapse at year 6 after stopping lamivudine treatment was 24% and 65.9% respectively. Cox regression analysis revealed that lower alanine aminotransferase (ALT) at baseline, lower HBsAg levels at the end of treatment, and longer treatment duration were independent predictors for HBsAg loss, and old age, male sex and higher HBsAg levels at the end of treatment were independent predictors for post-treatment HBV relapse. At the end of treatment, the HBsAg cut-off value of 300 IU/ml could predict 55.6% (5/9) HBsAg loss in HBeAg-positive patients. In HBeAg-negative patients, the HBsAg cut-off values of 120 and 200 IU/ml could predict 79.2% (19/24) HBsAg loss and 93.3% (28/30) post-treatment sustained response respectively. Further HBsAg reduction (&gt;0.22 log IU/ml) at month 6 after stopping treatment was an independent predictor for HBsAg loss after adjusting for HBsAg level at the end of treatment. CONCLUSIONS: Serum HBsAg level at the end of treatment is a useful predictor to guide the timing of stopping lamivudine treatment in chronic hepatitis B patients.","container-title":"Journal of hepatology","DOI":"10/f2tkx3","ISSN":"1600-0641 0168-8278","issue":"3","journalAbbreviation":"J Hepatol","language":"eng","note":"PMID: 24798617","page":"515-522","title":"The role of hepatitis B surface antigen quantification in predicting HBsAg loss and HBV relapse after discontinuation of lamivudine treatment.","volume":"61","author":[{"family":"Chen","given":"Chien-Hung"},{"family":"Lu","given":"Sheng-Nan"},{"family":"Hung","given":"Chao-Hung"},{"family":"Wang","given":"Jing-Houng"},{"family":"Hu","given":"Tsung-Hui"},{"family":"Changchien","given":"Chi-Sin"},{"family":"Lee","given":"Chuan-Mo"}],"issued":{"date-parts":[["2014",9]]}}}],"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[40]</w:t>
            </w:r>
            <w:r>
              <w:rPr>
                <w:rFonts w:ascii="Book Antiqua" w:hAnsi="Book Antiqua" w:cs="Cordia New"/>
                <w:sz w:val="24"/>
                <w:szCs w:val="24"/>
              </w:rPr>
              <w:fldChar w:fldCharType="end"/>
            </w:r>
          </w:p>
        </w:tc>
        <w:tc>
          <w:tcPr>
            <w:tcW w:w="0" w:type="auto"/>
            <w:tcBorders>
              <w:top w:val="single" w:color="auto" w:sz="4" w:space="0"/>
            </w:tcBorders>
          </w:tcPr>
          <w:p>
            <w:pPr>
              <w:pStyle w:val="17"/>
              <w:spacing w:after="0" w:line="360" w:lineRule="auto"/>
              <w:ind w:firstLine="28" w:firstLineChars="12"/>
              <w:jc w:val="both"/>
              <w:rPr>
                <w:rFonts w:ascii="Book Antiqua" w:hAnsi="Book Antiqua" w:cs="Cordia New"/>
                <w:sz w:val="24"/>
                <w:szCs w:val="24"/>
              </w:rPr>
            </w:pPr>
            <w:r>
              <w:rPr>
                <w:rFonts w:ascii="Book Antiqua" w:hAnsi="Book Antiqua" w:cs="Cordia New"/>
                <w:sz w:val="24"/>
                <w:szCs w:val="24"/>
              </w:rPr>
              <w:t>Long treatment duration</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{"citationID":"WAIFxFPj","properties":{"formattedCitation":"\\super [40]\\nosupersub{}","plainCitation":"[40]","noteIndex":0},"citationItems":[{"id":232,"uris":["http://zotero.org/users/local/NyhnE8P8/items/PZQPJNGH"],"uri":["http://zotero.org/users/local/NyhnE8P8/items/PZQPJNGH"],"itemData":{"id":232,"type":"article-journal","abstract":"BACKGROUND &amp; AIMS: We investigated whether the quantification of hepatitis surface antigen (HBsAg) could predict HBsAg loss or hepatitis B virus (HBV) relapse after stopping lamivudine treatment. METHODS: A total of 188 naive chronic hepatitis B patients (83 HBeAg-positive, 105 HBeAg-negative patients), who were previously treated with lamivudine (treatment duration: 89.3 +/- 35.9 weeks, range: 52-243 weeks) but stopped the treatment for at least 12 months were recruited. RESULTS: The cumulative incidence of HBsAg loss and HBV relapse at year 6 after stopping lamivudine treatment was 24% and 65.9% respectively. Cox regression analysis revealed that lower alanine aminotransferase (ALT) at baseline, lower HBsAg levels at the end of treatment, and longer treatment duration were independent predictors for HBsAg loss, and old age, male sex and higher HBsAg levels at the end of treatment were independent predictors for post-treatment HBV relapse. At the end of treatment, the HBsAg cut-off value of 300 IU/ml could predict 55.6% (5/9) HBsAg loss in HBeAg-positive patients. In HBeAg-negative patients, the HBsAg cut-off values of 120 and 200 IU/ml could predict 79.2% (19/24) HBsAg loss and 93.3% (28/30) post-treatment sustained response respectively. Further HBsAg reduction (&gt;0.22 log IU/ml) at month 6 after stopping treatment was an independent predictor for HBsAg loss after adjusting for HBsAg level at the end of treatment. CONCLUSIONS: Serum HBsAg level at the end of treatment is a useful predictor to guide the timing of stopping lamivudine treatment in chronic hepatitis B patients.","container-title":"Journal of hepatology","DOI":"10/f2tkx3","ISSN":"1600-0641 0168-8278","issue":"3","journalAbbreviation":"J Hepatol","language":"eng","note":"PMID: 24798617","page":"515-522","title":"The role of hepatitis B surface antigen quantification in predicting HBsAg loss and HBV relapse after discontinuation of lamivudine treatment.","volume":"61","author":[{"family":"Chen","given":"Chien-Hung"},{"family":"Lu","given":"Sheng-Nan"},{"family":"Hung","given":"Chao-Hung"},{"family":"Wang","given":"Jing-Houng"},{"family":"Hu","given":"Tsung-Hui"},{"family":"Changchien","given":"Chi-Sin"},{"family":"Lee","given":"Chuan-Mo"}],"issued":{"date-parts":[["2014",9]]}}}],"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[40]</w:t>
            </w:r>
            <w:r>
              <w:rPr>
                <w:rFonts w:ascii="Book Antiqua" w:hAnsi="Book Antiqua" w:cs="Cordia New"/>
                <w:sz w:val="24"/>
                <w:szCs w:val="24"/>
              </w:rPr>
              <w:fldChar w:fldCharType="end"/>
            </w:r>
          </w:p>
        </w:tc>
        <w:tc>
          <w:tcPr>
            <w:tcW w:w="0" w:type="auto"/>
            <w:tcBorders>
              <w:top w:val="single" w:color="auto" w:sz="4" w:space="0"/>
            </w:tcBorders>
          </w:tcPr>
          <w:p>
            <w:pPr>
              <w:pStyle w:val="17"/>
              <w:spacing w:after="0" w:line="360" w:lineRule="auto"/>
              <w:ind w:firstLine="28" w:firstLineChars="12"/>
              <w:jc w:val="both"/>
              <w:rPr>
                <w:rFonts w:ascii="Book Antiqua" w:hAnsi="Book Antiqua" w:cs="Cordia New"/>
                <w:sz w:val="24"/>
                <w:szCs w:val="24"/>
              </w:rPr>
            </w:pPr>
            <w:r>
              <w:rPr>
                <w:rFonts w:ascii="Book Antiqua" w:hAnsi="Book Antiqua" w:cs="Cordia New"/>
                <w:sz w:val="24"/>
                <w:szCs w:val="24"/>
              </w:rPr>
              <w:t>Low HBsAg level especially &lt; 100 IU/mL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{"citationID":"q7NgDFhz","properties":{"formattedCitation":"\\super [41]\\nosupersub{}","plainCitation":"[41]","noteIndex":0},"citationItems":[{"id":185,"uris":["http://zotero.org/users/local/NyhnE8P8/items/SLCM2IIW"],"uri":["http://zotero.org/users/local/NyhnE8P8/items/SLCM2IIW"],"itemData":{"id":185,"type":"article-journal","abstract":"In actual clinical practice, infinite nucleos(t)ide analogues (NAs) treatment for chronic hepatitis B virus (HBV) infection is unrealistic. The most commonly used endpoint is suppression of HBV DNA to undetectable levels with normalization of alanine aminotransferase. However, this criterion for cessation of treatment is associated with various incidences of virological and clinical relapse. Recent studies suggest that decreasing the hepatitis B surface antigen (HBsAg) level at the end of treatment (EOT) to an appropriate cut-off value appears to be a practicable and attainable cessation criterion. We performed a systematic review to explore the optimal cut-off value of HBsAg at EOT for the cessation of NAs treatment. Eleven studies with 1,716 patients were included in this review. When the HBsAg levels at EOT were &lt;100 IU/mL and &gt;100 IU/mL, the respective off-therapy virological relapse rates were 9.1%-19.6% (range) and 31.4%-86.8% (range) at ≥12 months off therapy, regardless of hepatitis B e antigen (HBeAg) status; the respective off-therapy clinical relapse rates were 15.4%-29.4% (range) and 48.1%-63.6% (range) at ≥12 months off therapy, regardless of HBeAg status; and the respective off-therapy HBsAg loss rates were 21.1%-58.8% (range) and 3.3%-7.4% (range) for HBeAg-negative patients at ≥39 months off therapy. Conclusion: Cessation of long-term NAs therapy before HBsAg seroclearance in patients with chronic hepatitis B is a feasible alternative to indefinite treatment. An HBsAg level &lt;100 IU/mL at EOT seems to be a useful marker for deciding when to discontinue NAs therapy. However, regular monitoring is required after the cessation of NAs treatment, and long-term outcomes must be further evaluated.","container-title":"Hepatology (Baltimore, Md.)","DOI":"10.1002/hep.30474","ISSN":"1527-3350","issue":"3","journalAbbreviation":"Hepatology","language":"eng","note":"PMID: 30561829","page":"1045-1055","source":"PubMed","title":"The Role of Hepatitis B Surface Antigen in Nucleos(t)ide Analogues Cessation Among Asian Patients With Chronic Hepatitis B: A Systematic Review","title-short":"The Role of Hepatitis B Surface Antigen in Nucleos(t)ide Analogues Cessation Among Asian Patients With Chronic Hepatitis B","volume":"70","author":[{"family":"Liu","given":"Jiaye"},{"family":"Li","given":"Tao"},{"family":"Zhang","given":"Li"},{"family":"Xu","given":"Aiqiang"}],"issued":{"date-parts":[["2019",9]]}}}],"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[41]</w:t>
            </w:r>
            <w:r>
              <w:rPr>
                <w:rFonts w:ascii="Book Antiqua" w:hAnsi="Book Antiqua" w:cs="Cordia New"/>
                <w:sz w:val="24"/>
                <w:szCs w:val="24"/>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pStyle w:val="17"/>
              <w:spacing w:after="0" w:line="360" w:lineRule="auto"/>
              <w:ind w:firstLine="28" w:firstLineChars="12"/>
              <w:jc w:val="both"/>
              <w:rPr>
                <w:rFonts w:ascii="Book Antiqua" w:hAnsi="Book Antiqua" w:cs="Cordia New"/>
                <w:sz w:val="24"/>
                <w:szCs w:val="24"/>
                <w:cs/>
              </w:rPr>
            </w:pPr>
            <w:r>
              <w:rPr>
                <w:rFonts w:ascii="Book Antiqua" w:hAnsi="Book Antiqua" w:cs="Cordia New"/>
                <w:sz w:val="24"/>
                <w:szCs w:val="24"/>
              </w:rPr>
              <w:t>Low HBV DNA level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{"citationID":"VgeZeuOj","properties":{"formattedCitation":"\\super [40]\\nosupersub{}","plainCitation":"[40]","noteIndex":0},"citationItems":[{"id":232,"uris":["http://zotero.org/users/local/NyhnE8P8/items/PZQPJNGH"],"uri":["http://zotero.org/users/local/NyhnE8P8/items/PZQPJNGH"],"itemData":{"id":232,"type":"article-journal","abstract":"BACKGROUND &amp; AIMS: We investigated whether the quantification of hepatitis surface antigen (HBsAg) could predict HBsAg loss or hepatitis B virus (HBV) relapse after stopping lamivudine treatment. METHODS: A total of 188 naive chronic hepatitis B patients (83 HBeAg-positive, 105 HBeAg-negative patients), who were previously treated with lamivudine (treatment duration: 89.3 +/- 35.9 weeks, range: 52-243 weeks) but stopped the treatment for at least 12 months were recruited. RESULTS: The cumulative incidence of HBsAg loss and HBV relapse at year 6 after stopping lamivudine treatment was 24% and 65.9% respectively. Cox regression analysis revealed that lower alanine aminotransferase (ALT) at baseline, lower HBsAg levels at the end of treatment, and longer treatment duration were independent predictors for HBsAg loss, and old age, male sex and higher HBsAg levels at the end of treatment were independent predictors for post-treatment HBV relapse. At the end of treatment, the HBsAg cut-off value of 300 IU/ml could predict 55.6% (5/9) HBsAg loss in HBeAg-positive patients. In HBeAg-negative patients, the HBsAg cut-off values of 120 and 200 IU/ml could predict 79.2% (19/24) HBsAg loss and 93.3% (28/30) post-treatment sustained response respectively. Further HBsAg reduction (&gt;0.22 log IU/ml) at month 6 after stopping treatment was an independent predictor for HBsAg loss after adjusting for HBsAg level at the end of treatment. CONCLUSIONS: Serum HBsAg level at the end of treatment is a useful predictor to guide the timing of stopping lamivudine treatment in chronic hepatitis B patients.","container-title":"Journal of hepatology","DOI":"10/f2tkx3","ISSN":"1600-0641 0168-8278","issue":"3","journalAbbreviation":"J Hepatol","language":"eng","note":"PMID: 24798617","page":"515-522","title":"The role of hepatitis B surface antigen quantification in predicting HBsAg loss and HBV relapse after discontinuation of lamivudine treatment.","volume":"61","author":[{"family":"Chen","given":"Chien-Hung"},{"family":"Lu","given":"Sheng-Nan"},{"family":"Hung","given":"Chao-Hung"},{"family":"Wang","given":"Jing-Houng"},{"family":"Hu","given":"Tsung-Hui"},{"family":"Changchien","given":"Chi-Sin"},{"family":"Lee","given":"Chuan-Mo"}],"issued":{"date-parts":[["2014",9]]}}}],"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[40]</w:t>
            </w:r>
            <w:r>
              <w:rPr>
                <w:rFonts w:ascii="Book Antiqua" w:hAnsi="Book Antiqua" w:cs="Cordia New"/>
                <w:sz w:val="24"/>
                <w:szCs w:val="24"/>
              </w:rPr>
              <w:fldChar w:fldCharType="end"/>
            </w:r>
          </w:p>
        </w:tc>
        <w:tc>
          <w:tcPr>
            <w:tcW w:w="0" w:type="auto"/>
          </w:tcPr>
          <w:p>
            <w:pPr>
              <w:pStyle w:val="17"/>
              <w:spacing w:after="0" w:line="360" w:lineRule="auto"/>
              <w:ind w:firstLine="28" w:firstLineChars="12"/>
              <w:jc w:val="both"/>
              <w:rPr>
                <w:rFonts w:ascii="Book Antiqua" w:hAnsi="Book Antiqua" w:cs="Cordia New"/>
                <w:sz w:val="24"/>
                <w:szCs w:val="24"/>
              </w:rPr>
            </w:pPr>
            <w:r>
              <w:rPr>
                <w:rFonts w:ascii="Book Antiqua" w:hAnsi="Book Antiqua" w:cs="Cordia New"/>
                <w:sz w:val="24"/>
                <w:szCs w:val="24"/>
              </w:rPr>
              <w:t>HBsAg level reduction &gt; 1 log</w:t>
            </w:r>
            <w:r>
              <w:rPr>
                <w:rFonts w:ascii="Book Antiqua" w:hAnsi="Book Antiqua" w:cs="Cordia New"/>
                <w:sz w:val="24"/>
                <w:szCs w:val="24"/>
                <w:vertAlign w:val="subscript"/>
              </w:rPr>
              <w:t xml:space="preserve">10 </w:t>
            </w:r>
            <w:r>
              <w:rPr>
                <w:rFonts w:ascii="Book Antiqua" w:hAnsi="Book Antiqua" w:cs="Cordia New"/>
                <w:sz w:val="24"/>
                <w:szCs w:val="24"/>
              </w:rPr>
              <w:t>IU/mL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{"citationID":"QIc9XF1g","properties":{"formattedCitation":"\\super [33]\\nosupersub{}","plainCitation":"[33]","noteIndex":0},"citationItems":[{"id":4,"uris":["http://zotero.org/users/local/NyhnE8P8/items/P87D6NII"],"uri":["http://zotero.org/users/local/NyhnE8P8/items/P87D6NII"],"itemData":{"id":4,"type":"article-journal","abstract":"Hepatitis B surface antigen (HBsAg) loss is a rare event during nucleos(t)ide analogue (Nuc) therapy. Limited data suggest that stopping Nuc therapy may increase HBsAg loss rate in hepatitis B e antigen-negative patients. A large study was conducted to investigate this issue in more detail. Of the 1,075 hepatitis B e antigen-negative patients treated with Nuc for a median of 156 (61-430) weeks, 5 showed HBsAg seroclearance during treatment at an estimated annual incidence of 0.15%. Of the patients who remained HBsAg-seropositive, 691 (52.3 years old, 86% male, 44.6% cirrhosis) had stopped Nuc therapy by the Asian-Pacific Association for the Study of the Liver stopping rule and then were  prospectively followed up. Baseline and on-treatment clinical and viral features, treatment duration, consolidation duration, time to undetectable hepatitis B virus DNA, time to normal alanine aminotransferase, end-of-treatment HBsAg, and HBsAg log reduction were compared between patients with and without HBsAg seroclearance after end of treatment. During a median off-therapy follow-up period of 155 (2-614) weeks, HBsAg seroclearance was confirmed in 42 patients. The 6-year cumulative incidence was 13% with an estimated annual incidence of 1.78%. Cox regression analysis showed that shorter time to undetectable hepatitis B virus DNA (&lt;12 weeks), greater HBsAg reduction during therapy (&gt;1 log10 ), lower end-of-treatment HBsAg level (&lt;100 IU/mL), patients with sustained response, and relapsers not retreated were factors for off-therapy HBsAg seroclearance. CONCLUSION: The incidence of HBsAg seroclearance after stopping Nuc was much higher than that during therapy and highest in patients without virologic and clinical relapse; patients with clinical relapse who remained untreated had a 7.34 times higher incidence of HBsAg clearance than those who received retreatment, suggesting that transient untreated clinical relapse may drive sufficient immune control to functional cure. (Hepatology 2017).","container-title":"Hepatology (Baltimore, Md.)","DOI":"10.1002/hep.29640","ISSN":"1527-3350 0270-9139","issue":"2","journalAbbreviation":"Hepatology","language":"eng","note":"PMID: 29108132","page":"425-434","title":"Incidence and predictors of hepatitis B surface antigen seroclearance after cessation of nucleos(t)ide analogue therapy in hepatitis B e antigen-negative chronic hepatitis B.","volume":"68","author":[{"family":"Jeng","given":"Wen-Juei"},{"family":"Chen","given":"Yi-Cheng"},{"family":"Chien","given":"Rong-Nan"},{"family":"Sheen","given":"I.-Shyan"},{"family":"Liaw","given":"Yun-Fan"}],"issued":{"date-parts":[["2018",8]]}}}],"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[33]</w:t>
            </w:r>
            <w:r>
              <w:rPr>
                <w:rFonts w:ascii="Book Antiqua" w:hAnsi="Book Antiqua" w:cs="Cordia New"/>
                <w:sz w:val="24"/>
                <w:szCs w:val="24"/>
              </w:rPr>
              <w:fldChar w:fldCharType="end"/>
            </w:r>
          </w:p>
        </w:tc>
        <w:tc>
          <w:tcPr>
            <w:tcW w:w="0" w:type="auto"/>
          </w:tcPr>
          <w:p>
            <w:pPr>
              <w:pStyle w:val="17"/>
              <w:spacing w:after="0" w:line="360" w:lineRule="auto"/>
              <w:ind w:firstLine="28" w:firstLineChars="12"/>
              <w:jc w:val="both"/>
              <w:rPr>
                <w:rFonts w:ascii="Book Antiqua" w:hAnsi="Book Antiqua" w:cs="Cordia New"/>
                <w:sz w:val="24"/>
                <w:szCs w:val="24"/>
              </w:rPr>
            </w:pPr>
            <w:r>
              <w:rPr>
                <w:rFonts w:ascii="Book Antiqua" w:hAnsi="Book Antiqua" w:cs="Cordia New"/>
                <w:sz w:val="24"/>
                <w:szCs w:val="24"/>
              </w:rPr>
              <w:t>Low HBcrAg level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{"citationID":"fVICXdMK","properties":{"formattedCitation":"\\super [13]\\nosupersub{}","plainCitation":"[13]","noteIndex":0},"citationItems":[{"id":1074,"uris":["http://zotero.org/users/local/NyhnE8P8/items/LCAZEB5R"],"uri":["http://zotero.org/users/local/NyhnE8P8/items/LCAZEB5R"],"itemData":{"id":1074,"type":"article-journal","abstract":"&lt;h3&gt;Background &amp; Aims&lt;/h3&gt;&lt;p&gt;Predictors of successful nucleo(s)tide analogue (NA) therapy withdrawal remain elusive. We studied the relationship between end-of-treatment levels of hepatitis B core-related antigen (HBcrAg) and hepatitis B surface antigen (HBsAg) and outcome after therapy cessation.&lt;/p&gt;&lt;h3&gt;Methods&lt;/h3&gt;&lt;p&gt;Patients who discontinued NA therapy in centers in Asia and Europe were enrolled. HBcrAg and HBsAg were measured at treatment cessation, and associations with off-treatment outcomes were explored. The SCALE-B score was calculated as previously reported. End points included sustained virologic response (VR; hepatitis B virus DNA level &lt;2000 IU/mL), HBsAg loss, and alanine aminotransferase (ALT) flares (&gt;3× upper limit of normal). Re-treated patients were considered nonresponders.&lt;/p&gt;&lt;h3&gt;Results&lt;/h3&gt;&lt;p&gt;We analyzed 572 patients, 457 (80%) were Asian and 95 (17%) were hepatitis B e antigen positive at the start of NA therapy. The median treatment duration was 295 weeks. VR was observed in 267 (47%), HBsAg loss was observed in 24 (4.2%), and ALT flare was observed in 92 (16%). VR (67% vs 42%) and HBsAg loss (15% vs 1.5%) was observed more frequently in non-Asian patients (&lt;i&gt;P&lt;/i&gt; &lt; .001). Lower HBcrAg levels were associated with higher rates of VR (odds ratio [OR], 0.701; &lt;i&gt;P&lt;/i&gt; &lt; .001) and HBsAg loss (OR, 0.476; &lt;i&gt;P&lt;/i&gt; &lt; .001), and lower rates of ALT flares (OR, 1.288; &lt;i&gt;P&lt;/i&gt; = .005). Similar results were observed with HBsAg (VR: OR, 0.812; &lt;i&gt;P&lt;/i&gt; = .011; HBsAg loss: OR, 0.380; &lt;i&gt;P&lt;/i&gt; &lt; .001; and ALT flare: OR, 1.833; &lt;i&gt;P&lt;/i&gt; &lt; .001). Lower SCALE-B scores were associated with higher rates of VR, HBsAg loss, and lower rates of ALT flares in both Asian and non-Asian patients (&lt;i&gt;P&lt;/i&gt; &lt; .001).&lt;/p&gt;&lt;h3&gt;Conclusions&lt;/h3&gt;&lt;p&gt;In this multicenter study, off-treatment outcomes after NA cessation varied with ethnicity. Lower levels of HBcrAg and HBsAg were associated with favorable outcomes. A risk score comprising both factors can be used for risk stratification.&lt;/p&gt;","container-title":"Clinical Gastroenterology and Hepatology","DOI":"10/ghr737","ISSN":"1542-3565, 1542-7714","issue":"0","journalAbbreviation":"Clinical Gastroenterology and Hepatology","language":"English","note":"publisher: Elsevier\nPMID: 33309804","source":"www.cghjournal.org","title":"Prediction of Sustained Response After Nucleo(s)tide Analogue Cessation Using HBsAg and HBcrAg Levels: A Multicenter Study (CREATE)","title-short":"Prediction of Sustained Response After Nucleo(s)tide Analogue Cessation Using HBsAg and HBcrAg Levels","URL":"https://www.cghjournal.org/article/S1542-3565(20)31662-1/abstract","volume":"0","author":[{"family":"Sonneveld","given":"Milan J."},{"family":"Park","given":"J. Y."},{"family":"Kaewdech","given":"A."},{"family":"Seto","given":"W. K."},{"family":"Tanaka","given":"Y."},{"family":"Carey","given":"I."},{"family":"Papatheodoridi","given":"M."},{"family":"Bömmel","given":"F.","dropping-particle":"van"},{"family":"Berg","given":"T."},{"family":"Zoulim","given":"F."},{"family":"Ahn","given":"S. H."},{"family":"Dalekos","given":"G. N."},{"family":"Erler","given":"N. S."},{"family":"Siederdissen","given":"C. Höner","dropping-particle":"zu"},{"family":"Wedemeyer","given":"H."},{"family":"Cornberg","given":"M."},{"family":"Yuen","given":"M. F."},{"family":"Agarwal","given":"K."},{"family":"Boonstra","given":"A."},{"family":"Buti","given":"M."},{"family":"Piratvisuth","given":"T."},{"family":"Papatheodoridis","given":"G."},{"family":"Maasoumy","given":"B."}],"accessed":{"date-parts":[["2021",1,31]]},"issued":{"date-parts":[["2020",12,9]]}}}],"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[13]</w:t>
            </w:r>
            <w:r>
              <w:rPr>
                <w:rFonts w:ascii="Book Antiqua" w:hAnsi="Book Antiqua" w:cs="Cordia New"/>
                <w:sz w:val="24"/>
                <w:szCs w:val="24"/>
              </w:rPr>
              <w:fldChar w:fldCharType="end"/>
            </w:r>
          </w:p>
        </w:tc>
      </w:tr>
    </w:tbl>
    <w:p>
      <w:pPr>
        <w:spacing w:line="360" w:lineRule="auto"/>
        <w:jc w:val="both"/>
        <w:rPr>
          <w:rFonts w:ascii="Book Antiqua" w:hAnsi="Book Antiqua" w:cs="Cordia New"/>
          <w:bCs/>
          <w:color w:val="000000" w:themeColor="text1"/>
          <w:lang w:bidi="th-TH"/>
          <w14:textFill>
            <w14:solidFill>
              <w14:schemeClr w14:val="tx1"/>
            </w14:solidFill>
          </w14:textFill>
        </w:rPr>
      </w:pPr>
      <w:r>
        <w:rPr>
          <w:rFonts w:ascii="Book Antiqua" w:hAnsi="Book Antiqua" w:cs="Cordia New"/>
          <w:bCs/>
          <w:color w:val="000000" w:themeColor="text1"/>
          <w14:textFill>
            <w14:solidFill>
              <w14:schemeClr w14:val="tx1"/>
            </w14:solidFill>
          </w14:textFill>
        </w:rPr>
        <w:t>ALT</w:t>
      </w:r>
      <w:r>
        <w:rPr>
          <w:rFonts w:ascii="Book Antiqua" w:hAnsi="Book Antiqua" w:cs="Cordia New"/>
          <w:bCs/>
          <w:color w:val="000000" w:themeColor="text1"/>
          <w:lang w:eastAsia="zh-CN"/>
          <w14:textFill>
            <w14:solidFill>
              <w14:schemeClr w14:val="tx1"/>
            </w14:solidFill>
          </w14:textFill>
        </w:rPr>
        <w:t>:</w:t>
      </w:r>
      <w:r>
        <w:rPr>
          <w:rFonts w:ascii="Book Antiqua" w:hAnsi="Book Antiqua" w:cs="Cordia New"/>
          <w:bCs/>
          <w:color w:val="000000" w:themeColor="text1"/>
          <w14:textFill>
            <w14:solidFill>
              <w14:schemeClr w14:val="tx1"/>
            </w14:solidFill>
          </w14:textFill>
        </w:rPr>
        <w:t xml:space="preserve"> </w:t>
      </w:r>
      <w:r>
        <w:rPr>
          <w:rFonts w:ascii="Book Antiqua" w:hAnsi="Book Antiqua" w:cs="Cordia New"/>
          <w:bCs/>
          <w:color w:val="000000" w:themeColor="text1"/>
          <w:lang w:eastAsia="zh-CN"/>
          <w14:textFill>
            <w14:solidFill>
              <w14:schemeClr w14:val="tx1"/>
            </w14:solidFill>
          </w14:textFill>
        </w:rPr>
        <w:t>A</w:t>
      </w:r>
      <w:r>
        <w:rPr>
          <w:rFonts w:ascii="Book Antiqua" w:hAnsi="Book Antiqua" w:cs="Cordia New"/>
          <w:bCs/>
          <w:color w:val="000000" w:themeColor="text1"/>
          <w14:textFill>
            <w14:solidFill>
              <w14:schemeClr w14:val="tx1"/>
            </w14:solidFill>
          </w14:textFill>
        </w:rPr>
        <w:t xml:space="preserve">lanine aminotransferase; </w:t>
      </w:r>
      <w:r>
        <w:rPr>
          <w:rFonts w:ascii="Book Antiqua" w:hAnsi="Book Antiqua" w:cs="Cordia New"/>
        </w:rPr>
        <w:t>HBcrAg</w:t>
      </w:r>
      <w:r>
        <w:rPr>
          <w:rFonts w:ascii="Book Antiqua" w:hAnsi="Book Antiqua" w:cs="Cordia New"/>
          <w:lang w:eastAsia="zh-CN"/>
        </w:rPr>
        <w:t>:</w:t>
      </w:r>
      <w:r>
        <w:rPr>
          <w:rFonts w:ascii="Book Antiqua" w:hAnsi="Book Antiqua" w:cs="Cordia New"/>
        </w:rPr>
        <w:t xml:space="preserve"> Hepatitis B core-related antigen; HBsAg</w:t>
      </w:r>
      <w:r>
        <w:rPr>
          <w:rFonts w:ascii="Book Antiqua" w:hAnsi="Book Antiqua" w:cs="Cordia New"/>
          <w:lang w:eastAsia="zh-CN"/>
        </w:rPr>
        <w:t>:</w:t>
      </w:r>
      <w:r>
        <w:rPr>
          <w:rFonts w:ascii="Book Antiqua" w:hAnsi="Book Antiqua" w:cs="Cordia New"/>
        </w:rPr>
        <w:t xml:space="preserve"> Hepatitis B surface antigen; HBV</w:t>
      </w:r>
      <w:r>
        <w:rPr>
          <w:rFonts w:ascii="Book Antiqua" w:hAnsi="Book Antiqua" w:cs="Cordia New"/>
          <w:lang w:eastAsia="zh-CN"/>
        </w:rPr>
        <w:t>:</w:t>
      </w:r>
      <w:r>
        <w:rPr>
          <w:rFonts w:ascii="Book Antiqua" w:hAnsi="Book Antiqua" w:cs="Cordia New"/>
        </w:rPr>
        <w:t xml:space="preserve"> </w:t>
      </w:r>
      <w:r>
        <w:rPr>
          <w:rFonts w:ascii="Book Antiqua" w:hAnsi="Book Antiqua" w:cs="Cordia New"/>
          <w:lang w:eastAsia="zh-CN"/>
        </w:rPr>
        <w:t>H</w:t>
      </w:r>
      <w:r>
        <w:rPr>
          <w:rFonts w:ascii="Book Antiqua" w:hAnsi="Book Antiqua" w:cs="Cordia New"/>
        </w:rPr>
        <w:t>epatitis B virus.</w:t>
      </w:r>
    </w:p>
    <w:p>
      <w:pPr>
        <w:spacing w:line="360" w:lineRule="auto"/>
        <w:jc w:val="both"/>
        <w:rPr>
          <w:rFonts w:ascii="Book Antiqua" w:hAnsi="Book Antiqua" w:eastAsia="宋体" w:cs="Cordia New"/>
          <w:b/>
          <w:bCs/>
          <w:lang w:val="en-GB" w:eastAsia="zh-CN"/>
        </w:rPr>
      </w:pPr>
      <w:r>
        <w:rPr>
          <w:rFonts w:ascii="Book Antiqua" w:hAnsi="Book Antiqua" w:cs="Cordia New"/>
          <w:b/>
          <w:bCs/>
        </w:rPr>
        <w:br w:type="page"/>
      </w:r>
      <w:r>
        <w:rPr>
          <w:rFonts w:ascii="Book Antiqua" w:hAnsi="Book Antiqua" w:cs="Cordia New"/>
          <w:b/>
          <w:bCs/>
        </w:rPr>
        <w:t xml:space="preserve">Table 5 </w:t>
      </w:r>
      <w:r>
        <w:rPr>
          <w:rFonts w:ascii="Book Antiqua" w:hAnsi="Book Antiqua" w:cs="Cordia New"/>
          <w:b/>
        </w:rPr>
        <w:t>Hepatitis B core-related antigen</w:t>
      </w:r>
      <w:r>
        <w:rPr>
          <w:rFonts w:ascii="Book Antiqua" w:hAnsi="Book Antiqua" w:cs="Cordia New"/>
          <w:b/>
          <w:bCs/>
        </w:rPr>
        <w:t xml:space="preserve"> level and clinical application</w:t>
      </w:r>
    </w:p>
    <w:tbl>
      <w:tblPr>
        <w:tblStyle w:val="8"/>
        <w:tblW w:w="5248" w:type="pct"/>
        <w:tblInd w:w="-459"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10"/>
        <w:gridCol w:w="1241"/>
        <w:gridCol w:w="2179"/>
        <w:gridCol w:w="386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3" w:type="pct"/>
            <w:tcBorders>
              <w:top w:val="single" w:color="auto" w:sz="4" w:space="0"/>
              <w:bottom w:val="single" w:color="auto" w:sz="4" w:space="0"/>
            </w:tcBorders>
          </w:tcPr>
          <w:p>
            <w:pPr>
              <w:pStyle w:val="17"/>
              <w:spacing w:after="0" w:line="360" w:lineRule="auto"/>
              <w:ind w:firstLine="0" w:firstLineChars="0"/>
              <w:jc w:val="both"/>
              <w:rPr>
                <w:rFonts w:ascii="Book Antiqua" w:hAnsi="Book Antiqua" w:cs="Cordia New"/>
                <w:b/>
                <w:bCs/>
                <w:sz w:val="24"/>
                <w:szCs w:val="24"/>
                <w:lang w:eastAsia="zh-CN"/>
              </w:rPr>
            </w:pPr>
            <w:r>
              <w:rPr>
                <w:rFonts w:ascii="Book Antiqua" w:hAnsi="Book Antiqua" w:cs="Cordia New"/>
                <w:b/>
                <w:bCs/>
                <w:sz w:val="24"/>
                <w:szCs w:val="24"/>
                <w:lang w:eastAsia="zh-CN"/>
              </w:rPr>
              <w:t>Ref.</w:t>
            </w:r>
          </w:p>
        </w:tc>
        <w:tc>
          <w:tcPr>
            <w:tcW w:w="640" w:type="pct"/>
            <w:tcBorders>
              <w:top w:val="single" w:color="auto" w:sz="4" w:space="0"/>
              <w:bottom w:val="single" w:color="auto" w:sz="4" w:space="0"/>
            </w:tcBorders>
          </w:tcPr>
          <w:p>
            <w:pPr>
              <w:pStyle w:val="17"/>
              <w:spacing w:after="0" w:line="360" w:lineRule="auto"/>
              <w:ind w:firstLine="0" w:firstLineChars="0"/>
              <w:jc w:val="both"/>
              <w:rPr>
                <w:rFonts w:ascii="Book Antiqua" w:hAnsi="Book Antiqua" w:cs="Cordia New"/>
                <w:b/>
                <w:bCs/>
                <w:sz w:val="24"/>
                <w:szCs w:val="24"/>
                <w:lang w:eastAsia="zh-CN"/>
              </w:rPr>
            </w:pPr>
            <w:r>
              <w:rPr>
                <w:rFonts w:ascii="Book Antiqua" w:hAnsi="Book Antiqua" w:cs="Cordia New"/>
                <w:b/>
                <w:bCs/>
                <w:i/>
                <w:sz w:val="24"/>
                <w:szCs w:val="24"/>
                <w:lang w:eastAsia="zh-CN"/>
              </w:rPr>
              <w:t>n</w:t>
            </w:r>
            <w:r>
              <w:rPr>
                <w:rFonts w:ascii="Book Antiqua" w:hAnsi="Book Antiqua" w:cs="Cordia New"/>
                <w:b/>
                <w:bCs/>
                <w:sz w:val="24"/>
                <w:szCs w:val="24"/>
                <w:lang w:eastAsia="zh-CN"/>
              </w:rPr>
              <w:t xml:space="preserve"> (%)</w:t>
            </w:r>
          </w:p>
        </w:tc>
        <w:tc>
          <w:tcPr>
            <w:tcW w:w="1124" w:type="pct"/>
            <w:tcBorders>
              <w:top w:val="single" w:color="auto" w:sz="4" w:space="0"/>
              <w:bottom w:val="single" w:color="auto" w:sz="4" w:space="0"/>
            </w:tcBorders>
          </w:tcPr>
          <w:p>
            <w:pPr>
              <w:pStyle w:val="17"/>
              <w:spacing w:after="0" w:line="360" w:lineRule="auto"/>
              <w:ind w:firstLine="0" w:firstLineChars="0"/>
              <w:jc w:val="both"/>
              <w:rPr>
                <w:rFonts w:ascii="Book Antiqua" w:hAnsi="Book Antiqua" w:cs="Cordia New"/>
                <w:b/>
                <w:bCs/>
                <w:sz w:val="24"/>
                <w:szCs w:val="24"/>
                <w:lang w:eastAsia="zh-CN"/>
              </w:rPr>
            </w:pPr>
            <w:r>
              <w:rPr>
                <w:rFonts w:ascii="Book Antiqua" w:hAnsi="Book Antiqua" w:cs="Cordia New"/>
                <w:b/>
                <w:bCs/>
                <w:sz w:val="24"/>
                <w:szCs w:val="24"/>
              </w:rPr>
              <w:t xml:space="preserve">End of treatment HBcrAg level </w:t>
            </w:r>
            <w:r>
              <w:rPr>
                <w:rFonts w:hint="eastAsia" w:ascii="Book Antiqua" w:hAnsi="Book Antiqua" w:cs="Cordia New"/>
                <w:b/>
                <w:bCs/>
                <w:sz w:val="24"/>
                <w:szCs w:val="24"/>
                <w:lang w:eastAsia="zh-CN"/>
              </w:rPr>
              <w:t>(</w:t>
            </w:r>
            <w:r>
              <w:rPr>
                <w:rFonts w:ascii="Book Antiqua" w:hAnsi="Book Antiqua" w:cs="Cordia New"/>
                <w:b/>
                <w:bCs/>
                <w:sz w:val="24"/>
                <w:szCs w:val="24"/>
              </w:rPr>
              <w:t>log</w:t>
            </w:r>
            <w:r>
              <w:rPr>
                <w:rFonts w:ascii="Book Antiqua" w:hAnsi="Book Antiqua" w:cs="Cordia New"/>
                <w:b/>
                <w:bCs/>
                <w:sz w:val="24"/>
                <w:szCs w:val="24"/>
                <w:vertAlign w:val="subscript"/>
              </w:rPr>
              <w:t xml:space="preserve">10 </w:t>
            </w:r>
            <w:r>
              <w:rPr>
                <w:rFonts w:ascii="Book Antiqua" w:hAnsi="Book Antiqua" w:cs="Cordia New"/>
                <w:b/>
                <w:bCs/>
                <w:sz w:val="24"/>
                <w:szCs w:val="24"/>
              </w:rPr>
              <w:t>U/mL</w:t>
            </w:r>
            <w:r>
              <w:rPr>
                <w:rFonts w:hint="eastAsia" w:ascii="Book Antiqua" w:hAnsi="Book Antiqua" w:cs="Cordia New"/>
                <w:b/>
                <w:bCs/>
                <w:sz w:val="24"/>
                <w:szCs w:val="24"/>
                <w:lang w:eastAsia="zh-CN"/>
              </w:rPr>
              <w:t>)</w:t>
            </w:r>
          </w:p>
        </w:tc>
        <w:tc>
          <w:tcPr>
            <w:tcW w:w="1993" w:type="pct"/>
            <w:tcBorders>
              <w:top w:val="single" w:color="auto" w:sz="4" w:space="0"/>
              <w:bottom w:val="single" w:color="auto" w:sz="4" w:space="0"/>
            </w:tcBorders>
          </w:tcPr>
          <w:p>
            <w:pPr>
              <w:pStyle w:val="17"/>
              <w:spacing w:after="0" w:line="360" w:lineRule="auto"/>
              <w:ind w:firstLine="0" w:firstLineChars="0"/>
              <w:jc w:val="both"/>
              <w:rPr>
                <w:rFonts w:ascii="Book Antiqua" w:hAnsi="Book Antiqua" w:cs="Cordia New"/>
                <w:b/>
                <w:bCs/>
                <w:sz w:val="24"/>
                <w:szCs w:val="24"/>
                <w:cs/>
              </w:rPr>
            </w:pPr>
            <w:r>
              <w:rPr>
                <w:rFonts w:ascii="Book Antiqua" w:hAnsi="Book Antiqua" w:cs="Cordia New"/>
                <w:b/>
                <w:bCs/>
                <w:sz w:val="24"/>
                <w:szCs w:val="24"/>
              </w:rPr>
              <w:t>Clinical application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3" w:type="pct"/>
            <w:tcBorders>
              <w:top w:val="single" w:color="auto" w:sz="4" w:space="0"/>
            </w:tcBorders>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Shinkai</w:t>
            </w:r>
            <w:r>
              <w:rPr>
                <w:rFonts w:ascii="Book Antiqua" w:hAnsi="Book Antiqua" w:cs="Cordia New"/>
                <w:sz w:val="24"/>
                <w:szCs w:val="24"/>
                <w:lang w:eastAsia="zh-CN"/>
              </w:rPr>
              <w:t xml:space="preserve"> </w:t>
            </w:r>
            <w:r>
              <w:rPr>
                <w:rFonts w:ascii="Book Antiqua" w:hAnsi="Book Antiqua" w:cs="Cordia New"/>
                <w:i/>
                <w:sz w:val="24"/>
                <w:szCs w:val="24"/>
                <w:lang w:eastAsia="zh-CN"/>
              </w:rPr>
              <w:t>et al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{"citationID":"0lqnZen3","properties":{"formattedCitation":"\\super [98]\\nosupersub{}","plainCitation":"[98]","noteIndex":0},"citationItems":[{"id":175,"uris":["http://zotero.org/users/local/NyhnE8P8/items/6SP9Y9AU"],"uri":["http://zotero.org/users/local/NyhnE8P8/items/6SP9Y9AU"],"itemData":{"id":175,"type":"article-journal","abstract":"BACKGROUND: Prolonged lamivudine therapy has two major problems: breakthrough hepatitis during treatment and relapse of aminotransferase (ALT) after cessation of the therapy. The aim of this study was to examine factors that could predict ALT flare after stopping lamivudine therapy.\nMETHODS: We analyzed 22 Japanese patients with chronic hepatitis B infection, in whom lamivudine therapy was stopped after HBV DNA level had been gone undetectable (&lt;3.7LGE/ml) during at least six consecutive months. The post-treatment followed up was carried for 28 months in median (range 9-41). HBV core-related antigen (HBcrAg) assay was assessed using newly developed assay.\nRESULTS: After cessation of lamivudine therapy, 11 patients (50%) had relapsed (reactivation of serum ALT &gt;80IU/l, relapsers) and remaining 11 (50%) did not relapse (non-relapsers). In the univariate comparison of relapsers versus non-relapsers, HBcrAg level at lamivudine cessation point (4.5+/-1.0 versus 3.4+/-0.9; p=0.0145) has been shown as a significant predictive factor for non-relapse. All patients with HBcrAg &lt;3.0logU/ml at the cessation point had no ALT flares. Multivariate analysis on effects of 10 factors (age, sex, cirrhosis, pretreatment ALT level, HBV DNA level, HBcrAg level, mean months till undetectable HBV DNA, duration of undetectable HBV DNA and HBcrAg level at lamivudine cessation point), indicated that HBcrAg level at lamivudine cessation point &lt;3.4log U/ml was the only independent predictive factor for absence of the post-treatment relapse.\nCONCLUSIONS: HBcrAg level at lamivudine cessation point might be useful as a prognostic predictor of response to lamivudine therapy cessation. The measurement of HBcrAg is a useful additional test for monitoring chronic HBV infection.","container-title":"Hepatology Research: The Official Journal of the Japan Society of Hepatology","DOI":"10.1016/j.hepres.2006.08.005","ISSN":"1386-6346","issue":"4","journalAbbreviation":"Hepatol. Res.","language":"eng","note":"PMID: 16971173","page":"272-276","source":"PubMed","title":"Measurement of hepatitis B virus core-related antigen as predicting factor for relapse after cessation of lamivudine therapy for chronic hepatitis B virus infection","volume":"36","author":[{"family":"Shinkai","given":"Noboru"},{"family":"Tanaka","given":"Yasuhiro"},{"family":"Orito","given":"Etsuro"},{"family":"Ito","given":"Kiyoaki"},{"family":"Ohno","given":"Tomoyoshi"},{"family":"Hirashima","given":"Noboru"},{"family":"Hasegawa","given":"Izumi"},{"family":"Sugauchi","given":"Fuminaka"},{"family":"Ueda","given":"Ryuzo"},{"family":"Mizokami","given":"Masashi"}],"issued":{"date-parts":[["2006",12]]}}}],"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[98]</w:t>
            </w:r>
            <w:r>
              <w:rPr>
                <w:rFonts w:ascii="Book Antiqua" w:hAnsi="Book Antiqua" w:cs="Cordia New"/>
                <w:sz w:val="24"/>
                <w:szCs w:val="24"/>
              </w:rPr>
              <w:fldChar w:fldCharType="end"/>
            </w:r>
            <w:r>
              <w:rPr>
                <w:rFonts w:ascii="Book Antiqua" w:hAnsi="Book Antiqua" w:cs="Cordia New"/>
                <w:sz w:val="24"/>
                <w:szCs w:val="24"/>
              </w:rPr>
              <w:t>, 2006</w:t>
            </w:r>
          </w:p>
        </w:tc>
        <w:tc>
          <w:tcPr>
            <w:tcW w:w="640" w:type="pct"/>
            <w:tcBorders>
              <w:top w:val="single" w:color="auto" w:sz="4" w:space="0"/>
            </w:tcBorders>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22</w:t>
            </w:r>
          </w:p>
        </w:tc>
        <w:tc>
          <w:tcPr>
            <w:tcW w:w="1124" w:type="pct"/>
            <w:tcBorders>
              <w:top w:val="single" w:color="auto" w:sz="4" w:space="0"/>
            </w:tcBorders>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&lt; 3.4</w:t>
            </w:r>
          </w:p>
        </w:tc>
        <w:tc>
          <w:tcPr>
            <w:tcW w:w="1993" w:type="pct"/>
            <w:tcBorders>
              <w:top w:val="single" w:color="auto" w:sz="4" w:space="0"/>
            </w:tcBorders>
          </w:tcPr>
          <w:p>
            <w:pPr>
              <w:pStyle w:val="17"/>
              <w:spacing w:after="0" w:line="360" w:lineRule="auto"/>
              <w:ind w:firstLine="0" w:firstLineChars="0"/>
              <w:jc w:val="both"/>
              <w:rPr>
                <w:rFonts w:ascii="Book Antiqua" w:hAnsi="Book Antiqua" w:cs="Cordia New"/>
                <w:sz w:val="24"/>
                <w:szCs w:val="24"/>
                <w:cs/>
              </w:rPr>
            </w:pPr>
            <w:r>
              <w:rPr>
                <w:rFonts w:ascii="Book Antiqua" w:hAnsi="Book Antiqua" w:cs="Cordia New"/>
                <w:sz w:val="24"/>
                <w:szCs w:val="24"/>
              </w:rPr>
              <w:t>Predictive factor for absence of the off-therapy relapse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3"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Matsumoto</w:t>
            </w:r>
            <w:r>
              <w:rPr>
                <w:rFonts w:ascii="Book Antiqua" w:hAnsi="Book Antiqua" w:cs="Cordia New"/>
                <w:sz w:val="24"/>
                <w:szCs w:val="24"/>
                <w:lang w:eastAsia="zh-CN"/>
              </w:rPr>
              <w:t xml:space="preserve"> </w:t>
            </w:r>
            <w:r>
              <w:rPr>
                <w:rFonts w:ascii="Book Antiqua" w:hAnsi="Book Antiqua" w:cs="Cordia New"/>
                <w:i/>
                <w:sz w:val="24"/>
                <w:szCs w:val="24"/>
                <w:lang w:eastAsia="zh-CN"/>
              </w:rPr>
              <w:t>et al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{"citationID":"eTfoVcp9","properties":{"formattedCitation":"\\super [47]\\nosupersub{}","plainCitation":"[47]","noteIndex":0},"citationItems":[{"id":641,"uris":["http://zotero.org/users/local/NyhnE8P8/items/VRNJYDBU"],"uri":["http://zotero.org/users/local/NyhnE8P8/items/VRNJYDBU"],"itemData":{"id":641,"type":"article-journal","abstract":"AIM: The clinical significance of hepatitis B virus (HBV) core-related antigen (HBcrAg) in predicting the reactivation of hepatitis after halting lamivudine administration was analyzed.\nMETHODS: A total of 34 patients with chronic hepatitis B were enrolled. Lamivudine was administered for at least 6 months before cessation, and reactivation of hepatitis was defined as elevation of alanine aminotransferase levels to more than 80 IU/L within 12 months of cessation.\nRESULTS: In total, 20 (59%) patients experienced hepatitis reactivation. Although concentrations of HBV DNA and HBcrAg in serum did not differ between the two groups of patients at the onset of lamivudine administration, HBcrAg serum levels were significantly higher (P = 0.009) in the reactivation patients (median 4.9, 25-75% range 4.7- 5.9 log unit/mL) than the non-reactivation patients (median 3.2, 25-75% range &lt;3.0-4.5 log unit/mL) post-lamivudine treatment. The concentration of HBV DNA did not differ between the two groups (median &lt;3.7, 25-75% range &lt;3.7-&lt;3.7 log copy/mL in the reactivation group vs. median &lt;3.7, 25-75% range &lt;3.7-&lt;3.7 log copy/mL in the non- reactivation group). Receiver operating characteristic analysis of HBcrAg concentration showed an area under the curve of 0.764 in predicting patients without reactivation of hepatitis.\nCONCLUSION: HBcrAg can be a useful marker to identify patients who are not at risk of reactivation of severe hepatitis after discontinuation of lamivudine administration.","container-title":"Hepatology Research: The Official Journal of the Japan Society of Hepatology","DOI":"10/dt5p54","ISSN":"1386-6346","issue":"8","journalAbbreviation":"Hepatol. Res.","language":"eng","note":"PMID: 17584261","page":"661-666","source":"PubMed","title":"Low serum level of hepatitis B core-related antigen indicates unlikely reactivation of hepatitis after cessation of lamivudine therapy","volume":"37","author":[{"family":"Matsumoto","given":"Akihiro"},{"family":"Tanaka","given":"Eiji"},{"family":"Minami","given":"Masahito"},{"family":"Okanoue","given":"Takeshi"},{"family":"Yatsuhashi","given":"Hiroshi"},{"family":"Nagaoka","given":"Shinya"},{"family":"Suzuki","given":"Fumitaka"},{"family":"Kobayashi","given":"Mariko"},{"family":"Chayama","given":"Kazuaki"},{"family":"Imamura","given":"Michio"},{"family":"Yotsuyanagi","given":"Hiroshi"},{"family":"Nakaoka","given":"Shigeru"},{"family":"Maki","given":"Noboru"},{"family":"Kawata","given":"Sumio"},{"family":"Kumada","given":"Hiromitsu"},{"family":"Iino","given":"Shiro"},{"family":"Kiyosawa","given":"Kendo"}],"issued":{"date-parts":[["2007",8]]}}}],"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[47]</w:t>
            </w:r>
            <w:r>
              <w:rPr>
                <w:rFonts w:ascii="Book Antiqua" w:hAnsi="Book Antiqua" w:cs="Cordia New"/>
                <w:sz w:val="24"/>
                <w:szCs w:val="24"/>
              </w:rPr>
              <w:fldChar w:fldCharType="end"/>
            </w:r>
            <w:r>
              <w:rPr>
                <w:rFonts w:ascii="Book Antiqua" w:hAnsi="Book Antiqua" w:cs="Cordia New"/>
                <w:sz w:val="24"/>
                <w:szCs w:val="24"/>
              </w:rPr>
              <w:t>, 2007</w:t>
            </w:r>
          </w:p>
        </w:tc>
        <w:tc>
          <w:tcPr>
            <w:tcW w:w="640"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34</w:t>
            </w:r>
          </w:p>
        </w:tc>
        <w:tc>
          <w:tcPr>
            <w:tcW w:w="1124"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&lt; 3.2</w:t>
            </w:r>
          </w:p>
        </w:tc>
        <w:tc>
          <w:tcPr>
            <w:tcW w:w="1993"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Predictive factor for absence of the off-therapy relapse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3"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Jung</w:t>
            </w:r>
            <w:r>
              <w:rPr>
                <w:rFonts w:ascii="Book Antiqua" w:hAnsi="Book Antiqua" w:cs="Cordia New"/>
                <w:sz w:val="24"/>
                <w:szCs w:val="24"/>
                <w:lang w:eastAsia="zh-CN"/>
              </w:rPr>
              <w:t xml:space="preserve"> </w:t>
            </w:r>
            <w:r>
              <w:rPr>
                <w:rFonts w:ascii="Book Antiqua" w:hAnsi="Book Antiqua" w:cs="Cordia New"/>
                <w:i/>
                <w:sz w:val="24"/>
                <w:szCs w:val="24"/>
                <w:lang w:eastAsia="zh-CN"/>
              </w:rPr>
              <w:t>et al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{"citationID":"3EZ29Rt4","properties":{"formattedCitation":"\\super [99]\\nosupersub{}","plainCitation":"[99]","noteIndex":0},"citationItems":[{"id":646,"uris":["http://zotero.org/users/local/NyhnE8P8/items/77RI2YAB"],"uri":["http://zotero.org/users/local/NyhnE8P8/items/77RI2YAB"],"itemData":{"id":646,"type":"article-journal","abstract":"BACKGROUND: Little is known about stopping rules of nucelos(t)ide analog (NA) treatment for chronic hepatitis B (CHB).\nMETHODS: A total of 113 consecutive patients with CHB (45 HBeAg-positive and 68 HBeAg-negative CHB patients), who met the cessation criteria of NA treatment as per the Asian-Pacific Association for the Study of the Liver (APASL) guideline, were enrolled in this prospective cohort study. The primary endpoint was to evaluate virological relapse (VR) rate within 1 year, which was defined as reappearance of hepatitis B virus (HBV)-DNA &gt; 2000 IU/mL after cessation of NA treatment. In this cohort, entecavir was used in 81 (71.7 %) and lamivudine in 32 (28.3 %) patients.\nRESULTS: Within 1 year after NA treatment, VR occurred in 26 (57.8 %) HBeAg-positive patients and in 37 (54.4 %) HBeAg-negative patients. In univariate and subsequent multivariate analysis, age &gt; 40 years [odds ratio (OR) 10.959; 95 % confidence interval (CI) 2.211-54.320; P = 0.003) and a pre-treatment HBV DNA level &gt;2000,000 IU/mL (OR 9.285; 95 % CI 1.545-55.795; P = 0.036) were identified as independent risk factors for VR in HBeAg-positive patients, and age &gt; 40 years (OR 6.690; 95 % CI 1.314-34.057; P = 0.022) and an end-of-treatment HBcrAg level &gt;3.7 log IU/mL (OR 3.751; 95 % CI 1.187-11.856; P = 0.024) were identified in HBeAg-negative patients. During follow up, neither hepatic decompensation nor hepatocellular carcinoma (HCC) occurred, and HBV DNA suppression was achieved in all patients who received antiviral re-treatment.\nCONCLUSION: Our data suggested that the APASL stopping rule could be applied if a candidate was properly selected using individual risk factors. However, regular monitoring should be performed after cessation of NA treatment and long-term outcomes need to be evaluated further.","container-title":"Journal of Gastroenterology","DOI":"10/f8x46r","ISSN":"1435-5922","issue":"8","journalAbbreviation":"J. Gastroenterol.","language":"eng","note":"PMID: 26687058","page":"830-839","source":"PubMed","title":"Clinical outcomes and predictors for relapse after cessation of oral antiviral treatment in chronic hepatitis B patients","volume":"51","author":[{"family":"Jung","given":"Kyu Sik"},{"family":"Park","given":"Jun Yong"},{"family":"Chon","given":"Young Eun"},{"family":"Kim","given":"Hyon-Suk"},{"family":"Kang","given":"Wonseok"},{"family":"Kim","given":"Beom Kyung"},{"family":"Kim","given":"Seung Up"},{"family":"Kim","given":"Do Young"},{"family":"Han","given":"Kwang-Hyub"},{"family":"Ahn","given":"Sang Hoon"}],"issued":{"date-parts":[["2016",8]]}}}],"schema":"https://github.com/citation-style-language/schema/raw/master/csl-citation.json"}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[99]</w:t>
            </w:r>
            <w:r>
              <w:rPr>
                <w:rFonts w:ascii="Book Antiqua" w:hAnsi="Book Antiqua" w:cs="Cordia New"/>
                <w:sz w:val="24"/>
                <w:szCs w:val="24"/>
              </w:rPr>
              <w:fldChar w:fldCharType="end"/>
            </w:r>
            <w:r>
              <w:rPr>
                <w:rFonts w:ascii="Book Antiqua" w:hAnsi="Book Antiqua" w:cs="Cordia New"/>
                <w:sz w:val="24"/>
                <w:szCs w:val="24"/>
              </w:rPr>
              <w:t>, 2016</w:t>
            </w:r>
          </w:p>
        </w:tc>
        <w:tc>
          <w:tcPr>
            <w:tcW w:w="640"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113</w:t>
            </w:r>
          </w:p>
        </w:tc>
        <w:tc>
          <w:tcPr>
            <w:tcW w:w="1124"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 3.7</w:t>
            </w:r>
          </w:p>
        </w:tc>
        <w:tc>
          <w:tcPr>
            <w:tcW w:w="1993"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Virological relapse within 1 yr of NA cessation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243"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Hsu</w:t>
            </w:r>
            <w:r>
              <w:rPr>
                <w:rFonts w:ascii="Book Antiqua" w:hAnsi="Book Antiqua" w:cs="Cordia New"/>
                <w:sz w:val="24"/>
                <w:szCs w:val="24"/>
                <w:lang w:eastAsia="zh-CN"/>
              </w:rPr>
              <w:t xml:space="preserve"> </w:t>
            </w:r>
            <w:r>
              <w:rPr>
                <w:rFonts w:ascii="Book Antiqua" w:hAnsi="Book Antiqua" w:cs="Cordia New"/>
                <w:i/>
                <w:sz w:val="24"/>
                <w:szCs w:val="24"/>
                <w:lang w:eastAsia="zh-CN"/>
              </w:rPr>
              <w:t>et al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{"citationID":"JAAxlh1m","properties":{"formattedCitation":"\\super [48]\\nosupersub{}","plainCitation":"[48]","noteIndex":0},"citationItems":[{"id":652,"uris":["http://zotero.org/users/local/NyhnE8P8/items/DP9JKTDN"],"uri":["http://zotero.org/users/local/NyhnE8P8/items/DP9JKTDN"],"itemData":{"id":652,"type":"article-journal","abstract":"BACKGROUND: There remains an unmet need for convenient biomarkers to assess the risks of discontinuing nucleos(t)ide analogues (NAs) in chronic hepatitis B (CHB).\nAIM: To investigate if hepatitis B core-related antigen (HBcrAg) is an independent of surface antigen (HBsAg) for risk prediction of NA cessation.\nMETHODS: This prospective multicentre study enrolled 135 CHB patients who stopped entecavir or tenofovir after achieving viral remission for a median of 25.2 months. All patients stopped NA with negative HBeAg and undetectable viral DNA, and were then observed for clinical relapse and HBsAg loss. Predictors including HBsAg and HBcrAg levels were explored using Cox proportional hazard model and weighted to develop a risk score.\nRESULTS: During a median follow-up of 25.9 months, clinical relapse and HBsAg loss occurred in 66 and eight patients, respectively, with a 5-year cumulative incidence of 56.1% (95% CI 46.7-66.0%) and 8.8% (95% CI 4.3-17.4%), respectively. HBcrAg was an independent relapse predictor, as well as HBsAg, age, ALT and tenofovir use. A score (SCALE-B) was calculated by the equation of 35*HBsAg (log IU/mL) + 20*HBcrAg (log U/mL) + 2*age (year) + ALT (U/L) + 40 for tenofovir use. The concordance rates for clinical relapse were 0.87, 0.88, 0.87, 0.85 and 0.90 at 1, 2, 3, 4 and 5 years, respectively. Moreover, HBsAg loss occurred exclusively in low-risk patients predicted by the score.\nCONCLUSIONS: Serum HBcrAg and HBsAg levels were independent predictors of off-NA relapse and can be factored into a risk score to guide treatment cessation in patients with CHB.","container-title":"Alimentary Pharmacology &amp; Therapeutics","DOI":"10/ggf2xt","ISSN":"1365-2036","issue":"1","journalAbbreviation":"Aliment. Pharmacol. Ther.","language":"eng","note":"PMID: 30450681","page":"107-115","source":"PubMed","title":"Combining hepatitis B core-related and surface antigens at end of nucleos(t)ide analogue treatment to predict off-therapy relapse risk","volume":"49","author":[{"family":"Hsu","given":"Yao-Chun"},{"family":"Nguyen","given":"Mindie H."},{"family":"Mo","given":"Lein-Ray"},{"family":"Wu","given":"Ming-Shiang"},{"family":"Yang","given":"Tzeng-Huey"},{"family":"Chen","given":"Chieh-Chang"},{"family":"Tseng","given":"Cheng-Hao"},{"family":"Tai","given":"Chi-Ming"},{"family":"Wu","given":"Chun-Ying"},{"family":"Lin","given":"Jaw-Town"},{"family":"Tanaka","given":"Yasuhito"},{"family":"Chang","given":"Chi-Yang"}],"issued":{"date-parts":[["2019"]]}}}],"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[48]</w:t>
            </w:r>
            <w:r>
              <w:rPr>
                <w:rFonts w:ascii="Book Antiqua" w:hAnsi="Book Antiqua" w:cs="Cordia New"/>
                <w:sz w:val="24"/>
                <w:szCs w:val="24"/>
              </w:rPr>
              <w:fldChar w:fldCharType="end"/>
            </w:r>
            <w:r>
              <w:rPr>
                <w:rFonts w:ascii="Book Antiqua" w:hAnsi="Book Antiqua" w:cs="Cordia New"/>
                <w:sz w:val="24"/>
                <w:szCs w:val="24"/>
              </w:rPr>
              <w:t>, 2019</w:t>
            </w:r>
          </w:p>
        </w:tc>
        <w:tc>
          <w:tcPr>
            <w:tcW w:w="640"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135</w:t>
            </w:r>
          </w:p>
        </w:tc>
        <w:tc>
          <w:tcPr>
            <w:tcW w:w="1124"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NR</w:t>
            </w:r>
          </w:p>
        </w:tc>
        <w:tc>
          <w:tcPr>
            <w:tcW w:w="1993" w:type="pct"/>
          </w:tcPr>
          <w:p>
            <w:pPr>
              <w:pStyle w:val="17"/>
              <w:spacing w:after="0" w:line="360" w:lineRule="auto"/>
              <w:ind w:firstLine="0" w:firstLineChars="0"/>
              <w:jc w:val="both"/>
              <w:rPr>
                <w:rFonts w:ascii="Book Antiqua" w:hAnsi="Book Antiqua" w:cs="Cordia New"/>
                <w:sz w:val="24"/>
                <w:szCs w:val="24"/>
                <w:cs/>
              </w:rPr>
            </w:pPr>
            <w:r>
              <w:rPr>
                <w:rFonts w:ascii="Book Antiqua" w:hAnsi="Book Antiqua" w:cs="Cordia New"/>
                <w:sz w:val="24"/>
                <w:szCs w:val="24"/>
              </w:rPr>
              <w:t>Predictive factors of HBsAg loss and lower clinical relapse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3"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 xml:space="preserve">Kaewdech </w:t>
            </w:r>
            <w:r>
              <w:rPr>
                <w:rFonts w:ascii="Book Antiqua" w:hAnsi="Book Antiqua" w:cs="Cordia New"/>
                <w:i/>
                <w:iCs/>
                <w:sz w:val="24"/>
                <w:szCs w:val="24"/>
              </w:rPr>
              <w:t>et al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{"citationID":"7u2MLhBS","properties":{"formattedCitation":"\\super [12]\\nosupersub{}","plainCitation":"[12]","noteIndex":0},"citationItems":[{"id":1072,"uris":["http://zotero.org/users/local/NyhnE8P8/items/KGFJAQCE"],"uri":["http://zotero.org/users/local/NyhnE8P8/items/KGFJAQCE"],"itemData":{"id":1072,"type":"article-journal","abstract":"Background &amp; Aims The safe discontinuation of nucleos(t)ide analogue therapy remains challenging in chronic hepatitis B. We investigated the potential role of quantitative hepatitis B surface antigen, hepatitis B core-related antigen and hepatitis B virus RNA at the end of treatment in predicting off-therapy relapse. Methods Patients who fulfilled the stopping criteria of the Asian Pacific Association for the Study of the Liver guideline were enrolled. Virological relapse was defined as hepatitis B virus DNA level greater than 2000 IU/mL, and clinical relapse was defined as virological relapse plus alanine aminotransferase level of more than twice the upper limit of normal. Results Ninety-two patients participated. The combination of end-of-treatment hepatitis B core-related antigen and hepatitis B virus RNA levels was most predictive of clinical relapse. Multivariate analysis revealed that end-of-treatment hepatitis B core-related antigen and hepatitis B virus RNA were independently associated with clinical relapse. During follow-up, no patients with undetectable hepatitis B core-related antigen (&lt;3.0 log10 U/mL) and hepatitis B virusRNA (&lt;2.0 log10 copies/mL) at end of treatment developed clinical relapse, in comparison with 22.9% and 62.5% patients with detectable levels of one or both biomarkers respectively. End-of-treatment quantitative hepatitis B surface antigen was linked to a likelihood of hepatitis B surface antigen clearance. Conclusions The combined hepatitis B core-related antigen and hepatitis B virus RNA assays at end of treatment were highly predictive of subsequent clinical relapse. These novel biomarkers could potentially be used to identify patients who could safely discontinue nucleos(t)ide analogue therapy.","container-title":"Liver International","DOI":"10/gg47ck","ISSN":"1478-3231","issue":"12","language":"en","note":"_eprint: https://onlinelibrary.wiley.com/doi/pdf/10.1111/liv.14606","page":"2961-2971","source":"Wiley Online Library","title":"Hepatitis B surface antigen, core-related antigen and HBV RNA: Predicting clinical relapse after NA therapy discontinuation","title-short":"Hepatitis B surface antigen, core-related antigen and HBV RNA","volume":"40","author":[{"family":"Kaewdech","given":"Apichat"},{"family":"Tangkijvanich","given":"Pisit"},{"family":"Sripongpun","given":"Pimsiri"},{"family":"Witeerungrot","given":"Teepawit"},{"family":"Jandee","given":"Sawangpong"},{"family":"Tanaka","given":"Yasuhito"},{"family":"Piratvisuth","given":"Teerha"}],"issued":{"date-parts":[["2020"]]}}}],"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[12]</w:t>
            </w:r>
            <w:r>
              <w:rPr>
                <w:rFonts w:ascii="Book Antiqua" w:hAnsi="Book Antiqua" w:cs="Cordia New"/>
                <w:sz w:val="24"/>
                <w:szCs w:val="24"/>
              </w:rPr>
              <w:fldChar w:fldCharType="end"/>
            </w:r>
            <w:r>
              <w:rPr>
                <w:rFonts w:ascii="Book Antiqua" w:hAnsi="Book Antiqua" w:cs="Cordia New"/>
                <w:sz w:val="24"/>
                <w:szCs w:val="24"/>
              </w:rPr>
              <w:t>, 2020</w:t>
            </w:r>
          </w:p>
        </w:tc>
        <w:tc>
          <w:tcPr>
            <w:tcW w:w="640"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92</w:t>
            </w:r>
          </w:p>
        </w:tc>
        <w:tc>
          <w:tcPr>
            <w:tcW w:w="1124"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&lt; 3</w:t>
            </w:r>
          </w:p>
        </w:tc>
        <w:tc>
          <w:tcPr>
            <w:tcW w:w="1993" w:type="pct"/>
          </w:tcPr>
          <w:p>
            <w:pPr>
              <w:pStyle w:val="17"/>
              <w:spacing w:after="0" w:line="360" w:lineRule="auto"/>
              <w:ind w:firstLine="0" w:firstLineChars="0"/>
              <w:jc w:val="both"/>
              <w:rPr>
                <w:rFonts w:ascii="Book Antiqua" w:hAnsi="Book Antiqua" w:cs="Cordia New"/>
                <w:sz w:val="24"/>
                <w:szCs w:val="24"/>
                <w:cs/>
              </w:rPr>
            </w:pPr>
            <w:r>
              <w:rPr>
                <w:rFonts w:ascii="Book Antiqua" w:hAnsi="Book Antiqua" w:cs="Cordia New"/>
                <w:sz w:val="24"/>
                <w:szCs w:val="24"/>
              </w:rPr>
              <w:t>Low risk of off-therapy relapse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3"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Papatheodoridi</w:t>
            </w:r>
            <w:r>
              <w:rPr>
                <w:rFonts w:ascii="Book Antiqua" w:hAnsi="Book Antiqua" w:cs="Cordia New"/>
                <w:sz w:val="24"/>
                <w:szCs w:val="24"/>
                <w:lang w:eastAsia="zh-CN"/>
              </w:rPr>
              <w:t xml:space="preserve"> </w:t>
            </w:r>
            <w:r>
              <w:rPr>
                <w:rFonts w:ascii="Book Antiqua" w:hAnsi="Book Antiqua" w:cs="Cordia New"/>
                <w:i/>
                <w:sz w:val="24"/>
                <w:szCs w:val="24"/>
                <w:lang w:eastAsia="zh-CN"/>
              </w:rPr>
              <w:t>et al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{"citationID":"QOlhAOlA","properties":{"formattedCitation":"\\super [54]\\nosupersub{}","plainCitation":"[54]","noteIndex":0},"citationItems":[{"id":1187,"uris":["http://zotero.org/users/local/NyhnE8P8/items/NFI7PXLF"],"uri":["http://zotero.org/users/local/NyhnE8P8/items/NFI7PXLF"],"itemData":{"id":1187,"type":"article-journal","abstract":"Reliable predictors of outcomes after treatment discontinuation in HBeAg-negative chronic hepatitis B (CHB) patients have not been established. We investigated the role of hepatitis B surface antigen (HBsAg), interferon-inducible protein-10 (IP10) and hepatitis B core-related antigen (HBcrAg) serum levels as predictors of HBsAg loss, relapse and retreatment in noncirrhotic HBeAg-negative CHB patients who discontinued long-term antiviral therapy. All HBsAg-positive (n = 57) patients of the prospective DARING-B study were included and followed monthly for 3 months, every 2/3 months until month-12 and every 3/6 months thereafter. HBsAg, IP10 and HBcrAg levels were measured by enzyme immunoassays, and SCALE-B score was calculated. Twelve patients achieved HBsAg loss before retreatment with 18-month cumulative incidence of 25%. Independent predictors of HBsAg loss were baseline HBsAg and month-1 IP10 levels. Of 10 patients with baseline HBsAg ≤100 IU/mL, 70% cleared HBsAg and 10% required retreatment. Of 23 patients with baseline HBsAg &gt;1000 IU/mL, 4% cleared HBsAg and 43% required retreatment. Of 24 patients with intermediate baseline HBsAg (100-1000 IU/mL), 17% cleared HBsAg and 21% required retreatment; in this subgroup, month-1 IP10 was significantly associated with HBsAg loss, which occurred in 30% and 7% of cases with IP10 &gt;150 and ≤150 pg/mL, respectively. Baseline HBcrAg was undetectable in all patients who cleared HBsAg and was associated with retreatment. SCALE-B was associated with HBsAg loss but not with relapse or retreatment. In conclusion, HBsAg, IP10 and HBcrAg serum levels can be useful for the decisions and management of treatment discontinuation in noncirrhotic Caucasian patients with HBeAg-negative CHB.","container-title":"Journal of Viral Hepatitis","DOI":"10/ghx4bn","ISSN":"1365-2893","issue":"2","journalAbbreviation":"J Viral Hepat","language":"eng","note":"PMID: 31562748","page":"118-126","source":"PubMed","title":"Predictors of hepatitis B surface antigen loss, relapse and retreatment after discontinuation of effective oral antiviral therapy in noncirrhotic HBeAg-negative chronic hepatitis B","volume":"27","author":[{"family":"Papatheodoridi","given":"Margarita"},{"family":"Hadziyannis","given":"Emilia"},{"family":"Berby","given":"Françoise"},{"family":"Zachou","given":"Kalliopi"},{"family":"Testoni","given":"Barbara"},{"family":"Rigopoulou","given":"Eirini"},{"family":"Gatselis","given":"Nikolaos K."},{"family":"Lyberopoulou","given":"Aggeliki"},{"family":"Vlachogiannakos","given":"Ioannis"},{"family":"Manolakopoulos","given":"Spilios"},{"family":"Dalekos","given":"George N."},{"family":"Zoulim","given":"Fabien"},{"family":"Papatheodoridis","given":"George V."}],"issued":{"date-parts":[["2020",2]]}}}],"schema":"https://github.com/citation-style-language/schema/raw/master/csl-citation.json"}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[54]</w:t>
            </w:r>
            <w:r>
              <w:rPr>
                <w:rFonts w:ascii="Book Antiqua" w:hAnsi="Book Antiqua" w:cs="Cordia New"/>
                <w:sz w:val="24"/>
                <w:szCs w:val="24"/>
              </w:rPr>
              <w:fldChar w:fldCharType="end"/>
            </w:r>
            <w:r>
              <w:rPr>
                <w:rFonts w:ascii="Book Antiqua" w:hAnsi="Book Antiqua" w:cs="Cordia New"/>
                <w:sz w:val="24"/>
                <w:szCs w:val="24"/>
              </w:rPr>
              <w:t>, 2020</w:t>
            </w:r>
          </w:p>
        </w:tc>
        <w:tc>
          <w:tcPr>
            <w:tcW w:w="640"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57</w:t>
            </w:r>
          </w:p>
        </w:tc>
        <w:tc>
          <w:tcPr>
            <w:tcW w:w="1124"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&lt; 2</w:t>
            </w:r>
          </w:p>
        </w:tc>
        <w:tc>
          <w:tcPr>
            <w:tcW w:w="1993"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Predictive factor of HBsAg loss, not required retreatment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3"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Sonneveld</w:t>
            </w:r>
            <w:r>
              <w:rPr>
                <w:rFonts w:ascii="Book Antiqua" w:hAnsi="Book Antiqua" w:cs="Cordia New"/>
                <w:sz w:val="24"/>
                <w:szCs w:val="24"/>
                <w:lang w:eastAsia="zh-CN"/>
              </w:rPr>
              <w:t xml:space="preserve"> </w:t>
            </w:r>
            <w:r>
              <w:rPr>
                <w:rFonts w:ascii="Book Antiqua" w:hAnsi="Book Antiqua" w:cs="Cordia New"/>
                <w:i/>
                <w:sz w:val="24"/>
                <w:szCs w:val="24"/>
                <w:lang w:eastAsia="zh-CN"/>
              </w:rPr>
              <w:t>et al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{"citationID":"N6I0XuQl","properties":{"formattedCitation":"\\super [13]\\nosupersub{}","plainCitation":"[13]","noteIndex":0},"citationItems":[{"id":1074,"uris":["http://zotero.org/users/local/NyhnE8P8/items/LCAZEB5R"],"uri":["http://zotero.org/users/local/NyhnE8P8/items/LCAZEB5R"],"itemData":{"id":1074,"type":"article-journal","abstract":"&lt;h3&gt;Background &amp; Aims&lt;/h3&gt;&lt;p&gt;Predictors of successful nucleo(s)tide analogue (NA) therapy withdrawal remain elusive. We studied the relationship between end-of-treatment levels of hepatitis B core-related antigen (HBcrAg) and hepatitis B surface antigen (HBsAg) and outcome after therapy cessation.&lt;/p&gt;&lt;h3&gt;Methods&lt;/h3&gt;&lt;p&gt;Patients who discontinued NA therapy in centers in Asia and Europe were enrolled. HBcrAg and HBsAg were measured at treatment cessation, and associations with off-treatment outcomes were explored. The SCALE-B score was calculated as previously reported. End points included sustained virologic response (VR; hepatitis B virus DNA level &lt;2000 IU/mL), HBsAg loss, and alanine aminotransferase (ALT) flares (&gt;3× upper limit of normal). Re-treated patients were considered nonresponders.&lt;/p&gt;&lt;h3&gt;Results&lt;/h3&gt;&lt;p&gt;We analyzed 572 patients, 457 (80%) were Asian and 95 (17%) were hepatitis B e antigen positive at the start of NA therapy. The median treatment duration was 295 weeks. VR was observed in 267 (47%), HBsAg loss was observed in 24 (4.2%), and ALT flare was observed in 92 (16%). VR (67% vs 42%) and HBsAg loss (15% vs 1.5%) was observed more frequently in non-Asian patients (&lt;i&gt;P&lt;/i&gt; &lt; .001). Lower HBcrAg levels were associated with higher rates of VR (odds ratio [OR], 0.701; &lt;i&gt;P&lt;/i&gt; &lt; .001) and HBsAg loss (OR, 0.476; &lt;i&gt;P&lt;/i&gt; &lt; .001), and lower rates of ALT flares (OR, 1.288; &lt;i&gt;P&lt;/i&gt; = .005). Similar results were observed with HBsAg (VR: OR, 0.812; &lt;i&gt;P&lt;/i&gt; = .011; HBsAg loss: OR, 0.380; &lt;i&gt;P&lt;/i&gt; &lt; .001; and ALT flare: OR, 1.833; &lt;i&gt;P&lt;/i&gt; &lt; .001). Lower SCALE-B scores were associated with higher rates of VR, HBsAg loss, and lower rates of ALT flares in both Asian and non-Asian patients (&lt;i&gt;P&lt;/i&gt; &lt; .001).&lt;/p&gt;&lt;h3&gt;Conclusions&lt;/h3&gt;&lt;p&gt;In this multicenter study, off-treatment outcomes after NA cessation varied with ethnicity. Lower levels of HBcrAg and HBsAg were associated with favorable outcomes. A risk score comprising both factors can be used for risk stratification.&lt;/p&gt;","container-title":"Clinical Gastroenterology and Hepatology","DOI":"10/ghr737","ISSN":"1542-3565, 1542-7714","issue":"0","journalAbbreviation":"Clinical Gastroenterology and Hepatology","language":"English","note":"publisher: Elsevier\nPMID: 33309804","source":"www.cghjournal.org","title":"Prediction of Sustained Response After Nucleo(s)tide Analogue Cessation Using HBsAg and HBcrAg Levels: A Multicenter Study (CREATE)","title-short":"Prediction of Sustained Response After Nucleo(s)tide Analogue Cessation Using HBsAg and HBcrAg Levels","URL":"https://www.cghjournal.org/article/S1542-3565(20)31662-1/abstract","volume":"0","author":[{"family":"Sonneveld","given":"Milan J."},{"family":"Park","given":"J. Y."},{"family":"Kaewdech","given":"A."},{"family":"Seto","given":"W. K."},{"family":"Tanaka","given":"Y."},{"family":"Carey","given":"I."},{"family":"Papatheodoridi","given":"M."},{"family":"Bömmel","given":"F.","dropping-particle":"van"},{"family":"Berg","given":"T."},{"family":"Zoulim","given":"F."},{"family":"Ahn","given":"S. H."},{"family":"Dalekos","given":"G. N."},{"family":"Erler","given":"N. S."},{"family":"Siederdissen","given":"C. Höner","dropping-particle":"zu"},{"family":"Wedemeyer","given":"H."},{"family":"Cornberg","given":"M."},{"family":"Yuen","given":"M. F."},{"family":"Agarwal","given":"K."},{"family":"Boonstra","given":"A."},{"family":"Buti","given":"M."},{"family":"Piratvisuth","given":"T."},{"family":"Papatheodoridis","given":"G."},{"family":"Maasoumy","given":"B."}],"accessed":{"date-parts":[["2021",1,31]]},"issued":{"date-parts":[["2020",12,9]]}}}],"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[13]</w:t>
            </w:r>
            <w:r>
              <w:rPr>
                <w:rFonts w:ascii="Book Antiqua" w:hAnsi="Book Antiqua" w:cs="Cordia New"/>
                <w:sz w:val="24"/>
                <w:szCs w:val="24"/>
              </w:rPr>
              <w:fldChar w:fldCharType="end"/>
            </w:r>
            <w:r>
              <w:rPr>
                <w:rFonts w:ascii="Book Antiqua" w:hAnsi="Book Antiqua" w:cs="Cordia New"/>
                <w:sz w:val="24"/>
                <w:szCs w:val="24"/>
              </w:rPr>
              <w:t>, 2020</w:t>
            </w:r>
          </w:p>
        </w:tc>
        <w:tc>
          <w:tcPr>
            <w:tcW w:w="640"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572</w:t>
            </w:r>
          </w:p>
        </w:tc>
        <w:tc>
          <w:tcPr>
            <w:tcW w:w="1124"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&lt; 2</w:t>
            </w:r>
          </w:p>
        </w:tc>
        <w:tc>
          <w:tcPr>
            <w:tcW w:w="1993" w:type="pc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Higher risk of sustained response and HBsAg loss</w:t>
            </w:r>
          </w:p>
        </w:tc>
      </w:tr>
    </w:tbl>
    <w:p>
      <w:pPr>
        <w:spacing w:line="360" w:lineRule="auto"/>
        <w:jc w:val="both"/>
        <w:rPr>
          <w:rFonts w:ascii="Book Antiqua" w:hAnsi="Book Antiqua" w:cs="Cordia New"/>
          <w:bCs/>
          <w:color w:val="000000" w:themeColor="text1"/>
          <w:lang w:bidi="th-TH"/>
          <w14:textFill>
            <w14:solidFill>
              <w14:schemeClr w14:val="tx1"/>
            </w14:solidFill>
          </w14:textFill>
        </w:rPr>
      </w:pPr>
      <w:r>
        <w:rPr>
          <w:rFonts w:ascii="Book Antiqua" w:hAnsi="Book Antiqua" w:cs="Cordia New"/>
          <w:bCs/>
          <w:color w:val="000000" w:themeColor="text1"/>
          <w14:textFill>
            <w14:solidFill>
              <w14:schemeClr w14:val="tx1"/>
            </w14:solidFill>
          </w14:textFill>
        </w:rPr>
        <w:t>ALT</w:t>
      </w:r>
      <w:r>
        <w:rPr>
          <w:rFonts w:ascii="Book Antiqua" w:hAnsi="Book Antiqua" w:cs="Cordia New"/>
          <w:bCs/>
          <w:color w:val="000000" w:themeColor="text1"/>
          <w:lang w:eastAsia="zh-CN"/>
          <w14:textFill>
            <w14:solidFill>
              <w14:schemeClr w14:val="tx1"/>
            </w14:solidFill>
          </w14:textFill>
        </w:rPr>
        <w:t>:</w:t>
      </w:r>
      <w:r>
        <w:rPr>
          <w:rFonts w:ascii="Book Antiqua" w:hAnsi="Book Antiqua" w:cs="Cordia New"/>
          <w:bCs/>
          <w:color w:val="000000" w:themeColor="text1"/>
          <w14:textFill>
            <w14:solidFill>
              <w14:schemeClr w14:val="tx1"/>
            </w14:solidFill>
          </w14:textFill>
        </w:rPr>
        <w:t xml:space="preserve"> </w:t>
      </w:r>
      <w:r>
        <w:rPr>
          <w:rFonts w:ascii="Book Antiqua" w:hAnsi="Book Antiqua" w:cs="Cordia New"/>
          <w:bCs/>
          <w:color w:val="000000" w:themeColor="text1"/>
          <w:lang w:eastAsia="zh-CN"/>
          <w14:textFill>
            <w14:solidFill>
              <w14:schemeClr w14:val="tx1"/>
            </w14:solidFill>
          </w14:textFill>
        </w:rPr>
        <w:t>A</w:t>
      </w:r>
      <w:r>
        <w:rPr>
          <w:rFonts w:ascii="Book Antiqua" w:hAnsi="Book Antiqua" w:cs="Cordia New"/>
          <w:bCs/>
          <w:color w:val="000000" w:themeColor="text1"/>
          <w14:textFill>
            <w14:solidFill>
              <w14:schemeClr w14:val="tx1"/>
            </w14:solidFill>
          </w14:textFill>
        </w:rPr>
        <w:t xml:space="preserve">lanine aminotransferase; </w:t>
      </w:r>
      <w:r>
        <w:rPr>
          <w:rFonts w:ascii="Book Antiqua" w:hAnsi="Book Antiqua" w:cs="Cordia New"/>
        </w:rPr>
        <w:t>HBcrAg</w:t>
      </w:r>
      <w:r>
        <w:rPr>
          <w:rFonts w:ascii="Book Antiqua" w:hAnsi="Book Antiqua" w:cs="Cordia New"/>
          <w:lang w:eastAsia="zh-CN"/>
        </w:rPr>
        <w:t>:</w:t>
      </w:r>
      <w:r>
        <w:rPr>
          <w:rFonts w:ascii="Book Antiqua" w:hAnsi="Book Antiqua" w:cs="Cordia New"/>
        </w:rPr>
        <w:t xml:space="preserve"> Hepatitis B core-related antigen; HBsAg</w:t>
      </w:r>
      <w:r>
        <w:rPr>
          <w:rFonts w:ascii="Book Antiqua" w:hAnsi="Book Antiqua" w:cs="Cordia New"/>
          <w:lang w:eastAsia="zh-CN"/>
        </w:rPr>
        <w:t>:</w:t>
      </w:r>
      <w:r>
        <w:rPr>
          <w:rFonts w:ascii="Book Antiqua" w:hAnsi="Book Antiqua" w:cs="Cordia New"/>
        </w:rPr>
        <w:t xml:space="preserve"> Hepatitis B surface antigen; HBV</w:t>
      </w:r>
      <w:r>
        <w:rPr>
          <w:rFonts w:ascii="Book Antiqua" w:hAnsi="Book Antiqua" w:cs="Cordia New"/>
          <w:lang w:eastAsia="zh-CN"/>
        </w:rPr>
        <w:t>:</w:t>
      </w:r>
      <w:r>
        <w:rPr>
          <w:rFonts w:ascii="Book Antiqua" w:hAnsi="Book Antiqua" w:cs="Cordia New"/>
        </w:rPr>
        <w:t xml:space="preserve"> </w:t>
      </w:r>
      <w:r>
        <w:rPr>
          <w:rFonts w:ascii="Book Antiqua" w:hAnsi="Book Antiqua" w:cs="Cordia New"/>
          <w:lang w:eastAsia="zh-CN"/>
        </w:rPr>
        <w:t>H</w:t>
      </w:r>
      <w:r>
        <w:rPr>
          <w:rFonts w:ascii="Book Antiqua" w:hAnsi="Book Antiqua" w:cs="Cordia New"/>
        </w:rPr>
        <w:t xml:space="preserve">epatitis B virus; </w:t>
      </w:r>
      <w:r>
        <w:rPr>
          <w:rFonts w:ascii="Book Antiqua" w:hAnsi="Book Antiqua" w:cs="Cordia New"/>
          <w:bCs/>
          <w:color w:val="000000" w:themeColor="text1"/>
          <w14:textFill>
            <w14:solidFill>
              <w14:schemeClr w14:val="tx1"/>
            </w14:solidFill>
          </w14:textFill>
        </w:rPr>
        <w:t>NA</w:t>
      </w:r>
      <w:r>
        <w:rPr>
          <w:rFonts w:ascii="Book Antiqua" w:hAnsi="Book Antiqua" w:cs="Cordia New"/>
          <w:bCs/>
          <w:color w:val="000000" w:themeColor="text1"/>
          <w:lang w:eastAsia="zh-CN"/>
          <w14:textFill>
            <w14:solidFill>
              <w14:schemeClr w14:val="tx1"/>
            </w14:solidFill>
          </w14:textFill>
        </w:rPr>
        <w:t>:</w:t>
      </w:r>
      <w:r>
        <w:rPr>
          <w:rFonts w:ascii="Book Antiqua" w:hAnsi="Book Antiqua" w:cs="Cordia New"/>
          <w:bCs/>
          <w:color w:val="000000" w:themeColor="text1"/>
          <w14:textFill>
            <w14:solidFill>
              <w14:schemeClr w14:val="tx1"/>
            </w14:solidFill>
          </w14:textFill>
        </w:rPr>
        <w:t xml:space="preserve"> </w:t>
      </w:r>
      <w:r>
        <w:rPr>
          <w:rFonts w:ascii="Book Antiqua" w:hAnsi="Book Antiqua" w:cs="Cordia New"/>
          <w:bCs/>
          <w:color w:val="000000" w:themeColor="text1"/>
          <w:lang w:eastAsia="zh-CN"/>
          <w14:textFill>
            <w14:solidFill>
              <w14:schemeClr w14:val="tx1"/>
            </w14:solidFill>
          </w14:textFill>
        </w:rPr>
        <w:t>N</w:t>
      </w:r>
      <w:r>
        <w:rPr>
          <w:rFonts w:ascii="Book Antiqua" w:hAnsi="Book Antiqua" w:cs="Cordia New"/>
          <w:bCs/>
          <w:color w:val="000000" w:themeColor="text1"/>
          <w14:textFill>
            <w14:solidFill>
              <w14:schemeClr w14:val="tx1"/>
            </w14:solidFill>
          </w14:textFill>
        </w:rPr>
        <w:t xml:space="preserve">ucleos(t)ide analog; </w:t>
      </w:r>
      <w:r>
        <w:rPr>
          <w:rFonts w:ascii="Book Antiqua" w:hAnsi="Book Antiqua" w:cs="Cordia New"/>
        </w:rPr>
        <w:t>NR</w:t>
      </w:r>
      <w:r>
        <w:rPr>
          <w:rFonts w:ascii="Book Antiqua" w:hAnsi="Book Antiqua" w:cs="Cordia New"/>
          <w:lang w:eastAsia="zh-CN"/>
        </w:rPr>
        <w:t>:</w:t>
      </w:r>
      <w:r>
        <w:rPr>
          <w:rFonts w:ascii="Book Antiqua" w:hAnsi="Book Antiqua" w:cs="Cordia New"/>
        </w:rPr>
        <w:t xml:space="preserve"> Not reported.</w:t>
      </w:r>
    </w:p>
    <w:p>
      <w:pPr>
        <w:snapToGrid w:val="0"/>
        <w:spacing w:line="360" w:lineRule="auto"/>
        <w:jc w:val="both"/>
        <w:rPr>
          <w:rFonts w:ascii="Book Antiqua" w:hAnsi="Book Antiqua" w:cs="Cordia New"/>
          <w:lang w:eastAsia="zh-CN" w:bidi="th-TH"/>
        </w:rPr>
      </w:pPr>
    </w:p>
    <w:p>
      <w:pPr>
        <w:spacing w:line="360" w:lineRule="auto"/>
        <w:jc w:val="both"/>
        <w:rPr>
          <w:rFonts w:ascii="Book Antiqua" w:hAnsi="Book Antiqua" w:cs="Cordia New"/>
        </w:rPr>
        <w:sectPr>
          <w:pgSz w:w="11900" w:h="16840"/>
          <w:pgMar w:top="1440" w:right="1440" w:bottom="1440" w:left="1440" w:header="708" w:footer="708" w:gutter="0"/>
          <w:cols w:space="720" w:num="1"/>
          <w:docGrid w:linePitch="326" w:charSpace="0"/>
        </w:sectPr>
      </w:pPr>
    </w:p>
    <w:p>
      <w:pPr>
        <w:pStyle w:val="17"/>
        <w:spacing w:after="0" w:line="360" w:lineRule="auto"/>
        <w:ind w:firstLine="0" w:firstLineChars="0"/>
        <w:jc w:val="both"/>
        <w:rPr>
          <w:rFonts w:ascii="Book Antiqua" w:hAnsi="Book Antiqua"/>
          <w:sz w:val="24"/>
          <w:szCs w:val="24"/>
        </w:rPr>
      </w:pPr>
      <w:r>
        <w:rPr>
          <w:rFonts w:ascii="Book Antiqua" w:hAnsi="Book Antiqua" w:cs="Cordia New"/>
          <w:b/>
          <w:bCs/>
          <w:sz w:val="24"/>
          <w:szCs w:val="24"/>
        </w:rPr>
        <w:t>Table 6 Summary of follow-up interval and retreatment criteria</w:t>
      </w:r>
    </w:p>
    <w:tbl>
      <w:tblPr>
        <w:tblStyle w:val="8"/>
        <w:tblW w:w="13325" w:type="dxa"/>
        <w:tblInd w:w="-34"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gridCol w:w="1984"/>
        <w:gridCol w:w="978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tcBorders>
              <w:top w:val="single" w:color="auto" w:sz="4" w:space="0"/>
              <w:bottom w:val="single" w:color="auto" w:sz="4" w:space="0"/>
            </w:tcBorders>
          </w:tcPr>
          <w:p>
            <w:pPr>
              <w:pStyle w:val="17"/>
              <w:spacing w:after="0" w:line="360" w:lineRule="auto"/>
              <w:ind w:firstLine="0" w:firstLineChars="0"/>
              <w:jc w:val="both"/>
              <w:rPr>
                <w:rFonts w:ascii="Book Antiqua" w:hAnsi="Book Antiqua" w:cs="Cordia New"/>
                <w:b/>
                <w:bCs/>
                <w:sz w:val="24"/>
                <w:szCs w:val="24"/>
                <w:lang w:eastAsia="zh-CN"/>
              </w:rPr>
            </w:pPr>
            <w:r>
              <w:rPr>
                <w:rFonts w:ascii="Book Antiqua" w:hAnsi="Book Antiqua" w:cs="Cordia New"/>
                <w:b/>
                <w:bCs/>
                <w:sz w:val="24"/>
                <w:szCs w:val="24"/>
                <w:lang w:eastAsia="zh-CN"/>
              </w:rPr>
              <w:t>Ref.</w:t>
            </w:r>
          </w:p>
        </w:tc>
        <w:tc>
          <w:tcPr>
            <w:tcW w:w="1984" w:type="dxa"/>
            <w:tcBorders>
              <w:top w:val="single" w:color="auto" w:sz="4" w:space="0"/>
              <w:bottom w:val="single" w:color="auto" w:sz="4" w:space="0"/>
            </w:tcBorders>
          </w:tcPr>
          <w:p>
            <w:pPr>
              <w:pStyle w:val="17"/>
              <w:spacing w:after="0" w:line="360" w:lineRule="auto"/>
              <w:ind w:firstLine="0" w:firstLineChars="0"/>
              <w:jc w:val="both"/>
              <w:rPr>
                <w:rFonts w:ascii="Book Antiqua" w:hAnsi="Book Antiqua" w:cs="Cordia New"/>
                <w:b/>
                <w:bCs/>
                <w:sz w:val="24"/>
                <w:szCs w:val="24"/>
              </w:rPr>
            </w:pPr>
            <w:r>
              <w:rPr>
                <w:rFonts w:ascii="Book Antiqua" w:hAnsi="Book Antiqua" w:cs="Cordia New"/>
                <w:b/>
                <w:bCs/>
                <w:sz w:val="24"/>
                <w:szCs w:val="24"/>
              </w:rPr>
              <w:t>Follow-up interval</w:t>
            </w:r>
          </w:p>
        </w:tc>
        <w:tc>
          <w:tcPr>
            <w:tcW w:w="9781" w:type="dxa"/>
            <w:tcBorders>
              <w:top w:val="single" w:color="auto" w:sz="4" w:space="0"/>
              <w:bottom w:val="single" w:color="auto" w:sz="4" w:space="0"/>
            </w:tcBorders>
          </w:tcPr>
          <w:p>
            <w:pPr>
              <w:pStyle w:val="17"/>
              <w:tabs>
                <w:tab w:val="left" w:pos="321"/>
              </w:tabs>
              <w:spacing w:after="0" w:line="360" w:lineRule="auto"/>
              <w:ind w:firstLine="0" w:firstLineChars="0"/>
              <w:jc w:val="both"/>
              <w:rPr>
                <w:rFonts w:ascii="Book Antiqua" w:hAnsi="Book Antiqua" w:cs="Cordia New"/>
                <w:b/>
                <w:bCs/>
                <w:sz w:val="24"/>
                <w:szCs w:val="24"/>
              </w:rPr>
            </w:pPr>
            <w:r>
              <w:rPr>
                <w:rFonts w:ascii="Book Antiqua" w:hAnsi="Book Antiqua" w:cs="Cordia New"/>
                <w:b/>
                <w:bCs/>
                <w:sz w:val="24"/>
                <w:szCs w:val="24"/>
              </w:rPr>
              <w:t>Criteria of retreatment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restart"/>
            <w:tcBorders>
              <w:top w:val="single" w:color="auto" w:sz="4" w:space="0"/>
            </w:tcBorders>
          </w:tcPr>
          <w:p>
            <w:pPr>
              <w:pStyle w:val="17"/>
              <w:spacing w:after="0" w:line="360" w:lineRule="auto"/>
              <w:ind w:firstLine="0" w:firstLineChars="0"/>
              <w:jc w:val="both"/>
              <w:rPr>
                <w:rFonts w:ascii="Book Antiqua" w:hAnsi="Book Antiqua" w:cs="Cordia New"/>
                <w:sz w:val="24"/>
                <w:szCs w:val="24"/>
                <w:cs/>
              </w:rPr>
            </w:pPr>
            <w:r>
              <w:rPr>
                <w:rFonts w:ascii="Book Antiqua" w:hAnsi="Book Antiqua" w:cs="Cordia New"/>
                <w:sz w:val="24"/>
                <w:szCs w:val="24"/>
              </w:rPr>
              <w:t xml:space="preserve">Berg </w:t>
            </w:r>
            <w:r>
              <w:rPr>
                <w:rFonts w:ascii="Book Antiqua" w:hAnsi="Book Antiqua" w:cs="Cordia New"/>
                <w:i/>
                <w:iCs/>
                <w:sz w:val="24"/>
                <w:szCs w:val="24"/>
              </w:rPr>
              <w:t>et al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{"citationID":"5p1FuG1S","properties":{"formattedCitation":"\\super [42]\\nosupersub{}","plainCitation":"[42]","noteIndex":0},"citationItems":[{"id":1166,"uris":["http://zotero.org/users/local/NyhnE8P8/items/79RD66DY"],"uri":["http://zotero.org/users/local/NyhnE8P8/items/79RD66DY"],"itemData":{"id":1166,"type":"article-journal","container-title":"Journal of Hepatology","DOI":"10/gftqrm","ISSN":"01688278","issue":"5","journalAbbreviation":"Journal of Hepatology","language":"en","page":"918-924","source":"DOI.org (Crossref)","title":"Long-term response after stopping tenofovir disoproxil fumarate in non-cirrhotic HBeAg-negative patients – FINITE study","volume":"67","author":[{"family":"Berg","given":"Thomas"},{"family":"Simon","given":"Karl-Georg"},{"family":"Mauss","given":"Stefan"},{"family":"Schott","given":"Eckart"},{"family":"Heyne","given":"Renate"},{"family":"Klass","given":"Dietmar M."},{"family":"Eisenbach","given":"Christoph"},{"family":"Welzel","given":"Tania Mara"},{"family":"Zachoval","given":"Reinhart"},{"family":"Felten","given":"Gisela"},{"family":"Schulze-zur-Wiesch","given":"Julian"},{"family":"Cornberg","given":"Markus"},{"family":"Op den Brouw","given":"Marjoleine L."},{"family":"Jump","given":"Belinda"},{"family":"Reiser","given":"Hans"},{"family":"Gallo","given":"Lothar"},{"family":"Warger","given":"Tobias"},{"family":"Petersen","given":"Jörg"}],"issued":{"date-parts":[["2017",11]]}}}],"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[42]</w:t>
            </w:r>
            <w:r>
              <w:rPr>
                <w:rFonts w:ascii="Book Antiqua" w:hAnsi="Book Antiqua" w:cs="Cordia New"/>
                <w:sz w:val="24"/>
                <w:szCs w:val="24"/>
              </w:rPr>
              <w:fldChar w:fldCharType="end"/>
            </w:r>
            <w:r>
              <w:rPr>
                <w:rFonts w:ascii="Book Antiqua" w:hAnsi="Book Antiqua" w:cs="Cordia New"/>
                <w:sz w:val="24"/>
                <w:szCs w:val="24"/>
              </w:rPr>
              <w:t>, 2017</w:t>
            </w:r>
          </w:p>
        </w:tc>
        <w:tc>
          <w:tcPr>
            <w:tcW w:w="1984" w:type="dxa"/>
            <w:vMerge w:val="restart"/>
            <w:tcBorders>
              <w:top w:val="single" w:color="auto" w:sz="4" w:space="0"/>
            </w:tcBorders>
          </w:tcPr>
          <w:p>
            <w:pPr>
              <w:pStyle w:val="17"/>
              <w:spacing w:after="0" w:line="360" w:lineRule="auto"/>
              <w:ind w:firstLine="0" w:firstLineChars="0"/>
              <w:jc w:val="both"/>
              <w:rPr>
                <w:rFonts w:ascii="Book Antiqua" w:hAnsi="Book Antiqua" w:cs="Cordia New"/>
                <w:sz w:val="24"/>
                <w:szCs w:val="24"/>
                <w:lang w:eastAsia="zh-CN"/>
              </w:rPr>
            </w:pPr>
            <w:r>
              <w:rPr>
                <w:rFonts w:ascii="Book Antiqua" w:hAnsi="Book Antiqua" w:cs="Cordia New"/>
                <w:sz w:val="24"/>
                <w:szCs w:val="24"/>
              </w:rPr>
              <w:t>Every 2 wk in the first 3 mo, every 4 wk</w:t>
            </w:r>
            <w:r>
              <w:rPr>
                <w:rFonts w:ascii="Book Antiqua" w:hAnsi="Book Antiqua" w:cs="Cordia New"/>
                <w:sz w:val="24"/>
                <w:szCs w:val="24"/>
                <w:lang w:eastAsia="zh-CN"/>
              </w:rPr>
              <w:t xml:space="preserve"> </w:t>
            </w:r>
            <w:r>
              <w:rPr>
                <w:rFonts w:ascii="Book Antiqua" w:hAnsi="Book Antiqua" w:cs="Cordia New"/>
                <w:sz w:val="24"/>
                <w:szCs w:val="24"/>
              </w:rPr>
              <w:t>until week 48, and every 12 wk thereafter until week 144</w:t>
            </w:r>
          </w:p>
        </w:tc>
        <w:tc>
          <w:tcPr>
            <w:tcW w:w="9781" w:type="dxa"/>
            <w:tcBorders>
              <w:top w:val="single" w:color="auto" w:sz="4" w:space="0"/>
            </w:tcBorders>
          </w:tcPr>
          <w:p>
            <w:pPr>
              <w:pStyle w:val="17"/>
              <w:tabs>
                <w:tab w:val="left" w:pos="321"/>
              </w:tabs>
              <w:spacing w:after="0" w:line="360" w:lineRule="auto"/>
              <w:ind w:firstLine="0" w:firstLineChars="0"/>
              <w:contextualSpacing/>
              <w:jc w:val="both"/>
              <w:rPr>
                <w:rFonts w:ascii="Book Antiqua" w:hAnsi="Book Antiqua" w:cs="Cordia New"/>
                <w:sz w:val="24"/>
                <w:szCs w:val="24"/>
              </w:rPr>
            </w:pPr>
            <w:r>
              <w:rPr>
                <w:rFonts w:ascii="Book Antiqua" w:hAnsi="Book Antiqua" w:cs="Cordia New"/>
                <w:sz w:val="24"/>
                <w:szCs w:val="24"/>
              </w:rPr>
              <w:t>Two consecutive total bilirubin &gt; 1.5 mg/dL plus ALT &gt; ULN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1560" w:type="dxa"/>
            <w:vMerge w:val="continue"/>
          </w:tcPr>
          <w:p>
            <w:pPr>
              <w:pStyle w:val="17"/>
              <w:spacing w:after="0" w:line="360" w:lineRule="auto"/>
              <w:ind w:firstLine="0" w:firstLineChars="0"/>
              <w:jc w:val="both"/>
              <w:rPr>
                <w:rFonts w:ascii="Book Antiqua" w:hAnsi="Book Antiqua" w:cs="Cordia New"/>
                <w:sz w:val="24"/>
                <w:szCs w:val="24"/>
              </w:rPr>
            </w:pPr>
          </w:p>
        </w:tc>
        <w:tc>
          <w:tcPr>
            <w:tcW w:w="1984" w:type="dxa"/>
            <w:vMerge w:val="continue"/>
          </w:tcPr>
          <w:p>
            <w:pPr>
              <w:pStyle w:val="17"/>
              <w:spacing w:after="0" w:line="360" w:lineRule="auto"/>
              <w:ind w:firstLine="0" w:firstLineChars="0"/>
              <w:jc w:val="both"/>
              <w:rPr>
                <w:rFonts w:ascii="Book Antiqua" w:hAnsi="Book Antiqua" w:cs="Cordia New"/>
                <w:sz w:val="24"/>
                <w:szCs w:val="24"/>
              </w:rPr>
            </w:pPr>
          </w:p>
        </w:tc>
        <w:tc>
          <w:tcPr>
            <w:tcW w:w="9781" w:type="dxa"/>
          </w:tcPr>
          <w:p>
            <w:pPr>
              <w:pStyle w:val="17"/>
              <w:tabs>
                <w:tab w:val="left" w:pos="321"/>
              </w:tabs>
              <w:spacing w:after="0" w:line="360" w:lineRule="auto"/>
              <w:ind w:firstLine="0" w:firstLineChars="0"/>
              <w:contextualSpacing/>
              <w:jc w:val="both"/>
              <w:rPr>
                <w:rFonts w:ascii="Book Antiqua" w:hAnsi="Book Antiqua" w:cs="Cordia New"/>
                <w:sz w:val="24"/>
                <w:szCs w:val="24"/>
              </w:rPr>
            </w:pPr>
            <w:r>
              <w:rPr>
                <w:rFonts w:ascii="Book Antiqua" w:hAnsi="Book Antiqua" w:cs="Cordia New"/>
                <w:sz w:val="24"/>
                <w:szCs w:val="24"/>
              </w:rPr>
              <w:t>Two consecutive PT ≥ 2.0 seconds (INR ≥ 0.5) prolonged from baseline with adequate vitamin K therapy plus ALT &gt; ULN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tcPr>
          <w:p>
            <w:pPr>
              <w:pStyle w:val="17"/>
              <w:spacing w:after="0" w:line="360" w:lineRule="auto"/>
              <w:ind w:firstLine="0" w:firstLineChars="0"/>
              <w:jc w:val="both"/>
              <w:rPr>
                <w:rFonts w:ascii="Book Antiqua" w:hAnsi="Book Antiqua" w:cs="Cordia New"/>
                <w:sz w:val="24"/>
                <w:szCs w:val="24"/>
              </w:rPr>
            </w:pPr>
          </w:p>
        </w:tc>
        <w:tc>
          <w:tcPr>
            <w:tcW w:w="1984" w:type="dxa"/>
            <w:vMerge w:val="continue"/>
          </w:tcPr>
          <w:p>
            <w:pPr>
              <w:pStyle w:val="17"/>
              <w:spacing w:after="0" w:line="360" w:lineRule="auto"/>
              <w:ind w:firstLine="0" w:firstLineChars="0"/>
              <w:jc w:val="both"/>
              <w:rPr>
                <w:rFonts w:ascii="Book Antiqua" w:hAnsi="Book Antiqua" w:cs="Cordia New"/>
                <w:sz w:val="24"/>
                <w:szCs w:val="24"/>
              </w:rPr>
            </w:pPr>
          </w:p>
        </w:tc>
        <w:tc>
          <w:tcPr>
            <w:tcW w:w="9781" w:type="dxa"/>
          </w:tcPr>
          <w:p>
            <w:pPr>
              <w:pStyle w:val="17"/>
              <w:tabs>
                <w:tab w:val="left" w:pos="321"/>
              </w:tabs>
              <w:spacing w:after="0" w:line="360" w:lineRule="auto"/>
              <w:ind w:firstLine="0" w:firstLineChars="0"/>
              <w:contextualSpacing/>
              <w:jc w:val="both"/>
              <w:rPr>
                <w:rFonts w:ascii="Book Antiqua" w:hAnsi="Book Antiqua" w:cs="Cordia New"/>
                <w:sz w:val="24"/>
                <w:szCs w:val="24"/>
              </w:rPr>
            </w:pPr>
            <w:r>
              <w:rPr>
                <w:rFonts w:ascii="Book Antiqua" w:hAnsi="Book Antiqua" w:cs="Cordia New"/>
                <w:sz w:val="24"/>
                <w:szCs w:val="24"/>
              </w:rPr>
              <w:t>Two consecutive ALT &gt; 10</w:t>
            </w:r>
            <w:r>
              <w:rPr>
                <w:rFonts w:ascii="Book Antiqua" w:hAnsi="Book Antiqua" w:cs="Cordia New"/>
                <w:sz w:val="24"/>
                <w:szCs w:val="24"/>
                <w:lang w:eastAsia="zh-CN"/>
              </w:rPr>
              <w:t xml:space="preserve"> </w:t>
            </w:r>
            <w:r>
              <w:rPr>
                <w:rFonts w:ascii="Book Antiqua" w:hAnsi="Book Antiqua" w:cs="Cordia New"/>
                <w:sz w:val="24"/>
                <w:szCs w:val="24"/>
              </w:rPr>
              <w:t>×</w:t>
            </w:r>
            <w:r>
              <w:rPr>
                <w:rFonts w:ascii="Book Antiqua" w:hAnsi="Book Antiqua" w:cs="Cordia New"/>
                <w:sz w:val="24"/>
                <w:szCs w:val="24"/>
                <w:lang w:eastAsia="zh-CN"/>
              </w:rPr>
              <w:t xml:space="preserve"> </w:t>
            </w:r>
            <w:r>
              <w:rPr>
                <w:rFonts w:ascii="Book Antiqua" w:hAnsi="Book Antiqua" w:cs="Cordia New"/>
                <w:sz w:val="24"/>
                <w:szCs w:val="24"/>
              </w:rPr>
              <w:t>ULN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tcPr>
          <w:p>
            <w:pPr>
              <w:pStyle w:val="17"/>
              <w:spacing w:after="0" w:line="360" w:lineRule="auto"/>
              <w:ind w:firstLine="0" w:firstLineChars="0"/>
              <w:jc w:val="both"/>
              <w:rPr>
                <w:rFonts w:ascii="Book Antiqua" w:hAnsi="Book Antiqua" w:cs="Cordia New"/>
                <w:sz w:val="24"/>
                <w:szCs w:val="24"/>
              </w:rPr>
            </w:pPr>
          </w:p>
        </w:tc>
        <w:tc>
          <w:tcPr>
            <w:tcW w:w="1984" w:type="dxa"/>
            <w:vMerge w:val="continue"/>
          </w:tcPr>
          <w:p>
            <w:pPr>
              <w:pStyle w:val="17"/>
              <w:spacing w:after="0" w:line="360" w:lineRule="auto"/>
              <w:ind w:firstLine="0" w:firstLineChars="0"/>
              <w:jc w:val="both"/>
              <w:rPr>
                <w:rFonts w:ascii="Book Antiqua" w:hAnsi="Book Antiqua" w:cs="Cordia New"/>
                <w:sz w:val="24"/>
                <w:szCs w:val="24"/>
              </w:rPr>
            </w:pPr>
          </w:p>
        </w:tc>
        <w:tc>
          <w:tcPr>
            <w:tcW w:w="9781" w:type="dxa"/>
          </w:tcPr>
          <w:p>
            <w:pPr>
              <w:pStyle w:val="17"/>
              <w:tabs>
                <w:tab w:val="left" w:pos="321"/>
              </w:tabs>
              <w:spacing w:after="0" w:line="360" w:lineRule="auto"/>
              <w:ind w:firstLine="0" w:firstLineChars="0"/>
              <w:contextualSpacing/>
              <w:jc w:val="both"/>
              <w:rPr>
                <w:rFonts w:ascii="Book Antiqua" w:hAnsi="Book Antiqua" w:cs="Cordia New"/>
                <w:sz w:val="24"/>
                <w:szCs w:val="24"/>
              </w:rPr>
            </w:pPr>
            <w:r>
              <w:rPr>
                <w:rFonts w:ascii="Book Antiqua" w:hAnsi="Book Antiqua" w:cs="Cordia New"/>
                <w:sz w:val="24"/>
                <w:szCs w:val="24"/>
              </w:rPr>
              <w:t>ALT &gt; 2</w:t>
            </w:r>
            <w:r>
              <w:rPr>
                <w:rFonts w:ascii="Book Antiqua" w:hAnsi="Book Antiqua" w:cs="Cordia New"/>
                <w:sz w:val="24"/>
                <w:szCs w:val="24"/>
                <w:lang w:eastAsia="zh-CN"/>
              </w:rPr>
              <w:t xml:space="preserve"> </w:t>
            </w:r>
            <w:r>
              <w:rPr>
                <w:rFonts w:ascii="Book Antiqua" w:hAnsi="Book Antiqua" w:cs="Cordia New"/>
                <w:sz w:val="24"/>
                <w:szCs w:val="24"/>
              </w:rPr>
              <w:t>× but ≤ 5</w:t>
            </w:r>
            <w:r>
              <w:rPr>
                <w:rFonts w:ascii="Book Antiqua" w:hAnsi="Book Antiqua" w:cs="Cordia New"/>
                <w:sz w:val="24"/>
                <w:szCs w:val="24"/>
                <w:lang w:eastAsia="zh-CN"/>
              </w:rPr>
              <w:t xml:space="preserve"> </w:t>
            </w:r>
            <w:r>
              <w:rPr>
                <w:rFonts w:ascii="Book Antiqua" w:hAnsi="Book Antiqua" w:cs="Cordia New"/>
                <w:sz w:val="24"/>
                <w:szCs w:val="24"/>
              </w:rPr>
              <w:t>× ULN persisting for ≥ 12 wk plus HBV DNA &gt; 20000 copies/mL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tcPr>
          <w:p>
            <w:pPr>
              <w:pStyle w:val="17"/>
              <w:spacing w:after="0" w:line="360" w:lineRule="auto"/>
              <w:ind w:firstLine="0" w:firstLineChars="0"/>
              <w:jc w:val="both"/>
              <w:rPr>
                <w:rFonts w:ascii="Book Antiqua" w:hAnsi="Book Antiqua" w:cs="Cordia New"/>
                <w:sz w:val="24"/>
                <w:szCs w:val="24"/>
              </w:rPr>
            </w:pPr>
          </w:p>
        </w:tc>
        <w:tc>
          <w:tcPr>
            <w:tcW w:w="1984" w:type="dxa"/>
            <w:vMerge w:val="continue"/>
          </w:tcPr>
          <w:p>
            <w:pPr>
              <w:pStyle w:val="17"/>
              <w:spacing w:after="0" w:line="360" w:lineRule="auto"/>
              <w:ind w:firstLine="0" w:firstLineChars="0"/>
              <w:jc w:val="both"/>
              <w:rPr>
                <w:rFonts w:ascii="Book Antiqua" w:hAnsi="Book Antiqua" w:cs="Cordia New"/>
                <w:sz w:val="24"/>
                <w:szCs w:val="24"/>
              </w:rPr>
            </w:pPr>
          </w:p>
        </w:tc>
        <w:tc>
          <w:tcPr>
            <w:tcW w:w="9781" w:type="dxa"/>
          </w:tcPr>
          <w:p>
            <w:pPr>
              <w:pStyle w:val="17"/>
              <w:tabs>
                <w:tab w:val="left" w:pos="321"/>
              </w:tabs>
              <w:spacing w:after="0" w:line="360" w:lineRule="auto"/>
              <w:ind w:firstLine="0" w:firstLineChars="0"/>
              <w:contextualSpacing/>
              <w:jc w:val="both"/>
              <w:rPr>
                <w:rFonts w:ascii="Book Antiqua" w:hAnsi="Book Antiqua" w:cs="Cordia New"/>
                <w:sz w:val="24"/>
                <w:szCs w:val="24"/>
                <w:lang w:eastAsia="zh-CN"/>
              </w:rPr>
            </w:pPr>
            <w:r>
              <w:rPr>
                <w:rFonts w:ascii="Book Antiqua" w:hAnsi="Book Antiqua" w:cs="Cordia New"/>
                <w:sz w:val="24"/>
                <w:szCs w:val="24"/>
              </w:rPr>
              <w:t>ALT 5</w:t>
            </w:r>
            <w:r>
              <w:rPr>
                <w:rFonts w:ascii="Book Antiqua" w:hAnsi="Book Antiqua" w:cs="Cordia New"/>
                <w:sz w:val="24"/>
                <w:szCs w:val="24"/>
                <w:lang w:eastAsia="zh-CN"/>
              </w:rPr>
              <w:t xml:space="preserve"> </w:t>
            </w:r>
            <w:r>
              <w:rPr>
                <w:rFonts w:ascii="Book Antiqua" w:hAnsi="Book Antiqua" w:cs="Cordia New"/>
                <w:sz w:val="24"/>
                <w:szCs w:val="24"/>
              </w:rPr>
              <w:t>× but ≤ 10</w:t>
            </w:r>
            <w:r>
              <w:rPr>
                <w:rFonts w:ascii="Book Antiqua" w:hAnsi="Book Antiqua" w:cs="Cordia New"/>
                <w:sz w:val="24"/>
                <w:szCs w:val="24"/>
                <w:lang w:eastAsia="zh-CN"/>
              </w:rPr>
              <w:t xml:space="preserve"> </w:t>
            </w:r>
            <w:r>
              <w:rPr>
                <w:rFonts w:ascii="Book Antiqua" w:hAnsi="Book Antiqua" w:cs="Cordia New"/>
                <w:sz w:val="24"/>
                <w:szCs w:val="24"/>
              </w:rPr>
              <w:t>× ULN persisting for ≥ 4 wk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restart"/>
          </w:tcPr>
          <w:p>
            <w:pPr>
              <w:pStyle w:val="17"/>
              <w:spacing w:after="0" w:line="360" w:lineRule="auto"/>
              <w:ind w:firstLine="0" w:firstLineChars="0"/>
              <w:jc w:val="both"/>
              <w:rPr>
                <w:rFonts w:ascii="Book Antiqua" w:hAnsi="Book Antiqua" w:cs="Cordia New"/>
                <w:sz w:val="24"/>
                <w:szCs w:val="24"/>
                <w:cs/>
              </w:rPr>
            </w:pPr>
            <w:r>
              <w:rPr>
                <w:rFonts w:ascii="Book Antiqua" w:hAnsi="Book Antiqua" w:cs="Cordia New"/>
                <w:sz w:val="24"/>
                <w:szCs w:val="24"/>
              </w:rPr>
              <w:t>Papatheodoridi</w:t>
            </w:r>
            <w:r>
              <w:rPr>
                <w:rFonts w:ascii="Book Antiqua" w:hAnsi="Book Antiqua" w:cs="Cordia New"/>
                <w:sz w:val="24"/>
                <w:szCs w:val="24"/>
                <w:lang w:eastAsia="zh-CN"/>
              </w:rPr>
              <w:t xml:space="preserve"> </w:t>
            </w:r>
            <w:r>
              <w:rPr>
                <w:rFonts w:ascii="Book Antiqua" w:hAnsi="Book Antiqua" w:cs="Cordia New"/>
                <w:i/>
                <w:sz w:val="24"/>
                <w:szCs w:val="24"/>
                <w:lang w:eastAsia="zh-CN"/>
              </w:rPr>
              <w:t>et al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{"citationID":"zcfNE7R9","properties":{"formattedCitation":"\\super [63]\\nosupersub{}","plainCitation":"[63]","noteIndex":0},"citationItems":[{"id":16,"uris":["http://zotero.org/users/local/NyhnE8P8/items/JW3EHP4Z"],"uri":["http://zotero.org/users/local/NyhnE8P8/items/JW3EHP4Z"],"itemData":{"id":16,"type":"article-journal","abstract":"Relapses are observed in most hepatitis B e antigen (HBeAg)-negative chronic hepatitis B patients who discontinue treatment with nucleos(t)ide analogues (NAs); however, the rates of relapse vary widely among studies, and whether all patients with relapse need retreatment is unclear. The aim of this study was to assess the impact of different definitions on the rates of posttreatment relapse  and therefore on the probability of retreatment in patients who have discontinued effective long-term NA therapy. In total, 130 HBeAg-negative chronic hepatitis B  patients without cirrhosis and before NA treatment were included. All had on-therapy virological remission for &gt;/=24 months and close follow-up for &gt;/=12 months after stopping NA treatment or until retreatment, which started on stringent predefined criteria. Relapses rates based on several predetermined definitions of virological and perhaps biochemical criteria were assessed. The median duration of therapy was 60 months and the median duration of on-therapy virological remission was 43 months. During a median off-NAs follow-up of 15 months, no patient experienced liver decompensation or died. Cumulative relapse rates were 2%-49%, 4%-73%, 11%-82%, and 16%-90% at 3, 6, 12, and 24 months, respectively, whereas cumulative retreatment rates were 15%, 22%, and 40% at 6, 12, and 24 months, respectively, after discontinuation of NA therapy. No patient  characteristic was independently associated with the probability of relapse based on at least two definitions or of retreatment. CONCLUSION: In HBeAg-negative chronic hepatitis B patients who discontinue NA therapy, the definition of relapse has a great impact on off-NAs relapse rates and potentially on the probability of retreatment. Regardless of definition, off-NAs relapses cannot be  easily predicted by patient characteristics. A substantial proportion of such patients may not require retreatment if stringent criteria are adopted. (Hepatology 2017).","container-title":"Hepatology (Baltimore, Md.)","DOI":"10.1002/hep.29497","ISSN":"1527-3350 0270-9139","issue":"2","journalAbbreviation":"Hepatology","language":"eng","note":"PMID: 28859219","page":"415-424","title":"Significance of definitions of relapse after discontinuation of oral antivirals in HBeAg-negative chronic hepatitis B.","volume":"68","author":[{"family":"Papatheodoridis","given":"George V."},{"family":"Manolakopoulos","given":"Spilios"},{"family":"Su","given":"Tung-Hung"},{"family":"Siakavellas","given":"Spyros"},{"family":"Liu","given":"Chun-Jen"},{"family":"Kourikou","given":"Anastasia"},{"family":"Yang","given":"Hung-Chih"},{"family":"Kao","given":"Jia-Horng"}],"issued":{"date-parts":[["2018",8]]}}}],"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[63]</w:t>
            </w:r>
            <w:r>
              <w:rPr>
                <w:rFonts w:ascii="Book Antiqua" w:hAnsi="Book Antiqua" w:cs="Cordia New"/>
                <w:sz w:val="24"/>
                <w:szCs w:val="24"/>
              </w:rPr>
              <w:fldChar w:fldCharType="end"/>
            </w:r>
            <w:r>
              <w:rPr>
                <w:rFonts w:ascii="Book Antiqua" w:hAnsi="Book Antiqua" w:cs="Cordia New"/>
                <w:sz w:val="24"/>
                <w:szCs w:val="24"/>
              </w:rPr>
              <w:t>, 2018</w:t>
            </w:r>
          </w:p>
        </w:tc>
        <w:tc>
          <w:tcPr>
            <w:tcW w:w="1984" w:type="dxa"/>
            <w:vMerge w:val="restart"/>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 xml:space="preserve">Every mo in the first 3 mo then at least every 3 mo until month 12 </w:t>
            </w:r>
          </w:p>
        </w:tc>
        <w:tc>
          <w:tcPr>
            <w:tcW w:w="9781" w:type="dxa"/>
          </w:tcPr>
          <w:p>
            <w:pPr>
              <w:pStyle w:val="17"/>
              <w:tabs>
                <w:tab w:val="left" w:pos="321"/>
              </w:tabs>
              <w:spacing w:after="0" w:line="360" w:lineRule="auto"/>
              <w:ind w:firstLine="0" w:firstLineChars="0"/>
              <w:jc w:val="both"/>
              <w:rPr>
                <w:rFonts w:ascii="Book Antiqua" w:hAnsi="Book Antiqua" w:cs="Cordia New"/>
                <w:i/>
                <w:iCs/>
                <w:sz w:val="24"/>
                <w:szCs w:val="24"/>
                <w:lang w:eastAsia="zh-CN"/>
              </w:rPr>
            </w:pPr>
            <w:r>
              <w:rPr>
                <w:rFonts w:ascii="Book Antiqua" w:hAnsi="Book Antiqua" w:cs="Cordia New"/>
                <w:iCs/>
                <w:sz w:val="24"/>
                <w:szCs w:val="24"/>
              </w:rPr>
              <w:t>Greece cohort</w:t>
            </w:r>
            <w:r>
              <w:rPr>
                <w:rFonts w:ascii="Book Antiqua" w:hAnsi="Book Antiqua" w:cs="Cordia New"/>
                <w:iCs/>
                <w:sz w:val="24"/>
                <w:szCs w:val="24"/>
                <w:lang w:eastAsia="zh-CN"/>
              </w:rPr>
              <w:t xml:space="preserve">: </w:t>
            </w:r>
            <w:r>
              <w:rPr>
                <w:rFonts w:ascii="Book Antiqua" w:hAnsi="Book Antiqua" w:cs="Cordia New"/>
                <w:sz w:val="24"/>
                <w:szCs w:val="24"/>
                <w:lang w:eastAsia="zh-CN"/>
              </w:rPr>
              <w:t xml:space="preserve">(1) </w:t>
            </w:r>
            <w:r>
              <w:rPr>
                <w:rFonts w:ascii="Book Antiqua" w:hAnsi="Book Antiqua" w:cs="Cordia New"/>
                <w:sz w:val="24"/>
                <w:szCs w:val="24"/>
              </w:rPr>
              <w:t>ALT &gt; 10</w:t>
            </w:r>
            <w:r>
              <w:rPr>
                <w:rFonts w:ascii="Book Antiqua" w:hAnsi="Book Antiqua" w:cs="Cordia New"/>
                <w:sz w:val="24"/>
                <w:szCs w:val="24"/>
                <w:lang w:eastAsia="zh-CN"/>
              </w:rPr>
              <w:t xml:space="preserve"> </w:t>
            </w:r>
            <w:r>
              <w:rPr>
                <w:rFonts w:ascii="Book Antiqua" w:hAnsi="Book Antiqua" w:cs="Cordia New"/>
                <w:sz w:val="24"/>
                <w:szCs w:val="24"/>
              </w:rPr>
              <w:t>× ULN</w:t>
            </w:r>
            <w:r>
              <w:rPr>
                <w:rFonts w:ascii="Book Antiqua" w:hAnsi="Book Antiqua" w:cs="Cordia New"/>
                <w:sz w:val="24"/>
                <w:szCs w:val="24"/>
                <w:lang w:eastAsia="zh-CN"/>
              </w:rPr>
              <w:t>;</w:t>
            </w:r>
            <w:r>
              <w:rPr>
                <w:rFonts w:ascii="Book Antiqua" w:hAnsi="Book Antiqua" w:cs="Cordia New"/>
                <w:i/>
                <w:iCs/>
                <w:sz w:val="24"/>
                <w:szCs w:val="24"/>
                <w:lang w:eastAsia="zh-CN"/>
              </w:rPr>
              <w:t xml:space="preserve"> </w:t>
            </w:r>
            <w:r>
              <w:rPr>
                <w:rFonts w:ascii="Book Antiqua" w:hAnsi="Book Antiqua" w:cs="Cordia New"/>
                <w:sz w:val="24"/>
                <w:szCs w:val="24"/>
                <w:lang w:eastAsia="zh-CN"/>
              </w:rPr>
              <w:t xml:space="preserve">(2) </w:t>
            </w:r>
            <w:r>
              <w:rPr>
                <w:rFonts w:ascii="Book Antiqua" w:hAnsi="Book Antiqua" w:cs="Cordia New"/>
                <w:sz w:val="24"/>
                <w:szCs w:val="24"/>
              </w:rPr>
              <w:t>ALT &gt; 5</w:t>
            </w:r>
            <w:r>
              <w:rPr>
                <w:rFonts w:ascii="Book Antiqua" w:hAnsi="Book Antiqua" w:cs="Cordia New"/>
                <w:sz w:val="24"/>
                <w:szCs w:val="24"/>
                <w:lang w:eastAsia="zh-CN"/>
              </w:rPr>
              <w:t xml:space="preserve"> </w:t>
            </w:r>
            <w:r>
              <w:rPr>
                <w:rFonts w:ascii="Book Antiqua" w:hAnsi="Book Antiqua" w:cs="Cordia New"/>
                <w:sz w:val="24"/>
                <w:szCs w:val="24"/>
              </w:rPr>
              <w:t>× ULN plus total bilirubin &gt; 2 mg/dL</w:t>
            </w:r>
            <w:r>
              <w:rPr>
                <w:rFonts w:ascii="Book Antiqua" w:hAnsi="Book Antiqua" w:cs="Cordia New"/>
                <w:sz w:val="24"/>
                <w:szCs w:val="24"/>
                <w:lang w:eastAsia="zh-CN"/>
              </w:rPr>
              <w:t>;</w:t>
            </w:r>
            <w:r>
              <w:rPr>
                <w:rFonts w:ascii="Book Antiqua" w:hAnsi="Book Antiqua" w:cs="Cordia New"/>
                <w:i/>
                <w:iCs/>
                <w:sz w:val="24"/>
                <w:szCs w:val="24"/>
                <w:lang w:eastAsia="zh-CN"/>
              </w:rPr>
              <w:t xml:space="preserve"> </w:t>
            </w:r>
            <w:r>
              <w:rPr>
                <w:rFonts w:ascii="Book Antiqua" w:hAnsi="Book Antiqua" w:cs="Cordia New"/>
                <w:sz w:val="24"/>
                <w:szCs w:val="24"/>
                <w:lang w:eastAsia="zh-CN"/>
              </w:rPr>
              <w:t xml:space="preserve">(3) </w:t>
            </w:r>
            <w:r>
              <w:rPr>
                <w:rFonts w:ascii="Book Antiqua" w:hAnsi="Book Antiqua" w:cs="Cordia New"/>
                <w:sz w:val="24"/>
                <w:szCs w:val="24"/>
              </w:rPr>
              <w:t>ALT &gt; 3</w:t>
            </w:r>
            <w:r>
              <w:rPr>
                <w:rFonts w:ascii="Book Antiqua" w:hAnsi="Book Antiqua" w:cs="Cordia New"/>
                <w:sz w:val="24"/>
                <w:szCs w:val="24"/>
                <w:lang w:eastAsia="zh-CN"/>
              </w:rPr>
              <w:t xml:space="preserve"> </w:t>
            </w:r>
            <w:r>
              <w:rPr>
                <w:rFonts w:ascii="Book Antiqua" w:hAnsi="Book Antiqua" w:cs="Cordia New"/>
                <w:sz w:val="24"/>
                <w:szCs w:val="24"/>
              </w:rPr>
              <w:t>× ULN plus HBV DNA &gt; 100000 IU/mL</w:t>
            </w:r>
            <w:r>
              <w:rPr>
                <w:rFonts w:ascii="Book Antiqua" w:hAnsi="Book Antiqua" w:cs="Cordia New"/>
                <w:sz w:val="24"/>
                <w:szCs w:val="24"/>
                <w:lang w:eastAsia="zh-CN"/>
              </w:rPr>
              <w:t>;</w:t>
            </w:r>
            <w:r>
              <w:rPr>
                <w:rFonts w:ascii="Book Antiqua" w:hAnsi="Book Antiqua" w:cs="Cordia New"/>
                <w:i/>
                <w:iCs/>
                <w:sz w:val="24"/>
                <w:szCs w:val="24"/>
                <w:lang w:eastAsia="zh-CN"/>
              </w:rPr>
              <w:t xml:space="preserve"> </w:t>
            </w:r>
            <w:r>
              <w:rPr>
                <w:rFonts w:ascii="Book Antiqua" w:hAnsi="Book Antiqua" w:cs="Cordia New"/>
                <w:iCs/>
                <w:sz w:val="24"/>
                <w:szCs w:val="24"/>
                <w:lang w:eastAsia="zh-CN"/>
              </w:rPr>
              <w:t xml:space="preserve">and </w:t>
            </w:r>
            <w:r>
              <w:rPr>
                <w:rFonts w:ascii="Book Antiqua" w:hAnsi="Book Antiqua" w:cs="Cordia New"/>
                <w:sz w:val="24"/>
                <w:szCs w:val="24"/>
                <w:lang w:eastAsia="zh-CN"/>
              </w:rPr>
              <w:t xml:space="preserve">(4) </w:t>
            </w:r>
            <w:r>
              <w:rPr>
                <w:rFonts w:ascii="Book Antiqua" w:hAnsi="Book Antiqua" w:cs="Cordia New"/>
                <w:sz w:val="24"/>
                <w:szCs w:val="24"/>
              </w:rPr>
              <w:t>ALT &gt; ULN plus HBV DNA &gt; 2000 IU/mL on three sequential occasions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tcBorders>
              <w:bottom w:val="nil"/>
            </w:tcBorders>
          </w:tcPr>
          <w:p>
            <w:pPr>
              <w:pStyle w:val="17"/>
              <w:spacing w:after="0" w:line="360" w:lineRule="auto"/>
              <w:ind w:firstLine="0" w:firstLineChars="0"/>
              <w:jc w:val="both"/>
              <w:rPr>
                <w:rFonts w:ascii="Book Antiqua" w:hAnsi="Book Antiqua" w:cs="Cordia New"/>
                <w:sz w:val="24"/>
                <w:szCs w:val="24"/>
              </w:rPr>
            </w:pPr>
          </w:p>
        </w:tc>
        <w:tc>
          <w:tcPr>
            <w:tcW w:w="1984" w:type="dxa"/>
            <w:vMerge w:val="continue"/>
            <w:tcBorders>
              <w:bottom w:val="nil"/>
            </w:tcBorders>
          </w:tcPr>
          <w:p>
            <w:pPr>
              <w:pStyle w:val="17"/>
              <w:spacing w:after="0" w:line="360" w:lineRule="auto"/>
              <w:ind w:firstLine="0" w:firstLineChars="0"/>
              <w:jc w:val="both"/>
              <w:rPr>
                <w:rFonts w:ascii="Book Antiqua" w:hAnsi="Book Antiqua" w:cs="Cordia New"/>
                <w:sz w:val="24"/>
                <w:szCs w:val="24"/>
              </w:rPr>
            </w:pPr>
          </w:p>
        </w:tc>
        <w:tc>
          <w:tcPr>
            <w:tcW w:w="9781" w:type="dxa"/>
            <w:tcBorders>
              <w:bottom w:val="nil"/>
            </w:tcBorders>
          </w:tcPr>
          <w:p>
            <w:pPr>
              <w:pStyle w:val="17"/>
              <w:tabs>
                <w:tab w:val="left" w:pos="321"/>
              </w:tabs>
              <w:spacing w:after="0" w:line="360" w:lineRule="auto"/>
              <w:ind w:firstLine="0" w:firstLineChars="0"/>
              <w:jc w:val="both"/>
              <w:rPr>
                <w:rFonts w:ascii="Book Antiqua" w:hAnsi="Book Antiqua" w:cs="Cordia New"/>
                <w:b/>
                <w:iCs/>
                <w:sz w:val="24"/>
                <w:szCs w:val="24"/>
                <w:lang w:eastAsia="zh-CN"/>
              </w:rPr>
            </w:pPr>
            <w:r>
              <w:rPr>
                <w:rFonts w:ascii="Book Antiqua" w:hAnsi="Book Antiqua" w:cs="Cordia New"/>
                <w:iCs/>
                <w:sz w:val="24"/>
                <w:szCs w:val="24"/>
              </w:rPr>
              <w:t>Taiwanese cohort</w:t>
            </w:r>
            <w:r>
              <w:rPr>
                <w:rFonts w:ascii="Book Antiqua" w:hAnsi="Book Antiqua" w:cs="Cordia New"/>
                <w:iCs/>
                <w:sz w:val="24"/>
                <w:szCs w:val="24"/>
                <w:lang w:eastAsia="zh-CN"/>
              </w:rPr>
              <w:t xml:space="preserve">: (1) </w:t>
            </w:r>
            <w:r>
              <w:rPr>
                <w:rFonts w:ascii="Book Antiqua" w:hAnsi="Book Antiqua" w:cs="Cordia New"/>
                <w:sz w:val="24"/>
                <w:szCs w:val="24"/>
              </w:rPr>
              <w:t>ALT &gt; 2</w:t>
            </w:r>
            <w:r>
              <w:rPr>
                <w:rFonts w:ascii="Book Antiqua" w:hAnsi="Book Antiqua" w:cs="Cordia New"/>
                <w:sz w:val="24"/>
                <w:szCs w:val="24"/>
                <w:lang w:eastAsia="zh-CN"/>
              </w:rPr>
              <w:t xml:space="preserve"> </w:t>
            </w:r>
            <w:r>
              <w:rPr>
                <w:rFonts w:ascii="Book Antiqua" w:hAnsi="Book Antiqua" w:cs="Cordia New"/>
                <w:sz w:val="24"/>
                <w:szCs w:val="24"/>
              </w:rPr>
              <w:t>× ULN twice 3 mo apart plus HBV DNA &gt; 2000 IU/mL</w:t>
            </w:r>
            <w:r>
              <w:rPr>
                <w:rFonts w:ascii="Book Antiqua" w:hAnsi="Book Antiqua" w:cs="Cordia New"/>
                <w:sz w:val="24"/>
                <w:szCs w:val="24"/>
                <w:lang w:eastAsia="zh-CN"/>
              </w:rPr>
              <w:t>;</w:t>
            </w:r>
            <w:r>
              <w:rPr>
                <w:rFonts w:ascii="Book Antiqua" w:hAnsi="Book Antiqua" w:cs="Cordia New"/>
                <w:iCs/>
                <w:sz w:val="24"/>
                <w:szCs w:val="24"/>
                <w:lang w:eastAsia="zh-CN"/>
              </w:rPr>
              <w:t xml:space="preserve"> (2) </w:t>
            </w:r>
            <w:r>
              <w:rPr>
                <w:rFonts w:ascii="Book Antiqua" w:hAnsi="Book Antiqua" w:cs="Cordia New"/>
                <w:sz w:val="24"/>
                <w:szCs w:val="24"/>
              </w:rPr>
              <w:t>Total bilirubin &gt; 2 mg/dL</w:t>
            </w:r>
            <w:r>
              <w:rPr>
                <w:rFonts w:ascii="Book Antiqua" w:hAnsi="Book Antiqua" w:cs="Cordia New"/>
                <w:iCs/>
                <w:sz w:val="24"/>
                <w:szCs w:val="24"/>
                <w:lang w:eastAsia="zh-CN"/>
              </w:rPr>
              <w:t>;</w:t>
            </w:r>
            <w:r>
              <w:rPr>
                <w:rFonts w:ascii="Book Antiqua" w:hAnsi="Book Antiqua" w:cs="Cordia New"/>
                <w:b/>
                <w:iCs/>
                <w:sz w:val="24"/>
                <w:szCs w:val="24"/>
                <w:lang w:eastAsia="zh-CN"/>
              </w:rPr>
              <w:t xml:space="preserve"> </w:t>
            </w:r>
            <w:r>
              <w:rPr>
                <w:rFonts w:ascii="Book Antiqua" w:hAnsi="Book Antiqua" w:cs="Cordia New"/>
                <w:iCs/>
                <w:sz w:val="24"/>
                <w:szCs w:val="24"/>
                <w:lang w:eastAsia="zh-CN"/>
              </w:rPr>
              <w:t xml:space="preserve">and (3) </w:t>
            </w:r>
            <w:r>
              <w:rPr>
                <w:rFonts w:ascii="Book Antiqua" w:hAnsi="Book Antiqua" w:cs="Cordia New"/>
                <w:sz w:val="24"/>
                <w:szCs w:val="24"/>
              </w:rPr>
              <w:t>PT ≥ 3 seconds of control range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restart"/>
            <w:tcBorders>
              <w:top w:val="nil"/>
              <w:bottom w:val="nil"/>
            </w:tcBorders>
          </w:tcPr>
          <w:p>
            <w:pPr>
              <w:pStyle w:val="17"/>
              <w:spacing w:after="0" w:line="360" w:lineRule="auto"/>
              <w:ind w:firstLine="0" w:firstLineChars="0"/>
              <w:jc w:val="both"/>
              <w:rPr>
                <w:rFonts w:ascii="Book Antiqua" w:hAnsi="Book Antiqua" w:cs="Cordia New"/>
                <w:sz w:val="24"/>
                <w:szCs w:val="24"/>
                <w:lang w:eastAsia="zh-CN"/>
              </w:rPr>
            </w:pPr>
            <w:r>
              <w:rPr>
                <w:rFonts w:ascii="Book Antiqua" w:hAnsi="Book Antiqua" w:cs="Cordia New"/>
                <w:sz w:val="24"/>
                <w:szCs w:val="24"/>
              </w:rPr>
              <w:t xml:space="preserve">Liem </w:t>
            </w:r>
            <w:r>
              <w:rPr>
                <w:rFonts w:ascii="Book Antiqua" w:hAnsi="Book Antiqua" w:cs="Cordia New"/>
                <w:i/>
                <w:iCs/>
                <w:sz w:val="24"/>
                <w:szCs w:val="24"/>
              </w:rPr>
              <w:t>et al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{"citationID":"CUt4SPoe","properties":{"formattedCitation":"\\super [39]\\nosupersub{}","plainCitation":"[39]","noteIndex":0},"citationItems":[{"id":225,"uris":["http://zotero.org/users/local/NyhnE8P8/items/WGT7LC8A"],"uri":["http://zotero.org/users/local/NyhnE8P8/items/WGT7LC8A"],"itemData":{"id":225,"type":"article-journal","abstract":"OBJECTIVE: Although most patients with chronic hepatitis B (CHB) reach effective  virological suppression with long-term nucleos(t)ide analogues (NA) therapy, some might not need to continue treatment for life. In this randomised, controlled, phase IV trial, we evaluated off-therapy outcomes in patients after discontinuing long-term NA therapy. DESIGN: Patients who had received NA therapy for &gt;/=1 year  and achieved virological suppression (hepatitis B e antigen (HBeAg) seroconversion combined with undetectable hepatitis B virus (HBV) DNA &gt;/=12 months in HBeAg-positive patients or undetectable HBV DNA &gt;/=36 months in HBeAg-negative patients) were randomised 2:1 to stop or continue NA therapy for 72 weeks. Sustained disease remission (HBeAg negative, HBV DNA &lt;2000 IU/mL and normal alanine aminotransferase (ALT)) was evaluated at 72 weeks after stopping NA therapy. RESULTS: Among 67 enrolled patients, sustained disease remission was  observed in 13/45 (29%) stop versus 18/22 (82%) continue patients. Hepatitis B surface antigen (HBsAg) loss occurred in two patients (one in each group). The median HBsAg decline from randomisation to week 72 was similar in both groups (0.2 (0.0-0.4) vs 0.1 (0.0-0.2) log IU/mL in stop vs continue patients). Among patients who stopped, 15/45 (33%) had virological or biochemical relapse and 17/45 (38%) were retreated according to predefined criteria. A total of 11/18 (61%) pretreatment HBeAg-positive versus 6/27 (22%) HBeAg-negative patients required retreatment (p=0.01). Fourteen (31%) patients developed ALT &gt;10x upper limit of normal (ULN) and another 7 (16%) had ALT &gt;5x ULN. No patients experienced liver decompensation or died. CONCLUSION: The findings of this prospective study suggest limited benefit of stopping NA therapy in chronic hepatitis B. TRIAL REGISTRATION NUMBER: NCT01911156.","container-title":"Gut","DOI":"10/ggf2vc","ISSN":"1468-3288 0017-5749","issue":"12","journalAbbreviation":"Gut","language":"eng","note":"PMID: 31462554","page":"2206-2213","title":"Limited sustained response after stopping nucleos(t)ide analogues in patients with chronic hepatitis B: results from a randomised controlled trial (Toronto STOP study).","volume":"68","author":[{"family":"Liem","given":"Kin Seng"},{"family":"Fung","given":"Scott"},{"family":"Wong","given":"David K."},{"family":"Yim","given":"Colina"},{"family":"Noureldin","given":"Seham"},{"family":"Chen","given":"Jiayun"},{"family":"Feld","given":"Jordan J."},{"family":"Hansen","given":"Bettina E."},{"family":"Janssen","given":"Harry L. A."}],"issued":{"date-parts":[["2019",12]]}}}],"schema":"https://github.com/citation-style-language/schema/raw/master/csl-citation.json"}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[39]</w:t>
            </w:r>
            <w:r>
              <w:rPr>
                <w:rFonts w:ascii="Book Antiqua" w:hAnsi="Book Antiqua" w:cs="Cordia New"/>
                <w:sz w:val="24"/>
                <w:szCs w:val="24"/>
              </w:rPr>
              <w:fldChar w:fldCharType="end"/>
            </w:r>
            <w:r>
              <w:rPr>
                <w:rFonts w:ascii="Book Antiqua" w:hAnsi="Book Antiqua" w:cs="Cordia New"/>
                <w:sz w:val="24"/>
                <w:szCs w:val="24"/>
              </w:rPr>
              <w:t>, 2019</w:t>
            </w:r>
          </w:p>
        </w:tc>
        <w:tc>
          <w:tcPr>
            <w:tcW w:w="1984" w:type="dxa"/>
            <w:vMerge w:val="restart"/>
            <w:tcBorders>
              <w:top w:val="nil"/>
              <w:bottom w:val="nil"/>
            </w:tcBorders>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Wk 4, 6, 12, 18,</w:t>
            </w:r>
            <w:r>
              <w:rPr>
                <w:rFonts w:ascii="Book Antiqua" w:hAnsi="Book Antiqua" w:cs="Cordia New"/>
                <w:sz w:val="24"/>
                <w:szCs w:val="24"/>
                <w:lang w:eastAsia="zh-CN"/>
              </w:rPr>
              <w:t xml:space="preserve"> </w:t>
            </w:r>
            <w:r>
              <w:rPr>
                <w:rFonts w:ascii="Book Antiqua" w:hAnsi="Book Antiqua" w:cs="Cordia New"/>
                <w:sz w:val="24"/>
                <w:szCs w:val="24"/>
              </w:rPr>
              <w:t>24, 36, 48, 60, and 72</w:t>
            </w:r>
          </w:p>
        </w:tc>
        <w:tc>
          <w:tcPr>
            <w:tcW w:w="9781" w:type="dxa"/>
            <w:tcBorders>
              <w:top w:val="nil"/>
              <w:bottom w:val="nil"/>
            </w:tcBorders>
          </w:tcPr>
          <w:p>
            <w:pPr>
              <w:pStyle w:val="17"/>
              <w:tabs>
                <w:tab w:val="left" w:pos="321"/>
              </w:tabs>
              <w:spacing w:after="0" w:line="360" w:lineRule="auto"/>
              <w:ind w:firstLine="0" w:firstLineChars="0"/>
              <w:contextualSpacing/>
              <w:jc w:val="both"/>
              <w:rPr>
                <w:rFonts w:ascii="Book Antiqua" w:hAnsi="Book Antiqua" w:cs="Cordia New"/>
                <w:sz w:val="24"/>
                <w:szCs w:val="24"/>
              </w:rPr>
            </w:pPr>
            <w:r>
              <w:rPr>
                <w:rFonts w:ascii="Book Antiqua" w:hAnsi="Book Antiqua" w:cs="Cordia New"/>
                <w:sz w:val="24"/>
                <w:szCs w:val="24"/>
              </w:rPr>
              <w:t>HBeAg seroreversion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tcBorders>
              <w:top w:val="nil"/>
              <w:bottom w:val="nil"/>
            </w:tcBorders>
          </w:tcPr>
          <w:p>
            <w:pPr>
              <w:pStyle w:val="17"/>
              <w:spacing w:after="0" w:line="360" w:lineRule="auto"/>
              <w:ind w:firstLine="0" w:firstLineChars="0"/>
              <w:jc w:val="both"/>
              <w:rPr>
                <w:rFonts w:ascii="Book Antiqua" w:hAnsi="Book Antiqua" w:cs="Cordia New"/>
                <w:sz w:val="24"/>
                <w:szCs w:val="24"/>
              </w:rPr>
            </w:pPr>
          </w:p>
        </w:tc>
        <w:tc>
          <w:tcPr>
            <w:tcW w:w="1984" w:type="dxa"/>
            <w:vMerge w:val="continue"/>
            <w:tcBorders>
              <w:top w:val="nil"/>
              <w:bottom w:val="nil"/>
            </w:tcBorders>
          </w:tcPr>
          <w:p>
            <w:pPr>
              <w:pStyle w:val="17"/>
              <w:spacing w:after="0" w:line="360" w:lineRule="auto"/>
              <w:ind w:firstLine="0" w:firstLineChars="0"/>
              <w:jc w:val="both"/>
              <w:rPr>
                <w:rFonts w:ascii="Book Antiqua" w:hAnsi="Book Antiqua" w:cs="Cordia New"/>
                <w:sz w:val="24"/>
                <w:szCs w:val="24"/>
              </w:rPr>
            </w:pPr>
          </w:p>
        </w:tc>
        <w:tc>
          <w:tcPr>
            <w:tcW w:w="9781" w:type="dxa"/>
            <w:tcBorders>
              <w:top w:val="nil"/>
              <w:bottom w:val="nil"/>
            </w:tcBorders>
          </w:tcPr>
          <w:p>
            <w:pPr>
              <w:pStyle w:val="17"/>
              <w:tabs>
                <w:tab w:val="left" w:pos="321"/>
              </w:tabs>
              <w:spacing w:after="0" w:line="360" w:lineRule="auto"/>
              <w:ind w:firstLine="0" w:firstLineChars="0"/>
              <w:contextualSpacing/>
              <w:jc w:val="both"/>
              <w:rPr>
                <w:rFonts w:ascii="Book Antiqua" w:hAnsi="Book Antiqua" w:cs="Cordia New"/>
                <w:sz w:val="24"/>
                <w:szCs w:val="24"/>
              </w:rPr>
            </w:pPr>
            <w:r>
              <w:rPr>
                <w:rFonts w:ascii="Book Antiqua" w:hAnsi="Book Antiqua" w:cs="Cordia New"/>
                <w:sz w:val="24"/>
                <w:szCs w:val="24"/>
              </w:rPr>
              <w:t>HBV DNA &gt; 2000 IU/mL plus ALT &gt; 600 IU/mL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tcBorders>
              <w:top w:val="nil"/>
              <w:bottom w:val="nil"/>
            </w:tcBorders>
          </w:tcPr>
          <w:p>
            <w:pPr>
              <w:pStyle w:val="17"/>
              <w:spacing w:after="0" w:line="360" w:lineRule="auto"/>
              <w:ind w:firstLine="0" w:firstLineChars="0"/>
              <w:jc w:val="both"/>
              <w:rPr>
                <w:rFonts w:ascii="Book Antiqua" w:hAnsi="Book Antiqua" w:cs="Cordia New"/>
                <w:sz w:val="24"/>
                <w:szCs w:val="24"/>
              </w:rPr>
            </w:pPr>
          </w:p>
        </w:tc>
        <w:tc>
          <w:tcPr>
            <w:tcW w:w="1984" w:type="dxa"/>
            <w:vMerge w:val="continue"/>
            <w:tcBorders>
              <w:top w:val="nil"/>
              <w:bottom w:val="nil"/>
            </w:tcBorders>
          </w:tcPr>
          <w:p>
            <w:pPr>
              <w:pStyle w:val="17"/>
              <w:spacing w:after="0" w:line="360" w:lineRule="auto"/>
              <w:ind w:firstLine="0" w:firstLineChars="0"/>
              <w:jc w:val="both"/>
              <w:rPr>
                <w:rFonts w:ascii="Book Antiqua" w:hAnsi="Book Antiqua" w:cs="Cordia New"/>
                <w:sz w:val="24"/>
                <w:szCs w:val="24"/>
              </w:rPr>
            </w:pPr>
          </w:p>
        </w:tc>
        <w:tc>
          <w:tcPr>
            <w:tcW w:w="9781" w:type="dxa"/>
            <w:tcBorders>
              <w:top w:val="nil"/>
              <w:bottom w:val="nil"/>
            </w:tcBorders>
          </w:tcPr>
          <w:p>
            <w:pPr>
              <w:pStyle w:val="17"/>
              <w:tabs>
                <w:tab w:val="left" w:pos="321"/>
              </w:tabs>
              <w:spacing w:after="0" w:line="360" w:lineRule="auto"/>
              <w:ind w:firstLine="0" w:firstLineChars="0"/>
              <w:contextualSpacing/>
              <w:jc w:val="both"/>
              <w:rPr>
                <w:rFonts w:ascii="Book Antiqua" w:hAnsi="Book Antiqua" w:cs="Cordia New"/>
                <w:sz w:val="24"/>
                <w:szCs w:val="24"/>
              </w:rPr>
            </w:pPr>
            <w:r>
              <w:rPr>
                <w:rFonts w:ascii="Book Antiqua" w:hAnsi="Book Antiqua" w:cs="Cordia New"/>
                <w:sz w:val="24"/>
                <w:szCs w:val="24"/>
              </w:rPr>
              <w:t>HBV DNA &gt; 2000 IU/mL plus ALT &gt; 5</w:t>
            </w:r>
            <w:r>
              <w:rPr>
                <w:rFonts w:ascii="Book Antiqua" w:hAnsi="Book Antiqua" w:cs="Cordia New"/>
                <w:sz w:val="24"/>
                <w:szCs w:val="24"/>
                <w:lang w:eastAsia="zh-CN"/>
              </w:rPr>
              <w:t xml:space="preserve"> </w:t>
            </w:r>
            <w:r>
              <w:rPr>
                <w:rFonts w:ascii="Book Antiqua" w:hAnsi="Book Antiqua" w:cs="Cordia New"/>
                <w:sz w:val="24"/>
                <w:szCs w:val="24"/>
              </w:rPr>
              <w:t>× ULN</w:t>
            </w:r>
            <w:r>
              <w:rPr>
                <w:rFonts w:ascii="Book Antiqua" w:hAnsi="Book Antiqua" w:cs="Cordia New"/>
                <w:sz w:val="24"/>
                <w:szCs w:val="24"/>
                <w:cs/>
              </w:rPr>
              <w:t xml:space="preserve"> (</w:t>
            </w:r>
            <w:r>
              <w:rPr>
                <w:rFonts w:ascii="Book Antiqua" w:hAnsi="Book Antiqua" w:cs="Cordia New"/>
                <w:sz w:val="24"/>
                <w:szCs w:val="24"/>
              </w:rPr>
              <w:t>40 IU/mL) on two consecutive visits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tcBorders>
              <w:top w:val="nil"/>
              <w:bottom w:val="nil"/>
            </w:tcBorders>
          </w:tcPr>
          <w:p>
            <w:pPr>
              <w:pStyle w:val="17"/>
              <w:spacing w:after="0" w:line="360" w:lineRule="auto"/>
              <w:ind w:firstLine="0" w:firstLineChars="0"/>
              <w:jc w:val="both"/>
              <w:rPr>
                <w:rFonts w:ascii="Book Antiqua" w:hAnsi="Book Antiqua" w:cs="Cordia New"/>
                <w:sz w:val="24"/>
                <w:szCs w:val="24"/>
              </w:rPr>
            </w:pPr>
          </w:p>
        </w:tc>
        <w:tc>
          <w:tcPr>
            <w:tcW w:w="1984" w:type="dxa"/>
            <w:vMerge w:val="continue"/>
            <w:tcBorders>
              <w:top w:val="nil"/>
              <w:bottom w:val="nil"/>
            </w:tcBorders>
          </w:tcPr>
          <w:p>
            <w:pPr>
              <w:pStyle w:val="17"/>
              <w:spacing w:after="0" w:line="360" w:lineRule="auto"/>
              <w:ind w:firstLine="0" w:firstLineChars="0"/>
              <w:jc w:val="both"/>
              <w:rPr>
                <w:rFonts w:ascii="Book Antiqua" w:hAnsi="Book Antiqua" w:cs="Cordia New"/>
                <w:sz w:val="24"/>
                <w:szCs w:val="24"/>
              </w:rPr>
            </w:pPr>
          </w:p>
        </w:tc>
        <w:tc>
          <w:tcPr>
            <w:tcW w:w="9781" w:type="dxa"/>
            <w:tcBorders>
              <w:top w:val="nil"/>
              <w:bottom w:val="nil"/>
            </w:tcBorders>
          </w:tcPr>
          <w:p>
            <w:pPr>
              <w:pStyle w:val="17"/>
              <w:tabs>
                <w:tab w:val="left" w:pos="321"/>
              </w:tabs>
              <w:spacing w:after="0" w:line="360" w:lineRule="auto"/>
              <w:ind w:firstLine="0" w:firstLineChars="0"/>
              <w:contextualSpacing/>
              <w:jc w:val="both"/>
              <w:rPr>
                <w:rFonts w:ascii="Book Antiqua" w:hAnsi="Book Antiqua" w:cs="Cordia New"/>
                <w:sz w:val="24"/>
                <w:szCs w:val="24"/>
              </w:rPr>
            </w:pPr>
            <w:r>
              <w:rPr>
                <w:rFonts w:ascii="Book Antiqua" w:hAnsi="Book Antiqua" w:cs="Cordia New"/>
                <w:sz w:val="24"/>
                <w:szCs w:val="24"/>
              </w:rPr>
              <w:t>HBV DNA &gt; 2000 IU/mL plus ALT &gt; 200 IU/mL but &lt; 600 IU/mL for &gt; 6–8 wk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tcBorders>
              <w:top w:val="nil"/>
              <w:bottom w:val="nil"/>
            </w:tcBorders>
          </w:tcPr>
          <w:p>
            <w:pPr>
              <w:pStyle w:val="17"/>
              <w:spacing w:after="0" w:line="360" w:lineRule="auto"/>
              <w:ind w:firstLine="0" w:firstLineChars="0"/>
              <w:jc w:val="both"/>
              <w:rPr>
                <w:rFonts w:ascii="Book Antiqua" w:hAnsi="Book Antiqua" w:cs="Cordia New"/>
                <w:sz w:val="24"/>
                <w:szCs w:val="24"/>
              </w:rPr>
            </w:pPr>
          </w:p>
        </w:tc>
        <w:tc>
          <w:tcPr>
            <w:tcW w:w="1984" w:type="dxa"/>
            <w:vMerge w:val="continue"/>
            <w:tcBorders>
              <w:top w:val="nil"/>
              <w:bottom w:val="nil"/>
            </w:tcBorders>
          </w:tcPr>
          <w:p>
            <w:pPr>
              <w:pStyle w:val="17"/>
              <w:spacing w:after="0" w:line="360" w:lineRule="auto"/>
              <w:ind w:firstLine="0" w:firstLineChars="0"/>
              <w:jc w:val="both"/>
              <w:rPr>
                <w:rFonts w:ascii="Book Antiqua" w:hAnsi="Book Antiqua" w:cs="Cordia New"/>
                <w:sz w:val="24"/>
                <w:szCs w:val="24"/>
              </w:rPr>
            </w:pPr>
          </w:p>
        </w:tc>
        <w:tc>
          <w:tcPr>
            <w:tcW w:w="9781" w:type="dxa"/>
            <w:tcBorders>
              <w:top w:val="nil"/>
              <w:bottom w:val="nil"/>
            </w:tcBorders>
          </w:tcPr>
          <w:p>
            <w:pPr>
              <w:pStyle w:val="17"/>
              <w:tabs>
                <w:tab w:val="left" w:pos="321"/>
              </w:tabs>
              <w:spacing w:after="0" w:line="360" w:lineRule="auto"/>
              <w:ind w:firstLine="0" w:firstLineChars="0"/>
              <w:contextualSpacing/>
              <w:jc w:val="both"/>
              <w:rPr>
                <w:rFonts w:ascii="Book Antiqua" w:hAnsi="Book Antiqua" w:cs="Cordia New"/>
                <w:sz w:val="24"/>
                <w:szCs w:val="24"/>
              </w:rPr>
            </w:pPr>
            <w:r>
              <w:rPr>
                <w:rFonts w:ascii="Book Antiqua" w:hAnsi="Book Antiqua" w:cs="Cordia New"/>
                <w:sz w:val="24"/>
                <w:szCs w:val="24"/>
              </w:rPr>
              <w:t>HBV DNA &gt; 20000 IU/mL on two consecutive visits at least 4 wk apart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restart"/>
            <w:tcBorders>
              <w:top w:val="nil"/>
            </w:tcBorders>
          </w:tcPr>
          <w:p>
            <w:pPr>
              <w:pStyle w:val="17"/>
              <w:spacing w:after="0" w:line="360" w:lineRule="auto"/>
              <w:ind w:firstLine="0" w:firstLineChars="0"/>
              <w:jc w:val="both"/>
              <w:rPr>
                <w:rFonts w:ascii="Book Antiqua" w:hAnsi="Book Antiqua" w:cs="Cordia New"/>
                <w:sz w:val="24"/>
                <w:szCs w:val="24"/>
              </w:rPr>
            </w:pPr>
            <w:r>
              <w:rPr>
                <w:rFonts w:ascii="Book Antiqua" w:hAnsi="Book Antiqua" w:eastAsia="Book Antiqua" w:cs="Book Antiqua"/>
                <w:bCs/>
                <w:color w:val="000000"/>
                <w:sz w:val="24"/>
                <w:szCs w:val="24"/>
              </w:rPr>
              <w:t>García-López</w:t>
            </w:r>
            <w:r>
              <w:rPr>
                <w:rFonts w:ascii="Book Antiqua" w:hAnsi="Book Antiqua" w:cs="Book Antiqua" w:eastAsiaTheme="minorEastAsia"/>
                <w:bCs/>
                <w:color w:val="000000"/>
                <w:sz w:val="24"/>
                <w:szCs w:val="24"/>
                <w:lang w:eastAsia="zh-CN"/>
              </w:rPr>
              <w:t xml:space="preserve"> </w:t>
            </w:r>
            <w:r>
              <w:rPr>
                <w:rFonts w:ascii="Book Antiqua" w:hAnsi="Book Antiqua" w:cs="Book Antiqua" w:eastAsiaTheme="minorEastAsia"/>
                <w:bCs/>
                <w:i/>
                <w:color w:val="000000"/>
                <w:sz w:val="24"/>
                <w:szCs w:val="24"/>
                <w:lang w:eastAsia="zh-CN"/>
              </w:rPr>
              <w:t>et al</w:t>
            </w:r>
            <w:r>
              <w:rPr>
                <w:rFonts w:ascii="Book Antiqua" w:hAnsi="Book Antiqua" w:cs="Cordia New"/>
                <w:sz w:val="24"/>
                <w:szCs w:val="24"/>
              </w:rPr>
              <w:fldChar w:fldCharType="begin"/>
            </w:r>
            <w:r>
              <w:rPr>
                <w:rFonts w:ascii="Book Antiqua" w:hAnsi="Book Antiqua" w:cs="Cordia New"/>
                <w:sz w:val="24"/>
                <w:szCs w:val="24"/>
              </w:rPr>
              <w:instrText xml:space="preserve"> ADDIN ZOTERO_ITEM CSL_CITATION {"citationID":"iy8jnIo3","properties":{"formattedCitation":"\\super [60]\\nosupersub{}","plainCitation":"[60]","noteIndex":0},"citationItems":[{"id":1211,"uris":["http://zotero.org/users/local/NyhnE8P8/items/ECVQF4YS"],"uri":["http://zotero.org/users/local/NyhnE8P8/items/ECVQF4YS"],"itemData":{"id":1211,"type":"article-journal","abstract":"BACKGROUND AIMS: Factors associated with a successful outcome upon nucleos(t)ide analog (NA) treatment withdrawal in chronic hepatitis B (CHB) HBeAg-negative patients have yet to be clarified. The objective of this study was to analyze the HBV-specific T cell response, in parallel with peripheral and intrahepatic viral parameters, in patients undergoing NA discontinuation.\nMETHODS: Twenty-seven non-cirrhotic patients with HBeAg-negative CHB with complete viral suppression (&gt;3 years) were studied prospectively. Intrahepatic HBV-DNA (iHBV-DNA), intrahepatic HBV-RNA (iHBV-RNA), and covalently closed circular DNA (cccDNA) were quantified at baseline. Additionally, serum markers (HBV-DNA, HBsAg, HBV core-related antigen [HBcrAg] and HBV-RNA) and HBV-specific T cell responses were analyzed at baseline and longitudinally throughout follow-up.\nRESULTS: After a median follow-up of 34 months, 22/27 patients (82%) remained off-therapy, of whom 8 patients (30% of the total cohort) lost HBsAg. Baseline HBsAg significantly correlated with iHBV-DNA and iHBV-RNA, and these parameters were lower in patients who lost HBsAg. All patients had similar levels of detectable cccDNA regardless of their clinical outcome. Patients achieving functional cure had baseline HBsAg levels ≤1000 IU/ml. Similarly, an increased frequency of functional HBV-specific CD8+ T cells at baseline was associated with sustained viral control off treatment. These HBV-specific T cell responses persisted, but did not increase, after treatment withdrawal. A similar, but not statistically significant trend, was observed for HBV-specific CD4+ T cell responses.\nCONCLUSIONS: Decreased cccDNA transcription and low HBsAg levels are associated with HBsAg loss upon NA discontinuation in patients with HBeAg-negative CHB. The presence of functional HBV-specific T cells at baseline are associated with a successful outcome after treatment withdrawal.","container-title":"Journal of Hepatology","DOI":"10/ghzjkf","ISSN":"1600-0641","journalAbbreviation":"J Hepatol","language":"eng","note":"PMID: 33278456","source":"PubMed","title":"Viral and immune factors associated with successful treatment withdrawal in HBeAg-negative chronic hepatitis B patients","author":[{"family":"García-López","given":"Mireia"},{"family":"Lens","given":"Sabela"},{"family":"Pallett","given":"Laura J."},{"family":"Testoni","given":"Barbara"},{"family":"Rodríguez-Tajes","given":"Sergio"},{"family":"Mariño","given":"Zoe"},{"family":"Bartres","given":"Concepción"},{"family":"García-Pras","given":"Ester"},{"family":"Leonel","given":"Thais"},{"family":"Perpiñán","given":"Elena"},{"family":"Lozano","given":"Juan José"},{"family":"Rodríguez-Frías","given":"Francisco"},{"family":"Koutsoudakis","given":"George"},{"family":"Zoulim","given":"Fabien"},{"family":"Maini","given":"Mala K."},{"family":"Forns","given":"Xavier"},{"family":"Pérez-Del-Pulgar","given":"Sofía"}],"issued":{"date-parts":[["2020",12,2]]}}}],"schema":"https://github.com/citation-style-language/schema/raw/master/csl-citation.json"} </w:instrText>
            </w:r>
            <w:r>
              <w:rPr>
                <w:rFonts w:ascii="Book Antiqua" w:hAnsi="Book Antiqua" w:cs="Cordia New"/>
                <w:sz w:val="24"/>
                <w:szCs w:val="24"/>
              </w:rPr>
              <w:fldChar w:fldCharType="separate"/>
            </w:r>
            <w:r>
              <w:rPr>
                <w:rFonts w:ascii="Book Antiqua" w:hAnsi="Book Antiqua" w:cs="Angsana New"/>
                <w:sz w:val="24"/>
                <w:szCs w:val="24"/>
                <w:vertAlign w:val="superscript"/>
              </w:rPr>
              <w:t>[60]</w:t>
            </w:r>
            <w:r>
              <w:rPr>
                <w:rFonts w:ascii="Book Antiqua" w:hAnsi="Book Antiqua" w:cs="Cordia New"/>
                <w:sz w:val="24"/>
                <w:szCs w:val="24"/>
              </w:rPr>
              <w:fldChar w:fldCharType="end"/>
            </w:r>
            <w:r>
              <w:rPr>
                <w:rFonts w:ascii="Book Antiqua" w:hAnsi="Book Antiqua" w:cs="Cordia New"/>
                <w:sz w:val="24"/>
                <w:szCs w:val="24"/>
              </w:rPr>
              <w:t>, 2020</w:t>
            </w:r>
          </w:p>
        </w:tc>
        <w:tc>
          <w:tcPr>
            <w:tcW w:w="1984" w:type="dxa"/>
            <w:vMerge w:val="restart"/>
            <w:tcBorders>
              <w:top w:val="nil"/>
            </w:tcBorders>
          </w:tcPr>
          <w:p>
            <w:pPr>
              <w:pStyle w:val="17"/>
              <w:spacing w:after="0" w:line="360" w:lineRule="auto"/>
              <w:ind w:firstLine="0" w:firstLineChars="0"/>
              <w:jc w:val="both"/>
              <w:rPr>
                <w:rFonts w:ascii="Book Antiqua" w:hAnsi="Book Antiqua" w:cs="Cordia New"/>
                <w:sz w:val="24"/>
                <w:szCs w:val="24"/>
              </w:rPr>
            </w:pPr>
            <w:r>
              <w:rPr>
                <w:rFonts w:ascii="Book Antiqua" w:hAnsi="Book Antiqua" w:cs="Cordia New"/>
                <w:sz w:val="24"/>
                <w:szCs w:val="24"/>
              </w:rPr>
              <w:t>Monthly in the first 6 mo then every 3-4 mo until 24 mo</w:t>
            </w:r>
          </w:p>
        </w:tc>
        <w:tc>
          <w:tcPr>
            <w:tcW w:w="9781" w:type="dxa"/>
            <w:tcBorders>
              <w:top w:val="nil"/>
            </w:tcBorders>
          </w:tcPr>
          <w:p>
            <w:pPr>
              <w:pStyle w:val="17"/>
              <w:tabs>
                <w:tab w:val="left" w:pos="321"/>
              </w:tabs>
              <w:spacing w:after="0" w:line="360" w:lineRule="auto"/>
              <w:ind w:firstLine="0" w:firstLineChars="0"/>
              <w:contextualSpacing/>
              <w:jc w:val="both"/>
              <w:rPr>
                <w:rFonts w:ascii="Book Antiqua" w:hAnsi="Book Antiqua" w:cs="Cordia New"/>
                <w:sz w:val="24"/>
                <w:szCs w:val="24"/>
              </w:rPr>
            </w:pPr>
            <w:r>
              <w:rPr>
                <w:rFonts w:ascii="Book Antiqua" w:hAnsi="Book Antiqua" w:cs="Cordia New"/>
                <w:sz w:val="24"/>
                <w:szCs w:val="24"/>
              </w:rPr>
              <w:t>Two consecutive ALT &gt; 10</w:t>
            </w:r>
            <w:r>
              <w:rPr>
                <w:rFonts w:ascii="Book Antiqua" w:hAnsi="Book Antiqua" w:cs="Cordia New"/>
                <w:sz w:val="24"/>
                <w:szCs w:val="24"/>
                <w:lang w:eastAsia="zh-CN"/>
              </w:rPr>
              <w:t xml:space="preserve"> </w:t>
            </w:r>
            <w:r>
              <w:rPr>
                <w:rFonts w:ascii="Book Antiqua" w:hAnsi="Book Antiqua" w:cs="Cordia New"/>
                <w:sz w:val="24"/>
                <w:szCs w:val="24"/>
              </w:rPr>
              <w:t>× ULN regardless of HBV DNA level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tcPr>
          <w:p>
            <w:pPr>
              <w:pStyle w:val="17"/>
              <w:spacing w:after="0" w:line="360" w:lineRule="auto"/>
              <w:ind w:firstLine="0" w:firstLineChars="0"/>
              <w:jc w:val="both"/>
              <w:rPr>
                <w:rFonts w:ascii="Book Antiqua" w:hAnsi="Book Antiqua" w:eastAsia="Book Antiqua" w:cs="Book Antiqua"/>
                <w:bCs/>
                <w:color w:val="000000"/>
                <w:sz w:val="24"/>
                <w:szCs w:val="24"/>
              </w:rPr>
            </w:pPr>
          </w:p>
        </w:tc>
        <w:tc>
          <w:tcPr>
            <w:tcW w:w="1984" w:type="dxa"/>
            <w:vMerge w:val="continue"/>
          </w:tcPr>
          <w:p>
            <w:pPr>
              <w:pStyle w:val="17"/>
              <w:spacing w:after="0" w:line="360" w:lineRule="auto"/>
              <w:ind w:firstLine="0" w:firstLineChars="0"/>
              <w:jc w:val="both"/>
              <w:rPr>
                <w:rFonts w:ascii="Book Antiqua" w:hAnsi="Book Antiqua" w:cs="Cordia New"/>
                <w:sz w:val="24"/>
                <w:szCs w:val="24"/>
              </w:rPr>
            </w:pPr>
          </w:p>
        </w:tc>
        <w:tc>
          <w:tcPr>
            <w:tcW w:w="9781" w:type="dxa"/>
          </w:tcPr>
          <w:p>
            <w:pPr>
              <w:pStyle w:val="17"/>
              <w:tabs>
                <w:tab w:val="left" w:pos="321"/>
              </w:tabs>
              <w:spacing w:after="0" w:line="360" w:lineRule="auto"/>
              <w:ind w:firstLine="0" w:firstLineChars="0"/>
              <w:contextualSpacing/>
              <w:jc w:val="both"/>
              <w:rPr>
                <w:rFonts w:ascii="Book Antiqua" w:hAnsi="Book Antiqua" w:cs="Cordia New"/>
                <w:sz w:val="24"/>
                <w:szCs w:val="24"/>
              </w:rPr>
            </w:pPr>
            <w:r>
              <w:rPr>
                <w:rFonts w:ascii="Book Antiqua" w:hAnsi="Book Antiqua" w:cs="Cordia New"/>
                <w:sz w:val="24"/>
                <w:szCs w:val="24"/>
              </w:rPr>
              <w:t>ALT &gt; 5-10</w:t>
            </w:r>
            <w:r>
              <w:rPr>
                <w:rFonts w:ascii="Book Antiqua" w:hAnsi="Book Antiqua" w:cs="Cordia New"/>
                <w:sz w:val="24"/>
                <w:szCs w:val="24"/>
                <w:lang w:eastAsia="zh-CN"/>
              </w:rPr>
              <w:t xml:space="preserve"> </w:t>
            </w:r>
            <w:r>
              <w:rPr>
                <w:rFonts w:ascii="Book Antiqua" w:hAnsi="Book Antiqua" w:cs="Cordia New"/>
                <w:sz w:val="24"/>
                <w:szCs w:val="24"/>
              </w:rPr>
              <w:t>× ULN and HBV DNA &gt; 2000 IU/mL persisting for ≥ 4 wk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tcPr>
          <w:p>
            <w:pPr>
              <w:pStyle w:val="17"/>
              <w:spacing w:after="0" w:line="360" w:lineRule="auto"/>
              <w:ind w:firstLine="0" w:firstLineChars="0"/>
              <w:jc w:val="both"/>
              <w:rPr>
                <w:rFonts w:ascii="Book Antiqua" w:hAnsi="Book Antiqua" w:eastAsia="Book Antiqua" w:cs="Book Antiqua"/>
                <w:bCs/>
                <w:color w:val="000000"/>
                <w:sz w:val="24"/>
                <w:szCs w:val="24"/>
              </w:rPr>
            </w:pPr>
          </w:p>
        </w:tc>
        <w:tc>
          <w:tcPr>
            <w:tcW w:w="1984" w:type="dxa"/>
            <w:vMerge w:val="continue"/>
          </w:tcPr>
          <w:p>
            <w:pPr>
              <w:pStyle w:val="17"/>
              <w:spacing w:after="0" w:line="360" w:lineRule="auto"/>
              <w:ind w:firstLine="0" w:firstLineChars="0"/>
              <w:jc w:val="both"/>
              <w:rPr>
                <w:rFonts w:ascii="Book Antiqua" w:hAnsi="Book Antiqua" w:cs="Cordia New"/>
                <w:sz w:val="24"/>
                <w:szCs w:val="24"/>
              </w:rPr>
            </w:pPr>
          </w:p>
        </w:tc>
        <w:tc>
          <w:tcPr>
            <w:tcW w:w="9781" w:type="dxa"/>
          </w:tcPr>
          <w:p>
            <w:pPr>
              <w:pStyle w:val="17"/>
              <w:tabs>
                <w:tab w:val="left" w:pos="321"/>
              </w:tabs>
              <w:spacing w:after="0" w:line="360" w:lineRule="auto"/>
              <w:ind w:firstLine="0" w:firstLineChars="0"/>
              <w:contextualSpacing/>
              <w:jc w:val="both"/>
              <w:rPr>
                <w:rFonts w:ascii="Book Antiqua" w:hAnsi="Book Antiqua" w:cs="Cordia New"/>
                <w:sz w:val="24"/>
                <w:szCs w:val="24"/>
              </w:rPr>
            </w:pPr>
            <w:r>
              <w:rPr>
                <w:rFonts w:ascii="Book Antiqua" w:hAnsi="Book Antiqua" w:cs="Cordia New"/>
                <w:sz w:val="24"/>
                <w:szCs w:val="24"/>
              </w:rPr>
              <w:t>ALT &gt; 2-5</w:t>
            </w:r>
            <w:r>
              <w:rPr>
                <w:rFonts w:ascii="Book Antiqua" w:hAnsi="Book Antiqua" w:cs="Cordia New"/>
                <w:sz w:val="24"/>
                <w:szCs w:val="24"/>
                <w:lang w:eastAsia="zh-CN"/>
              </w:rPr>
              <w:t xml:space="preserve"> </w:t>
            </w:r>
            <w:r>
              <w:rPr>
                <w:rFonts w:ascii="Book Antiqua" w:hAnsi="Book Antiqua" w:cs="Cordia New"/>
                <w:sz w:val="24"/>
                <w:szCs w:val="24"/>
              </w:rPr>
              <w:t>× ULN and HBV DNA &gt; 2000 IU/mL persisting for ≥ 6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tcPr>
          <w:p>
            <w:pPr>
              <w:pStyle w:val="17"/>
              <w:spacing w:after="0" w:line="360" w:lineRule="auto"/>
              <w:ind w:firstLine="0" w:firstLineChars="0"/>
              <w:jc w:val="both"/>
              <w:rPr>
                <w:rFonts w:ascii="Book Antiqua" w:hAnsi="Book Antiqua" w:eastAsia="Book Antiqua" w:cs="Book Antiqua"/>
                <w:bCs/>
                <w:color w:val="000000"/>
                <w:sz w:val="24"/>
                <w:szCs w:val="24"/>
              </w:rPr>
            </w:pPr>
          </w:p>
        </w:tc>
        <w:tc>
          <w:tcPr>
            <w:tcW w:w="1984" w:type="dxa"/>
            <w:vMerge w:val="continue"/>
          </w:tcPr>
          <w:p>
            <w:pPr>
              <w:pStyle w:val="17"/>
              <w:spacing w:after="0" w:line="360" w:lineRule="auto"/>
              <w:ind w:firstLine="0" w:firstLineChars="0"/>
              <w:jc w:val="both"/>
              <w:rPr>
                <w:rFonts w:ascii="Book Antiqua" w:hAnsi="Book Antiqua" w:cs="Cordia New"/>
                <w:sz w:val="24"/>
                <w:szCs w:val="24"/>
              </w:rPr>
            </w:pPr>
          </w:p>
        </w:tc>
        <w:tc>
          <w:tcPr>
            <w:tcW w:w="9781" w:type="dxa"/>
          </w:tcPr>
          <w:p>
            <w:pPr>
              <w:pStyle w:val="17"/>
              <w:tabs>
                <w:tab w:val="left" w:pos="321"/>
              </w:tabs>
              <w:spacing w:after="0" w:line="360" w:lineRule="auto"/>
              <w:ind w:firstLine="0" w:firstLineChars="0"/>
              <w:contextualSpacing/>
              <w:jc w:val="both"/>
              <w:rPr>
                <w:rFonts w:ascii="Book Antiqua" w:hAnsi="Book Antiqua" w:cs="Cordia New"/>
                <w:sz w:val="24"/>
                <w:szCs w:val="24"/>
              </w:rPr>
            </w:pPr>
            <w:r>
              <w:rPr>
                <w:rFonts w:ascii="Book Antiqua" w:hAnsi="Book Antiqua" w:cs="Cordia New"/>
                <w:sz w:val="24"/>
                <w:szCs w:val="24"/>
              </w:rPr>
              <w:t>Need for immunosuppressive treatment</w:t>
            </w:r>
          </w:p>
        </w:tc>
      </w:tr>
    </w:tbl>
    <w:p>
      <w:pPr>
        <w:snapToGrid w:val="0"/>
        <w:spacing w:line="360" w:lineRule="auto"/>
        <w:jc w:val="both"/>
        <w:rPr>
          <w:rFonts w:ascii="Book Antiqua" w:hAnsi="Book Antiqua" w:cs="Cordia New"/>
          <w:lang w:bidi="th-TH"/>
        </w:rPr>
      </w:pPr>
      <w:r>
        <w:rPr>
          <w:rFonts w:ascii="Book Antiqua" w:hAnsi="Book Antiqua" w:cs="Cordia New"/>
        </w:rPr>
        <w:t>ALT</w:t>
      </w:r>
      <w:r>
        <w:rPr>
          <w:rFonts w:ascii="Book Antiqua" w:hAnsi="Book Antiqua" w:cs="Cordia New"/>
          <w:lang w:eastAsia="zh-CN"/>
        </w:rPr>
        <w:t>:</w:t>
      </w:r>
      <w:r>
        <w:rPr>
          <w:rFonts w:ascii="Book Antiqua" w:hAnsi="Book Antiqua" w:cs="Cordia New"/>
        </w:rPr>
        <w:t xml:space="preserve"> </w:t>
      </w:r>
      <w:r>
        <w:rPr>
          <w:rFonts w:ascii="Book Antiqua" w:hAnsi="Book Antiqua" w:cs="Cordia New"/>
          <w:lang w:eastAsia="zh-CN"/>
        </w:rPr>
        <w:t>A</w:t>
      </w:r>
      <w:r>
        <w:rPr>
          <w:rFonts w:ascii="Book Antiqua" w:hAnsi="Book Antiqua" w:cs="Cordia New"/>
        </w:rPr>
        <w:t>lanine aminotransferase; HBeAg</w:t>
      </w:r>
      <w:r>
        <w:rPr>
          <w:rFonts w:ascii="Book Antiqua" w:hAnsi="Book Antiqua" w:cs="Cordia New"/>
          <w:lang w:eastAsia="zh-CN"/>
        </w:rPr>
        <w:t>:</w:t>
      </w:r>
      <w:r>
        <w:rPr>
          <w:rFonts w:ascii="Book Antiqua" w:hAnsi="Book Antiqua" w:cs="Cordia New"/>
        </w:rPr>
        <w:t xml:space="preserve"> </w:t>
      </w:r>
      <w:r>
        <w:rPr>
          <w:rFonts w:ascii="Book Antiqua" w:hAnsi="Book Antiqua" w:cs="Cordia New"/>
          <w:lang w:eastAsia="zh-CN"/>
        </w:rPr>
        <w:t>H</w:t>
      </w:r>
      <w:r>
        <w:rPr>
          <w:rFonts w:ascii="Book Antiqua" w:hAnsi="Book Antiqua" w:cs="Cordia New"/>
        </w:rPr>
        <w:t>epatitis B e antigen; HBV</w:t>
      </w:r>
      <w:r>
        <w:rPr>
          <w:rFonts w:ascii="Book Antiqua" w:hAnsi="Book Antiqua" w:cs="Cordia New"/>
          <w:lang w:eastAsia="zh-CN"/>
        </w:rPr>
        <w:t>:</w:t>
      </w:r>
      <w:r>
        <w:rPr>
          <w:rFonts w:ascii="Book Antiqua" w:hAnsi="Book Antiqua" w:cs="Cordia New"/>
        </w:rPr>
        <w:t xml:space="preserve"> hepatitis B virus; INR</w:t>
      </w:r>
      <w:r>
        <w:rPr>
          <w:rFonts w:ascii="Book Antiqua" w:hAnsi="Book Antiqua" w:cs="Cordia New"/>
          <w:lang w:eastAsia="zh-CN"/>
        </w:rPr>
        <w:t>:</w:t>
      </w:r>
      <w:r>
        <w:rPr>
          <w:rFonts w:ascii="Book Antiqua" w:hAnsi="Book Antiqua" w:cs="Cordia New"/>
        </w:rPr>
        <w:t xml:space="preserve"> </w:t>
      </w:r>
      <w:r>
        <w:rPr>
          <w:rFonts w:ascii="Book Antiqua" w:hAnsi="Book Antiqua" w:cs="Cordia New"/>
          <w:lang w:eastAsia="zh-CN"/>
        </w:rPr>
        <w:t>I</w:t>
      </w:r>
      <w:r>
        <w:rPr>
          <w:rFonts w:ascii="Book Antiqua" w:hAnsi="Book Antiqua" w:cs="Cordia New"/>
        </w:rPr>
        <w:t>nternational normalized ratio; PT</w:t>
      </w:r>
      <w:r>
        <w:rPr>
          <w:rFonts w:ascii="Book Antiqua" w:hAnsi="Book Antiqua" w:cs="Cordia New"/>
          <w:lang w:eastAsia="zh-CN"/>
        </w:rPr>
        <w:t>:</w:t>
      </w:r>
      <w:r>
        <w:rPr>
          <w:rFonts w:ascii="Book Antiqua" w:hAnsi="Book Antiqua" w:cs="Cordia New"/>
        </w:rPr>
        <w:t xml:space="preserve"> </w:t>
      </w:r>
      <w:r>
        <w:rPr>
          <w:rFonts w:ascii="Book Antiqua" w:hAnsi="Book Antiqua" w:cs="Cordia New"/>
          <w:lang w:eastAsia="zh-CN"/>
        </w:rPr>
        <w:t>P</w:t>
      </w:r>
      <w:r>
        <w:rPr>
          <w:rFonts w:ascii="Book Antiqua" w:hAnsi="Book Antiqua" w:cs="Cordia New"/>
        </w:rPr>
        <w:t>rothrombin time; ULN</w:t>
      </w:r>
      <w:r>
        <w:rPr>
          <w:rFonts w:ascii="Book Antiqua" w:hAnsi="Book Antiqua" w:cs="Cordia New"/>
          <w:lang w:eastAsia="zh-CN"/>
        </w:rPr>
        <w:t>:</w:t>
      </w:r>
      <w:r>
        <w:rPr>
          <w:rFonts w:ascii="Book Antiqua" w:hAnsi="Book Antiqua" w:cs="Cordia New"/>
        </w:rPr>
        <w:t xml:space="preserve"> </w:t>
      </w:r>
      <w:r>
        <w:rPr>
          <w:rFonts w:ascii="Book Antiqua" w:hAnsi="Book Antiqua" w:cs="Cordia New"/>
          <w:lang w:eastAsia="zh-CN"/>
        </w:rPr>
        <w:t>U</w:t>
      </w:r>
      <w:r>
        <w:rPr>
          <w:rFonts w:ascii="Book Antiqua" w:hAnsi="Book Antiqua" w:cs="Cordia New"/>
        </w:rPr>
        <w:t>pper limit of normal.</w:t>
      </w:r>
    </w:p>
    <w:p>
      <w:pPr>
        <w:spacing w:line="360" w:lineRule="auto"/>
        <w:jc w:val="both"/>
        <w:rPr>
          <w:rFonts w:ascii="Book Antiqua" w:hAnsi="Book Antiqua"/>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bookmarkEnd w:id="4"/>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gsana New">
    <w:altName w:val="Times New Roman"/>
    <w:panose1 w:val="02020603050405020304"/>
    <w:charset w:val="00"/>
    <w:family w:val="roman"/>
    <w:pitch w:val="default"/>
    <w:sig w:usb0="00000000" w:usb1="00000000" w:usb2="00000000" w:usb3="00000000" w:csb0="00010001" w:csb1="00000000"/>
  </w:font>
  <w:font w:name="Cordia New">
    <w:altName w:val="Yu Gothic UI Light"/>
    <w:panose1 w:val="020B0304020202020204"/>
    <w:charset w:val="00"/>
    <w:family w:val="swiss"/>
    <w:pitch w:val="default"/>
    <w:sig w:usb0="00000000" w:usb1="00000000" w:usb2="00000000" w:usb3="00000000" w:csb0="00010001" w:csb1="00000000"/>
  </w:font>
  <w:font w:name="Yu Gothic UI Light">
    <w:panose1 w:val="020B0300000000000000"/>
    <w:charset w:val="80"/>
    <w:family w:val="auto"/>
    <w:pitch w:val="default"/>
    <w:sig w:usb0="E00002FF" w:usb1="2AC7FDFF" w:usb2="00000016" w:usb3="00000000" w:csb0="200200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4052097"/>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24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43</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352"/>
    <w:rsid w:val="0002247B"/>
    <w:rsid w:val="00035D8A"/>
    <w:rsid w:val="00050E9F"/>
    <w:rsid w:val="0006107E"/>
    <w:rsid w:val="00067B01"/>
    <w:rsid w:val="00071339"/>
    <w:rsid w:val="000B2948"/>
    <w:rsid w:val="000D5BBB"/>
    <w:rsid w:val="000F232C"/>
    <w:rsid w:val="00111958"/>
    <w:rsid w:val="00122225"/>
    <w:rsid w:val="001236A2"/>
    <w:rsid w:val="00144D44"/>
    <w:rsid w:val="00161429"/>
    <w:rsid w:val="00176671"/>
    <w:rsid w:val="0019393E"/>
    <w:rsid w:val="00193CF5"/>
    <w:rsid w:val="001B209D"/>
    <w:rsid w:val="001B4D2F"/>
    <w:rsid w:val="001D55D5"/>
    <w:rsid w:val="001E3627"/>
    <w:rsid w:val="001E6766"/>
    <w:rsid w:val="001F71FE"/>
    <w:rsid w:val="00221121"/>
    <w:rsid w:val="00235E6E"/>
    <w:rsid w:val="002370F8"/>
    <w:rsid w:val="002716E8"/>
    <w:rsid w:val="002B061F"/>
    <w:rsid w:val="002B440F"/>
    <w:rsid w:val="002E258E"/>
    <w:rsid w:val="00310F51"/>
    <w:rsid w:val="00321F69"/>
    <w:rsid w:val="0032234A"/>
    <w:rsid w:val="00333651"/>
    <w:rsid w:val="00335F54"/>
    <w:rsid w:val="00352D13"/>
    <w:rsid w:val="00361C5B"/>
    <w:rsid w:val="003852D0"/>
    <w:rsid w:val="003A618A"/>
    <w:rsid w:val="003C01E5"/>
    <w:rsid w:val="003E6876"/>
    <w:rsid w:val="003E69B5"/>
    <w:rsid w:val="003F2EA0"/>
    <w:rsid w:val="00435A95"/>
    <w:rsid w:val="00450143"/>
    <w:rsid w:val="00452F4D"/>
    <w:rsid w:val="004706CB"/>
    <w:rsid w:val="00476A06"/>
    <w:rsid w:val="00485211"/>
    <w:rsid w:val="00485CBA"/>
    <w:rsid w:val="00487971"/>
    <w:rsid w:val="004B096A"/>
    <w:rsid w:val="004B3F73"/>
    <w:rsid w:val="004C4C3C"/>
    <w:rsid w:val="004D0578"/>
    <w:rsid w:val="004D7911"/>
    <w:rsid w:val="004E651A"/>
    <w:rsid w:val="004F148F"/>
    <w:rsid w:val="005B10DB"/>
    <w:rsid w:val="005F232D"/>
    <w:rsid w:val="00613530"/>
    <w:rsid w:val="006712C5"/>
    <w:rsid w:val="00673EC0"/>
    <w:rsid w:val="006901A5"/>
    <w:rsid w:val="006C6B14"/>
    <w:rsid w:val="006D3DA9"/>
    <w:rsid w:val="006D5CDA"/>
    <w:rsid w:val="006F5533"/>
    <w:rsid w:val="006F7FBF"/>
    <w:rsid w:val="007149E0"/>
    <w:rsid w:val="00717CC6"/>
    <w:rsid w:val="007352D8"/>
    <w:rsid w:val="00745418"/>
    <w:rsid w:val="00767E50"/>
    <w:rsid w:val="00794704"/>
    <w:rsid w:val="007A09F1"/>
    <w:rsid w:val="007A45EA"/>
    <w:rsid w:val="0080074A"/>
    <w:rsid w:val="00814AA8"/>
    <w:rsid w:val="00816616"/>
    <w:rsid w:val="00822ACF"/>
    <w:rsid w:val="00826AE7"/>
    <w:rsid w:val="008337E6"/>
    <w:rsid w:val="00846945"/>
    <w:rsid w:val="00854456"/>
    <w:rsid w:val="00862D43"/>
    <w:rsid w:val="00886400"/>
    <w:rsid w:val="008924F9"/>
    <w:rsid w:val="008A3F59"/>
    <w:rsid w:val="008A5D1F"/>
    <w:rsid w:val="008B13F4"/>
    <w:rsid w:val="008F0DB5"/>
    <w:rsid w:val="008F3169"/>
    <w:rsid w:val="00914DF5"/>
    <w:rsid w:val="009402F3"/>
    <w:rsid w:val="00955E8A"/>
    <w:rsid w:val="00963244"/>
    <w:rsid w:val="00963436"/>
    <w:rsid w:val="009724F5"/>
    <w:rsid w:val="00977AAB"/>
    <w:rsid w:val="009950D2"/>
    <w:rsid w:val="009A6EC3"/>
    <w:rsid w:val="009C715C"/>
    <w:rsid w:val="009E4AB1"/>
    <w:rsid w:val="00A01205"/>
    <w:rsid w:val="00A24DA8"/>
    <w:rsid w:val="00A754C5"/>
    <w:rsid w:val="00A7654D"/>
    <w:rsid w:val="00A77B3E"/>
    <w:rsid w:val="00A85FD5"/>
    <w:rsid w:val="00A96D50"/>
    <w:rsid w:val="00A97787"/>
    <w:rsid w:val="00AB566E"/>
    <w:rsid w:val="00AD2786"/>
    <w:rsid w:val="00AD776F"/>
    <w:rsid w:val="00AF27E7"/>
    <w:rsid w:val="00AF5A07"/>
    <w:rsid w:val="00B45868"/>
    <w:rsid w:val="00B536E7"/>
    <w:rsid w:val="00B57924"/>
    <w:rsid w:val="00B61C48"/>
    <w:rsid w:val="00B74A0F"/>
    <w:rsid w:val="00B76652"/>
    <w:rsid w:val="00B95349"/>
    <w:rsid w:val="00BA43DD"/>
    <w:rsid w:val="00BA4F43"/>
    <w:rsid w:val="00BB0FD6"/>
    <w:rsid w:val="00BC0410"/>
    <w:rsid w:val="00BE1937"/>
    <w:rsid w:val="00BF135D"/>
    <w:rsid w:val="00C17ECE"/>
    <w:rsid w:val="00C378FB"/>
    <w:rsid w:val="00C455E4"/>
    <w:rsid w:val="00CA2A55"/>
    <w:rsid w:val="00CB2DBA"/>
    <w:rsid w:val="00CD2509"/>
    <w:rsid w:val="00CE4778"/>
    <w:rsid w:val="00D12ACD"/>
    <w:rsid w:val="00D43681"/>
    <w:rsid w:val="00D45F63"/>
    <w:rsid w:val="00D46BF7"/>
    <w:rsid w:val="00D57D5C"/>
    <w:rsid w:val="00D75246"/>
    <w:rsid w:val="00D8247D"/>
    <w:rsid w:val="00D83DEF"/>
    <w:rsid w:val="00DA1E82"/>
    <w:rsid w:val="00DA67B4"/>
    <w:rsid w:val="00DD48AA"/>
    <w:rsid w:val="00DE7010"/>
    <w:rsid w:val="00E00BC4"/>
    <w:rsid w:val="00E03642"/>
    <w:rsid w:val="00E179FC"/>
    <w:rsid w:val="00E45A0A"/>
    <w:rsid w:val="00EB20B0"/>
    <w:rsid w:val="00EB4FCC"/>
    <w:rsid w:val="00EC05AF"/>
    <w:rsid w:val="00EC17D1"/>
    <w:rsid w:val="00EC5C9B"/>
    <w:rsid w:val="00EC635E"/>
    <w:rsid w:val="00EE17CE"/>
    <w:rsid w:val="00F23B45"/>
    <w:rsid w:val="00F37117"/>
    <w:rsid w:val="00F67AEF"/>
    <w:rsid w:val="00FA094F"/>
    <w:rsid w:val="00FB7AAA"/>
    <w:rsid w:val="00FF01B0"/>
    <w:rsid w:val="00FF1A42"/>
    <w:rsid w:val="55516798"/>
    <w:rsid w:val="6B501D7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semiHidden="0" w:name="annotation reference"/>
    <w:lsdException w:uiPriority="0" w:semiHidden="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unhideWhenUsed/>
    <w:uiPriority w:val="0"/>
  </w:style>
  <w:style w:type="paragraph" w:styleId="3">
    <w:name w:val="Balloon Text"/>
    <w:basedOn w:val="1"/>
    <w:link w:val="19"/>
    <w:unhideWhenUsed/>
    <w:uiPriority w:val="99"/>
    <w:rPr>
      <w:rFonts w:cs="Angsana New" w:eastAsiaTheme="minorHAnsi"/>
      <w:sz w:val="18"/>
      <w:szCs w:val="22"/>
      <w:lang w:bidi="th-TH"/>
    </w:rPr>
  </w:style>
  <w:style w:type="paragraph" w:styleId="4">
    <w:name w:val="footer"/>
    <w:basedOn w:val="1"/>
    <w:link w:val="21"/>
    <w:unhideWhenUsed/>
    <w:uiPriority w:val="99"/>
    <w:pPr>
      <w:tabs>
        <w:tab w:val="center" w:pos="4153"/>
        <w:tab w:val="right" w:pos="8306"/>
      </w:tabs>
      <w:snapToGrid w:val="0"/>
    </w:pPr>
    <w:rPr>
      <w:sz w:val="18"/>
      <w:szCs w:val="18"/>
    </w:rPr>
  </w:style>
  <w:style w:type="paragraph" w:styleId="5">
    <w:name w:val="header"/>
    <w:basedOn w:val="1"/>
    <w:link w:val="20"/>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100" w:beforeAutospacing="1" w:after="100" w:afterAutospacing="1"/>
    </w:pPr>
    <w:rPr>
      <w:rFonts w:eastAsia="Times New Roman"/>
      <w:lang w:eastAsia="zh-CN"/>
    </w:rPr>
  </w:style>
  <w:style w:type="paragraph" w:styleId="7">
    <w:name w:val="annotation subject"/>
    <w:basedOn w:val="2"/>
    <w:next w:val="2"/>
    <w:link w:val="16"/>
    <w:unhideWhenUsed/>
    <w:uiPriority w:val="0"/>
    <w:rPr>
      <w:b/>
      <w:bCs/>
    </w:rPr>
  </w:style>
  <w:style w:type="table" w:styleId="9">
    <w:name w:val="Table Grid"/>
    <w:basedOn w:val="8"/>
    <w:uiPriority w:val="39"/>
    <w:rPr>
      <w:rFonts w:asciiTheme="minorHAnsi" w:hAnsiTheme="minorHAnsi" w:eastAsiaTheme="minorHAnsi" w:cstheme="minorBidi"/>
      <w:sz w:val="22"/>
      <w:szCs w:val="28"/>
      <w:lang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22"/>
    <w:rPr>
      <w:rFonts w:cs="Times New Roman"/>
      <w:b/>
    </w:rPr>
  </w:style>
  <w:style w:type="character" w:styleId="12">
    <w:name w:val="line number"/>
    <w:basedOn w:val="10"/>
    <w:unhideWhenUsed/>
    <w:uiPriority w:val="0"/>
  </w:style>
  <w:style w:type="character" w:styleId="13">
    <w:name w:val="Hyperlink"/>
    <w:uiPriority w:val="99"/>
    <w:rPr>
      <w:rFonts w:cs="Times New Roman"/>
      <w:color w:val="0000FF"/>
      <w:u w:val="single"/>
    </w:rPr>
  </w:style>
  <w:style w:type="character" w:styleId="14">
    <w:name w:val="annotation reference"/>
    <w:basedOn w:val="10"/>
    <w:unhideWhenUsed/>
    <w:uiPriority w:val="0"/>
    <w:rPr>
      <w:sz w:val="21"/>
      <w:szCs w:val="21"/>
    </w:rPr>
  </w:style>
  <w:style w:type="character" w:customStyle="1" w:styleId="15">
    <w:name w:val="批注文字 Char"/>
    <w:basedOn w:val="10"/>
    <w:link w:val="2"/>
    <w:qFormat/>
    <w:uiPriority w:val="0"/>
    <w:rPr>
      <w:sz w:val="24"/>
      <w:szCs w:val="24"/>
    </w:rPr>
  </w:style>
  <w:style w:type="character" w:customStyle="1" w:styleId="16">
    <w:name w:val="批注主题 Char"/>
    <w:basedOn w:val="15"/>
    <w:link w:val="7"/>
    <w:uiPriority w:val="0"/>
    <w:rPr>
      <w:b/>
      <w:bCs/>
      <w:sz w:val="24"/>
      <w:szCs w:val="24"/>
    </w:rPr>
  </w:style>
  <w:style w:type="paragraph" w:styleId="17">
    <w:name w:val="List Paragraph"/>
    <w:basedOn w:val="1"/>
    <w:qFormat/>
    <w:uiPriority w:val="34"/>
    <w:pPr>
      <w:spacing w:after="200" w:line="276" w:lineRule="auto"/>
      <w:ind w:firstLine="420" w:firstLineChars="200"/>
    </w:pPr>
    <w:rPr>
      <w:rFonts w:ascii="Calibri" w:hAnsi="Calibri" w:eastAsia="宋体"/>
      <w:sz w:val="22"/>
      <w:szCs w:val="22"/>
      <w:lang w:val="en-GB"/>
    </w:rPr>
  </w:style>
  <w:style w:type="paragraph" w:customStyle="1" w:styleId="18">
    <w:name w:val="msonormal"/>
    <w:basedOn w:val="1"/>
    <w:semiHidden/>
    <w:uiPriority w:val="99"/>
    <w:pPr>
      <w:spacing w:before="100" w:beforeAutospacing="1" w:after="100" w:afterAutospacing="1"/>
    </w:pPr>
    <w:rPr>
      <w:lang w:bidi="th-TH"/>
    </w:rPr>
  </w:style>
  <w:style w:type="character" w:customStyle="1" w:styleId="19">
    <w:name w:val="批注框文本 Char"/>
    <w:basedOn w:val="10"/>
    <w:link w:val="3"/>
    <w:uiPriority w:val="99"/>
    <w:rPr>
      <w:rFonts w:cs="Angsana New" w:eastAsiaTheme="minorHAnsi"/>
      <w:sz w:val="18"/>
      <w:szCs w:val="22"/>
      <w:lang w:bidi="th-TH"/>
    </w:rPr>
  </w:style>
  <w:style w:type="character" w:customStyle="1" w:styleId="20">
    <w:name w:val="页眉 Char"/>
    <w:basedOn w:val="10"/>
    <w:link w:val="5"/>
    <w:uiPriority w:val="0"/>
    <w:rPr>
      <w:sz w:val="18"/>
      <w:szCs w:val="18"/>
    </w:rPr>
  </w:style>
  <w:style w:type="character" w:customStyle="1" w:styleId="21">
    <w:name w:val="页脚 Char"/>
    <w:basedOn w:val="10"/>
    <w:link w:val="4"/>
    <w:uiPriority w:val="99"/>
    <w:rPr>
      <w:sz w:val="18"/>
      <w:szCs w:val="18"/>
    </w:rPr>
  </w:style>
  <w:style w:type="paragraph" w:customStyle="1" w:styleId="22">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0FAE9-3A6D-4E2A-AA2B-5F7BD96B7221}">
  <ds:schemaRefs/>
</ds:datastoreItem>
</file>

<file path=docProps/app.xml><?xml version="1.0" encoding="utf-8"?>
<Properties xmlns="http://schemas.openxmlformats.org/officeDocument/2006/extended-properties" xmlns:vt="http://schemas.openxmlformats.org/officeDocument/2006/docPropsVTypes">
  <Template>Normal</Template>
  <Pages>43</Pages>
  <Words>43669</Words>
  <Characters>248916</Characters>
  <Lines>2074</Lines>
  <Paragraphs>584</Paragraphs>
  <TotalTime>0</TotalTime>
  <ScaleCrop>false</ScaleCrop>
  <LinksUpToDate>false</LinksUpToDate>
  <CharactersWithSpaces>292001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2021-08-11T01:58:00Z</dcterms:created>
  <dc:creator>Beau</dc:creator>
  <cp:lastModifiedBy>晓晨</cp:lastModifiedBy>
  <dcterms:modified xsi:type="dcterms:W3CDTF">2021-09-18T01:18:44Z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C2D20F858B8540259171287FA0F6863F</vt:lpwstr>
  </property>
</Properties>
</file>