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AA94" w14:textId="77777777" w:rsidR="00A77B3E" w:rsidRDefault="00282716" w:rsidP="004D4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35D55F" w14:textId="77777777" w:rsidR="00A77B3E" w:rsidRDefault="002827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64585</w:t>
      </w:r>
    </w:p>
    <w:p w14:paraId="07475CAE" w14:textId="77777777" w:rsidR="00A77B3E" w:rsidRDefault="002827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BB3768" w14:textId="77777777" w:rsidR="00A77B3E" w:rsidRDefault="00A77B3E">
      <w:pPr>
        <w:spacing w:line="360" w:lineRule="auto"/>
        <w:jc w:val="both"/>
      </w:pPr>
    </w:p>
    <w:p w14:paraId="44497376" w14:textId="77777777" w:rsidR="00A77B3E" w:rsidRDefault="00282716">
      <w:pPr>
        <w:spacing w:line="360" w:lineRule="auto"/>
        <w:jc w:val="both"/>
      </w:pPr>
      <w:r>
        <w:rPr>
          <w:rFonts w:ascii="Book Antiqua" w:eastAsia="Book Antiqua" w:hAnsi="Book Antiqua" w:cs="Book Antiqua"/>
          <w:b/>
          <w:i/>
          <w:color w:val="000000"/>
        </w:rPr>
        <w:t>Case Control Study</w:t>
      </w:r>
    </w:p>
    <w:p w14:paraId="50DF582C" w14:textId="4207336C" w:rsidR="00A77B3E" w:rsidRDefault="00282716">
      <w:pPr>
        <w:spacing w:line="360" w:lineRule="auto"/>
        <w:jc w:val="both"/>
      </w:pPr>
      <w:r>
        <w:rPr>
          <w:rFonts w:ascii="Book Antiqua" w:eastAsia="Book Antiqua" w:hAnsi="Book Antiqua" w:cs="Book Antiqua"/>
          <w:b/>
          <w:bCs/>
          <w:color w:val="000000"/>
        </w:rPr>
        <w:t xml:space="preserve">Soluble programmed death-1 is predictive of </w:t>
      </w:r>
      <w:r w:rsidR="00F1292B">
        <w:rPr>
          <w:rFonts w:ascii="Book Antiqua" w:eastAsia="Book Antiqua" w:hAnsi="Book Antiqua" w:cs="Book Antiqua"/>
          <w:b/>
          <w:bCs/>
          <w:color w:val="000000"/>
        </w:rPr>
        <w:t>hepatitis B surface antigen</w:t>
      </w:r>
      <w:r>
        <w:rPr>
          <w:rFonts w:ascii="Book Antiqua" w:eastAsia="Book Antiqua" w:hAnsi="Book Antiqua" w:cs="Book Antiqua"/>
          <w:b/>
          <w:bCs/>
          <w:color w:val="000000"/>
        </w:rPr>
        <w:t xml:space="preserve"> loss in chronic hepatitis B patients after antiviral treatment</w:t>
      </w:r>
    </w:p>
    <w:p w14:paraId="234675D0" w14:textId="77777777" w:rsidR="00A77B3E" w:rsidRDefault="00A77B3E">
      <w:pPr>
        <w:spacing w:line="360" w:lineRule="auto"/>
        <w:jc w:val="both"/>
      </w:pPr>
    </w:p>
    <w:p w14:paraId="612280A1" w14:textId="77777777" w:rsidR="00A77B3E" w:rsidRDefault="00C54C7C">
      <w:pPr>
        <w:spacing w:line="360" w:lineRule="auto"/>
        <w:jc w:val="both"/>
      </w:pPr>
      <w:r>
        <w:rPr>
          <w:rFonts w:ascii="Book Antiqua" w:eastAsia="Book Antiqua" w:hAnsi="Book Antiqua" w:cs="Book Antiqua"/>
          <w:color w:val="000000"/>
        </w:rPr>
        <w:t xml:space="preserve">Tan </w:t>
      </w:r>
      <w:r>
        <w:rPr>
          <w:rFonts w:ascii="Book Antiqua" w:hAnsi="Book Antiqua" w:cs="Book Antiqua" w:hint="eastAsia"/>
          <w:color w:val="000000"/>
          <w:lang w:eastAsia="zh-CN"/>
        </w:rPr>
        <w:t xml:space="preserve">N </w:t>
      </w:r>
      <w:r w:rsidRPr="00C54C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82716">
        <w:rPr>
          <w:rFonts w:ascii="Book Antiqua" w:eastAsia="Book Antiqua" w:hAnsi="Book Antiqua" w:cs="Book Antiqua"/>
          <w:color w:val="000000"/>
        </w:rPr>
        <w:t>sPD-1 predicts HBsAg loss in CHB</w:t>
      </w:r>
    </w:p>
    <w:p w14:paraId="03AD990D" w14:textId="77777777" w:rsidR="00A77B3E" w:rsidRDefault="00A77B3E">
      <w:pPr>
        <w:spacing w:line="360" w:lineRule="auto"/>
        <w:jc w:val="both"/>
      </w:pPr>
    </w:p>
    <w:p w14:paraId="35D5452A" w14:textId="77777777" w:rsidR="00A77B3E" w:rsidRDefault="00282716">
      <w:pPr>
        <w:spacing w:line="360" w:lineRule="auto"/>
        <w:jc w:val="both"/>
      </w:pPr>
      <w:r>
        <w:rPr>
          <w:rFonts w:ascii="Book Antiqua" w:eastAsia="Book Antiqua" w:hAnsi="Book Antiqua" w:cs="Book Antiqua"/>
          <w:color w:val="000000"/>
        </w:rPr>
        <w:t>Ning Tan, Hao Luo, Qian Kang, Jia-Li Pan, Ran Cheng, Hong-Li Xi, Hong-Yu Chen, Yi-Fan Han, Yu-Ping yang, Xiao-Yuan Xu</w:t>
      </w:r>
    </w:p>
    <w:p w14:paraId="51CB3400" w14:textId="77777777" w:rsidR="00A77B3E" w:rsidRDefault="00A77B3E">
      <w:pPr>
        <w:spacing w:line="360" w:lineRule="auto"/>
        <w:jc w:val="both"/>
      </w:pPr>
    </w:p>
    <w:p w14:paraId="7B96B25F" w14:textId="77777777" w:rsidR="00A77B3E" w:rsidRDefault="00282716">
      <w:pPr>
        <w:spacing w:line="360" w:lineRule="auto"/>
        <w:jc w:val="both"/>
      </w:pPr>
      <w:r>
        <w:rPr>
          <w:rFonts w:ascii="Book Antiqua" w:eastAsia="Book Antiqua" w:hAnsi="Book Antiqua" w:cs="Book Antiqua"/>
          <w:b/>
          <w:bCs/>
          <w:color w:val="000000"/>
        </w:rPr>
        <w:t xml:space="preserve">Ning Tan, Hao Luo, Qian Kang, Jia-Li Pan, Ran Cheng, Hong-Li Xi, Hong-Yu Chen, Yi-Fan Han, Yu-Ping yang, Xiao-Yuan Xu, </w:t>
      </w:r>
      <w:r>
        <w:rPr>
          <w:rFonts w:ascii="Book Antiqua" w:eastAsia="Book Antiqua" w:hAnsi="Book Antiqua" w:cs="Book Antiqua"/>
          <w:color w:val="000000"/>
        </w:rPr>
        <w:t>Department of Infectious Diseases, Peking University First Hospital, Beijing 100034, China</w:t>
      </w:r>
    </w:p>
    <w:p w14:paraId="5F45E690" w14:textId="77777777" w:rsidR="00A77B3E" w:rsidRDefault="00A77B3E">
      <w:pPr>
        <w:spacing w:line="360" w:lineRule="auto"/>
        <w:jc w:val="both"/>
      </w:pPr>
    </w:p>
    <w:p w14:paraId="17AB0C7D" w14:textId="78E11ED7" w:rsidR="00A77B3E" w:rsidRDefault="0028271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Tan N designed and performed the research, collected and analyzed the data, and wrote the article; Luo H, Pan JL</w:t>
      </w:r>
      <w:r w:rsidR="00B24F78">
        <w:rPr>
          <w:rFonts w:ascii="Book Antiqua" w:eastAsia="Book Antiqua" w:hAnsi="Book Antiqua" w:cs="Book Antiqua"/>
          <w:color w:val="000000"/>
        </w:rPr>
        <w:t>,</w:t>
      </w:r>
      <w:r>
        <w:rPr>
          <w:rFonts w:ascii="Book Antiqua" w:eastAsia="Book Antiqua" w:hAnsi="Book Antiqua" w:cs="Book Antiqua"/>
          <w:color w:val="000000"/>
        </w:rPr>
        <w:t xml:space="preserve"> and Xi HL collected the data and samples; Kang Q and Cheng R collected the data; Chen HY, Yang YQ and Han YF analyzed the data; Xu XY edited, reviewed, and approved the final article. </w:t>
      </w:r>
    </w:p>
    <w:p w14:paraId="180AD9A6" w14:textId="77777777" w:rsidR="00A77B3E" w:rsidRDefault="00A77B3E">
      <w:pPr>
        <w:spacing w:line="360" w:lineRule="auto"/>
        <w:jc w:val="both"/>
      </w:pPr>
    </w:p>
    <w:p w14:paraId="734C7EA8" w14:textId="7AA7039D" w:rsidR="00A77B3E" w:rsidRDefault="00282716">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13</w:t>
      </w:r>
      <w:r w:rsidRPr="00005AD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 of Ministry of Science and Technology of the People’s Republic of China, No. 2017ZX10302201-004-009</w:t>
      </w:r>
      <w:r w:rsidR="006C45F2">
        <w:rPr>
          <w:rFonts w:ascii="Book Antiqua" w:hAnsi="Book Antiqua" w:cs="Book Antiqua" w:hint="eastAsia"/>
          <w:color w:val="000000"/>
          <w:lang w:eastAsia="zh-CN"/>
        </w:rPr>
        <w:t xml:space="preserve">, </w:t>
      </w:r>
      <w:r w:rsidR="00005ADD">
        <w:rPr>
          <w:rFonts w:ascii="Book Antiqua" w:hAnsi="Book Antiqua" w:cs="Book Antiqua"/>
          <w:color w:val="000000"/>
          <w:lang w:eastAsia="zh-CN"/>
        </w:rPr>
        <w:t xml:space="preserve">and </w:t>
      </w:r>
      <w:r>
        <w:rPr>
          <w:rFonts w:ascii="Book Antiqua" w:eastAsia="Book Antiqua" w:hAnsi="Book Antiqua" w:cs="Book Antiqua"/>
          <w:color w:val="000000"/>
        </w:rPr>
        <w:t>No. 2017ZX10203202-</w:t>
      </w:r>
      <w:r w:rsidR="004E2714">
        <w:rPr>
          <w:rFonts w:ascii="Book Antiqua" w:eastAsia="Book Antiqua" w:hAnsi="Book Antiqua" w:cs="Book Antiqua"/>
          <w:color w:val="000000"/>
        </w:rPr>
        <w:t>003</w:t>
      </w:r>
      <w:r>
        <w:rPr>
          <w:rFonts w:ascii="Book Antiqua" w:eastAsia="Book Antiqua" w:hAnsi="Book Antiqua" w:cs="Book Antiqua"/>
          <w:color w:val="000000"/>
        </w:rPr>
        <w:t xml:space="preserve">; and Beijing Municipal Science and Technology Commission of Major Projects, No. D161100002716002, </w:t>
      </w:r>
      <w:r w:rsidR="000967E4">
        <w:rPr>
          <w:rFonts w:ascii="Book Antiqua" w:eastAsia="Book Antiqua" w:hAnsi="Book Antiqua" w:cs="Book Antiqua"/>
          <w:color w:val="000000"/>
        </w:rPr>
        <w:t xml:space="preserve">and </w:t>
      </w:r>
      <w:r>
        <w:rPr>
          <w:rFonts w:ascii="Book Antiqua" w:eastAsia="Book Antiqua" w:hAnsi="Book Antiqua" w:cs="Book Antiqua"/>
          <w:color w:val="000000"/>
        </w:rPr>
        <w:t>No. D161100002716003.</w:t>
      </w:r>
    </w:p>
    <w:p w14:paraId="58A3EC90" w14:textId="77777777" w:rsidR="00A77B3E" w:rsidRDefault="00A77B3E">
      <w:pPr>
        <w:spacing w:line="360" w:lineRule="auto"/>
        <w:jc w:val="both"/>
      </w:pPr>
    </w:p>
    <w:p w14:paraId="23B74221" w14:textId="3CE28989" w:rsidR="00A77B3E" w:rsidRDefault="00282716">
      <w:pPr>
        <w:spacing w:line="360" w:lineRule="auto"/>
        <w:jc w:val="both"/>
      </w:pPr>
      <w:r>
        <w:rPr>
          <w:rFonts w:ascii="Book Antiqua" w:eastAsia="Book Antiqua" w:hAnsi="Book Antiqua" w:cs="Book Antiqua"/>
          <w:b/>
          <w:bCs/>
          <w:color w:val="000000"/>
        </w:rPr>
        <w:lastRenderedPageBreak/>
        <w:t xml:space="preserve">Corresponding author: Xiao-Yuan Xu, MD, Chief Physician, Professor, </w:t>
      </w:r>
      <w:r>
        <w:rPr>
          <w:rFonts w:ascii="Book Antiqua" w:eastAsia="Book Antiqua" w:hAnsi="Book Antiqua" w:cs="Book Antiqua"/>
          <w:color w:val="000000"/>
        </w:rPr>
        <w:t>Department of Infectious Diseases, Peking University First Hospital, No.</w:t>
      </w:r>
      <w:r w:rsidR="00BF1D3F">
        <w:rPr>
          <w:rFonts w:ascii="Book Antiqua" w:eastAsia="Book Antiqua" w:hAnsi="Book Antiqua" w:cs="Book Antiqua"/>
          <w:color w:val="000000"/>
        </w:rPr>
        <w:t xml:space="preserve"> </w:t>
      </w:r>
      <w:r>
        <w:rPr>
          <w:rFonts w:ascii="Book Antiqua" w:eastAsia="Book Antiqua" w:hAnsi="Book Antiqua" w:cs="Book Antiqua"/>
          <w:color w:val="000000"/>
        </w:rPr>
        <w:t>8 Xishiku Street, Beijing 100034, China. xiaoyuanxu6@163.com</w:t>
      </w:r>
    </w:p>
    <w:p w14:paraId="4870C275" w14:textId="77777777" w:rsidR="00A77B3E" w:rsidRDefault="00A77B3E">
      <w:pPr>
        <w:spacing w:line="360" w:lineRule="auto"/>
        <w:jc w:val="both"/>
      </w:pPr>
    </w:p>
    <w:p w14:paraId="28E0CD82" w14:textId="77777777" w:rsidR="00A77B3E" w:rsidRDefault="002827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5338C73F" w14:textId="77777777" w:rsidR="00A77B3E" w:rsidRDefault="002827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44409F9E" w14:textId="0FB408FE" w:rsidR="00A77B3E" w:rsidRDefault="00282716">
      <w:pPr>
        <w:spacing w:line="360" w:lineRule="auto"/>
        <w:jc w:val="both"/>
      </w:pPr>
      <w:r>
        <w:rPr>
          <w:rFonts w:ascii="Book Antiqua" w:eastAsia="Book Antiqua" w:hAnsi="Book Antiqua" w:cs="Book Antiqua"/>
          <w:b/>
          <w:bCs/>
          <w:color w:val="000000"/>
        </w:rPr>
        <w:t xml:space="preserve">Accepted: </w:t>
      </w:r>
      <w:r w:rsidR="00315F98" w:rsidRPr="00315F98">
        <w:rPr>
          <w:rFonts w:ascii="Book Antiqua" w:eastAsia="Book Antiqua" w:hAnsi="Book Antiqua" w:cs="Book Antiqua"/>
          <w:bCs/>
          <w:color w:val="000000"/>
        </w:rPr>
        <w:t>May 26, 2021</w:t>
      </w:r>
    </w:p>
    <w:p w14:paraId="7E38412B" w14:textId="418A7006" w:rsidR="00A77B3E" w:rsidRDefault="00282716">
      <w:pPr>
        <w:spacing w:line="360" w:lineRule="auto"/>
        <w:jc w:val="both"/>
      </w:pPr>
      <w:r>
        <w:rPr>
          <w:rFonts w:ascii="Book Antiqua" w:eastAsia="Book Antiqua" w:hAnsi="Book Antiqua" w:cs="Book Antiqua"/>
          <w:b/>
          <w:bCs/>
          <w:color w:val="000000"/>
        </w:rPr>
        <w:t xml:space="preserve">Published online: </w:t>
      </w:r>
      <w:r w:rsidR="006C3D2C" w:rsidRPr="00A04AB3">
        <w:rPr>
          <w:rFonts w:ascii="Book Antiqua" w:hAnsi="Book Antiqua" w:cs="Book Antiqua"/>
          <w:bCs/>
          <w:color w:val="000000"/>
          <w:lang w:eastAsia="zh-CN"/>
        </w:rPr>
        <w:t xml:space="preserve">July </w:t>
      </w:r>
      <w:r w:rsidR="006C3D2C">
        <w:rPr>
          <w:rFonts w:ascii="Book Antiqua" w:hAnsi="Book Antiqua" w:cs="Book Antiqua" w:hint="eastAsia"/>
          <w:bCs/>
          <w:color w:val="000000"/>
          <w:lang w:eastAsia="zh-CN"/>
        </w:rPr>
        <w:t>2</w:t>
      </w:r>
      <w:r w:rsidR="006C3D2C" w:rsidRPr="00A04AB3">
        <w:rPr>
          <w:rFonts w:ascii="Book Antiqua" w:hAnsi="Book Antiqua" w:cs="Book Antiqua"/>
          <w:bCs/>
          <w:color w:val="000000"/>
          <w:lang w:eastAsia="zh-CN"/>
        </w:rPr>
        <w:t>6</w:t>
      </w:r>
      <w:r w:rsidR="006C3D2C" w:rsidRPr="00A04AB3">
        <w:rPr>
          <w:rFonts w:ascii="Book Antiqua" w:hAnsi="Book Antiqua" w:cs="Book Antiqua" w:hint="eastAsia"/>
          <w:bCs/>
          <w:color w:val="000000"/>
          <w:lang w:eastAsia="zh-CN"/>
        </w:rPr>
        <w:t xml:space="preserve">, </w:t>
      </w:r>
      <w:r w:rsidR="006C3D2C">
        <w:rPr>
          <w:rFonts w:ascii="Book Antiqua" w:eastAsia="Book Antiqua" w:hAnsi="Book Antiqua" w:cs="Book Antiqua"/>
          <w:color w:val="000000"/>
        </w:rPr>
        <w:t>2021</w:t>
      </w:r>
    </w:p>
    <w:p w14:paraId="4F29077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10D312" w14:textId="77777777" w:rsidR="00A77B3E" w:rsidRDefault="00282716">
      <w:pPr>
        <w:spacing w:line="360" w:lineRule="auto"/>
        <w:jc w:val="both"/>
      </w:pPr>
      <w:r>
        <w:rPr>
          <w:rFonts w:ascii="Book Antiqua" w:eastAsia="Book Antiqua" w:hAnsi="Book Antiqua" w:cs="Book Antiqua"/>
          <w:b/>
          <w:color w:val="000000"/>
        </w:rPr>
        <w:t>Abstract</w:t>
      </w:r>
    </w:p>
    <w:p w14:paraId="447E4E21" w14:textId="77777777" w:rsidR="00A77B3E" w:rsidRDefault="00282716">
      <w:pPr>
        <w:spacing w:line="360" w:lineRule="auto"/>
        <w:jc w:val="both"/>
      </w:pPr>
      <w:r>
        <w:rPr>
          <w:rFonts w:ascii="Book Antiqua" w:eastAsia="Book Antiqua" w:hAnsi="Book Antiqua" w:cs="Book Antiqua"/>
          <w:color w:val="000000"/>
        </w:rPr>
        <w:t>BACKGROUND</w:t>
      </w:r>
    </w:p>
    <w:p w14:paraId="3C8813BE" w14:textId="2C0D8D48" w:rsidR="00A77B3E" w:rsidRDefault="00282716">
      <w:pPr>
        <w:spacing w:line="360" w:lineRule="auto"/>
        <w:jc w:val="both"/>
      </w:pPr>
      <w:r>
        <w:rPr>
          <w:rFonts w:ascii="Book Antiqua" w:eastAsia="Book Antiqua" w:hAnsi="Book Antiqua" w:cs="Book Antiqua"/>
          <w:color w:val="000000"/>
        </w:rPr>
        <w:t xml:space="preserve">Hepatitis B surface antigen (HBsAg) loss, a functional cure in patients with chronic hepatitis B (CHB) undergoing antiviral therapy, might be an ideal endpoint of antiviral treatment in clinical practice. The factors </w:t>
      </w:r>
      <w:r w:rsidR="00B24F78">
        <w:rPr>
          <w:rFonts w:ascii="Book Antiqua" w:eastAsia="Book Antiqua" w:hAnsi="Book Antiqua" w:cs="Book Antiqua"/>
          <w:color w:val="000000"/>
        </w:rPr>
        <w:t>that</w:t>
      </w:r>
      <w:r>
        <w:rPr>
          <w:rFonts w:ascii="Book Antiqua" w:eastAsia="Book Antiqua" w:hAnsi="Book Antiqua" w:cs="Book Antiqua"/>
          <w:color w:val="000000"/>
        </w:rPr>
        <w:t xml:space="preserve"> contribute to </w:t>
      </w:r>
      <w:r w:rsidRPr="00B24F78">
        <w:rPr>
          <w:rFonts w:ascii="Book Antiqua" w:eastAsia="Book Antiqua" w:hAnsi="Book Antiqua" w:cs="Book Antiqua"/>
          <w:color w:val="000000"/>
        </w:rPr>
        <w:t xml:space="preserve">the </w:t>
      </w:r>
      <w:r w:rsidR="001B20A1" w:rsidRPr="00373200">
        <w:rPr>
          <w:rFonts w:ascii="Book Antiqua" w:hAnsi="Book Antiqua" w:cs="Book Antiqua"/>
          <w:color w:val="000000"/>
          <w:lang w:eastAsia="zh-CN"/>
        </w:rPr>
        <w:t>fun</w:t>
      </w:r>
      <w:r w:rsidR="001B20A1" w:rsidRPr="00B24F78">
        <w:rPr>
          <w:rFonts w:ascii="Book Antiqua" w:eastAsia="Book Antiqua" w:hAnsi="Book Antiqua" w:cs="Book Antiqua"/>
          <w:color w:val="000000"/>
        </w:rPr>
        <w:t>ctional</w:t>
      </w:r>
      <w:r w:rsidR="001B20A1">
        <w:rPr>
          <w:rFonts w:ascii="Book Antiqua" w:eastAsia="Book Antiqua" w:hAnsi="Book Antiqua" w:cs="Book Antiqua"/>
          <w:color w:val="000000"/>
        </w:rPr>
        <w:t xml:space="preserve"> </w:t>
      </w:r>
      <w:r>
        <w:rPr>
          <w:rFonts w:ascii="Book Antiqua" w:eastAsia="Book Antiqua" w:hAnsi="Book Antiqua" w:cs="Book Antiqua"/>
          <w:color w:val="000000"/>
        </w:rPr>
        <w:t xml:space="preserve">cure remain unclear, and the predictors of functional cure are worth exploring. The concentration and kinetics of soluble programmed death-1 (sPD-1) in patients with CHB may play an important role in elucidating the immune response associated with functional cure after nucleos(t)ide analogs therapy. </w:t>
      </w:r>
    </w:p>
    <w:p w14:paraId="4B6A2C00" w14:textId="77777777" w:rsidR="00A77B3E" w:rsidRDefault="00A77B3E">
      <w:pPr>
        <w:spacing w:line="360" w:lineRule="auto"/>
        <w:jc w:val="both"/>
      </w:pPr>
    </w:p>
    <w:p w14:paraId="4326DCE2" w14:textId="77777777" w:rsidR="00A77B3E" w:rsidRDefault="00282716">
      <w:pPr>
        <w:spacing w:line="360" w:lineRule="auto"/>
        <w:jc w:val="both"/>
      </w:pPr>
      <w:r>
        <w:rPr>
          <w:rFonts w:ascii="Book Antiqua" w:eastAsia="Book Antiqua" w:hAnsi="Book Antiqua" w:cs="Book Antiqua"/>
          <w:color w:val="000000"/>
        </w:rPr>
        <w:t>AIM</w:t>
      </w:r>
    </w:p>
    <w:p w14:paraId="44F49E9F" w14:textId="77777777" w:rsidR="00A77B3E" w:rsidRDefault="00282716">
      <w:pPr>
        <w:spacing w:line="360" w:lineRule="auto"/>
        <w:jc w:val="both"/>
      </w:pPr>
      <w:r>
        <w:rPr>
          <w:rFonts w:ascii="Book Antiqua" w:eastAsia="Book Antiqua" w:hAnsi="Book Antiqua" w:cs="Book Antiqua"/>
          <w:color w:val="000000"/>
        </w:rPr>
        <w:t>To investigate the factors associated with HBsAg loss and explore the influence of sPD-1 Levels.</w:t>
      </w:r>
    </w:p>
    <w:p w14:paraId="77760F67" w14:textId="77777777" w:rsidR="00A77B3E" w:rsidRDefault="00A77B3E">
      <w:pPr>
        <w:spacing w:line="360" w:lineRule="auto"/>
        <w:jc w:val="both"/>
      </w:pPr>
    </w:p>
    <w:p w14:paraId="0739D3DD" w14:textId="77777777" w:rsidR="00A77B3E" w:rsidRDefault="00282716">
      <w:pPr>
        <w:spacing w:line="360" w:lineRule="auto"/>
        <w:jc w:val="both"/>
      </w:pPr>
      <w:r>
        <w:rPr>
          <w:rFonts w:ascii="Book Antiqua" w:eastAsia="Book Antiqua" w:hAnsi="Book Antiqua" w:cs="Book Antiqua"/>
          <w:color w:val="000000"/>
        </w:rPr>
        <w:t>METHODS</w:t>
      </w:r>
    </w:p>
    <w:p w14:paraId="5081790F" w14:textId="4703A06A" w:rsidR="00A77B3E" w:rsidRDefault="00282716">
      <w:pPr>
        <w:spacing w:line="360" w:lineRule="auto"/>
        <w:jc w:val="both"/>
      </w:pPr>
      <w:r>
        <w:rPr>
          <w:rFonts w:ascii="Book Antiqua" w:eastAsia="Book Antiqua" w:hAnsi="Book Antiqua" w:cs="Book Antiqua"/>
          <w:color w:val="000000"/>
        </w:rPr>
        <w:t xml:space="preserve">This study analyzed the data and samples from patients with CHB who underwent antiviral treatment in a non-interventional observational study conducted at Peking University First Hospital in Beijing (between 2007 and 2019). All patients were followed up: </w:t>
      </w:r>
      <w:r w:rsidR="00B24F78">
        <w:rPr>
          <w:rFonts w:ascii="Book Antiqua" w:eastAsia="Book Antiqua" w:hAnsi="Book Antiqua" w:cs="Book Antiqua"/>
          <w:color w:val="000000"/>
        </w:rPr>
        <w:t>S</w:t>
      </w:r>
      <w:r>
        <w:rPr>
          <w:rFonts w:ascii="Book Antiqua" w:eastAsia="Book Antiqua" w:hAnsi="Book Antiqua" w:cs="Book Antiqua"/>
          <w:color w:val="000000"/>
        </w:rPr>
        <w:t xml:space="preserve">erum samples were collected every </w:t>
      </w:r>
      <w:r w:rsidR="00B24F78">
        <w:rPr>
          <w:rFonts w:ascii="Book Antiqua" w:eastAsia="Book Antiqua" w:hAnsi="Book Antiqua" w:cs="Book Antiqua"/>
          <w:color w:val="000000"/>
        </w:rPr>
        <w:t>3 mo</w:t>
      </w:r>
      <w:r>
        <w:rPr>
          <w:rFonts w:ascii="Book Antiqua" w:eastAsia="Book Antiqua" w:hAnsi="Book Antiqua" w:cs="Book Antiqua"/>
          <w:color w:val="000000"/>
        </w:rPr>
        <w:t xml:space="preserve"> during the first year of antiviral treatment and every </w:t>
      </w:r>
      <w:r w:rsidR="00B24F78">
        <w:rPr>
          <w:rFonts w:ascii="Book Antiqua" w:eastAsia="Book Antiqua" w:hAnsi="Book Antiqua" w:cs="Book Antiqua"/>
          <w:color w:val="000000"/>
        </w:rPr>
        <w:t>6 mo</w:t>
      </w:r>
      <w:r>
        <w:rPr>
          <w:rFonts w:ascii="Book Antiqua" w:eastAsia="Book Antiqua" w:hAnsi="Book Antiqua" w:cs="Book Antiqua"/>
          <w:color w:val="000000"/>
        </w:rPr>
        <w:t xml:space="preserve"> thereafter.</w:t>
      </w:r>
      <w:r>
        <w:rPr>
          <w:rFonts w:ascii="Book Antiqua" w:eastAsia="Book Antiqua" w:hAnsi="Book Antiqua" w:cs="Book Antiqua"/>
          <w:color w:val="000000"/>
          <w:szCs w:val="21"/>
        </w:rPr>
        <w:t xml:space="preserve"> </w:t>
      </w:r>
      <w:r>
        <w:rPr>
          <w:rFonts w:ascii="Book Antiqua" w:eastAsia="Book Antiqua" w:hAnsi="Book Antiqua" w:cs="Book Antiqua"/>
          <w:color w:val="000000"/>
        </w:rPr>
        <w:t>Patients with positive hepatitis B e antigen levels at baseline and with available sequential samples who achieved HBsAg loss during antiviral treatment served as the case group. This case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further matched to 44 positive </w:t>
      </w:r>
      <w:r w:rsidR="00B24F78">
        <w:rPr>
          <w:rFonts w:ascii="Book Antiqua" w:eastAsia="Book Antiqua" w:hAnsi="Book Antiqua" w:cs="Book Antiqua"/>
          <w:color w:val="000000"/>
        </w:rPr>
        <w:t>hepatitis B e anti</w:t>
      </w:r>
      <w:r>
        <w:rPr>
          <w:rFonts w:ascii="Book Antiqua" w:eastAsia="Book Antiqua" w:hAnsi="Book Antiqua" w:cs="Book Antiqua"/>
          <w:color w:val="000000"/>
        </w:rPr>
        <w:t xml:space="preserve"> patients without HBsAg loss as controls.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Spearman’s rank correlation test and receiver operating characteristic curves analysis were performed.</w:t>
      </w:r>
    </w:p>
    <w:p w14:paraId="120E21FF" w14:textId="77777777" w:rsidR="00A77B3E" w:rsidRDefault="00A77B3E">
      <w:pPr>
        <w:spacing w:line="360" w:lineRule="auto"/>
        <w:jc w:val="both"/>
      </w:pPr>
    </w:p>
    <w:p w14:paraId="433AFC8B" w14:textId="77777777" w:rsidR="00A77B3E" w:rsidRDefault="00282716">
      <w:pPr>
        <w:spacing w:line="360" w:lineRule="auto"/>
        <w:jc w:val="both"/>
      </w:pPr>
      <w:r>
        <w:rPr>
          <w:rFonts w:ascii="Book Antiqua" w:eastAsia="Book Antiqua" w:hAnsi="Book Antiqua" w:cs="Book Antiqua"/>
          <w:color w:val="000000"/>
        </w:rPr>
        <w:t>RESULTS</w:t>
      </w:r>
    </w:p>
    <w:p w14:paraId="48F73038" w14:textId="394568C5" w:rsidR="00A77B3E" w:rsidRDefault="00282716">
      <w:pPr>
        <w:spacing w:line="360" w:lineRule="auto"/>
        <w:jc w:val="both"/>
      </w:pPr>
      <w:r>
        <w:rPr>
          <w:rFonts w:ascii="Book Antiqua" w:eastAsia="Book Antiqua" w:hAnsi="Book Antiqua" w:cs="Book Antiqua"/>
          <w:color w:val="000000"/>
        </w:rPr>
        <w:t>The sPD-1 Levels were higher in patients with HBsAg loss than in those without HBsAg loss from baseline to month 96, and the differences were significant between the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After 6 mo of antiviral treatment, the sPD-1 </w:t>
      </w:r>
      <w:r w:rsidR="00B24F78">
        <w:rPr>
          <w:rFonts w:ascii="Book Antiqua" w:eastAsia="Book Antiqua" w:hAnsi="Book Antiqua" w:cs="Book Antiqua"/>
          <w:color w:val="000000"/>
        </w:rPr>
        <w:t>l</w:t>
      </w:r>
      <w:r>
        <w:rPr>
          <w:rFonts w:ascii="Book Antiqua" w:eastAsia="Book Antiqua" w:hAnsi="Book Antiqua" w:cs="Book Antiqua"/>
          <w:color w:val="000000"/>
        </w:rPr>
        <w:t xml:space="preserve">evels were positively correlated with </w:t>
      </w:r>
      <w:r w:rsidR="00B24F78">
        <w:rPr>
          <w:rFonts w:ascii="Book Antiqua" w:eastAsia="Book Antiqua" w:hAnsi="Book Antiqua" w:cs="Book Antiqua"/>
          <w:color w:val="000000"/>
        </w:rPr>
        <w:t>alanine transaminase (</w:t>
      </w:r>
      <w:r>
        <w:rPr>
          <w:rFonts w:ascii="Book Antiqua" w:eastAsia="Book Antiqua" w:hAnsi="Book Antiqua" w:cs="Book Antiqua"/>
          <w:color w:val="000000"/>
        </w:rPr>
        <w:t>ALT</w:t>
      </w:r>
      <w:r w:rsidR="00B24F78">
        <w:rPr>
          <w:rFonts w:ascii="Book Antiqua" w:eastAsia="Book Antiqua" w:hAnsi="Book Antiqua" w:cs="Book Antiqua"/>
          <w:color w:val="000000"/>
        </w:rPr>
        <w:t>)</w:t>
      </w:r>
      <w:r>
        <w:rPr>
          <w:rFonts w:ascii="Book Antiqua" w:eastAsia="Book Antiqua" w:hAnsi="Book Antiqua" w:cs="Book Antiqua"/>
          <w:color w:val="000000"/>
        </w:rPr>
        <w:t xml:space="preserve"> levels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0.5103,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0.0017)</w:t>
      </w:r>
      <w:r w:rsidR="00BD20B6">
        <w:rPr>
          <w:rFonts w:ascii="Book Antiqua" w:eastAsia="Book Antiqua" w:hAnsi="Book Antiqua" w:cs="Book Antiqua"/>
          <w:color w:val="000000"/>
        </w:rPr>
        <w:t>, a</w:t>
      </w:r>
      <w:r>
        <w:rPr>
          <w:rFonts w:ascii="Book Antiqua" w:eastAsia="Book Antiqua" w:hAnsi="Book Antiqua" w:cs="Book Antiqua"/>
          <w:color w:val="000000"/>
        </w:rPr>
        <w:t xml:space="preserve">nd the sPD-1 </w:t>
      </w:r>
      <w:r w:rsidR="00BD20B6">
        <w:rPr>
          <w:rFonts w:ascii="Book Antiqua" w:eastAsia="Book Antiqua" w:hAnsi="Book Antiqua" w:cs="Book Antiqua"/>
          <w:color w:val="000000"/>
        </w:rPr>
        <w:t>l</w:t>
      </w:r>
      <w:r>
        <w:rPr>
          <w:rFonts w:ascii="Book Antiqua" w:eastAsia="Book Antiqua" w:hAnsi="Book Antiqua" w:cs="Book Antiqua"/>
          <w:color w:val="000000"/>
        </w:rPr>
        <w:t>evels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0.6883,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0.0192)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0.5601,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0.0703) levels in patients with HBsAg loss. After 12 mo of antiviral treatment, the sPD-1 </w:t>
      </w:r>
      <w:r w:rsidR="00BD20B6">
        <w:rPr>
          <w:rFonts w:ascii="Book Antiqua" w:eastAsia="Book Antiqua" w:hAnsi="Book Antiqua" w:cs="Book Antiqua"/>
          <w:color w:val="000000"/>
        </w:rPr>
        <w:t>l</w:t>
      </w:r>
      <w:r>
        <w:rPr>
          <w:rFonts w:ascii="Book Antiqua" w:eastAsia="Book Antiqua" w:hAnsi="Book Antiqua" w:cs="Book Antiqua"/>
          <w:color w:val="000000"/>
        </w:rPr>
        <w:t>evels also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0.8134,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0.0042)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0.6832,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0.0205) levels in patients with HBsAg loss. The sPD-1 </w:t>
      </w:r>
      <w:r w:rsidR="00BD20B6">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after 12 mo of antiviral treatment, especially at 24 (</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mo. After 6 mo of antiviral treatment, the AUC of sPD-1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BD20B6">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BD20B6">
        <w:rPr>
          <w:rFonts w:ascii="Book Antiqua" w:eastAsia="Book Antiqua" w:hAnsi="Book Antiqua" w:cs="Book Antiqua"/>
          <w:color w:val="000000"/>
        </w:rPr>
        <w:t>l</w:t>
      </w:r>
      <w:r>
        <w:rPr>
          <w:rFonts w:ascii="Book Antiqua" w:eastAsia="Book Antiqua" w:hAnsi="Book Antiqua" w:cs="Book Antiqua"/>
          <w:color w:val="000000"/>
        </w:rPr>
        <w:t>og pg/mL</w:t>
      </w:r>
      <w:r w:rsidR="00BD20B6">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4E01B85F" w14:textId="77777777" w:rsidR="00A77B3E" w:rsidRDefault="00A77B3E">
      <w:pPr>
        <w:spacing w:line="360" w:lineRule="auto"/>
        <w:jc w:val="both"/>
      </w:pPr>
    </w:p>
    <w:p w14:paraId="330B0129" w14:textId="77777777" w:rsidR="00A77B3E" w:rsidRDefault="00282716">
      <w:pPr>
        <w:spacing w:line="360" w:lineRule="auto"/>
        <w:jc w:val="both"/>
      </w:pPr>
      <w:r>
        <w:rPr>
          <w:rFonts w:ascii="Book Antiqua" w:eastAsia="Book Antiqua" w:hAnsi="Book Antiqua" w:cs="Book Antiqua"/>
          <w:color w:val="000000"/>
        </w:rPr>
        <w:t>CONCLUSION</w:t>
      </w:r>
    </w:p>
    <w:p w14:paraId="483843E8" w14:textId="36D11054" w:rsidR="00A77B3E" w:rsidRDefault="00282716">
      <w:pPr>
        <w:spacing w:line="360" w:lineRule="auto"/>
        <w:jc w:val="both"/>
      </w:pPr>
      <w:r>
        <w:rPr>
          <w:rFonts w:ascii="Book Antiqua" w:eastAsia="Book Antiqua" w:hAnsi="Book Antiqua" w:cs="Book Antiqua"/>
          <w:color w:val="000000"/>
        </w:rPr>
        <w:t xml:space="preserve">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at 6 mo can predict HBsAg loss after 144 mo of antiviral treatment. </w:t>
      </w:r>
    </w:p>
    <w:p w14:paraId="3191F618" w14:textId="77777777" w:rsidR="00A77B3E" w:rsidRDefault="00A77B3E">
      <w:pPr>
        <w:spacing w:line="360" w:lineRule="auto"/>
        <w:jc w:val="both"/>
      </w:pPr>
    </w:p>
    <w:p w14:paraId="479AD641" w14:textId="77777777" w:rsidR="00A77B3E" w:rsidRDefault="0028271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Programmed cell death 1 protein; Hepatitis B surface antigen; Chronic hepatitis B; Antiviral; </w:t>
      </w:r>
      <w:r>
        <w:rPr>
          <w:rFonts w:ascii="Book Antiqua" w:eastAsia="Book Antiqua" w:hAnsi="Book Antiqua" w:cs="Book Antiqua"/>
          <w:caps/>
          <w:color w:val="000000"/>
        </w:rPr>
        <w:t>n</w:t>
      </w:r>
      <w:r>
        <w:rPr>
          <w:rFonts w:ascii="Book Antiqua" w:eastAsia="Book Antiqua" w:hAnsi="Book Antiqua" w:cs="Book Antiqua"/>
          <w:color w:val="000000"/>
        </w:rPr>
        <w:t>ucleos(t)ide analogs; Hepatitis B e antigen</w:t>
      </w:r>
    </w:p>
    <w:p w14:paraId="398D96AF" w14:textId="77777777" w:rsidR="006D09B5" w:rsidRDefault="006D09B5" w:rsidP="006D09B5">
      <w:pPr>
        <w:spacing w:line="360" w:lineRule="auto"/>
        <w:jc w:val="both"/>
        <w:rPr>
          <w:lang w:eastAsia="zh-CN"/>
        </w:rPr>
      </w:pPr>
    </w:p>
    <w:p w14:paraId="07DA8C79" w14:textId="77777777" w:rsidR="006D09B5" w:rsidRPr="00026CB8" w:rsidRDefault="006D09B5" w:rsidP="006D09B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A1A45CC" w14:textId="77777777" w:rsidR="00A77B3E" w:rsidRDefault="00A77B3E">
      <w:pPr>
        <w:spacing w:line="360" w:lineRule="auto"/>
        <w:jc w:val="both"/>
      </w:pPr>
    </w:p>
    <w:p w14:paraId="379C2E08" w14:textId="77777777" w:rsidR="006C3D2C" w:rsidRDefault="00282716" w:rsidP="006C3D2C">
      <w:pPr>
        <w:spacing w:line="360" w:lineRule="auto"/>
        <w:jc w:val="both"/>
        <w:rPr>
          <w:rFonts w:ascii="Book Antiqua" w:hAnsi="Book Antiqua"/>
          <w:iCs/>
          <w:lang w:eastAsia="zh-CN"/>
        </w:rPr>
      </w:pPr>
      <w:r>
        <w:rPr>
          <w:rFonts w:ascii="Book Antiqua" w:eastAsia="Book Antiqua" w:hAnsi="Book Antiqua" w:cs="Book Antiqua"/>
          <w:color w:val="000000"/>
        </w:rPr>
        <w:t xml:space="preserve">Tan N, Luo H, Kang Q, Pan JL, Cheng R, Xi HL, Chen HY, Han YF, yang YP, Xu XY. Soluble programmed death-1 is predictive of </w:t>
      </w:r>
      <w:r w:rsidR="00F1292B">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loss in chronic hepatitis B patients after antiviral treatment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bookmarkStart w:id="0" w:name="OLE_LINK7"/>
      <w:r w:rsidR="006C3D2C" w:rsidRPr="00651643">
        <w:rPr>
          <w:rFonts w:ascii="Book Antiqua" w:hAnsi="Book Antiqua"/>
          <w:iCs/>
        </w:rPr>
        <w:t>202</w:t>
      </w:r>
      <w:r w:rsidR="006C3D2C">
        <w:rPr>
          <w:rFonts w:ascii="Book Antiqua" w:hAnsi="Book Antiqua" w:hint="eastAsia"/>
          <w:iCs/>
          <w:lang w:eastAsia="zh-CN"/>
        </w:rPr>
        <w:t>1</w:t>
      </w:r>
      <w:r w:rsidR="006C3D2C" w:rsidRPr="00651643">
        <w:rPr>
          <w:rFonts w:ascii="Book Antiqua" w:hAnsi="Book Antiqua"/>
          <w:iCs/>
        </w:rPr>
        <w:t>;</w:t>
      </w:r>
      <w:r w:rsidR="006C3D2C">
        <w:rPr>
          <w:rFonts w:ascii="Book Antiqua" w:hAnsi="Book Antiqua"/>
          <w:iCs/>
        </w:rPr>
        <w:t xml:space="preserve"> </w:t>
      </w:r>
      <w:r w:rsidR="006C3D2C">
        <w:rPr>
          <w:rFonts w:ascii="Book Antiqua" w:hAnsi="Book Antiqua" w:hint="eastAsia"/>
          <w:iCs/>
          <w:lang w:eastAsia="zh-CN"/>
        </w:rPr>
        <w:t>9</w:t>
      </w:r>
      <w:r w:rsidR="006C3D2C" w:rsidRPr="00651643">
        <w:rPr>
          <w:rFonts w:ascii="Book Antiqua" w:hAnsi="Book Antiqua"/>
          <w:iCs/>
        </w:rPr>
        <w:t>(</w:t>
      </w:r>
      <w:r w:rsidR="006C3D2C">
        <w:rPr>
          <w:rFonts w:ascii="Book Antiqua" w:hAnsi="Book Antiqua" w:hint="eastAsia"/>
          <w:iCs/>
          <w:lang w:eastAsia="zh-CN"/>
        </w:rPr>
        <w:t>21</w:t>
      </w:r>
      <w:r w:rsidR="006C3D2C" w:rsidRPr="00651643">
        <w:rPr>
          <w:rFonts w:ascii="Book Antiqua" w:hAnsi="Book Antiqua"/>
          <w:iCs/>
        </w:rPr>
        <w:t>):</w:t>
      </w:r>
      <w:r w:rsidR="006C3D2C">
        <w:rPr>
          <w:rFonts w:ascii="Book Antiqua" w:hAnsi="Book Antiqua"/>
          <w:iCs/>
        </w:rPr>
        <w:t xml:space="preserve"> </w:t>
      </w:r>
      <w:r w:rsidR="006C3D2C" w:rsidRPr="001C3CB6">
        <w:rPr>
          <w:rFonts w:ascii="Book Antiqua" w:hAnsi="Book Antiqua"/>
          <w:iCs/>
        </w:rPr>
        <w:t>5812-5821</w:t>
      </w:r>
      <w:bookmarkEnd w:id="0"/>
      <w:r w:rsidR="006C3D2C">
        <w:rPr>
          <w:rFonts w:ascii="Book Antiqua" w:hAnsi="Book Antiqua" w:hint="eastAsia"/>
          <w:iCs/>
        </w:rPr>
        <w:t xml:space="preserve"> </w:t>
      </w:r>
    </w:p>
    <w:p w14:paraId="7D9EBF25" w14:textId="77777777" w:rsidR="006C3D2C" w:rsidRDefault="006C3D2C" w:rsidP="006C3D2C">
      <w:pPr>
        <w:spacing w:line="360" w:lineRule="auto"/>
        <w:jc w:val="both"/>
        <w:rPr>
          <w:rFonts w:ascii="Book Antiqua" w:hAnsi="Book Antiqua"/>
          <w:iCs/>
          <w:lang w:eastAsia="zh-CN"/>
        </w:rPr>
      </w:pPr>
      <w:r w:rsidRPr="001C3CB6">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Pr="001C3CB6">
        <w:rPr>
          <w:rFonts w:ascii="Book Antiqua" w:hAnsi="Book Antiqua"/>
          <w:iCs/>
        </w:rPr>
        <w:t>5812</w:t>
      </w:r>
      <w:r>
        <w:rPr>
          <w:rFonts w:ascii="Book Antiqua" w:hAnsi="Book Antiqua"/>
          <w:iCs/>
        </w:rPr>
        <w:t>.htm</w:t>
      </w:r>
      <w:r>
        <w:rPr>
          <w:rFonts w:ascii="Book Antiqua" w:hAnsi="Book Antiqua" w:hint="eastAsia"/>
          <w:iCs/>
        </w:rPr>
        <w:t xml:space="preserve"> </w:t>
      </w:r>
    </w:p>
    <w:p w14:paraId="4E17F144" w14:textId="77777777" w:rsidR="006C3D2C" w:rsidRDefault="006C3D2C" w:rsidP="006C3D2C">
      <w:pPr>
        <w:spacing w:line="360" w:lineRule="auto"/>
        <w:jc w:val="both"/>
      </w:pPr>
      <w:r w:rsidRPr="001C3CB6">
        <w:rPr>
          <w:rFonts w:ascii="Book Antiqua" w:hAnsi="Book Antiqua"/>
          <w:b/>
          <w:iCs/>
        </w:rPr>
        <w:t xml:space="preserve">DOI: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Pr="001C3CB6">
        <w:rPr>
          <w:rFonts w:ascii="Book Antiqua" w:hAnsi="Book Antiqua"/>
          <w:iCs/>
        </w:rPr>
        <w:t>5812</w:t>
      </w:r>
    </w:p>
    <w:p w14:paraId="7CF44FD7" w14:textId="53E948D6" w:rsidR="00A77B3E" w:rsidRDefault="00A77B3E">
      <w:pPr>
        <w:spacing w:line="360" w:lineRule="auto"/>
        <w:jc w:val="both"/>
      </w:pPr>
    </w:p>
    <w:p w14:paraId="43A7D5CE" w14:textId="77777777" w:rsidR="00A77B3E" w:rsidRDefault="00A77B3E">
      <w:pPr>
        <w:spacing w:line="360" w:lineRule="auto"/>
        <w:jc w:val="both"/>
      </w:pPr>
    </w:p>
    <w:p w14:paraId="18C20C7E" w14:textId="31F3C22E" w:rsidR="00A77B3E" w:rsidRDefault="0028271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study analyzed the data and samples from patients with chronic hepatitis B who underwent antiviral treatment and were followed up for 12 years to investigate the factors associated with </w:t>
      </w:r>
      <w:r>
        <w:rPr>
          <w:rFonts w:ascii="Book Antiqua" w:eastAsia="Book Antiqua" w:hAnsi="Book Antiqua" w:cs="Book Antiqua"/>
          <w:color w:val="000000"/>
          <w:shd w:val="clear" w:color="auto" w:fill="FFFFFF"/>
        </w:rPr>
        <w:t>hepatitis B surface antigen</w:t>
      </w:r>
      <w:r>
        <w:rPr>
          <w:rFonts w:ascii="Book Antiqua" w:eastAsia="Book Antiqua" w:hAnsi="Book Antiqua" w:cs="Book Antiqua"/>
          <w:color w:val="000000"/>
        </w:rPr>
        <w:t xml:space="preserve"> (HBsAg) loss and explore the impact of soluble programmed death-1 (sPD-1) levels.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patients with and without HBsAg loss during antiviral treatment. 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at 6 mo can predict HBsAg loss after 12 years of antiviral treatment. </w:t>
      </w:r>
    </w:p>
    <w:p w14:paraId="6765EA47" w14:textId="77777777" w:rsidR="00A77B3E" w:rsidRDefault="00A77B3E">
      <w:pPr>
        <w:spacing w:line="360" w:lineRule="auto"/>
        <w:jc w:val="both"/>
      </w:pPr>
    </w:p>
    <w:p w14:paraId="4BD9A1F3" w14:textId="77777777" w:rsidR="00A77B3E" w:rsidRDefault="00282716">
      <w:pPr>
        <w:spacing w:line="360" w:lineRule="auto"/>
        <w:jc w:val="both"/>
      </w:pPr>
      <w:r>
        <w:rPr>
          <w:rFonts w:ascii="Book Antiqua" w:eastAsia="Book Antiqua" w:hAnsi="Book Antiqua" w:cs="Book Antiqua"/>
          <w:b/>
          <w:caps/>
          <w:color w:val="000000"/>
          <w:u w:val="single"/>
        </w:rPr>
        <w:t>INTRODUCTION</w:t>
      </w:r>
    </w:p>
    <w:p w14:paraId="7726C04A" w14:textId="716B345C" w:rsidR="00A77B3E" w:rsidRDefault="00282716">
      <w:pPr>
        <w:spacing w:line="360" w:lineRule="auto"/>
        <w:jc w:val="both"/>
      </w:pPr>
      <w:r>
        <w:rPr>
          <w:rFonts w:ascii="Book Antiqua" w:eastAsia="Book Antiqua" w:hAnsi="Book Antiqua" w:cs="Book Antiqua"/>
          <w:color w:val="000000"/>
        </w:rPr>
        <w:t>More than 240 million individuals worldwide are infected with chronic hepatitis B (CHB)</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them, 15%</w:t>
      </w:r>
      <w:r w:rsidR="00BD20B6">
        <w:rPr>
          <w:rFonts w:ascii="Book Antiqua" w:eastAsia="Book Antiqua" w:hAnsi="Book Antiqua" w:cs="Book Antiqua"/>
          <w:color w:val="000000"/>
        </w:rPr>
        <w:t>-</w:t>
      </w:r>
      <w:r>
        <w:rPr>
          <w:rFonts w:ascii="Book Antiqua" w:eastAsia="Book Antiqua" w:hAnsi="Book Antiqua" w:cs="Book Antiqua"/>
          <w:color w:val="000000"/>
        </w:rPr>
        <w:t>40% of untreated CHB cases progress to cirrhosis that may result in liver failure and even liver cancer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Nucleos(t)ide analogues (NAs) were widely used for antiviral treatment because of their none contraindications and high tolerability in patients with CHB</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Hepatitis B surface antigen</w:t>
      </w:r>
      <w:r>
        <w:rPr>
          <w:rFonts w:ascii="Book Antiqua" w:eastAsia="Book Antiqua" w:hAnsi="Book Antiqua" w:cs="Book Antiqua"/>
          <w:color w:val="000000"/>
        </w:rPr>
        <w:t xml:space="preserve"> (HBsAg) levels and other virological indicators such as hepatitis B virus (HBV) DNA and hepatitis B e antigen (HBeAg) are measured to monitor the effects of antiviral treatment during the follow-up of patients with CHB</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Since HBsAg levels reflect the transcriptional activity of covalently closed circular DNA, especially in HBeAg-positive patients, HBsAg loss, a functional cure in CHB patients undergoing antiviral therapy, might be an ideal endpoint of antiviral treatment in clinical practice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only 1%</w:t>
      </w:r>
      <w:r w:rsidR="00BD20B6">
        <w:rPr>
          <w:rFonts w:ascii="Book Antiqua" w:eastAsia="Book Antiqua" w:hAnsi="Book Antiqua" w:cs="Book Antiqua"/>
          <w:color w:val="000000"/>
        </w:rPr>
        <w:t>-</w:t>
      </w:r>
      <w:r>
        <w:rPr>
          <w:rFonts w:ascii="Book Antiqua" w:eastAsia="Book Antiqua" w:hAnsi="Book Antiqua" w:cs="Book Antiqua"/>
          <w:color w:val="000000"/>
        </w:rPr>
        <w:t>12% of CHB patients are cured in response to NA therapy within 5</w:t>
      </w:r>
      <w:r w:rsidR="009B2796">
        <w:rPr>
          <w:rFonts w:ascii="Book Antiqua" w:eastAsia="Book Antiqua" w:hAnsi="Book Antiqua" w:cs="Book Antiqua"/>
          <w:color w:val="000000"/>
        </w:rPr>
        <w:t>-</w:t>
      </w:r>
      <w:r>
        <w:rPr>
          <w:rFonts w:ascii="Book Antiqua" w:eastAsia="Book Antiqua" w:hAnsi="Book Antiqua" w:cs="Book Antiqua"/>
          <w:color w:val="000000"/>
        </w:rPr>
        <w:t>7 years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factors </w:t>
      </w:r>
      <w:r w:rsidR="00BD20B6">
        <w:rPr>
          <w:rFonts w:ascii="Book Antiqua" w:eastAsia="Book Antiqua" w:hAnsi="Book Antiqua" w:cs="Book Antiqua"/>
          <w:color w:val="000000"/>
        </w:rPr>
        <w:t xml:space="preserve">that </w:t>
      </w:r>
      <w:r>
        <w:rPr>
          <w:rFonts w:ascii="Book Antiqua" w:eastAsia="Book Antiqua" w:hAnsi="Book Antiqua" w:cs="Book Antiqua"/>
          <w:color w:val="000000"/>
        </w:rPr>
        <w:t>contribute to the cure remain unclear, and the predictors of functional cure are worth exploring.</w:t>
      </w:r>
    </w:p>
    <w:p w14:paraId="24ABCEFF" w14:textId="77777777" w:rsidR="00A77B3E" w:rsidRDefault="00282716">
      <w:pPr>
        <w:spacing w:line="360" w:lineRule="auto"/>
        <w:ind w:firstLine="360"/>
        <w:jc w:val="both"/>
      </w:pPr>
      <w:r>
        <w:rPr>
          <w:rFonts w:ascii="Book Antiqua" w:eastAsia="Book Antiqua" w:hAnsi="Book Antiqua" w:cs="Book Antiqua"/>
          <w:color w:val="000000"/>
        </w:rPr>
        <w:t>Functional HBV-specific T cells (with helper or cytotoxic effects) are considered as crucial factors that influence the prognosis of HBV-infected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HBV-specific T cell function is progressively impaired by exposure to chronic inflammation and high viral load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Programmed death-1 (PD-1) is considered a critical factor for T cell exhaustion in chronic infections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Studies have shown that HBV-specific T cells express PD-1, and the blockade of PD-1 and programmed death-ligand 1 (PD-L1) partially restores the function of T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E30C6B4" w14:textId="38C4A6E2" w:rsidR="00A77B3E" w:rsidRDefault="00282716">
      <w:pPr>
        <w:spacing w:line="360" w:lineRule="auto"/>
        <w:ind w:firstLine="360"/>
        <w:jc w:val="both"/>
      </w:pPr>
      <w:r>
        <w:rPr>
          <w:rFonts w:ascii="Book Antiqua" w:eastAsia="Book Antiqua" w:hAnsi="Book Antiqua" w:cs="Book Antiqua"/>
          <w:color w:val="000000"/>
        </w:rPr>
        <w:t xml:space="preserve">Recent studies measured serum PD-1 </w:t>
      </w:r>
      <w:r w:rsidR="00BD20B6">
        <w:rPr>
          <w:rFonts w:ascii="Book Antiqua" w:eastAsia="Book Antiqua" w:hAnsi="Book Antiqua" w:cs="Book Antiqua"/>
          <w:color w:val="000000"/>
        </w:rPr>
        <w:t>l</w:t>
      </w:r>
      <w:r>
        <w:rPr>
          <w:rFonts w:ascii="Book Antiqua" w:eastAsia="Book Antiqua" w:hAnsi="Book Antiqua" w:cs="Book Antiqua"/>
          <w:color w:val="000000"/>
        </w:rPr>
        <w:t>evels and considered whether serum PD-1 might compete with PD-L1 expressed on the cell surface and impair the inhibitory effects of PD-1/PD-L1 interactions on T cells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Nevertheless, the potential functional effects of serum PD-1 are not clear owing to the lack of relevant data. The concentration and kinetics of soluble PD-1 (sPD-1) in patients with CHB may play an important role in elucidating the immune response associated with functional cure after NA therapy. This study analyzed the data and samples from patients with CHB who underwent antiviral treatment and were followed up for 12 years to investigate the factors associated with HBsAg loss and explore the influence of sPD-1 Levels. </w:t>
      </w:r>
    </w:p>
    <w:p w14:paraId="6043DED3" w14:textId="77777777" w:rsidR="00A77B3E" w:rsidRDefault="00A77B3E">
      <w:pPr>
        <w:spacing w:line="360" w:lineRule="auto"/>
        <w:ind w:firstLine="360"/>
        <w:jc w:val="both"/>
      </w:pPr>
    </w:p>
    <w:p w14:paraId="26C8332C" w14:textId="77777777" w:rsidR="00A77B3E" w:rsidRDefault="00282716">
      <w:pPr>
        <w:spacing w:line="360" w:lineRule="auto"/>
        <w:jc w:val="both"/>
      </w:pPr>
      <w:r>
        <w:rPr>
          <w:rFonts w:ascii="Book Antiqua" w:eastAsia="Book Antiqua" w:hAnsi="Book Antiqua" w:cs="Book Antiqua"/>
          <w:b/>
          <w:caps/>
          <w:color w:val="000000"/>
          <w:u w:val="single"/>
        </w:rPr>
        <w:t>MATERIALS AND METHODS</w:t>
      </w:r>
    </w:p>
    <w:p w14:paraId="695FF5C0" w14:textId="77777777" w:rsidR="00A77B3E" w:rsidRDefault="00282716">
      <w:pPr>
        <w:spacing w:line="360" w:lineRule="auto"/>
        <w:jc w:val="both"/>
      </w:pPr>
      <w:r>
        <w:rPr>
          <w:rFonts w:ascii="Book Antiqua" w:eastAsia="Book Antiqua" w:hAnsi="Book Antiqua" w:cs="Book Antiqua"/>
          <w:b/>
          <w:bCs/>
          <w:i/>
          <w:iCs/>
          <w:color w:val="000000"/>
        </w:rPr>
        <w:t>Subjects and samples</w:t>
      </w:r>
    </w:p>
    <w:p w14:paraId="2163ADA1" w14:textId="71B83C76" w:rsidR="00A77B3E" w:rsidRDefault="00282716">
      <w:pPr>
        <w:spacing w:line="360" w:lineRule="auto"/>
        <w:jc w:val="both"/>
      </w:pPr>
      <w:r>
        <w:rPr>
          <w:rFonts w:ascii="Book Antiqua" w:eastAsia="Book Antiqua" w:hAnsi="Book Antiqua" w:cs="Book Antiqua"/>
          <w:color w:val="000000"/>
        </w:rPr>
        <w:t xml:space="preserve">Patients with CHB (HBsAg positive ≥ 6 mo) who initiated NA therapy in a non-interventional observational study conducted at Peking University First Hospital in Beijing (between 2007 and 2019) were enrolled in this study. All patients were followed up: </w:t>
      </w:r>
      <w:r w:rsidR="00BD20B6">
        <w:rPr>
          <w:rFonts w:ascii="Book Antiqua" w:eastAsia="Book Antiqua" w:hAnsi="Book Antiqua" w:cs="Book Antiqua"/>
          <w:color w:val="000000"/>
        </w:rPr>
        <w:t>S</w:t>
      </w:r>
      <w:r>
        <w:rPr>
          <w:rFonts w:ascii="Book Antiqua" w:eastAsia="Book Antiqua" w:hAnsi="Book Antiqua" w:cs="Book Antiqua"/>
          <w:color w:val="000000"/>
        </w:rPr>
        <w:t xml:space="preserve">erum samples were collected every </w:t>
      </w:r>
      <w:r w:rsidR="00BD20B6">
        <w:rPr>
          <w:rFonts w:ascii="Book Antiqua" w:eastAsia="Book Antiqua" w:hAnsi="Book Antiqua" w:cs="Book Antiqua"/>
          <w:color w:val="000000"/>
        </w:rPr>
        <w:t>3 mo</w:t>
      </w:r>
      <w:r>
        <w:rPr>
          <w:rFonts w:ascii="Book Antiqua" w:eastAsia="Book Antiqua" w:hAnsi="Book Antiqua" w:cs="Book Antiqua"/>
          <w:color w:val="000000"/>
        </w:rPr>
        <w:t xml:space="preserve"> during the first year of antiviral treatment and every </w:t>
      </w:r>
      <w:r w:rsidR="00BD20B6">
        <w:rPr>
          <w:rFonts w:ascii="Book Antiqua" w:eastAsia="Book Antiqua" w:hAnsi="Book Antiqua" w:cs="Book Antiqua"/>
          <w:color w:val="000000"/>
        </w:rPr>
        <w:t>6 mo</w:t>
      </w:r>
      <w:r>
        <w:rPr>
          <w:rFonts w:ascii="Book Antiqua" w:eastAsia="Book Antiqua" w:hAnsi="Book Antiqua" w:cs="Book Antiqua"/>
          <w:color w:val="000000"/>
        </w:rPr>
        <w:t xml:space="preserve"> thereafter. Patients with human immunodeficiency virus, hepatitis C virus, hepatitis D virus, hepatitis E virus, other liver diseases, hepatocellular carcinoma, cardiovascular disease, diabetes, pregnancy, or autoimmune disease were excluded. Patients who consume</w:t>
      </w:r>
      <w:r w:rsidR="00BD20B6">
        <w:rPr>
          <w:rFonts w:ascii="Book Antiqua" w:eastAsia="Book Antiqua" w:hAnsi="Book Antiqua" w:cs="Book Antiqua"/>
          <w:color w:val="000000"/>
        </w:rPr>
        <w:t>d</w:t>
      </w:r>
      <w:r>
        <w:rPr>
          <w:rFonts w:ascii="Book Antiqua" w:eastAsia="Book Antiqua" w:hAnsi="Book Antiqua" w:cs="Book Antiqua"/>
          <w:color w:val="000000"/>
        </w:rPr>
        <w:t xml:space="preserve"> alcoholic beverages were excluded. Patients with steatosis were also excluded according to ultrasound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HBeAg-</w:t>
      </w:r>
      <w:r w:rsidR="00BD20B6">
        <w:rPr>
          <w:rFonts w:ascii="Book Antiqua" w:eastAsia="Book Antiqua" w:hAnsi="Book Antiqua" w:cs="Book Antiqua"/>
          <w:color w:val="000000"/>
        </w:rPr>
        <w:t>p</w:t>
      </w:r>
      <w:r>
        <w:rPr>
          <w:rFonts w:ascii="Book Antiqua" w:eastAsia="Book Antiqua" w:hAnsi="Book Antiqua" w:cs="Book Antiqua"/>
          <w:color w:val="000000"/>
        </w:rPr>
        <w:t xml:space="preserve">ositive </w:t>
      </w:r>
      <w:r w:rsidR="00BD20B6">
        <w:rPr>
          <w:rFonts w:ascii="Book Antiqua" w:eastAsia="Book Antiqua" w:hAnsi="Book Antiqua" w:cs="Book Antiqua"/>
          <w:color w:val="000000"/>
        </w:rPr>
        <w:t>p</w:t>
      </w:r>
      <w:r>
        <w:rPr>
          <w:rFonts w:ascii="Book Antiqua" w:eastAsia="Book Antiqua" w:hAnsi="Book Antiqua" w:cs="Book Antiqua"/>
          <w:color w:val="000000"/>
        </w:rPr>
        <w:t>atients before NA treatment with available sequential samples and HBsAg loss during antiviral treatment served as the case group. This case group (</w:t>
      </w:r>
      <w:r>
        <w:rPr>
          <w:rFonts w:ascii="Book Antiqua" w:eastAsia="Book Antiqua" w:hAnsi="Book Antiqua" w:cs="Book Antiqua"/>
          <w:i/>
          <w:iCs/>
          <w:color w:val="000000"/>
        </w:rPr>
        <w:t>n =</w:t>
      </w:r>
      <w:r>
        <w:rPr>
          <w:rFonts w:ascii="Book Antiqua" w:eastAsia="Book Antiqua" w:hAnsi="Book Antiqua" w:cs="Book Antiqua"/>
          <w:color w:val="000000"/>
        </w:rPr>
        <w:t xml:space="preserve"> 11) was further matched to 44 positive HBeAg patients without HBsAg loss (Figure 1). These 55 patients were treated with NAs: </w:t>
      </w:r>
      <w:r w:rsidR="00BD20B6">
        <w:rPr>
          <w:rFonts w:ascii="Book Antiqua" w:eastAsia="Book Antiqua" w:hAnsi="Book Antiqua" w:cs="Book Antiqua"/>
          <w:color w:val="000000"/>
        </w:rPr>
        <w:t>L</w:t>
      </w:r>
      <w:r>
        <w:rPr>
          <w:rFonts w:ascii="Book Antiqua" w:eastAsia="Book Antiqua" w:hAnsi="Book Antiqua" w:cs="Book Antiqua"/>
          <w:color w:val="000000"/>
        </w:rPr>
        <w:t>amivudine 100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3), adefovir dipivoxil 10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17), or entecavir 0.5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35) as monotherapy for 144 mo. All participants provided written informed consent, and the study was approved by the ethics committee of Peking University First Hospital. The study protocol conformed to the ethical guidelines of the Declaration of Helsinki and was approved by the Ethics Committee of Shanghai Jing’an District Central Hospital (Approval no. 090f51e6809a26e1 v1.0). </w:t>
      </w:r>
    </w:p>
    <w:p w14:paraId="0808BC07" w14:textId="77777777" w:rsidR="00A77B3E" w:rsidRDefault="00A77B3E">
      <w:pPr>
        <w:spacing w:line="360" w:lineRule="auto"/>
        <w:jc w:val="both"/>
      </w:pPr>
    </w:p>
    <w:p w14:paraId="52221768" w14:textId="77777777" w:rsidR="00A77B3E" w:rsidRDefault="00282716">
      <w:pPr>
        <w:spacing w:line="360" w:lineRule="auto"/>
        <w:jc w:val="both"/>
      </w:pPr>
      <w:r>
        <w:rPr>
          <w:rFonts w:ascii="Book Antiqua" w:eastAsia="Book Antiqua" w:hAnsi="Book Antiqua" w:cs="Book Antiqua"/>
          <w:b/>
          <w:bCs/>
          <w:i/>
          <w:iCs/>
          <w:color w:val="000000"/>
        </w:rPr>
        <w:t>Tests</w:t>
      </w:r>
    </w:p>
    <w:p w14:paraId="00E8D9D6" w14:textId="682CA6F8" w:rsidR="00A77B3E" w:rsidRDefault="00282716">
      <w:pPr>
        <w:spacing w:line="360" w:lineRule="auto"/>
        <w:jc w:val="both"/>
      </w:pPr>
      <w:r>
        <w:rPr>
          <w:rFonts w:ascii="Book Antiqua" w:eastAsia="Book Antiqua" w:hAnsi="Book Antiqua" w:cs="Book Antiqua"/>
          <w:color w:val="000000"/>
        </w:rPr>
        <w:t xml:space="preserve">HBsAg </w:t>
      </w:r>
      <w:r w:rsidR="00BD20B6">
        <w:rPr>
          <w:rFonts w:ascii="Book Antiqua" w:eastAsia="Book Antiqua" w:hAnsi="Book Antiqua" w:cs="Book Antiqua"/>
          <w:color w:val="000000"/>
        </w:rPr>
        <w:t>[</w:t>
      </w:r>
      <w:r>
        <w:rPr>
          <w:rFonts w:ascii="Book Antiqua" w:eastAsia="Book Antiqua" w:hAnsi="Book Antiqua" w:cs="Book Antiqua"/>
          <w:color w:val="000000"/>
        </w:rPr>
        <w:t>hepatitis surface antibody (anti-HBs)</w:t>
      </w:r>
      <w:r w:rsidR="00BD20B6">
        <w:rPr>
          <w:rFonts w:ascii="Book Antiqua" w:eastAsia="Book Antiqua" w:hAnsi="Book Antiqua" w:cs="Book Antiqua"/>
          <w:color w:val="000000"/>
        </w:rPr>
        <w:t>]</w:t>
      </w:r>
      <w:r>
        <w:rPr>
          <w:rFonts w:ascii="Book Antiqua" w:eastAsia="Book Antiqua" w:hAnsi="Book Antiqua" w:cs="Book Antiqua"/>
          <w:color w:val="000000"/>
        </w:rPr>
        <w:t xml:space="preserve"> and HBeAg (anti-HBe) levels were measured using chemiluminescence assay kits (Roche Diagnostics GmbH, Mannheim, Germany). The COBAS TaqMan assay (Roche Diagnostics, Basel, Switzerland) was used to quantify serum HBV DNA levels (lower limit of detection, 100 IU/mL). Serum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in CHB patients were measured using an </w:t>
      </w:r>
      <w:r w:rsidR="00BD20B6">
        <w:rPr>
          <w:rFonts w:ascii="Book Antiqua" w:eastAsia="Book Antiqua" w:hAnsi="Book Antiqua" w:cs="Book Antiqua"/>
          <w:color w:val="000000"/>
        </w:rPr>
        <w:t>enzyme-linked immunosorbent assay (</w:t>
      </w:r>
      <w:r>
        <w:rPr>
          <w:rFonts w:ascii="Book Antiqua" w:eastAsia="Book Antiqua" w:hAnsi="Book Antiqua" w:cs="Book Antiqua"/>
          <w:color w:val="000000"/>
        </w:rPr>
        <w:t>ELISA</w:t>
      </w:r>
      <w:r w:rsidR="00BD20B6">
        <w:rPr>
          <w:rFonts w:ascii="Book Antiqua" w:eastAsia="Book Antiqua" w:hAnsi="Book Antiqua" w:cs="Book Antiqua"/>
          <w:color w:val="000000"/>
        </w:rPr>
        <w:t>)</w:t>
      </w:r>
      <w:r>
        <w:rPr>
          <w:rFonts w:ascii="Book Antiqua" w:eastAsia="Book Antiqua" w:hAnsi="Book Antiqua" w:cs="Book Antiqua"/>
          <w:color w:val="000000"/>
        </w:rPr>
        <w:t xml:space="preserve"> kit (DuoSet Human PD-1, R&amp;D Systems, Minneapolis, MN, United States) according to the manufacturer’s instructions, and absorbance was measured at 450 nm. Serum alanine transaminase (ALT) levels were assessed at the Peking University First Hospital using a standard procedure. The upper limit of normal</w:t>
      </w:r>
      <w:r w:rsidR="00BD20B6">
        <w:rPr>
          <w:rFonts w:ascii="Book Antiqua" w:eastAsia="Book Antiqua" w:hAnsi="Book Antiqua" w:cs="Book Antiqua"/>
          <w:color w:val="000000"/>
        </w:rPr>
        <w:t xml:space="preserve"> </w:t>
      </w:r>
      <w:r>
        <w:rPr>
          <w:rFonts w:ascii="Book Antiqua" w:eastAsia="Book Antiqua" w:hAnsi="Book Antiqua" w:cs="Book Antiqua"/>
          <w:color w:val="000000"/>
        </w:rPr>
        <w:t>ALT level was 50 U/L in men and 40 U/L in women.</w:t>
      </w:r>
    </w:p>
    <w:p w14:paraId="7FF98D2D" w14:textId="77777777" w:rsidR="00A77B3E" w:rsidRDefault="00A77B3E">
      <w:pPr>
        <w:spacing w:line="360" w:lineRule="auto"/>
        <w:jc w:val="both"/>
      </w:pPr>
    </w:p>
    <w:p w14:paraId="23A9FE86" w14:textId="77777777" w:rsidR="00A77B3E" w:rsidRDefault="00282716">
      <w:pPr>
        <w:spacing w:line="360" w:lineRule="auto"/>
        <w:jc w:val="both"/>
      </w:pPr>
      <w:r>
        <w:rPr>
          <w:rFonts w:ascii="Book Antiqua" w:eastAsia="Book Antiqua" w:hAnsi="Book Antiqua" w:cs="Book Antiqua"/>
          <w:b/>
          <w:bCs/>
          <w:i/>
          <w:iCs/>
          <w:color w:val="000000"/>
        </w:rPr>
        <w:t>Statistical analysis</w:t>
      </w:r>
    </w:p>
    <w:p w14:paraId="4B960D68" w14:textId="6F9B4FA8" w:rsidR="00A77B3E" w:rsidRDefault="00282716">
      <w:pPr>
        <w:spacing w:line="360" w:lineRule="auto"/>
        <w:jc w:val="both"/>
      </w:pPr>
      <w:r>
        <w:rPr>
          <w:rFonts w:ascii="Book Antiqua" w:eastAsia="Book Antiqua" w:hAnsi="Book Antiqua" w:cs="Book Antiqua"/>
          <w:color w:val="000000"/>
        </w:rPr>
        <w:t xml:space="preserve">Baseline was defined as the time at which NA therapy was initiated. Continuous variables were expressed as median (interquartile range, IQR). Categorical variables were expressed as values. Continuous variables were compared using a two-tailed Student’s </w:t>
      </w:r>
      <w:r>
        <w:rPr>
          <w:rFonts w:ascii="Book Antiqua" w:eastAsia="Book Antiqua" w:hAnsi="Book Antiqua" w:cs="Book Antiqua"/>
          <w:i/>
          <w:iCs/>
          <w:color w:val="000000"/>
        </w:rPr>
        <w:t>t</w:t>
      </w:r>
      <w:r>
        <w:rPr>
          <w:rFonts w:ascii="Book Antiqua" w:eastAsia="Book Antiqua" w:hAnsi="Book Antiqua" w:cs="Book Antiqua"/>
          <w:color w:val="000000"/>
        </w:rPr>
        <w:t>-test or Mann</w:t>
      </w:r>
      <w:r w:rsidR="009B2796">
        <w:rPr>
          <w:rFonts w:ascii="Book Antiqua" w:eastAsia="Book Antiqua" w:hAnsi="Book Antiqua" w:cs="Book Antiqua"/>
          <w:color w:val="000000"/>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depending on the distribution. Correlations between sPD-1 and detection markers were assessed using the Spearman’s rank correlation test. The predictive value of different biomarkers for HBsAg loss during treatment was summarized using receiver operating characteristic (ROC) curves. Data were analyzed using the SPSS software, version 25 [SPSS Inc. (IBM Corp., Armonk, NY, United States]. Statistical tests were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w:t>
      </w:r>
    </w:p>
    <w:p w14:paraId="568D277F" w14:textId="77777777" w:rsidR="00A77B3E" w:rsidRDefault="00A77B3E">
      <w:pPr>
        <w:spacing w:line="360" w:lineRule="auto"/>
        <w:jc w:val="both"/>
      </w:pPr>
    </w:p>
    <w:p w14:paraId="00310F61" w14:textId="77777777" w:rsidR="00A77B3E" w:rsidRDefault="00282716">
      <w:pPr>
        <w:spacing w:line="360" w:lineRule="auto"/>
        <w:jc w:val="both"/>
      </w:pPr>
      <w:r>
        <w:rPr>
          <w:rFonts w:ascii="Book Antiqua" w:eastAsia="Book Antiqua" w:hAnsi="Book Antiqua" w:cs="Book Antiqua"/>
          <w:b/>
          <w:bCs/>
          <w:i/>
          <w:iCs/>
          <w:color w:val="000000"/>
        </w:rPr>
        <w:t>Patient and public involvement statement</w:t>
      </w:r>
    </w:p>
    <w:p w14:paraId="7527A05A" w14:textId="77777777" w:rsidR="00A77B3E" w:rsidRDefault="00282716">
      <w:pPr>
        <w:spacing w:line="360" w:lineRule="auto"/>
        <w:jc w:val="both"/>
      </w:pPr>
      <w:r>
        <w:rPr>
          <w:rFonts w:ascii="Book Antiqua" w:eastAsia="Book Antiqua" w:hAnsi="Book Antiqua" w:cs="Book Antiqua"/>
          <w:color w:val="000000"/>
        </w:rPr>
        <w:t xml:space="preserve">Neither the patients nor the public were involved in the design, conduct, report, or dissemination of our research. </w:t>
      </w:r>
    </w:p>
    <w:p w14:paraId="0C3F8BAB" w14:textId="77777777" w:rsidR="00A77B3E" w:rsidRDefault="00A77B3E">
      <w:pPr>
        <w:spacing w:line="360" w:lineRule="auto"/>
        <w:jc w:val="both"/>
      </w:pPr>
    </w:p>
    <w:p w14:paraId="7CDDE16E" w14:textId="77777777" w:rsidR="00A77B3E" w:rsidRDefault="00282716">
      <w:pPr>
        <w:spacing w:line="360" w:lineRule="auto"/>
        <w:jc w:val="both"/>
      </w:pPr>
      <w:r>
        <w:rPr>
          <w:rFonts w:ascii="Book Antiqua" w:eastAsia="Book Antiqua" w:hAnsi="Book Antiqua" w:cs="Book Antiqua"/>
          <w:b/>
          <w:caps/>
          <w:color w:val="000000"/>
          <w:u w:val="single"/>
        </w:rPr>
        <w:t>RESULTS</w:t>
      </w:r>
    </w:p>
    <w:p w14:paraId="671E2FA5" w14:textId="77777777" w:rsidR="00A77B3E" w:rsidRDefault="00282716">
      <w:pPr>
        <w:spacing w:line="360" w:lineRule="auto"/>
        <w:jc w:val="both"/>
      </w:pPr>
      <w:r>
        <w:rPr>
          <w:rFonts w:ascii="Book Antiqua" w:eastAsia="Book Antiqua" w:hAnsi="Book Antiqua" w:cs="Book Antiqua"/>
          <w:b/>
          <w:bCs/>
          <w:i/>
          <w:iCs/>
          <w:color w:val="000000"/>
        </w:rPr>
        <w:t>Baseline data characteristics</w:t>
      </w:r>
    </w:p>
    <w:p w14:paraId="0C16C25C" w14:textId="140E6B30" w:rsidR="00A77B3E" w:rsidRDefault="00282716">
      <w:pPr>
        <w:spacing w:line="360" w:lineRule="auto"/>
        <w:jc w:val="both"/>
      </w:pPr>
      <w:r>
        <w:rPr>
          <w:rFonts w:ascii="Book Antiqua" w:eastAsia="Book Antiqua" w:hAnsi="Book Antiqua" w:cs="Book Antiqua"/>
          <w:color w:val="000000"/>
        </w:rPr>
        <w:t xml:space="preserve">Before treatment, the patient's baseline period was defined. The baseline characteristics of the 55 patients are presented in Table 1. The median age of patients with HBsAg loss was 35 years (IQR: 23.00–38.00) and that of patients without HBsAg loss was 36.5 (IQR: 28.00–42.75). In the patients with HBsAg loss, 10 were male and 1 was female. In the patients without HBsAg loss, 37 were male and 7 were female. The median values of ALT, HBV DNA, HBsAg, and sPD-1 in patients with HBsAg loss were 140 IU/mL, 8.447 </w:t>
      </w:r>
      <w:r w:rsidR="00914456">
        <w:rPr>
          <w:rFonts w:ascii="Book Antiqua" w:eastAsia="Book Antiqua" w:hAnsi="Book Antiqua" w:cs="Book Antiqua"/>
          <w:color w:val="000000"/>
        </w:rPr>
        <w:t>l</w:t>
      </w:r>
      <w:r>
        <w:rPr>
          <w:rFonts w:ascii="Book Antiqua" w:eastAsia="Book Antiqua" w:hAnsi="Book Antiqua" w:cs="Book Antiqua"/>
          <w:color w:val="000000"/>
        </w:rPr>
        <w:t>og IU/mL, 3.331 log IU/mL, and 2.766 Log IU/mL, respectively. There were no statistical differences in age, sex, ALT, HBV DNA, HBsAg levels</w:t>
      </w:r>
      <w:r w:rsidR="00914456">
        <w:rPr>
          <w:rFonts w:ascii="Book Antiqua" w:eastAsia="Book Antiqua" w:hAnsi="Book Antiqua" w:cs="Book Antiqua"/>
          <w:color w:val="000000"/>
        </w:rPr>
        <w:t>,</w:t>
      </w:r>
      <w:r>
        <w:rPr>
          <w:rFonts w:ascii="Book Antiqua" w:eastAsia="Book Antiqua" w:hAnsi="Book Antiqua" w:cs="Book Antiqua"/>
          <w:color w:val="000000"/>
        </w:rPr>
        <w:t xml:space="preserve"> and response to antiviral therapy between the two groups at baseline.</w:t>
      </w:r>
    </w:p>
    <w:p w14:paraId="602AE8BC" w14:textId="77777777" w:rsidR="00A77B3E" w:rsidRDefault="00A77B3E">
      <w:pPr>
        <w:spacing w:line="360" w:lineRule="auto"/>
        <w:jc w:val="both"/>
      </w:pPr>
    </w:p>
    <w:p w14:paraId="692F5FAB" w14:textId="77777777" w:rsidR="00A77B3E" w:rsidRDefault="00282716">
      <w:pPr>
        <w:spacing w:line="360" w:lineRule="auto"/>
        <w:jc w:val="both"/>
      </w:pPr>
      <w:r>
        <w:rPr>
          <w:rFonts w:ascii="Book Antiqua" w:eastAsia="Book Antiqua" w:hAnsi="Book Antiqua" w:cs="Book Antiqua"/>
          <w:b/>
          <w:bCs/>
          <w:i/>
          <w:iCs/>
          <w:color w:val="000000"/>
        </w:rPr>
        <w:t>Dynamics of HBV DNA, ALT, and HBsAg levels during NA treatment</w:t>
      </w:r>
    </w:p>
    <w:p w14:paraId="59760820" w14:textId="0832C3EB" w:rsidR="00A77B3E" w:rsidRDefault="00282716">
      <w:pPr>
        <w:spacing w:line="360" w:lineRule="auto"/>
        <w:jc w:val="both"/>
      </w:pPr>
      <w:r>
        <w:rPr>
          <w:rFonts w:ascii="Book Antiqua" w:eastAsia="Book Antiqua" w:hAnsi="Book Antiqua" w:cs="Book Antiqua"/>
          <w:color w:val="000000"/>
        </w:rPr>
        <w:t>During NA treatment, HBV DNA levels decreased in all patients with similar kinetics, and there were no statistical differences at different time points between the two groups (Figure 2A). HBV DNA was undetectable in patients with HBsAg loss after 60 mo of antiviral treatment. After 132 mo of antiviral treatment, HBV DNA levels were undetectable in all patients. The time to HBV DNA undetectable of each patient from baseline was calculated, and there was no statistical difference between two groups of patients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0.0805). </w:t>
      </w:r>
    </w:p>
    <w:p w14:paraId="202287C6" w14:textId="77777777" w:rsidR="00A77B3E" w:rsidRDefault="00282716">
      <w:pPr>
        <w:spacing w:line="360" w:lineRule="auto"/>
        <w:ind w:firstLine="240"/>
        <w:jc w:val="both"/>
      </w:pPr>
      <w:r>
        <w:rPr>
          <w:rFonts w:ascii="Book Antiqua" w:eastAsia="Book Antiqua" w:hAnsi="Book Antiqua" w:cs="Book Antiqua"/>
          <w:color w:val="000000"/>
        </w:rPr>
        <w:t>ALT levels decreased after antiviral treatment in the two groups of patients, and there was no statistical difference between two groups at different time points in ALT levels (Figure 2B). The time to the normalization of ALT levels from baseline of each patient showed no statistical difference between the two groups of patients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0.3678). ALT levels in patients with HBsAg loss normalized after an average of 7.91 mo, whereas that in patients without HBsAg loss normalized after an average of 13.77 mo.</w:t>
      </w:r>
    </w:p>
    <w:p w14:paraId="67BF69BB" w14:textId="68E70CD7" w:rsidR="00A77B3E" w:rsidRDefault="00282716">
      <w:pPr>
        <w:spacing w:line="360" w:lineRule="auto"/>
        <w:ind w:firstLine="240"/>
        <w:jc w:val="both"/>
      </w:pPr>
      <w:r>
        <w:rPr>
          <w:rFonts w:ascii="Book Antiqua" w:eastAsia="Book Antiqua" w:hAnsi="Book Antiqua" w:cs="Book Antiqua"/>
          <w:color w:val="000000"/>
        </w:rPr>
        <w:t>The median HBsAg level (log10 IU/mL) in patients with or without HBsAg loss was similar between the two groups before month 12 (Figure 2C). HBsAg levels were statistically different between the two groups after 12 mo of antiviral treatment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0.0022). In patients with HBsAg loss, HBsAg level (log10 IU/mL) showed a significant decline from 3.33 (2.83</w:t>
      </w:r>
      <w:r w:rsidR="002C5A10">
        <w:rPr>
          <w:rFonts w:ascii="Book Antiqua" w:eastAsia="Book Antiqua" w:hAnsi="Book Antiqua" w:cs="Book Antiqua"/>
          <w:color w:val="000000"/>
        </w:rPr>
        <w:t>-</w:t>
      </w:r>
      <w:r>
        <w:rPr>
          <w:rFonts w:ascii="Book Antiqua" w:eastAsia="Book Antiqua" w:hAnsi="Book Antiqua" w:cs="Book Antiqua"/>
          <w:color w:val="000000"/>
        </w:rPr>
        <w:t>4.58) log10 IU/mL before treatment to 2.973 (0.9415–3.748) log10 IU/mL after 12 mo (Figure 2C), and it decreased gradually thereafter. HBsAg in patients without HBsAg loss remained high during NA treatment.</w:t>
      </w:r>
    </w:p>
    <w:p w14:paraId="35480A9E" w14:textId="77777777" w:rsidR="00A77B3E" w:rsidRDefault="00A77B3E">
      <w:pPr>
        <w:spacing w:line="360" w:lineRule="auto"/>
        <w:ind w:firstLine="240"/>
        <w:jc w:val="both"/>
      </w:pPr>
    </w:p>
    <w:p w14:paraId="27CC2784" w14:textId="77777777" w:rsidR="00A77B3E" w:rsidRDefault="00282716">
      <w:pPr>
        <w:spacing w:line="360" w:lineRule="auto"/>
        <w:jc w:val="both"/>
      </w:pPr>
      <w:r>
        <w:rPr>
          <w:rFonts w:ascii="Book Antiqua" w:eastAsia="Book Antiqua" w:hAnsi="Book Antiqua" w:cs="Book Antiqua"/>
          <w:b/>
          <w:bCs/>
          <w:i/>
          <w:iCs/>
          <w:color w:val="000000"/>
        </w:rPr>
        <w:t>HBeAg seroconversion after antiviral treatment</w:t>
      </w:r>
    </w:p>
    <w:p w14:paraId="5E14BDCE" w14:textId="77777777" w:rsidR="00A77B3E" w:rsidRDefault="00282716">
      <w:pPr>
        <w:spacing w:line="360" w:lineRule="auto"/>
        <w:jc w:val="both"/>
      </w:pPr>
      <w:r>
        <w:rPr>
          <w:rFonts w:ascii="Book Antiqua" w:eastAsia="Book Antiqua" w:hAnsi="Book Antiqua" w:cs="Book Antiqua"/>
          <w:color w:val="000000"/>
        </w:rPr>
        <w:t xml:space="preserve">All patients with HBsAg loss achieved HBeAg seroconversion after 120 mo. Among patients without subsequent HBsAg loss, 18 did not achieve HBeAg seroconversion during 144 mo of follow-up. Among patients with HBeAg seroconversion, the average time of HBeAg seroconversion was 43.09 mo in patients with HBsAg loss and 48.596 mo in patients without HBsAg loss and showed no statistical difference between the two groups. </w:t>
      </w:r>
    </w:p>
    <w:p w14:paraId="5CC27348" w14:textId="77777777" w:rsidR="00A77B3E" w:rsidRDefault="00A77B3E">
      <w:pPr>
        <w:spacing w:line="360" w:lineRule="auto"/>
        <w:jc w:val="both"/>
      </w:pPr>
    </w:p>
    <w:p w14:paraId="2ACD7D21" w14:textId="1E92B9AF" w:rsidR="00A77B3E" w:rsidRDefault="00282716">
      <w:pPr>
        <w:spacing w:line="360" w:lineRule="auto"/>
        <w:jc w:val="both"/>
      </w:pPr>
      <w:r>
        <w:rPr>
          <w:rFonts w:ascii="Book Antiqua" w:eastAsia="Book Antiqua" w:hAnsi="Book Antiqua" w:cs="Book Antiqua"/>
          <w:b/>
          <w:bCs/>
          <w:i/>
          <w:iCs/>
          <w:color w:val="000000"/>
        </w:rPr>
        <w:t xml:space="preserve">Association between sPD-1 </w:t>
      </w:r>
      <w:r w:rsidR="00914456">
        <w:rPr>
          <w:rFonts w:ascii="Book Antiqua" w:eastAsia="Book Antiqua" w:hAnsi="Book Antiqua" w:cs="Book Antiqua"/>
          <w:b/>
          <w:bCs/>
          <w:i/>
          <w:iCs/>
          <w:color w:val="000000"/>
        </w:rPr>
        <w:t>l</w:t>
      </w:r>
      <w:r>
        <w:rPr>
          <w:rFonts w:ascii="Book Antiqua" w:eastAsia="Book Antiqua" w:hAnsi="Book Antiqua" w:cs="Book Antiqua"/>
          <w:b/>
          <w:bCs/>
          <w:i/>
          <w:iCs/>
          <w:color w:val="000000"/>
        </w:rPr>
        <w:t>evels before and during NA treatment and subsequent HBsAg loss</w:t>
      </w:r>
    </w:p>
    <w:p w14:paraId="28462B03" w14:textId="1A17DF2C" w:rsidR="00A77B3E" w:rsidRDefault="00282716">
      <w:pPr>
        <w:spacing w:line="360" w:lineRule="auto"/>
        <w:jc w:val="both"/>
      </w:pPr>
      <w:r>
        <w:rPr>
          <w:rFonts w:ascii="Book Antiqua" w:eastAsia="Book Antiqua" w:hAnsi="Book Antiqua" w:cs="Book Antiqua"/>
          <w:color w:val="000000"/>
        </w:rPr>
        <w:t xml:space="preserve">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higher in patients with HBsAg loss than in those without HBsAg loss from baseline to month 96 (Figure 2D), and the differences were significant between the </w:t>
      </w:r>
      <w:r w:rsidR="00914456">
        <w:rPr>
          <w:rFonts w:ascii="Book Antiqua" w:eastAsia="Book Antiqua" w:hAnsi="Book Antiqua" w:cs="Book Antiqua"/>
          <w:color w:val="000000"/>
        </w:rPr>
        <w:t>two</w:t>
      </w:r>
      <w:r>
        <w:rPr>
          <w:rFonts w:ascii="Book Antiqua" w:eastAsia="Book Antiqua" w:hAnsi="Book Antiqua" w:cs="Book Antiqua"/>
          <w:color w:val="000000"/>
        </w:rPr>
        <w:t xml:space="preserv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w:t>
      </w:r>
    </w:p>
    <w:p w14:paraId="26ECEBA2" w14:textId="1F8F759A" w:rsidR="00A77B3E" w:rsidRDefault="00282716">
      <w:pPr>
        <w:spacing w:line="360" w:lineRule="auto"/>
        <w:ind w:firstLine="240"/>
        <w:jc w:val="both"/>
      </w:pPr>
      <w:r>
        <w:rPr>
          <w:rFonts w:ascii="Book Antiqua" w:eastAsia="Book Antiqua" w:hAnsi="Book Antiqua" w:cs="Book Antiqua"/>
          <w:color w:val="000000"/>
        </w:rPr>
        <w:t xml:space="preserve">After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of all patients decreased, especially in patients without HBsAg loss, showing a significant decline in sPD-1 </w:t>
      </w:r>
      <w:r w:rsidR="00914456">
        <w:rPr>
          <w:rFonts w:ascii="Book Antiqua" w:eastAsia="Book Antiqua" w:hAnsi="Book Antiqua" w:cs="Book Antiqua"/>
          <w:color w:val="000000"/>
        </w:rPr>
        <w:t>l</w:t>
      </w:r>
      <w:r>
        <w:rPr>
          <w:rFonts w:ascii="Book Antiqua" w:eastAsia="Book Antiqua" w:hAnsi="Book Antiqua" w:cs="Book Antiqua"/>
          <w:color w:val="000000"/>
        </w:rPr>
        <w:t>evels from baseline to month 3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Figure 2E).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in patients without HBsAg loss decreased significantly from 2.12 (1.87–2.29) at month 24 to 1.19 (0–1.70) at month 48, whereas that in patients with HBsAg loss stayed above 2 </w:t>
      </w:r>
      <w:r w:rsidR="00914456">
        <w:rPr>
          <w:rFonts w:ascii="Book Antiqua" w:eastAsia="Book Antiqua" w:hAnsi="Book Antiqua" w:cs="Book Antiqua"/>
          <w:color w:val="000000"/>
        </w:rPr>
        <w:t>l</w:t>
      </w:r>
      <w:r>
        <w:rPr>
          <w:rFonts w:ascii="Book Antiqua" w:eastAsia="Book Antiqua" w:hAnsi="Book Antiqua" w:cs="Book Antiqua"/>
          <w:color w:val="000000"/>
        </w:rPr>
        <w:t>ogs until month 72 (Figure 2F).</w:t>
      </w:r>
    </w:p>
    <w:p w14:paraId="6A185BA6" w14:textId="1E909555" w:rsidR="00A77B3E" w:rsidRDefault="00282716">
      <w:pPr>
        <w:spacing w:line="360" w:lineRule="auto"/>
        <w:ind w:firstLine="240"/>
        <w:jc w:val="both"/>
      </w:pPr>
      <w:r>
        <w:rPr>
          <w:rFonts w:ascii="Book Antiqua" w:eastAsia="Book Antiqua" w:hAnsi="Book Antiqua" w:cs="Book Antiqua"/>
          <w:color w:val="000000"/>
        </w:rPr>
        <w:t xml:space="preserve">The sPD-1 </w:t>
      </w:r>
      <w:r w:rsidR="00914456">
        <w:rPr>
          <w:rFonts w:ascii="Book Antiqua" w:eastAsia="Book Antiqua" w:hAnsi="Book Antiqua" w:cs="Book Antiqua"/>
          <w:color w:val="000000"/>
        </w:rPr>
        <w:t>l</w:t>
      </w:r>
      <w:r>
        <w:rPr>
          <w:rFonts w:ascii="Book Antiqua" w:eastAsia="Book Antiqua" w:hAnsi="Book Antiqua" w:cs="Book Antiqua"/>
          <w:color w:val="000000"/>
        </w:rPr>
        <w:t>evels showed no significant correlation with HBsAg, serum HBV DNA</w:t>
      </w:r>
      <w:r w:rsidR="00914456">
        <w:rPr>
          <w:rFonts w:ascii="Book Antiqua" w:eastAsia="Book Antiqua" w:hAnsi="Book Antiqua" w:cs="Book Antiqua"/>
          <w:color w:val="000000"/>
        </w:rPr>
        <w:t>,</w:t>
      </w:r>
      <w:r>
        <w:rPr>
          <w:rFonts w:ascii="Book Antiqua" w:eastAsia="Book Antiqua" w:hAnsi="Book Antiqua" w:cs="Book Antiqua"/>
          <w:color w:val="000000"/>
        </w:rPr>
        <w:t xml:space="preserve"> or ALT levels at baseline. After 6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were positively correlated with ALT levels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0.5103,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0.0017, Figure 3A) and showed weak correlation with HBsAg and HBV DNA levels. For further study, correlation analysis was conducted in patients with or without subsequent HBsAg loss after 144 mo of follow-up, respectively. </w:t>
      </w:r>
      <w:r w:rsidR="00914456">
        <w:rPr>
          <w:rFonts w:ascii="Book Antiqua" w:eastAsia="Book Antiqua" w:hAnsi="Book Antiqua" w:cs="Book Antiqua"/>
          <w:color w:val="000000"/>
        </w:rPr>
        <w:t>T</w:t>
      </w:r>
      <w:r>
        <w:rPr>
          <w:rFonts w:ascii="Book Antiqua" w:eastAsia="Book Antiqua" w:hAnsi="Book Antiqua" w:cs="Book Antiqua"/>
          <w:color w:val="000000"/>
        </w:rPr>
        <w:t xml:space="preserve">he sPD-1 </w:t>
      </w:r>
      <w:r w:rsidR="00914456">
        <w:rPr>
          <w:rFonts w:ascii="Book Antiqua" w:eastAsia="Book Antiqua" w:hAnsi="Book Antiqua" w:cs="Book Antiqua"/>
          <w:color w:val="000000"/>
        </w:rPr>
        <w:t>l</w:t>
      </w:r>
      <w:r>
        <w:rPr>
          <w:rFonts w:ascii="Book Antiqua" w:eastAsia="Book Antiqua" w:hAnsi="Book Antiqua" w:cs="Book Antiqua"/>
          <w:color w:val="000000"/>
        </w:rPr>
        <w:t>evels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0.6883,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0.0192, Figure 3B)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0.5601,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0.0703, Figure 3C) levels in patients with HBsAg loss. After 12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also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0.8134,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0.0042, Figure 3D)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0.6832,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0.0205, Figure 3E) levels in patients with HBsAg loss.</w:t>
      </w:r>
    </w:p>
    <w:p w14:paraId="4380D92E" w14:textId="2BBD9986" w:rsidR="00A77B3E" w:rsidRDefault="00282716">
      <w:pPr>
        <w:spacing w:line="360" w:lineRule="auto"/>
        <w:ind w:firstLine="240"/>
        <w:jc w:val="both"/>
      </w:pPr>
      <w:r>
        <w:rPr>
          <w:rFonts w:ascii="Book Antiqua" w:eastAsia="Book Antiqua" w:hAnsi="Book Antiqua" w:cs="Book Antiqua"/>
          <w:color w:val="000000"/>
        </w:rPr>
        <w:t xml:space="preserve">However, the number of patients with a normalization of ALT levels or undetectable HBV DNA increased over time. After 12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especially at 24</w:t>
      </w:r>
      <w:r w:rsidR="00914456">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Figure 3F)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Figure 3G) mo.</w:t>
      </w:r>
    </w:p>
    <w:p w14:paraId="41188670" w14:textId="77777777" w:rsidR="00A77B3E" w:rsidRDefault="00A77B3E">
      <w:pPr>
        <w:spacing w:line="360" w:lineRule="auto"/>
        <w:ind w:firstLine="240"/>
        <w:jc w:val="both"/>
      </w:pPr>
    </w:p>
    <w:p w14:paraId="64EA5086" w14:textId="23B773A3" w:rsidR="00A77B3E" w:rsidRDefault="00282716">
      <w:pPr>
        <w:spacing w:line="360" w:lineRule="auto"/>
        <w:jc w:val="both"/>
      </w:pPr>
      <w:r>
        <w:rPr>
          <w:rFonts w:ascii="Book Antiqua" w:eastAsia="Book Antiqua" w:hAnsi="Book Antiqua" w:cs="Book Antiqua"/>
          <w:b/>
          <w:bCs/>
          <w:i/>
          <w:iCs/>
          <w:color w:val="000000"/>
        </w:rPr>
        <w:t xml:space="preserve">Prediction of HBsAg loss by sPD-1 </w:t>
      </w:r>
      <w:r w:rsidR="00914456">
        <w:rPr>
          <w:rFonts w:ascii="Book Antiqua" w:eastAsia="Book Antiqua" w:hAnsi="Book Antiqua" w:cs="Book Antiqua"/>
          <w:b/>
          <w:bCs/>
          <w:i/>
          <w:iCs/>
          <w:color w:val="000000"/>
        </w:rPr>
        <w:t>l</w:t>
      </w:r>
      <w:r>
        <w:rPr>
          <w:rFonts w:ascii="Book Antiqua" w:eastAsia="Book Antiqua" w:hAnsi="Book Antiqua" w:cs="Book Antiqua"/>
          <w:b/>
          <w:bCs/>
          <w:i/>
          <w:iCs/>
          <w:color w:val="000000"/>
        </w:rPr>
        <w:t>evels before and during NA treatment</w:t>
      </w:r>
    </w:p>
    <w:p w14:paraId="0C201CB8" w14:textId="77777777" w:rsidR="00A77B3E" w:rsidRDefault="00282716">
      <w:pPr>
        <w:spacing w:line="360" w:lineRule="auto"/>
        <w:jc w:val="both"/>
      </w:pPr>
      <w:r>
        <w:rPr>
          <w:rFonts w:ascii="Book Antiqua" w:eastAsia="Book Antiqua" w:hAnsi="Book Antiqua" w:cs="Book Antiqua"/>
          <w:color w:val="000000"/>
        </w:rPr>
        <w:t>To analyze the predictive value of the different available virologic biomarkers at baseline for HBsAg loss, ROC curve analysis was performed. Before NA treatment, the strongest predictor was sPD-1 [area under the curve (AUC) = 0.700, Figure 4A), whereas HBsAg (AUC = 0.6458) and HBV DNA (AUC = 0.5589) showed no significant prediction of response to NA therapy.</w:t>
      </w:r>
    </w:p>
    <w:p w14:paraId="46FA71DF" w14:textId="4CFED70D" w:rsidR="00A77B3E" w:rsidRDefault="00282716">
      <w:pPr>
        <w:spacing w:line="360" w:lineRule="auto"/>
        <w:ind w:firstLine="240"/>
        <w:jc w:val="both"/>
      </w:pPr>
      <w:r>
        <w:rPr>
          <w:rFonts w:ascii="Book Antiqua" w:eastAsia="Book Antiqua" w:hAnsi="Book Antiqua" w:cs="Book Antiqua"/>
          <w:color w:val="000000"/>
        </w:rPr>
        <w:t xml:space="preserve">The above results suggested that statistical differences were only observed in sPD-1 </w:t>
      </w:r>
      <w:r w:rsidR="00914456">
        <w:rPr>
          <w:rFonts w:ascii="Book Antiqua" w:eastAsia="Book Antiqua" w:hAnsi="Book Antiqua" w:cs="Book Antiqua"/>
          <w:color w:val="000000"/>
        </w:rPr>
        <w:t>l</w:t>
      </w:r>
      <w:r>
        <w:rPr>
          <w:rFonts w:ascii="Book Antiqua" w:eastAsia="Book Antiqua" w:hAnsi="Book Antiqua" w:cs="Book Antiqua"/>
          <w:color w:val="000000"/>
        </w:rPr>
        <w:t>evels between the two groups of patients within 12 mo of NA treatment. To explore the predictive value of sPD-1 for HBsAg loss, ROC curve analysis was performed. After 6 mo of antiviral treatment, the AUC of sPD-1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Figure 4B),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914456">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914456">
        <w:rPr>
          <w:rFonts w:ascii="Book Antiqua" w:eastAsia="Book Antiqua" w:hAnsi="Book Antiqua" w:cs="Book Antiqua"/>
          <w:color w:val="000000"/>
        </w:rPr>
        <w:t>l</w:t>
      </w:r>
      <w:r>
        <w:rPr>
          <w:rFonts w:ascii="Book Antiqua" w:eastAsia="Book Antiqua" w:hAnsi="Book Antiqua" w:cs="Book Antiqua"/>
          <w:color w:val="000000"/>
        </w:rPr>
        <w:t>og pg/mL</w:t>
      </w:r>
      <w:r w:rsidR="00914456">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10EF463D" w14:textId="77777777" w:rsidR="00A77B3E" w:rsidRDefault="00A77B3E">
      <w:pPr>
        <w:spacing w:line="360" w:lineRule="auto"/>
        <w:ind w:firstLine="240"/>
        <w:jc w:val="both"/>
      </w:pPr>
    </w:p>
    <w:p w14:paraId="46665DEA" w14:textId="77777777" w:rsidR="00A77B3E" w:rsidRDefault="00282716">
      <w:pPr>
        <w:spacing w:line="360" w:lineRule="auto"/>
        <w:jc w:val="both"/>
      </w:pPr>
      <w:r>
        <w:rPr>
          <w:rFonts w:ascii="Book Antiqua" w:eastAsia="Book Antiqua" w:hAnsi="Book Antiqua" w:cs="Book Antiqua"/>
          <w:b/>
          <w:caps/>
          <w:color w:val="000000"/>
          <w:u w:val="single"/>
        </w:rPr>
        <w:t>DISCUSSION</w:t>
      </w:r>
    </w:p>
    <w:p w14:paraId="602DA5FC" w14:textId="4A422FD4" w:rsidR="00A77B3E" w:rsidRDefault="00282716">
      <w:pPr>
        <w:spacing w:line="360" w:lineRule="auto"/>
        <w:jc w:val="both"/>
      </w:pPr>
      <w:r>
        <w:rPr>
          <w:rFonts w:ascii="Book Antiqua" w:eastAsia="Book Antiqua" w:hAnsi="Book Antiqua" w:cs="Book Antiqua"/>
          <w:color w:val="000000"/>
        </w:rPr>
        <w:t xml:space="preserve">Patients with HBsAg loss after antiviral treatment were not different from patients without HBsAg loss in terms of HBV DNA, ALT, and HBsAg levels at baseline.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after 6 mo of antiviral treatment. This study examined the predictive value of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for HBsAg loss in patients with CHB under NA treatment and found that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at 6 mo had higher AUC values than HBsAg associated with HBsAg loss. The sPD-1 </w:t>
      </w:r>
      <w:r w:rsidR="00914456">
        <w:rPr>
          <w:rFonts w:ascii="Book Antiqua" w:eastAsia="Book Antiqua" w:hAnsi="Book Antiqua" w:cs="Book Antiqua"/>
          <w:color w:val="000000"/>
        </w:rPr>
        <w:t>l</w:t>
      </w:r>
      <w:r>
        <w:rPr>
          <w:rFonts w:ascii="Book Antiqua" w:eastAsia="Book Antiqua" w:hAnsi="Book Antiqua" w:cs="Book Antiqua"/>
          <w:color w:val="000000"/>
        </w:rPr>
        <w:t>evels at 6 mo can better predict HBsAg loss during antiviral treatment than HBsAg levels.</w:t>
      </w:r>
    </w:p>
    <w:p w14:paraId="5245956E" w14:textId="6922500D" w:rsidR="00A77B3E" w:rsidRDefault="00282716">
      <w:pPr>
        <w:spacing w:line="360" w:lineRule="auto"/>
        <w:ind w:firstLine="240"/>
        <w:jc w:val="both"/>
      </w:pPr>
      <w:r>
        <w:rPr>
          <w:rFonts w:ascii="Book Antiqua" w:eastAsia="Book Antiqua" w:hAnsi="Book Antiqua" w:cs="Book Antiqua"/>
          <w:color w:val="000000"/>
        </w:rPr>
        <w:t>Different E</w:t>
      </w:r>
      <w:r w:rsidR="00BD20B6">
        <w:rPr>
          <w:rFonts w:ascii="Book Antiqua" w:eastAsia="Book Antiqua" w:hAnsi="Book Antiqua" w:cs="Book Antiqua"/>
          <w:color w:val="000000"/>
        </w:rPr>
        <w:t>LISA</w:t>
      </w:r>
      <w:r>
        <w:rPr>
          <w:rFonts w:ascii="Book Antiqua" w:eastAsia="Book Antiqua" w:hAnsi="Book Antiqua" w:cs="Book Antiqua"/>
          <w:color w:val="000000"/>
        </w:rPr>
        <w:t xml:space="preserve"> kits could contribute to discrepant results. Xia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used different E</w:t>
      </w:r>
      <w:r w:rsidR="00BD20B6">
        <w:rPr>
          <w:rFonts w:ascii="Book Antiqua" w:eastAsia="Book Antiqua" w:hAnsi="Book Antiqua" w:cs="Book Antiqua"/>
          <w:color w:val="000000"/>
        </w:rPr>
        <w:t>LISA</w:t>
      </w:r>
      <w:r>
        <w:rPr>
          <w:rFonts w:ascii="Book Antiqua" w:eastAsia="Book Antiqua" w:hAnsi="Book Antiqua" w:cs="Book Antiqua"/>
          <w:color w:val="000000"/>
        </w:rPr>
        <w:t xml:space="preserve"> kits for dosing sPD-1 Levels. There was a significant correlation between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and ALT levels at baseline in 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but a weak correlation in Xia</w:t>
      </w:r>
      <w:r w:rsidR="00914456">
        <w:rPr>
          <w:rFonts w:ascii="Book Antiqua" w:eastAsia="Book Antiqua" w:hAnsi="Book Antiqua" w:cs="Book Antiqua"/>
          <w:color w:val="000000"/>
        </w:rPr>
        <w:t xml:space="preserve"> </w:t>
      </w:r>
      <w:r w:rsidR="00914456">
        <w:rPr>
          <w:rFonts w:ascii="Book Antiqua" w:eastAsia="Book Antiqua" w:hAnsi="Book Antiqua" w:cs="Book Antiqua"/>
          <w:i/>
          <w:iCs/>
          <w:color w:val="000000"/>
        </w:rPr>
        <w:t>et al</w:t>
      </w:r>
      <w:r w:rsidR="00914456">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their research showed similar results that patients with CHB had higher levels of sPD-1 than healthy controls. Consistent with Xia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our results showed that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positively correlated with ALT and HBV DNA levels at 6 and 12 mo.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decreased in all patients after baseline, which might be associated with lower viral load and lower expression of viral antigen after antiviral treatment. Meanwhile, patients with subsequent HBsAg loss had higher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until month 96 than patients without HBsAg loss.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in patients with subsequent HBsAg loss remained at high levels of two logs from baseline to month 72, whereas those in patients without HBsAg loss decreased quickly from baseline to month 48. These results suggested that patients with higher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during antiviral treatment were more likely to develop HBsAg loss. </w:t>
      </w:r>
    </w:p>
    <w:p w14:paraId="5282717B" w14:textId="552A1025" w:rsidR="00A77B3E" w:rsidRDefault="00282716">
      <w:pPr>
        <w:spacing w:line="360" w:lineRule="auto"/>
        <w:ind w:firstLine="240"/>
        <w:jc w:val="both"/>
      </w:pPr>
      <w:r>
        <w:rPr>
          <w:rFonts w:ascii="Book Antiqua" w:eastAsia="Book Antiqua" w:hAnsi="Book Antiqua" w:cs="Book Antiqua"/>
          <w:color w:val="000000"/>
        </w:rPr>
        <w:t xml:space="preserve">We found that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negatively correlated with HBsAg levels after 24 and 48 mo of antiviral treatment, and other studies have not explored sPD-1 </w:t>
      </w:r>
      <w:r w:rsidR="00914456">
        <w:rPr>
          <w:rFonts w:ascii="Book Antiqua" w:eastAsia="Book Antiqua" w:hAnsi="Book Antiqua" w:cs="Book Antiqua"/>
          <w:color w:val="000000"/>
        </w:rPr>
        <w:t>l</w:t>
      </w:r>
      <w:r>
        <w:rPr>
          <w:rFonts w:ascii="Book Antiqua" w:eastAsia="Book Antiqua" w:hAnsi="Book Antiqua" w:cs="Book Antiqua"/>
          <w:color w:val="000000"/>
        </w:rPr>
        <w:t>evels for this long time</w:t>
      </w:r>
      <w:r w:rsidR="00914456">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Other virological and biochemical biomarkers, such as HBV DNA and ALT levels, showed no significant correlation with sPD-1 </w:t>
      </w:r>
      <w:r w:rsidR="00914456">
        <w:rPr>
          <w:rFonts w:ascii="Book Antiqua" w:eastAsia="Book Antiqua" w:hAnsi="Book Antiqua" w:cs="Book Antiqua"/>
          <w:color w:val="000000"/>
        </w:rPr>
        <w:t>l</w:t>
      </w:r>
      <w:r>
        <w:rPr>
          <w:rFonts w:ascii="Book Antiqua" w:eastAsia="Book Antiqua" w:hAnsi="Book Antiqua" w:cs="Book Antiqua"/>
          <w:color w:val="000000"/>
        </w:rPr>
        <w:t>evels. This might associate with the increasing number of patients with the normalization of ALT levels or undetectable HBV DNA over time. And HBsAg levels were obviously different between patients with or without HBsAg loss after 12 mo of antiviral treatment.</w:t>
      </w:r>
    </w:p>
    <w:p w14:paraId="71485153" w14:textId="22B4FE6B" w:rsidR="00A77B3E" w:rsidRDefault="00282716">
      <w:pPr>
        <w:spacing w:line="360" w:lineRule="auto"/>
        <w:ind w:firstLine="240"/>
        <w:jc w:val="both"/>
      </w:pPr>
      <w:r>
        <w:rPr>
          <w:rFonts w:ascii="Book Antiqua" w:eastAsia="Book Antiqua" w:hAnsi="Book Antiqua" w:cs="Book Antiqua"/>
          <w:color w:val="000000"/>
        </w:rPr>
        <w:t xml:space="preserve">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in patients in the immune-active phase were the highest among all CHB disease stages. Therefore, the high sPD-1 </w:t>
      </w:r>
      <w:r w:rsidR="0063142D">
        <w:rPr>
          <w:rFonts w:ascii="Book Antiqua" w:eastAsia="Book Antiqua" w:hAnsi="Book Antiqua" w:cs="Book Antiqua"/>
          <w:color w:val="000000"/>
        </w:rPr>
        <w:t>l</w:t>
      </w:r>
      <w:r>
        <w:rPr>
          <w:rFonts w:ascii="Book Antiqua" w:eastAsia="Book Antiqua" w:hAnsi="Book Antiqua" w:cs="Book Antiqua"/>
          <w:color w:val="000000"/>
        </w:rPr>
        <w:t>evels were associated with immune activation</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The sPD-1 could interact with the membrane bound PD-L1 and counteract the inhibition of PD-1/PD-L1 signal path on virus-specific T cells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at 6 mo might reflect the immune activity, and high levels of sPD-1 at that time might benefit the HBV-specific immunity. HBsAg loss could reflect the suppression of HBV </w:t>
      </w:r>
      <w:r w:rsidR="0063142D">
        <w:rPr>
          <w:rFonts w:ascii="Book Antiqua" w:eastAsia="Book Antiqua" w:hAnsi="Book Antiqua" w:cs="Book Antiqua"/>
          <w:color w:val="000000"/>
        </w:rPr>
        <w:t xml:space="preserve">covalently closed circular </w:t>
      </w:r>
      <w:r>
        <w:rPr>
          <w:rFonts w:ascii="Book Antiqua" w:eastAsia="Book Antiqua" w:hAnsi="Book Antiqua" w:cs="Book Antiqua"/>
          <w:color w:val="000000"/>
        </w:rPr>
        <w:t>DNA expression</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Therefore, the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could predict HBsAg loss,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cut-off value of sPD-1 was set at 2.34 Log pg/mL</w:t>
      </w:r>
      <w:r w:rsidR="0063142D">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w:t>
      </w:r>
    </w:p>
    <w:p w14:paraId="7E64CE97" w14:textId="14912172" w:rsidR="00A77B3E" w:rsidRDefault="00282716">
      <w:pPr>
        <w:spacing w:line="360" w:lineRule="auto"/>
        <w:ind w:firstLine="240"/>
        <w:jc w:val="both"/>
      </w:pPr>
      <w:r>
        <w:rPr>
          <w:rFonts w:ascii="Book Antiqua" w:eastAsia="Book Antiqua" w:hAnsi="Book Antiqua" w:cs="Book Antiqua"/>
          <w:color w:val="000000"/>
        </w:rPr>
        <w:t xml:space="preserve">In consequence, patients with higher sPD-1 </w:t>
      </w:r>
      <w:r w:rsidR="0063142D">
        <w:rPr>
          <w:rFonts w:ascii="Book Antiqua" w:eastAsia="Book Antiqua" w:hAnsi="Book Antiqua" w:cs="Book Antiqua"/>
          <w:color w:val="000000"/>
        </w:rPr>
        <w:t>l</w:t>
      </w:r>
      <w:r>
        <w:rPr>
          <w:rFonts w:ascii="Book Antiqua" w:eastAsia="Book Antiqua" w:hAnsi="Book Antiqua" w:cs="Book Antiqua"/>
          <w:color w:val="000000"/>
        </w:rPr>
        <w:t>evels before and during the early stage of antiviral treatment could develop more effective immune response to HBV infection.</w:t>
      </w:r>
    </w:p>
    <w:p w14:paraId="7C56775B" w14:textId="51062A7E" w:rsidR="00A77B3E" w:rsidRDefault="00282716">
      <w:pPr>
        <w:spacing w:line="360" w:lineRule="auto"/>
        <w:ind w:firstLine="240"/>
        <w:jc w:val="both"/>
      </w:pPr>
      <w:r>
        <w:rPr>
          <w:rFonts w:ascii="Book Antiqua" w:eastAsia="Book Antiqua" w:hAnsi="Book Antiqua" w:cs="Book Antiqua"/>
          <w:color w:val="000000"/>
        </w:rPr>
        <w:t xml:space="preserve">There were some limitations in this study. The correlation between sPD-1 </w:t>
      </w:r>
      <w:r w:rsidR="0063142D">
        <w:rPr>
          <w:rFonts w:ascii="Book Antiqua" w:eastAsia="Book Antiqua" w:hAnsi="Book Antiqua" w:cs="Book Antiqua"/>
          <w:color w:val="000000"/>
        </w:rPr>
        <w:t>l</w:t>
      </w:r>
      <w:r>
        <w:rPr>
          <w:rFonts w:ascii="Book Antiqua" w:eastAsia="Book Antiqua" w:hAnsi="Book Antiqua" w:cs="Book Antiqua"/>
          <w:color w:val="000000"/>
        </w:rPr>
        <w:t>evels and HBsAg loss depended on the immune response of functional HBV-specific T cells to HBV infection. The T cell function of patients from this study needed to be detected. In addition, this study was done on a smaller number of cases.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Next, we plan to set up a cohort of </w:t>
      </w:r>
      <w:r w:rsidR="0063142D">
        <w:rPr>
          <w:rFonts w:ascii="Book Antiqua" w:eastAsia="Book Antiqua" w:hAnsi="Book Antiqua" w:cs="Book Antiqua"/>
          <w:color w:val="000000"/>
        </w:rPr>
        <w:t>300</w:t>
      </w:r>
      <w:r>
        <w:rPr>
          <w:rFonts w:ascii="Book Antiqua" w:eastAsia="Book Antiqua" w:hAnsi="Book Antiqua" w:cs="Book Antiqua"/>
          <w:color w:val="000000"/>
        </w:rPr>
        <w:t xml:space="preserve"> patients with CHB and divide them into different groups by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at baseline to explore the prognosis of two groups of patients. </w:t>
      </w:r>
    </w:p>
    <w:p w14:paraId="1C2DCBAE" w14:textId="77777777" w:rsidR="00A77B3E" w:rsidRDefault="00A77B3E">
      <w:pPr>
        <w:spacing w:line="360" w:lineRule="auto"/>
        <w:ind w:firstLine="240"/>
        <w:jc w:val="both"/>
      </w:pPr>
    </w:p>
    <w:p w14:paraId="23EBA229" w14:textId="77777777" w:rsidR="00A77B3E" w:rsidRDefault="00282716">
      <w:pPr>
        <w:spacing w:line="360" w:lineRule="auto"/>
        <w:jc w:val="both"/>
      </w:pPr>
      <w:r>
        <w:rPr>
          <w:rFonts w:ascii="Book Antiqua" w:eastAsia="Book Antiqua" w:hAnsi="Book Antiqua" w:cs="Book Antiqua"/>
          <w:b/>
          <w:caps/>
          <w:color w:val="000000"/>
          <w:u w:val="single"/>
        </w:rPr>
        <w:t>CONCLUSION</w:t>
      </w:r>
    </w:p>
    <w:p w14:paraId="21B8D178" w14:textId="2ACAD2C8" w:rsidR="00A77B3E" w:rsidRDefault="00282716">
      <w:pPr>
        <w:spacing w:line="360" w:lineRule="auto"/>
        <w:jc w:val="both"/>
      </w:pPr>
      <w:r>
        <w:rPr>
          <w:rFonts w:ascii="Book Antiqua" w:eastAsia="Book Antiqua" w:hAnsi="Book Antiqua" w:cs="Book Antiqua"/>
          <w:color w:val="000000"/>
        </w:rPr>
        <w:t xml:space="preserve">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within 12 mo after baseline. We found that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had higher AUC values than HBsAg associated with HBsAg loss.</w:t>
      </w:r>
    </w:p>
    <w:p w14:paraId="4A48A283" w14:textId="77777777" w:rsidR="00A77B3E" w:rsidRDefault="00A77B3E">
      <w:pPr>
        <w:spacing w:line="360" w:lineRule="auto"/>
        <w:jc w:val="both"/>
      </w:pPr>
    </w:p>
    <w:p w14:paraId="5F8F6516" w14:textId="77777777" w:rsidR="00A77B3E" w:rsidRDefault="00282716">
      <w:pPr>
        <w:spacing w:line="360" w:lineRule="auto"/>
        <w:jc w:val="both"/>
      </w:pPr>
      <w:r>
        <w:rPr>
          <w:rFonts w:ascii="Book Antiqua" w:eastAsia="Book Antiqua" w:hAnsi="Book Antiqua" w:cs="Book Antiqua"/>
          <w:b/>
          <w:caps/>
          <w:color w:val="000000"/>
          <w:u w:val="single"/>
        </w:rPr>
        <w:t>ARTICLE HIGHLIGHTS</w:t>
      </w:r>
    </w:p>
    <w:p w14:paraId="1B25F39B" w14:textId="77777777" w:rsidR="00A77B3E" w:rsidRDefault="00282716">
      <w:pPr>
        <w:spacing w:line="360" w:lineRule="auto"/>
        <w:jc w:val="both"/>
      </w:pPr>
      <w:r>
        <w:rPr>
          <w:rFonts w:ascii="Book Antiqua" w:eastAsia="Book Antiqua" w:hAnsi="Book Antiqua" w:cs="Book Antiqua"/>
          <w:b/>
          <w:i/>
          <w:color w:val="000000"/>
        </w:rPr>
        <w:t>Research background</w:t>
      </w:r>
    </w:p>
    <w:p w14:paraId="19FF4964" w14:textId="77777777" w:rsidR="00A77B3E" w:rsidRDefault="00282716">
      <w:pPr>
        <w:spacing w:line="360" w:lineRule="auto"/>
        <w:jc w:val="both"/>
      </w:pPr>
      <w:r>
        <w:rPr>
          <w:rFonts w:ascii="Book Antiqua" w:eastAsia="Book Antiqua" w:hAnsi="Book Antiqua" w:cs="Book Antiqua"/>
          <w:color w:val="000000"/>
        </w:rPr>
        <w:t>Recent studies analyzed serum soluble programmed death-1 (sPD-1) levels and indicated that sPD-1 might play an important role in virus-specific immunity in chronic viral infection.</w:t>
      </w:r>
    </w:p>
    <w:p w14:paraId="71AF5120" w14:textId="77777777" w:rsidR="00A77B3E" w:rsidRDefault="00A77B3E">
      <w:pPr>
        <w:spacing w:line="360" w:lineRule="auto"/>
        <w:jc w:val="both"/>
      </w:pPr>
    </w:p>
    <w:p w14:paraId="6DC8239F" w14:textId="77777777" w:rsidR="00A77B3E" w:rsidRDefault="00282716">
      <w:pPr>
        <w:spacing w:line="360" w:lineRule="auto"/>
        <w:jc w:val="both"/>
      </w:pPr>
      <w:r>
        <w:rPr>
          <w:rFonts w:ascii="Book Antiqua" w:eastAsia="Book Antiqua" w:hAnsi="Book Antiqua" w:cs="Book Antiqua"/>
          <w:b/>
          <w:i/>
          <w:color w:val="000000"/>
        </w:rPr>
        <w:t>Research motivation</w:t>
      </w:r>
    </w:p>
    <w:p w14:paraId="320B734A" w14:textId="4204FCBA" w:rsidR="00A77B3E" w:rsidRDefault="00282716">
      <w:pPr>
        <w:spacing w:line="360" w:lineRule="auto"/>
        <w:jc w:val="both"/>
      </w:pPr>
      <w:r>
        <w:rPr>
          <w:rFonts w:ascii="Book Antiqua" w:eastAsia="Book Antiqua" w:hAnsi="Book Antiqua" w:cs="Book Antiqua"/>
          <w:color w:val="000000"/>
        </w:rPr>
        <w:t xml:space="preserve">The factors </w:t>
      </w:r>
      <w:r w:rsidR="0063142D">
        <w:rPr>
          <w:rFonts w:ascii="Book Antiqua" w:eastAsia="Book Antiqua" w:hAnsi="Book Antiqua" w:cs="Book Antiqua"/>
          <w:color w:val="000000"/>
        </w:rPr>
        <w:t xml:space="preserve">that </w:t>
      </w:r>
      <w:r>
        <w:rPr>
          <w:rFonts w:ascii="Book Antiqua" w:eastAsia="Book Antiqua" w:hAnsi="Book Antiqua" w:cs="Book Antiqua"/>
          <w:color w:val="000000"/>
        </w:rPr>
        <w:t>contribute to the functional cure in patients with chronic hepatitis B remain unclear, and the predictors of functional cure are worth exploring.</w:t>
      </w:r>
    </w:p>
    <w:p w14:paraId="7C52A057" w14:textId="77777777" w:rsidR="00A77B3E" w:rsidRDefault="00A77B3E">
      <w:pPr>
        <w:spacing w:line="360" w:lineRule="auto"/>
        <w:jc w:val="both"/>
      </w:pPr>
    </w:p>
    <w:p w14:paraId="08DE2E3B" w14:textId="77777777" w:rsidR="00A77B3E" w:rsidRDefault="00282716">
      <w:pPr>
        <w:spacing w:line="360" w:lineRule="auto"/>
        <w:jc w:val="both"/>
      </w:pPr>
      <w:r>
        <w:rPr>
          <w:rFonts w:ascii="Book Antiqua" w:eastAsia="Book Antiqua" w:hAnsi="Book Antiqua" w:cs="Book Antiqua"/>
          <w:b/>
          <w:i/>
          <w:color w:val="000000"/>
        </w:rPr>
        <w:t>Research objectives</w:t>
      </w:r>
    </w:p>
    <w:p w14:paraId="4EA05464" w14:textId="77777777" w:rsidR="00A77B3E" w:rsidRDefault="00282716">
      <w:pPr>
        <w:spacing w:line="360" w:lineRule="auto"/>
        <w:jc w:val="both"/>
      </w:pPr>
      <w:r>
        <w:rPr>
          <w:rFonts w:ascii="Book Antiqua" w:eastAsia="Book Antiqua" w:hAnsi="Book Antiqua" w:cs="Book Antiqua"/>
          <w:color w:val="000000"/>
        </w:rPr>
        <w:t>To investigate the factors associated with hepatitis B surface antigen (HBsAg) loss and explore the impact of sPD-1 Levels.</w:t>
      </w:r>
    </w:p>
    <w:p w14:paraId="77D25AB0" w14:textId="77777777" w:rsidR="00A77B3E" w:rsidRDefault="00A77B3E">
      <w:pPr>
        <w:spacing w:line="360" w:lineRule="auto"/>
        <w:jc w:val="both"/>
      </w:pPr>
    </w:p>
    <w:p w14:paraId="5BEE1463" w14:textId="77777777" w:rsidR="00A77B3E" w:rsidRDefault="00282716">
      <w:pPr>
        <w:spacing w:line="360" w:lineRule="auto"/>
        <w:jc w:val="both"/>
      </w:pPr>
      <w:r>
        <w:rPr>
          <w:rFonts w:ascii="Book Antiqua" w:eastAsia="Book Antiqua" w:hAnsi="Book Antiqua" w:cs="Book Antiqua"/>
          <w:b/>
          <w:i/>
          <w:color w:val="000000"/>
        </w:rPr>
        <w:t>Research methods</w:t>
      </w:r>
    </w:p>
    <w:p w14:paraId="5790FCF2" w14:textId="54603CA4" w:rsidR="00A77B3E" w:rsidRDefault="00282716">
      <w:pPr>
        <w:spacing w:line="360" w:lineRule="auto"/>
        <w:jc w:val="both"/>
      </w:pPr>
      <w:r>
        <w:rPr>
          <w:rFonts w:ascii="Book Antiqua" w:eastAsia="Book Antiqua" w:hAnsi="Book Antiqua" w:cs="Book Antiqua"/>
          <w:color w:val="000000"/>
        </w:rPr>
        <w:t>Patients with positive hepatitis B e antigen (HBeAg) levels at baseline and with available sequential samples who achieved HBsAg loss during antiviral treatment served as the case group. This case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further matched to 44 positive HBeAg patients without HBsAg loss as controls.</w:t>
      </w:r>
      <w:r>
        <w:rPr>
          <w:rFonts w:ascii="Book Antiqua" w:eastAsia="Book Antiqua" w:hAnsi="Book Antiqua" w:cs="Book Antiqua"/>
          <w:color w:val="000000"/>
          <w:szCs w:val="21"/>
        </w:rPr>
        <w:t xml:space="preserve"> </w:t>
      </w:r>
    </w:p>
    <w:p w14:paraId="7044A7BA" w14:textId="77777777" w:rsidR="00A77B3E" w:rsidRDefault="00A77B3E">
      <w:pPr>
        <w:spacing w:line="360" w:lineRule="auto"/>
        <w:jc w:val="both"/>
      </w:pPr>
    </w:p>
    <w:p w14:paraId="14E38648" w14:textId="77777777" w:rsidR="00A77B3E" w:rsidRDefault="00282716">
      <w:pPr>
        <w:spacing w:line="360" w:lineRule="auto"/>
        <w:jc w:val="both"/>
      </w:pPr>
      <w:r>
        <w:rPr>
          <w:rFonts w:ascii="Book Antiqua" w:eastAsia="Book Antiqua" w:hAnsi="Book Antiqua" w:cs="Book Antiqua"/>
          <w:b/>
          <w:i/>
          <w:color w:val="000000"/>
        </w:rPr>
        <w:t>Research results</w:t>
      </w:r>
    </w:p>
    <w:p w14:paraId="77A3276F" w14:textId="1CB04D81" w:rsidR="00A77B3E" w:rsidRDefault="00282716">
      <w:pPr>
        <w:spacing w:line="360" w:lineRule="auto"/>
        <w:jc w:val="both"/>
      </w:pPr>
      <w:r>
        <w:rPr>
          <w:rFonts w:ascii="Book Antiqua" w:eastAsia="Book Antiqua" w:hAnsi="Book Antiqua" w:cs="Book Antiqua"/>
          <w:color w:val="000000"/>
        </w:rPr>
        <w:t>Patients with HBsAg loss had higher levels of sPD-1 than patients without HBsAg loss from baseline to month 96, and the differences were significant between the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(p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positively correlated with ALT and HBV DNA levels in patients with HBsAg loss within 12 mo of antiviral treatment. After 12 mo of antiviral treatment, the sPD-1 </w:t>
      </w:r>
      <w:r w:rsidR="0063142D">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especially at 24 (</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mo. The AUC of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63142D">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63142D">
        <w:rPr>
          <w:rFonts w:ascii="Book Antiqua" w:eastAsia="Book Antiqua" w:hAnsi="Book Antiqua" w:cs="Book Antiqua"/>
          <w:color w:val="000000"/>
        </w:rPr>
        <w:t>l</w:t>
      </w:r>
      <w:r>
        <w:rPr>
          <w:rFonts w:ascii="Book Antiqua" w:eastAsia="Book Antiqua" w:hAnsi="Book Antiqua" w:cs="Book Antiqua"/>
          <w:color w:val="000000"/>
        </w:rPr>
        <w:t>og pg/mL</w:t>
      </w:r>
      <w:r w:rsidR="0063142D">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492CBEC4" w14:textId="77777777" w:rsidR="00A77B3E" w:rsidRDefault="00A77B3E">
      <w:pPr>
        <w:spacing w:line="360" w:lineRule="auto"/>
        <w:jc w:val="both"/>
      </w:pPr>
    </w:p>
    <w:p w14:paraId="549F3F57" w14:textId="77777777" w:rsidR="00A77B3E" w:rsidRDefault="00282716">
      <w:pPr>
        <w:spacing w:line="360" w:lineRule="auto"/>
        <w:jc w:val="both"/>
      </w:pPr>
      <w:r>
        <w:rPr>
          <w:rFonts w:ascii="Book Antiqua" w:eastAsia="Book Antiqua" w:hAnsi="Book Antiqua" w:cs="Book Antiqua"/>
          <w:b/>
          <w:i/>
          <w:color w:val="000000"/>
        </w:rPr>
        <w:t>Research conclusions</w:t>
      </w:r>
    </w:p>
    <w:p w14:paraId="7C4DDA26" w14:textId="5D7C46E0" w:rsidR="00A77B3E" w:rsidRDefault="00282716">
      <w:pPr>
        <w:spacing w:line="360" w:lineRule="auto"/>
        <w:jc w:val="both"/>
      </w:pPr>
      <w:r>
        <w:rPr>
          <w:rFonts w:ascii="Book Antiqua" w:eastAsia="Book Antiqua" w:hAnsi="Book Antiqua" w:cs="Book Antiqua"/>
          <w:color w:val="000000"/>
        </w:rPr>
        <w:t xml:space="preserve">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within 12 mo after baseline. The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can predict HBsAg loss after 144 mo of antiviral treatment.</w:t>
      </w:r>
    </w:p>
    <w:p w14:paraId="51B6D313" w14:textId="77777777" w:rsidR="00A77B3E" w:rsidRDefault="00A77B3E">
      <w:pPr>
        <w:spacing w:line="360" w:lineRule="auto"/>
        <w:jc w:val="both"/>
      </w:pPr>
    </w:p>
    <w:p w14:paraId="6DCC4FB3" w14:textId="77777777" w:rsidR="00A77B3E" w:rsidRDefault="00282716">
      <w:pPr>
        <w:spacing w:line="360" w:lineRule="auto"/>
        <w:jc w:val="both"/>
      </w:pPr>
      <w:r>
        <w:rPr>
          <w:rFonts w:ascii="Book Antiqua" w:eastAsia="Book Antiqua" w:hAnsi="Book Antiqua" w:cs="Book Antiqua"/>
          <w:b/>
          <w:i/>
          <w:color w:val="000000"/>
        </w:rPr>
        <w:t>Research perspectives</w:t>
      </w:r>
    </w:p>
    <w:p w14:paraId="521A7106" w14:textId="03B7D76B" w:rsidR="00A77B3E" w:rsidRDefault="00282716">
      <w:pPr>
        <w:spacing w:line="360" w:lineRule="auto"/>
        <w:jc w:val="both"/>
      </w:pPr>
      <w:r>
        <w:rPr>
          <w:rFonts w:ascii="Book Antiqua" w:eastAsia="Book Antiqua" w:hAnsi="Book Antiqua" w:cs="Book Antiqua"/>
          <w:color w:val="000000"/>
        </w:rPr>
        <w:t xml:space="preserve">The correlation between sPD-1 </w:t>
      </w:r>
      <w:r w:rsidR="0063142D">
        <w:rPr>
          <w:rFonts w:ascii="Book Antiqua" w:eastAsia="Book Antiqua" w:hAnsi="Book Antiqua" w:cs="Book Antiqua"/>
          <w:color w:val="000000"/>
        </w:rPr>
        <w:t>l</w:t>
      </w:r>
      <w:r>
        <w:rPr>
          <w:rFonts w:ascii="Book Antiqua" w:eastAsia="Book Antiqua" w:hAnsi="Book Antiqua" w:cs="Book Antiqua"/>
          <w:color w:val="000000"/>
        </w:rPr>
        <w:t>evels and HBsAg loss depended on the immune response of functional HBV-specific T cells to HBV infection. The T cell function of patients from this study needed to be detected.</w:t>
      </w:r>
    </w:p>
    <w:p w14:paraId="5B6EDBB4" w14:textId="77777777" w:rsidR="00A77B3E" w:rsidRDefault="00A77B3E">
      <w:pPr>
        <w:spacing w:line="360" w:lineRule="auto"/>
        <w:jc w:val="both"/>
      </w:pPr>
    </w:p>
    <w:p w14:paraId="46EF7124" w14:textId="77777777" w:rsidR="00A77B3E" w:rsidRDefault="00282716">
      <w:pPr>
        <w:spacing w:line="360" w:lineRule="auto"/>
        <w:jc w:val="both"/>
      </w:pPr>
      <w:r>
        <w:rPr>
          <w:rFonts w:ascii="Book Antiqua" w:eastAsia="Book Antiqua" w:hAnsi="Book Antiqua" w:cs="Book Antiqua"/>
          <w:b/>
          <w:color w:val="000000"/>
        </w:rPr>
        <w:t>REFERENCES</w:t>
      </w:r>
    </w:p>
    <w:p w14:paraId="6AD4495E" w14:textId="77777777" w:rsidR="00A77B3E" w:rsidRDefault="002827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Tang LSY</w:t>
      </w:r>
      <w:r>
        <w:rPr>
          <w:rFonts w:ascii="Book Antiqua" w:eastAsia="Book Antiqua" w:hAnsi="Book Antiqua" w:cs="Book Antiqua"/>
          <w:color w:val="000000"/>
        </w:rPr>
        <w:t xml:space="preserve">, Covert E, Wilson E, Kottilil S. Chronic Hepatitis B Infection: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1802-1813 [PMID: 29715359 DOI: 10.1001/jama.2018.3795]</w:t>
      </w:r>
    </w:p>
    <w:p w14:paraId="6D0F8C70" w14:textId="7A65DE69" w:rsidR="00A77B3E" w:rsidRDefault="002827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088B971B" w14:textId="77777777" w:rsidR="00A77B3E" w:rsidRDefault="002827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Höner Zu Siederdissen C</w:t>
      </w:r>
      <w:r>
        <w:rPr>
          <w:rFonts w:ascii="Book Antiqua" w:eastAsia="Book Antiqua" w:hAnsi="Book Antiqua" w:cs="Book Antiqua"/>
          <w:color w:val="000000"/>
        </w:rPr>
        <w:t xml:space="preserve">, Maasoumy B, Cornberg M. What is new on HBsAg and other diagnostic markers in HBV infection?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281-289 [PMID: 28774410 DOI: 10.1016/j.bpg.2017.04.009]</w:t>
      </w:r>
    </w:p>
    <w:p w14:paraId="6E30A85E" w14:textId="77777777" w:rsidR="00A77B3E" w:rsidRDefault="002827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Zeisel MB</w:t>
      </w:r>
      <w:r>
        <w:rPr>
          <w:rFonts w:ascii="Book Antiqua" w:eastAsia="Book Antiqua" w:hAnsi="Book Antiqua" w:cs="Book Antiqua"/>
          <w:color w:val="000000"/>
        </w:rPr>
        <w:t xml:space="preserve">, Lucifora J, Mason WS, Sureau C, Beck J, Levrero M, Kann M, Knolle PA, Benkirane M, Durantel D, Michel ML, Autran B, Cosset FL, Strick-Marchand H, Trépo C, Kao JH, Carrat F, Lacombe K, Schinazi RF, Barré-Sinoussi F, Delfraissy JF, Zoulim F. Towards an HBV cure: state-of-the-art and unresolved questions--report of the ANRS workshop on HBV cure.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1314-1326 [PMID: 25670809 DOI: 10.1136/gutjnl-2014-308943]</w:t>
      </w:r>
    </w:p>
    <w:p w14:paraId="5BB81BE0" w14:textId="77777777" w:rsidR="00A77B3E" w:rsidRDefault="002827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411258C9" w14:textId="77777777" w:rsidR="00A77B3E" w:rsidRDefault="002827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Rivino L</w:t>
      </w:r>
      <w:r>
        <w:rPr>
          <w:rFonts w:ascii="Book Antiqua" w:eastAsia="Book Antiqua" w:hAnsi="Book Antiqua" w:cs="Book Antiqua"/>
          <w:color w:val="000000"/>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668-681 [PMID: 29309050 DOI: 10.1172/JCI92812]</w:t>
      </w:r>
    </w:p>
    <w:p w14:paraId="77E4ECE2" w14:textId="77777777" w:rsidR="00A77B3E" w:rsidRDefault="002827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Park JJ</w:t>
      </w:r>
      <w:r>
        <w:rPr>
          <w:rFonts w:ascii="Book Antiqua" w:eastAsia="Book Antiqua" w:hAnsi="Book Antiqua" w:cs="Book Antiqua"/>
          <w:color w:val="000000"/>
        </w:rPr>
        <w:t xml:space="preserve">, Wong DK, Wahed AS, Lee WM, Feld JJ, Terrault N, Khalili M, Sterling RK, Kowdley KV, Bzowej N, Lau DT, Kim WR, Smith C, Carithers RL, Torrey KW, Keith JW, Levine DL, Traum D, Ho S, Valiga ME, Johnson GS, Doo E, Lok AS, Chang KM; Hepatitis B Research Network. Hepatitis B Virus--Specific and Global T-Cell Dysfunction in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684-695.e5 [PMID: 26684441 DOI: 10.1053/j.gastro.2015.11.050]</w:t>
      </w:r>
    </w:p>
    <w:p w14:paraId="2460A073" w14:textId="77777777" w:rsidR="00A77B3E" w:rsidRDefault="002827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Bengsch B</w:t>
      </w:r>
      <w:r>
        <w:rPr>
          <w:rFonts w:ascii="Book Antiqua" w:eastAsia="Book Antiqua" w:hAnsi="Book Antiqua" w:cs="Book Antiqua"/>
          <w:color w:val="000000"/>
        </w:rPr>
        <w:t xml:space="preserve">, Martin B, Thimme R. Restoration of HBV-specific CD8+ T cell function by PD-1 blockade in inactive carrier patients is linked to T cell differentiation.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1212-1219 [PMID: 25016223 DOI: 10.1016/j.jhep.2014.07.005]</w:t>
      </w:r>
    </w:p>
    <w:p w14:paraId="29F8297B" w14:textId="77777777" w:rsidR="00A77B3E" w:rsidRDefault="002827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 X, Huang X, Chen L, Gu L, Huang Y. Soluble programmed death-1 is a useful indicator for inflammatory and fibrosis severity in chronic hepatitis B.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795-802 [PMID: 30578715 DOI: 10.1111/jvh.13055]</w:t>
      </w:r>
    </w:p>
    <w:p w14:paraId="305C1506" w14:textId="4DB8E3B0" w:rsidR="00A77B3E" w:rsidRDefault="002827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579F49A4" w14:textId="77777777" w:rsidR="00A77B3E" w:rsidRDefault="0028271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Xia J</w:t>
      </w:r>
      <w:r>
        <w:rPr>
          <w:rFonts w:ascii="Book Antiqua" w:eastAsia="Book Antiqua" w:hAnsi="Book Antiqua" w:cs="Book Antiqua"/>
          <w:color w:val="000000"/>
        </w:rPr>
        <w:t xml:space="preserve">, Huang R, Chen Y, Liu Y, Wang J, Yan X, Zhang Z, Wu C. Profiles of serum soluble programmed death-1 and programmed death-ligand 1 Levels in chronic hepatitis B virus-infected patients with different disease phases and after anti-viral treatment.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1180-1187 [PMID: 32363582 DOI: 10.1111/apt.15732]</w:t>
      </w:r>
    </w:p>
    <w:p w14:paraId="14D8F6D7" w14:textId="77777777" w:rsidR="00A77B3E" w:rsidRDefault="002827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Bertoletti A</w:t>
      </w:r>
      <w:r>
        <w:rPr>
          <w:rFonts w:ascii="Book Antiqua" w:eastAsia="Book Antiqua" w:hAnsi="Book Antiqua" w:cs="Book Antiqua"/>
          <w:color w:val="000000"/>
        </w:rPr>
        <w:t xml:space="preserve">, Ferrari C. Adaptive immunity in HBV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S71-S83 [PMID: 27084039 DOI: 10.1016/j.jhep.2016.01.026]</w:t>
      </w:r>
    </w:p>
    <w:p w14:paraId="62825CE9" w14:textId="77777777" w:rsidR="00A77B3E" w:rsidRDefault="002827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Rehermann B</w:t>
      </w:r>
      <w:r>
        <w:rPr>
          <w:rFonts w:ascii="Book Antiqua" w:eastAsia="Book Antiqua" w:hAnsi="Book Antiqua" w:cs="Book Antiqua"/>
          <w:color w:val="000000"/>
        </w:rPr>
        <w:t xml:space="preserve">, Bertoletti A. Immunological aspects of antiviral therapy of chronic hepatitis B virus and hepatitis C virus infections.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712-721 [PMID: 25048716 DOI: 10.1002/hep.27323]</w:t>
      </w:r>
    </w:p>
    <w:p w14:paraId="3E33496F" w14:textId="77777777" w:rsidR="00A77B3E" w:rsidRDefault="002827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Shi W</w:t>
      </w:r>
      <w:r>
        <w:rPr>
          <w:rFonts w:ascii="Book Antiqua" w:eastAsia="Book Antiqua" w:hAnsi="Book Antiqua" w:cs="Book Antiqua"/>
          <w:color w:val="000000"/>
        </w:rPr>
        <w:t>, Yang B, Sun Q, Meng J, Zhao X, Du S, Li X, Jiao S. PD-1 regulates CXCR5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CD4 T cell-mediated proinflammatory functions in non-small cell lung cancer patients.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106295 [PMID: 32087496 DOI: 10.1016/j.intimp.2020.106295]</w:t>
      </w:r>
    </w:p>
    <w:p w14:paraId="50950BA7" w14:textId="77777777" w:rsidR="00A77B3E" w:rsidRDefault="002827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Nassal M</w:t>
      </w:r>
      <w:r>
        <w:rPr>
          <w:rFonts w:ascii="Book Antiqua" w:eastAsia="Book Antiqua" w:hAnsi="Book Antiqua" w:cs="Book Antiqua"/>
          <w:color w:val="000000"/>
        </w:rPr>
        <w:t xml:space="preserve">. HBV cccDNA: viral persistence reservoir and key obstacle for a cure of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1972-1984 [PMID: 26048673 DOI: 10.1136/gutjnl-2015-309809]</w:t>
      </w:r>
    </w:p>
    <w:p w14:paraId="00ECE7D4" w14:textId="77777777" w:rsidR="00A77B3E" w:rsidRDefault="002827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Cornberg M</w:t>
      </w:r>
      <w:r>
        <w:rPr>
          <w:rFonts w:ascii="Book Antiqua" w:eastAsia="Book Antiqua" w:hAnsi="Book Antiqua" w:cs="Book Antiqua"/>
          <w:color w:val="000000"/>
        </w:rPr>
        <w:t xml:space="preserve">, Wong VW, Locarnini S, Brunetto M, Janssen HLA, Chan HL. The role of quantitative hepatitis B surface antigen revisited.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398-411 [PMID: 27575311 DOI: 10.1016/j.jhep.2016.08.009]</w:t>
      </w:r>
    </w:p>
    <w:p w14:paraId="1B8661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58EDD0" w14:textId="77777777" w:rsidR="00A77B3E" w:rsidRDefault="00282716">
      <w:pPr>
        <w:spacing w:line="360" w:lineRule="auto"/>
        <w:jc w:val="both"/>
      </w:pPr>
      <w:r>
        <w:rPr>
          <w:rFonts w:ascii="Book Antiqua" w:eastAsia="Book Antiqua" w:hAnsi="Book Antiqua" w:cs="Book Antiqua"/>
          <w:b/>
          <w:color w:val="000000"/>
        </w:rPr>
        <w:t>Footnotes</w:t>
      </w:r>
    </w:p>
    <w:p w14:paraId="27A7FB26" w14:textId="77777777" w:rsidR="00A77B3E" w:rsidRDefault="0028271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study was approved by the ethics committee of Peking University First Hospital. The study protocol conformed to the ethical guidelines of the Declaration of Helsinki and was approved by the Ethics Committee of Shanghai Jing An District Central Hospital (Approval </w:t>
      </w:r>
      <w:r>
        <w:rPr>
          <w:rFonts w:ascii="Book Antiqua" w:eastAsia="Book Antiqua" w:hAnsi="Book Antiqua" w:cs="Book Antiqua"/>
          <w:caps/>
          <w:color w:val="000000"/>
        </w:rPr>
        <w:t>n</w:t>
      </w:r>
      <w:r>
        <w:rPr>
          <w:rFonts w:ascii="Book Antiqua" w:eastAsia="Book Antiqua" w:hAnsi="Book Antiqua" w:cs="Book Antiqua"/>
          <w:color w:val="000000"/>
        </w:rPr>
        <w:t xml:space="preserve">o. 090f51e6809a26e1 v1.0). </w:t>
      </w:r>
    </w:p>
    <w:p w14:paraId="725AB3EF" w14:textId="77777777" w:rsidR="00A77B3E" w:rsidRDefault="00A77B3E">
      <w:pPr>
        <w:spacing w:line="360" w:lineRule="auto"/>
        <w:jc w:val="both"/>
      </w:pPr>
    </w:p>
    <w:p w14:paraId="1CB5D931" w14:textId="77777777" w:rsidR="00A77B3E" w:rsidRDefault="0028271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759E454" w14:textId="77777777" w:rsidR="00A77B3E" w:rsidRDefault="00A77B3E">
      <w:pPr>
        <w:spacing w:line="360" w:lineRule="auto"/>
        <w:jc w:val="both"/>
      </w:pPr>
    </w:p>
    <w:p w14:paraId="1E990E7C" w14:textId="77777777" w:rsidR="00A77B3E" w:rsidRDefault="0028271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that no conflict of interest exists.</w:t>
      </w:r>
    </w:p>
    <w:p w14:paraId="70CD65B7" w14:textId="77777777" w:rsidR="00A77B3E" w:rsidRDefault="00A77B3E">
      <w:pPr>
        <w:spacing w:line="360" w:lineRule="auto"/>
        <w:jc w:val="both"/>
      </w:pPr>
    </w:p>
    <w:p w14:paraId="12C3FFF0" w14:textId="77777777" w:rsidR="00A77B3E" w:rsidRDefault="0028271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43E67BE" w14:textId="77777777" w:rsidR="00A77B3E" w:rsidRDefault="00A77B3E">
      <w:pPr>
        <w:spacing w:line="360" w:lineRule="auto"/>
        <w:jc w:val="both"/>
      </w:pPr>
    </w:p>
    <w:p w14:paraId="691E976C" w14:textId="77777777" w:rsidR="00A77B3E" w:rsidRDefault="0028271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5A3FB4D" w14:textId="77777777" w:rsidR="00A77B3E" w:rsidRDefault="00A77B3E">
      <w:pPr>
        <w:spacing w:line="360" w:lineRule="auto"/>
        <w:jc w:val="both"/>
      </w:pPr>
    </w:p>
    <w:p w14:paraId="0EEC967D" w14:textId="77777777" w:rsidR="00A77B3E" w:rsidRDefault="002827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55E0E6" w14:textId="77777777" w:rsidR="00A77B3E" w:rsidRDefault="00A77B3E">
      <w:pPr>
        <w:spacing w:line="360" w:lineRule="auto"/>
        <w:jc w:val="both"/>
      </w:pPr>
    </w:p>
    <w:p w14:paraId="6AA1A6D4" w14:textId="497E6A67" w:rsidR="00A77B3E" w:rsidRDefault="0028271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12D73">
        <w:rPr>
          <w:rFonts w:ascii="Book Antiqua" w:eastAsia="Book Antiqua" w:hAnsi="Book Antiqua" w:cs="Book Antiqua"/>
          <w:color w:val="000000"/>
        </w:rPr>
        <w:t>m</w:t>
      </w:r>
      <w:r>
        <w:rPr>
          <w:rFonts w:ascii="Book Antiqua" w:eastAsia="Book Antiqua" w:hAnsi="Book Antiqua" w:cs="Book Antiqua"/>
          <w:color w:val="000000"/>
        </w:rPr>
        <w:t>anuscript</w:t>
      </w:r>
    </w:p>
    <w:p w14:paraId="05531398" w14:textId="77777777" w:rsidR="00A77B3E" w:rsidRDefault="00A77B3E">
      <w:pPr>
        <w:spacing w:line="360" w:lineRule="auto"/>
        <w:jc w:val="both"/>
      </w:pPr>
    </w:p>
    <w:p w14:paraId="5F236DFB" w14:textId="77777777" w:rsidR="00A77B3E" w:rsidRDefault="002827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6D3F2620" w14:textId="77777777" w:rsidR="00A77B3E" w:rsidRDefault="002827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2AA681B4" w14:textId="2D39BC7B" w:rsidR="00A77B3E" w:rsidRDefault="00282716">
      <w:pPr>
        <w:spacing w:line="360" w:lineRule="auto"/>
        <w:jc w:val="both"/>
      </w:pPr>
      <w:r>
        <w:rPr>
          <w:rFonts w:ascii="Book Antiqua" w:eastAsia="Book Antiqua" w:hAnsi="Book Antiqua" w:cs="Book Antiqua"/>
          <w:b/>
          <w:color w:val="000000"/>
        </w:rPr>
        <w:t xml:space="preserve">Article in press: </w:t>
      </w:r>
      <w:r w:rsidR="006771C1" w:rsidRPr="00315F98">
        <w:rPr>
          <w:rFonts w:ascii="Book Antiqua" w:eastAsia="Book Antiqua" w:hAnsi="Book Antiqua" w:cs="Book Antiqua"/>
          <w:bCs/>
          <w:color w:val="000000"/>
        </w:rPr>
        <w:t>May 26, 2021</w:t>
      </w:r>
    </w:p>
    <w:p w14:paraId="50CA9568" w14:textId="77777777" w:rsidR="00A77B3E" w:rsidRDefault="00A77B3E">
      <w:pPr>
        <w:spacing w:line="360" w:lineRule="auto"/>
        <w:jc w:val="both"/>
      </w:pPr>
    </w:p>
    <w:p w14:paraId="06D28768" w14:textId="1EBC9283" w:rsidR="00A77B3E" w:rsidRDefault="002827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5B6407">
        <w:rPr>
          <w:rFonts w:ascii="Book Antiqua" w:eastAsia="Book Antiqua" w:hAnsi="Book Antiqua" w:cs="Book Antiqua"/>
          <w:color w:val="000000"/>
        </w:rPr>
        <w:t>d</w:t>
      </w:r>
      <w:r>
        <w:rPr>
          <w:rFonts w:ascii="Book Antiqua" w:eastAsia="Book Antiqua" w:hAnsi="Book Antiqua" w:cs="Book Antiqua"/>
          <w:color w:val="000000"/>
        </w:rPr>
        <w:t>iseases</w:t>
      </w:r>
    </w:p>
    <w:p w14:paraId="55A16557" w14:textId="77777777" w:rsidR="00A77B3E" w:rsidRDefault="002827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B99C2A" w14:textId="77777777" w:rsidR="00A77B3E" w:rsidRDefault="00282716">
      <w:pPr>
        <w:spacing w:line="360" w:lineRule="auto"/>
        <w:jc w:val="both"/>
      </w:pPr>
      <w:r>
        <w:rPr>
          <w:rFonts w:ascii="Book Antiqua" w:eastAsia="Book Antiqua" w:hAnsi="Book Antiqua" w:cs="Book Antiqua"/>
          <w:b/>
          <w:color w:val="000000"/>
        </w:rPr>
        <w:t>Peer-review report’s scientific quality classification</w:t>
      </w:r>
    </w:p>
    <w:p w14:paraId="0AA8BDC5" w14:textId="77777777" w:rsidR="00A77B3E" w:rsidRDefault="00282716">
      <w:pPr>
        <w:spacing w:line="360" w:lineRule="auto"/>
        <w:jc w:val="both"/>
      </w:pPr>
      <w:r>
        <w:rPr>
          <w:rFonts w:ascii="Book Antiqua" w:eastAsia="Book Antiqua" w:hAnsi="Book Antiqua" w:cs="Book Antiqua"/>
          <w:color w:val="000000"/>
        </w:rPr>
        <w:t>Grade A (Excellent): 0</w:t>
      </w:r>
    </w:p>
    <w:p w14:paraId="0684DF20" w14:textId="77777777" w:rsidR="00A77B3E" w:rsidRDefault="00282716">
      <w:pPr>
        <w:spacing w:line="360" w:lineRule="auto"/>
        <w:jc w:val="both"/>
      </w:pPr>
      <w:r>
        <w:rPr>
          <w:rFonts w:ascii="Book Antiqua" w:eastAsia="Book Antiqua" w:hAnsi="Book Antiqua" w:cs="Book Antiqua"/>
          <w:color w:val="000000"/>
        </w:rPr>
        <w:t>Grade B (Very good): 0</w:t>
      </w:r>
    </w:p>
    <w:p w14:paraId="327076B6" w14:textId="77777777" w:rsidR="00A77B3E" w:rsidRDefault="00282716">
      <w:pPr>
        <w:spacing w:line="360" w:lineRule="auto"/>
        <w:jc w:val="both"/>
      </w:pPr>
      <w:r>
        <w:rPr>
          <w:rFonts w:ascii="Book Antiqua" w:eastAsia="Book Antiqua" w:hAnsi="Book Antiqua" w:cs="Book Antiqua"/>
          <w:color w:val="000000"/>
        </w:rPr>
        <w:t>Grade C (Good): C</w:t>
      </w:r>
    </w:p>
    <w:p w14:paraId="1F8704C7" w14:textId="77777777" w:rsidR="00A77B3E" w:rsidRDefault="00282716">
      <w:pPr>
        <w:spacing w:line="360" w:lineRule="auto"/>
        <w:jc w:val="both"/>
      </w:pPr>
      <w:r>
        <w:rPr>
          <w:rFonts w:ascii="Book Antiqua" w:eastAsia="Book Antiqua" w:hAnsi="Book Antiqua" w:cs="Book Antiqua"/>
          <w:color w:val="000000"/>
        </w:rPr>
        <w:t>Grade D (Fair): D</w:t>
      </w:r>
    </w:p>
    <w:p w14:paraId="19CF05E9" w14:textId="77777777" w:rsidR="00A77B3E" w:rsidRDefault="00282716">
      <w:pPr>
        <w:spacing w:line="360" w:lineRule="auto"/>
        <w:jc w:val="both"/>
      </w:pPr>
      <w:r>
        <w:rPr>
          <w:rFonts w:ascii="Book Antiqua" w:eastAsia="Book Antiqua" w:hAnsi="Book Antiqua" w:cs="Book Antiqua"/>
          <w:color w:val="000000"/>
        </w:rPr>
        <w:t>Grade E (Poor): 0</w:t>
      </w:r>
    </w:p>
    <w:p w14:paraId="3622774A" w14:textId="77777777" w:rsidR="00A77B3E" w:rsidRDefault="00A77B3E">
      <w:pPr>
        <w:spacing w:line="360" w:lineRule="auto"/>
        <w:jc w:val="both"/>
      </w:pPr>
    </w:p>
    <w:p w14:paraId="63471BD6" w14:textId="788A9241" w:rsidR="00A77B3E" w:rsidRDefault="002827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Y, Fraga RS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C24FA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6771C1" w:rsidRPr="00E60F36">
        <w:rPr>
          <w:rFonts w:ascii="Book Antiqua" w:hAnsi="Book Antiqua"/>
          <w:bCs/>
        </w:rPr>
        <w:t>Zhang</w:t>
      </w:r>
      <w:r w:rsidR="006771C1">
        <w:rPr>
          <w:rFonts w:ascii="Book Antiqua" w:hAnsi="Book Antiqua"/>
          <w:bCs/>
        </w:rPr>
        <w:t xml:space="preserve"> </w:t>
      </w:r>
      <w:r w:rsidR="006771C1" w:rsidRPr="00E60F36">
        <w:rPr>
          <w:rFonts w:ascii="Book Antiqua" w:hAnsi="Book Antiqua"/>
          <w:bCs/>
        </w:rPr>
        <w:t>YL</w:t>
      </w:r>
      <w:bookmarkStart w:id="1" w:name="_GoBack"/>
      <w:bookmarkEnd w:id="1"/>
    </w:p>
    <w:p w14:paraId="434D6C41" w14:textId="77777777" w:rsidR="005B6407" w:rsidRDefault="005B6407">
      <w:pPr>
        <w:spacing w:line="360" w:lineRule="auto"/>
        <w:jc w:val="both"/>
        <w:sectPr w:rsidR="005B6407">
          <w:pgSz w:w="12240" w:h="15840"/>
          <w:pgMar w:top="1440" w:right="1440" w:bottom="1440" w:left="1440" w:header="720" w:footer="720" w:gutter="0"/>
          <w:cols w:space="720"/>
          <w:docGrid w:linePitch="360"/>
        </w:sectPr>
      </w:pPr>
    </w:p>
    <w:p w14:paraId="3A03C54C" w14:textId="77777777" w:rsidR="00A77B3E" w:rsidRDefault="0028271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DB4C54F" w14:textId="6256A9CA" w:rsidR="00715DDD" w:rsidRPr="00715DDD" w:rsidRDefault="006C7BB1">
      <w:pPr>
        <w:spacing w:line="360" w:lineRule="auto"/>
        <w:jc w:val="both"/>
        <w:rPr>
          <w:lang w:eastAsia="zh-CN"/>
        </w:rPr>
      </w:pPr>
      <w:r>
        <w:rPr>
          <w:noProof/>
          <w:lang w:eastAsia="zh-CN"/>
        </w:rPr>
        <w:drawing>
          <wp:inline distT="0" distB="0" distL="0" distR="0" wp14:anchorId="31BC8379" wp14:editId="11DFA31B">
            <wp:extent cx="4422260" cy="38961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5931" cy="3908183"/>
                    </a:xfrm>
                    <a:prstGeom prst="rect">
                      <a:avLst/>
                    </a:prstGeom>
                  </pic:spPr>
                </pic:pic>
              </a:graphicData>
            </a:graphic>
          </wp:inline>
        </w:drawing>
      </w:r>
    </w:p>
    <w:p w14:paraId="5B02333A" w14:textId="77777777" w:rsidR="00A77B3E"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Overview of the inclusion process of the study population. </w:t>
      </w:r>
      <w:r>
        <w:rPr>
          <w:rFonts w:ascii="Book Antiqua" w:eastAsia="Book Antiqua" w:hAnsi="Book Antiqua" w:cs="Book Antiqua"/>
          <w:color w:val="000000"/>
        </w:rPr>
        <w:t xml:space="preserve">CHB: </w:t>
      </w:r>
      <w:r>
        <w:rPr>
          <w:rFonts w:ascii="Book Antiqua" w:eastAsia="Book Antiqua" w:hAnsi="Book Antiqua" w:cs="Book Antiqua"/>
          <w:caps/>
          <w:color w:val="000000"/>
        </w:rPr>
        <w:t>c</w:t>
      </w:r>
      <w:r>
        <w:rPr>
          <w:rFonts w:ascii="Book Antiqua" w:eastAsia="Book Antiqua" w:hAnsi="Book Antiqua" w:cs="Book Antiqua"/>
          <w:color w:val="000000"/>
        </w:rPr>
        <w:t xml:space="preserve">hronic hepatitis B; HBeAg: </w:t>
      </w:r>
      <w:r>
        <w:rPr>
          <w:rFonts w:ascii="Book Antiqua" w:eastAsia="Book Antiqua" w:hAnsi="Book Antiqua" w:cs="Book Antiqua"/>
          <w:caps/>
          <w:color w:val="000000"/>
        </w:rPr>
        <w:t>h</w:t>
      </w:r>
      <w:r>
        <w:rPr>
          <w:rFonts w:ascii="Book Antiqua" w:eastAsia="Book Antiqua" w:hAnsi="Book Antiqua" w:cs="Book Antiqua"/>
          <w:color w:val="000000"/>
        </w:rPr>
        <w:t>epatitis B e antigen; HBsAg: Hepatitis B surface antigen.</w:t>
      </w:r>
    </w:p>
    <w:p w14:paraId="7E741581" w14:textId="77777777" w:rsidR="00715DDD" w:rsidRDefault="00715DDD">
      <w:pPr>
        <w:spacing w:line="360" w:lineRule="auto"/>
        <w:jc w:val="both"/>
        <w:rPr>
          <w:rFonts w:ascii="Book Antiqua" w:hAnsi="Book Antiqua" w:cs="Book Antiqua"/>
          <w:color w:val="000000"/>
          <w:lang w:eastAsia="zh-CN"/>
        </w:rPr>
      </w:pPr>
    </w:p>
    <w:p w14:paraId="4669E31C" w14:textId="77777777" w:rsidR="00715DDD" w:rsidRDefault="00715DDD">
      <w:pPr>
        <w:spacing w:line="360" w:lineRule="auto"/>
        <w:jc w:val="both"/>
        <w:rPr>
          <w:lang w:eastAsia="zh-CN"/>
        </w:rPr>
      </w:pPr>
      <w:r>
        <w:rPr>
          <w:lang w:eastAsia="zh-CN"/>
        </w:rPr>
        <w:br w:type="page"/>
      </w:r>
      <w:r>
        <w:rPr>
          <w:noProof/>
          <w:lang w:eastAsia="zh-CN"/>
        </w:rPr>
        <w:drawing>
          <wp:inline distT="0" distB="0" distL="0" distR="0" wp14:anchorId="2A78EDAC" wp14:editId="7C42AB89">
            <wp:extent cx="5486400" cy="2023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23110"/>
                    </a:xfrm>
                    <a:prstGeom prst="rect">
                      <a:avLst/>
                    </a:prstGeom>
                  </pic:spPr>
                </pic:pic>
              </a:graphicData>
            </a:graphic>
          </wp:inline>
        </w:drawing>
      </w:r>
    </w:p>
    <w:p w14:paraId="673A7CB7" w14:textId="77777777" w:rsidR="00715DDD" w:rsidRDefault="00715DDD">
      <w:pPr>
        <w:spacing w:line="360" w:lineRule="auto"/>
        <w:jc w:val="both"/>
        <w:rPr>
          <w:lang w:eastAsia="zh-CN"/>
        </w:rPr>
      </w:pPr>
      <w:r>
        <w:rPr>
          <w:rFonts w:hint="eastAsia"/>
          <w:lang w:eastAsia="zh-CN"/>
        </w:rPr>
        <w:t>A</w:t>
      </w:r>
    </w:p>
    <w:p w14:paraId="49CF66A0" w14:textId="77777777" w:rsidR="00715DDD" w:rsidRDefault="00715DDD">
      <w:pPr>
        <w:spacing w:line="360" w:lineRule="auto"/>
        <w:jc w:val="both"/>
        <w:rPr>
          <w:lang w:eastAsia="zh-CN"/>
        </w:rPr>
      </w:pPr>
      <w:r>
        <w:rPr>
          <w:noProof/>
          <w:lang w:eastAsia="zh-CN"/>
        </w:rPr>
        <w:drawing>
          <wp:inline distT="0" distB="0" distL="0" distR="0" wp14:anchorId="24BB8E9F" wp14:editId="4A5B3A4F">
            <wp:extent cx="5169166" cy="2241665"/>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9166" cy="2241665"/>
                    </a:xfrm>
                    <a:prstGeom prst="rect">
                      <a:avLst/>
                    </a:prstGeom>
                  </pic:spPr>
                </pic:pic>
              </a:graphicData>
            </a:graphic>
          </wp:inline>
        </w:drawing>
      </w:r>
    </w:p>
    <w:p w14:paraId="34A0E26A" w14:textId="77777777" w:rsidR="00715DDD" w:rsidRDefault="00715DDD">
      <w:pPr>
        <w:spacing w:line="360" w:lineRule="auto"/>
        <w:jc w:val="both"/>
        <w:rPr>
          <w:lang w:eastAsia="zh-CN"/>
        </w:rPr>
      </w:pPr>
      <w:r>
        <w:rPr>
          <w:rFonts w:hint="eastAsia"/>
          <w:lang w:eastAsia="zh-CN"/>
        </w:rPr>
        <w:t>B</w:t>
      </w:r>
    </w:p>
    <w:p w14:paraId="1B1AD1A1" w14:textId="77777777" w:rsidR="00715DDD" w:rsidRDefault="009045EB">
      <w:pPr>
        <w:spacing w:line="360" w:lineRule="auto"/>
        <w:jc w:val="both"/>
        <w:rPr>
          <w:lang w:eastAsia="zh-CN"/>
        </w:rPr>
      </w:pPr>
      <w:r>
        <w:rPr>
          <w:noProof/>
          <w:lang w:eastAsia="zh-CN"/>
        </w:rPr>
        <w:drawing>
          <wp:inline distT="0" distB="0" distL="0" distR="0" wp14:anchorId="28D8CCA8" wp14:editId="20300859">
            <wp:extent cx="5524500" cy="19340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4784" cy="1934154"/>
                    </a:xfrm>
                    <a:prstGeom prst="rect">
                      <a:avLst/>
                    </a:prstGeom>
                  </pic:spPr>
                </pic:pic>
              </a:graphicData>
            </a:graphic>
          </wp:inline>
        </w:drawing>
      </w:r>
    </w:p>
    <w:p w14:paraId="6EE8CE26" w14:textId="77777777" w:rsidR="009045EB" w:rsidRDefault="009045EB">
      <w:pPr>
        <w:spacing w:line="360" w:lineRule="auto"/>
        <w:jc w:val="both"/>
        <w:rPr>
          <w:lang w:eastAsia="zh-CN"/>
        </w:rPr>
      </w:pPr>
      <w:r>
        <w:rPr>
          <w:rFonts w:hint="eastAsia"/>
          <w:lang w:eastAsia="zh-CN"/>
        </w:rPr>
        <w:t>C</w:t>
      </w:r>
    </w:p>
    <w:p w14:paraId="74397EA3" w14:textId="77777777" w:rsidR="009045EB" w:rsidRDefault="009045EB">
      <w:pPr>
        <w:spacing w:line="360" w:lineRule="auto"/>
        <w:jc w:val="both"/>
        <w:rPr>
          <w:lang w:eastAsia="zh-CN"/>
        </w:rPr>
      </w:pPr>
      <w:r>
        <w:rPr>
          <w:noProof/>
          <w:lang w:eastAsia="zh-CN"/>
        </w:rPr>
        <w:drawing>
          <wp:inline distT="0" distB="0" distL="0" distR="0" wp14:anchorId="6DBD0476" wp14:editId="076123AC">
            <wp:extent cx="5423179" cy="2597283"/>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3179" cy="2597283"/>
                    </a:xfrm>
                    <a:prstGeom prst="rect">
                      <a:avLst/>
                    </a:prstGeom>
                  </pic:spPr>
                </pic:pic>
              </a:graphicData>
            </a:graphic>
          </wp:inline>
        </w:drawing>
      </w:r>
    </w:p>
    <w:p w14:paraId="5CBC36B6" w14:textId="77777777" w:rsidR="009045EB" w:rsidRDefault="009045EB">
      <w:pPr>
        <w:spacing w:line="360" w:lineRule="auto"/>
        <w:jc w:val="both"/>
        <w:rPr>
          <w:lang w:eastAsia="zh-CN"/>
        </w:rPr>
      </w:pPr>
      <w:r>
        <w:rPr>
          <w:rFonts w:hint="eastAsia"/>
          <w:lang w:eastAsia="zh-CN"/>
        </w:rPr>
        <w:t>D</w:t>
      </w:r>
    </w:p>
    <w:p w14:paraId="3B8BDBEE" w14:textId="77777777" w:rsidR="009045EB" w:rsidRDefault="00B62CD1">
      <w:pPr>
        <w:spacing w:line="360" w:lineRule="auto"/>
        <w:jc w:val="both"/>
        <w:rPr>
          <w:lang w:eastAsia="zh-CN"/>
        </w:rPr>
      </w:pPr>
      <w:r>
        <w:rPr>
          <w:noProof/>
          <w:lang w:eastAsia="zh-CN"/>
        </w:rPr>
        <w:drawing>
          <wp:inline distT="0" distB="0" distL="0" distR="0" wp14:anchorId="34A23A41" wp14:editId="4EA18F01">
            <wp:extent cx="5486400" cy="32562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56280"/>
                    </a:xfrm>
                    <a:prstGeom prst="rect">
                      <a:avLst/>
                    </a:prstGeom>
                  </pic:spPr>
                </pic:pic>
              </a:graphicData>
            </a:graphic>
          </wp:inline>
        </w:drawing>
      </w:r>
    </w:p>
    <w:p w14:paraId="7F80FDF1" w14:textId="77777777" w:rsidR="00A100D4" w:rsidRDefault="00A100D4">
      <w:pPr>
        <w:spacing w:line="360" w:lineRule="auto"/>
        <w:jc w:val="both"/>
        <w:rPr>
          <w:lang w:eastAsia="zh-CN"/>
        </w:rPr>
      </w:pPr>
      <w:r>
        <w:rPr>
          <w:rFonts w:hint="eastAsia"/>
          <w:lang w:eastAsia="zh-CN"/>
        </w:rPr>
        <w:t>E</w:t>
      </w:r>
    </w:p>
    <w:p w14:paraId="129B0781" w14:textId="77777777" w:rsidR="008A78BE" w:rsidRDefault="008A78BE">
      <w:pPr>
        <w:spacing w:line="360" w:lineRule="auto"/>
        <w:jc w:val="both"/>
        <w:rPr>
          <w:lang w:eastAsia="zh-CN"/>
        </w:rPr>
      </w:pPr>
      <w:r>
        <w:rPr>
          <w:noProof/>
          <w:lang w:eastAsia="zh-CN"/>
        </w:rPr>
        <w:drawing>
          <wp:inline distT="0" distB="0" distL="0" distR="0" wp14:anchorId="26F7E677" wp14:editId="0F51398D">
            <wp:extent cx="4102311" cy="2375022"/>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02311" cy="2375022"/>
                    </a:xfrm>
                    <a:prstGeom prst="rect">
                      <a:avLst/>
                    </a:prstGeom>
                  </pic:spPr>
                </pic:pic>
              </a:graphicData>
            </a:graphic>
          </wp:inline>
        </w:drawing>
      </w:r>
    </w:p>
    <w:p w14:paraId="607BAA91" w14:textId="77777777" w:rsidR="008A78BE" w:rsidRPr="00715DDD" w:rsidRDefault="008A78BE">
      <w:pPr>
        <w:spacing w:line="360" w:lineRule="auto"/>
        <w:jc w:val="both"/>
        <w:rPr>
          <w:lang w:eastAsia="zh-CN"/>
        </w:rPr>
      </w:pPr>
      <w:r>
        <w:rPr>
          <w:rFonts w:hint="eastAsia"/>
          <w:lang w:eastAsia="zh-CN"/>
        </w:rPr>
        <w:t>F</w:t>
      </w:r>
    </w:p>
    <w:p w14:paraId="034B5A31" w14:textId="44EB3901" w:rsidR="00756947" w:rsidRPr="00575DDE"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Dynamics</w:t>
      </w:r>
      <w:r w:rsidR="00575DDE" w:rsidRPr="00575DDE">
        <w:rPr>
          <w:rFonts w:ascii="Book Antiqua" w:eastAsia="Book Antiqua" w:hAnsi="Book Antiqua" w:cs="Book Antiqua"/>
          <w:b/>
          <w:bCs/>
          <w:color w:val="000000"/>
        </w:rPr>
        <w:t xml:space="preserve"> </w:t>
      </w:r>
      <w:r w:rsidR="00575DDE" w:rsidRPr="0063142D">
        <w:rPr>
          <w:rFonts w:ascii="Book Antiqua" w:eastAsia="Book Antiqua" w:hAnsi="Book Antiqua" w:cs="Book Antiqua"/>
          <w:b/>
          <w:bCs/>
          <w:color w:val="000000"/>
        </w:rPr>
        <w:t xml:space="preserve">during </w:t>
      </w:r>
      <w:r w:rsidR="00575DDE" w:rsidRPr="00FD351B">
        <w:rPr>
          <w:rFonts w:ascii="Book Antiqua" w:eastAsia="Book Antiqua" w:hAnsi="Book Antiqua" w:cs="Book Antiqua"/>
          <w:b/>
          <w:bCs/>
          <w:color w:val="000000"/>
        </w:rPr>
        <w:t>nucleos(t)ide analogue</w:t>
      </w:r>
      <w:r w:rsidR="00575DDE" w:rsidRPr="0063142D">
        <w:rPr>
          <w:rFonts w:ascii="Book Antiqua" w:eastAsia="Book Antiqua" w:hAnsi="Book Antiqua" w:cs="Book Antiqua"/>
          <w:b/>
          <w:bCs/>
          <w:color w:val="000000"/>
        </w:rPr>
        <w:t xml:space="preserve"> treatment</w:t>
      </w:r>
      <w:r w:rsidR="00575DDE">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575DDE" w:rsidRPr="00373200">
        <w:rPr>
          <w:rFonts w:ascii="Book Antiqua" w:eastAsia="Book Antiqua" w:hAnsi="Book Antiqua" w:cs="Book Antiqua"/>
          <w:color w:val="000000"/>
        </w:rPr>
        <w:t>A: H</w:t>
      </w:r>
      <w:r w:rsidRPr="00373200">
        <w:rPr>
          <w:rFonts w:ascii="Book Antiqua" w:eastAsia="Book Antiqua" w:hAnsi="Book Antiqua" w:cs="Book Antiqua"/>
          <w:color w:val="000000"/>
        </w:rPr>
        <w:t xml:space="preserve">epatitis B virus </w:t>
      </w:r>
      <w:r w:rsidR="00575DDE" w:rsidRPr="00373200">
        <w:rPr>
          <w:rFonts w:ascii="Book Antiqua" w:eastAsia="Book Antiqua" w:hAnsi="Book Antiqua" w:cs="Book Antiqua"/>
          <w:color w:val="000000"/>
        </w:rPr>
        <w:t xml:space="preserve">(HBV) </w:t>
      </w:r>
      <w:r w:rsidRPr="00373200">
        <w:rPr>
          <w:rFonts w:ascii="Book Antiqua" w:eastAsia="Book Antiqua" w:hAnsi="Book Antiqua" w:cs="Book Antiqua"/>
          <w:color w:val="000000"/>
        </w:rPr>
        <w:t>DNA</w:t>
      </w:r>
      <w:r w:rsidR="00575DDE" w:rsidRPr="00373200">
        <w:rPr>
          <w:rFonts w:ascii="Book Antiqua" w:eastAsia="Book Antiqua" w:hAnsi="Book Antiqua" w:cs="Book Antiqua"/>
          <w:color w:val="000000"/>
        </w:rPr>
        <w:t>; B:</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A</w:t>
      </w:r>
      <w:r w:rsidRPr="00373200">
        <w:rPr>
          <w:rFonts w:ascii="Book Antiqua" w:eastAsia="Book Antiqua" w:hAnsi="Book Antiqua" w:cs="Book Antiqua"/>
          <w:color w:val="000000"/>
        </w:rPr>
        <w:t>lanine transaminase (</w:t>
      </w:r>
      <w:r w:rsidR="00575DDE" w:rsidRPr="00373200">
        <w:rPr>
          <w:rFonts w:ascii="Book Antiqua" w:eastAsia="Book Antiqua" w:hAnsi="Book Antiqua" w:cs="Book Antiqua"/>
          <w:color w:val="000000"/>
        </w:rPr>
        <w:t>ALT</w:t>
      </w:r>
      <w:r w:rsidRPr="00373200">
        <w:rPr>
          <w:rFonts w:ascii="Book Antiqua" w:eastAsia="Book Antiqua" w:hAnsi="Book Antiqua" w:cs="Book Antiqua"/>
          <w:color w:val="000000"/>
        </w:rPr>
        <w:t>)</w:t>
      </w:r>
      <w:r w:rsidR="00575DDE" w:rsidRPr="00373200">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C: H</w:t>
      </w:r>
      <w:r w:rsidRPr="00373200">
        <w:rPr>
          <w:rFonts w:ascii="Book Antiqua" w:eastAsia="Book Antiqua" w:hAnsi="Book Antiqua" w:cs="Book Antiqua"/>
          <w:color w:val="000000"/>
        </w:rPr>
        <w:t>epatitis B surface antigen (</w:t>
      </w:r>
      <w:r w:rsidR="00575DDE" w:rsidRPr="00373200">
        <w:rPr>
          <w:rFonts w:ascii="Book Antiqua" w:eastAsia="Book Antiqua" w:hAnsi="Book Antiqua" w:cs="Book Antiqua"/>
          <w:color w:val="000000"/>
        </w:rPr>
        <w:t>HBsAg</w:t>
      </w:r>
      <w:r w:rsidRPr="00373200">
        <w:rPr>
          <w:rFonts w:ascii="Book Antiqua" w:eastAsia="Book Antiqua" w:hAnsi="Book Antiqua" w:cs="Book Antiqua"/>
          <w:color w:val="000000"/>
        </w:rPr>
        <w:t>)</w:t>
      </w:r>
      <w:r w:rsidR="00575DDE" w:rsidRPr="00373200">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D: S</w:t>
      </w:r>
      <w:r w:rsidRPr="00373200">
        <w:rPr>
          <w:rFonts w:ascii="Book Antiqua" w:eastAsia="Book Antiqua" w:hAnsi="Book Antiqua" w:cs="Book Antiqua"/>
          <w:color w:val="000000"/>
        </w:rPr>
        <w:t>oluble programmed death-1 (</w:t>
      </w:r>
      <w:r w:rsidR="00575DDE" w:rsidRPr="00373200">
        <w:rPr>
          <w:rFonts w:ascii="Book Antiqua" w:eastAsia="Book Antiqua" w:hAnsi="Book Antiqua" w:cs="Book Antiqua"/>
          <w:color w:val="000000"/>
        </w:rPr>
        <w:t>sPD-1</w:t>
      </w:r>
      <w:r w:rsidRPr="00373200">
        <w:rPr>
          <w:rFonts w:ascii="Book Antiqua" w:eastAsia="Book Antiqua" w:hAnsi="Book Antiqua" w:cs="Book Antiqua"/>
          <w:color w:val="000000"/>
        </w:rPr>
        <w:t>) levels; soluble programmed death-1</w:t>
      </w:r>
      <w:r w:rsidR="00575DDE">
        <w:rPr>
          <w:rFonts w:ascii="Book Antiqua" w:eastAsia="Book Antiqua" w:hAnsi="Book Antiqua" w:cs="Book Antiqua"/>
          <w:color w:val="000000"/>
        </w:rPr>
        <w:t>; E, F:</w:t>
      </w:r>
      <w:r w:rsidRPr="00575DDE">
        <w:rPr>
          <w:rFonts w:ascii="Book Antiqua" w:eastAsia="Book Antiqua" w:hAnsi="Book Antiqua" w:cs="Book Antiqua"/>
          <w:b/>
          <w:bCs/>
          <w:color w:val="000000"/>
        </w:rPr>
        <w:t xml:space="preserve"> </w:t>
      </w:r>
      <w:r w:rsidR="00575DDE" w:rsidRPr="00373200">
        <w:rPr>
          <w:rFonts w:ascii="Book Antiqua" w:eastAsia="Book Antiqua" w:hAnsi="Book Antiqua" w:cs="Book Antiqua"/>
          <w:color w:val="000000"/>
        </w:rPr>
        <w:t>L</w:t>
      </w:r>
      <w:r w:rsidRPr="00373200">
        <w:rPr>
          <w:rFonts w:ascii="Book Antiqua" w:eastAsia="Book Antiqua" w:hAnsi="Book Antiqua" w:cs="Book Antiqua"/>
          <w:color w:val="000000"/>
        </w:rPr>
        <w:t xml:space="preserve">evels in patients without (E)/with (F) </w:t>
      </w:r>
      <w:r w:rsidR="00575DDE" w:rsidRPr="00373200">
        <w:rPr>
          <w:rFonts w:ascii="Book Antiqua" w:eastAsia="Book Antiqua" w:hAnsi="Book Antiqua" w:cs="Book Antiqua"/>
          <w:color w:val="000000"/>
        </w:rPr>
        <w:t>HBsAg</w:t>
      </w:r>
      <w:r w:rsidRPr="00373200">
        <w:rPr>
          <w:rFonts w:ascii="Book Antiqua" w:eastAsia="Book Antiqua" w:hAnsi="Book Antiqua" w:cs="Book Antiqua"/>
          <w:color w:val="000000"/>
        </w:rPr>
        <w:t xml:space="preserve"> loss at different time points.</w:t>
      </w:r>
      <w:r w:rsidR="00756947" w:rsidRPr="00373200">
        <w:rPr>
          <w:rFonts w:ascii="Book Antiqua" w:hAnsi="Book Antiqua" w:cs="Book Antiqua"/>
          <w:color w:val="000000"/>
          <w:lang w:eastAsia="zh-CN"/>
        </w:rPr>
        <w:t xml:space="preserve"> </w:t>
      </w:r>
    </w:p>
    <w:p w14:paraId="7CCFB149" w14:textId="77777777" w:rsidR="00A77B3E" w:rsidRPr="00756947" w:rsidRDefault="00A77B3E">
      <w:pPr>
        <w:spacing w:line="360" w:lineRule="auto"/>
        <w:jc w:val="both"/>
        <w:rPr>
          <w:rFonts w:ascii="Book Antiqua" w:hAnsi="Book Antiqua" w:cs="Book Antiqua"/>
          <w:b/>
          <w:bCs/>
          <w:color w:val="000000"/>
          <w:lang w:eastAsia="zh-CN"/>
        </w:rPr>
      </w:pPr>
    </w:p>
    <w:p w14:paraId="46D13329" w14:textId="13D4D587" w:rsidR="00715DDD" w:rsidRDefault="008A78BE">
      <w:pPr>
        <w:spacing w:line="360" w:lineRule="auto"/>
        <w:jc w:val="both"/>
        <w:rPr>
          <w:lang w:eastAsia="zh-CN"/>
        </w:rPr>
      </w:pPr>
      <w:r>
        <w:rPr>
          <w:lang w:eastAsia="zh-CN"/>
        </w:rPr>
        <w:br w:type="page"/>
      </w:r>
      <w:r w:rsidR="00045642">
        <w:rPr>
          <w:noProof/>
          <w:lang w:eastAsia="zh-CN"/>
        </w:rPr>
        <w:drawing>
          <wp:inline distT="0" distB="0" distL="0" distR="0" wp14:anchorId="671049E6" wp14:editId="76EFDCAF">
            <wp:extent cx="2501900" cy="281750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99311" cy="2814590"/>
                    </a:xfrm>
                    <a:prstGeom prst="rect">
                      <a:avLst/>
                    </a:prstGeom>
                  </pic:spPr>
                </pic:pic>
              </a:graphicData>
            </a:graphic>
          </wp:inline>
        </w:drawing>
      </w:r>
      <w:r>
        <w:rPr>
          <w:noProof/>
          <w:lang w:eastAsia="zh-CN"/>
        </w:rPr>
        <w:drawing>
          <wp:inline distT="0" distB="0" distL="0" distR="0" wp14:anchorId="3A19934A" wp14:editId="02345926">
            <wp:extent cx="2514600" cy="2514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14729" cy="2514729"/>
                    </a:xfrm>
                    <a:prstGeom prst="rect">
                      <a:avLst/>
                    </a:prstGeom>
                  </pic:spPr>
                </pic:pic>
              </a:graphicData>
            </a:graphic>
          </wp:inline>
        </w:drawing>
      </w:r>
      <w:r>
        <w:rPr>
          <w:lang w:eastAsia="zh-CN"/>
        </w:rPr>
        <w:br w:type="textWrapping" w:clear="all"/>
      </w:r>
      <w:r w:rsidR="0083510D">
        <w:rPr>
          <w:rFonts w:hint="eastAsia"/>
          <w:lang w:eastAsia="zh-CN"/>
        </w:rPr>
        <w:t>A                                                                                    B</w:t>
      </w:r>
    </w:p>
    <w:p w14:paraId="62A47D31" w14:textId="77777777" w:rsidR="0083510D" w:rsidRDefault="0083510D">
      <w:pPr>
        <w:tabs>
          <w:tab w:val="left" w:pos="6560"/>
        </w:tabs>
        <w:spacing w:line="360" w:lineRule="auto"/>
        <w:jc w:val="both"/>
        <w:rPr>
          <w:lang w:eastAsia="zh-CN"/>
        </w:rPr>
      </w:pPr>
      <w:r>
        <w:rPr>
          <w:noProof/>
          <w:lang w:eastAsia="zh-CN"/>
        </w:rPr>
        <w:drawing>
          <wp:inline distT="0" distB="0" distL="0" distR="0" wp14:anchorId="7DE08511" wp14:editId="295DD031">
            <wp:extent cx="2754170" cy="2647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56170" cy="2649873"/>
                    </a:xfrm>
                    <a:prstGeom prst="rect">
                      <a:avLst/>
                    </a:prstGeom>
                  </pic:spPr>
                </pic:pic>
              </a:graphicData>
            </a:graphic>
          </wp:inline>
        </w:drawing>
      </w:r>
      <w:r>
        <w:rPr>
          <w:noProof/>
          <w:lang w:eastAsia="zh-CN"/>
        </w:rPr>
        <w:drawing>
          <wp:anchor distT="0" distB="0" distL="114300" distR="114300" simplePos="0" relativeHeight="251658240" behindDoc="0" locked="0" layoutInCell="1" allowOverlap="1" wp14:anchorId="0F08BAC0" wp14:editId="5CF10E26">
            <wp:simplePos x="0" y="0"/>
            <wp:positionH relativeFrom="column">
              <wp:align>left</wp:align>
            </wp:positionH>
            <wp:positionV relativeFrom="paragraph">
              <wp:align>top</wp:align>
            </wp:positionV>
            <wp:extent cx="2825750" cy="268224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25750" cy="2682579"/>
                    </a:xfrm>
                    <a:prstGeom prst="rect">
                      <a:avLst/>
                    </a:prstGeom>
                  </pic:spPr>
                </pic:pic>
              </a:graphicData>
            </a:graphic>
            <wp14:sizeRelH relativeFrom="margin">
              <wp14:pctWidth>0</wp14:pctWidth>
            </wp14:sizeRelH>
            <wp14:sizeRelV relativeFrom="margin">
              <wp14:pctHeight>0</wp14:pctHeight>
            </wp14:sizeRelV>
          </wp:anchor>
        </w:drawing>
      </w:r>
    </w:p>
    <w:p w14:paraId="5B639DB6" w14:textId="77777777" w:rsidR="008A78BE" w:rsidRDefault="008A78BE">
      <w:pPr>
        <w:tabs>
          <w:tab w:val="left" w:pos="6560"/>
        </w:tabs>
        <w:spacing w:line="360" w:lineRule="auto"/>
        <w:jc w:val="both"/>
        <w:rPr>
          <w:lang w:eastAsia="zh-CN"/>
        </w:rPr>
      </w:pPr>
      <w:r>
        <w:rPr>
          <w:rFonts w:hint="eastAsia"/>
          <w:lang w:eastAsia="zh-CN"/>
        </w:rPr>
        <w:t>C</w:t>
      </w:r>
      <w:r w:rsidR="0083510D">
        <w:rPr>
          <w:rFonts w:hint="eastAsia"/>
          <w:lang w:eastAsia="zh-CN"/>
        </w:rPr>
        <w:t xml:space="preserve">                                                                               D</w:t>
      </w:r>
    </w:p>
    <w:p w14:paraId="17A631F3" w14:textId="77777777" w:rsidR="0083510D" w:rsidRDefault="0083510D">
      <w:pPr>
        <w:tabs>
          <w:tab w:val="left" w:pos="6560"/>
        </w:tabs>
        <w:spacing w:line="360" w:lineRule="auto"/>
        <w:jc w:val="both"/>
        <w:rPr>
          <w:lang w:eastAsia="zh-CN"/>
        </w:rPr>
      </w:pPr>
      <w:r>
        <w:rPr>
          <w:noProof/>
          <w:lang w:eastAsia="zh-CN"/>
        </w:rPr>
        <w:drawing>
          <wp:inline distT="0" distB="0" distL="0" distR="0" wp14:anchorId="26B89CB3" wp14:editId="13605127">
            <wp:extent cx="2438400" cy="26908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38526" cy="2690974"/>
                    </a:xfrm>
                    <a:prstGeom prst="rect">
                      <a:avLst/>
                    </a:prstGeom>
                  </pic:spPr>
                </pic:pic>
              </a:graphicData>
            </a:graphic>
          </wp:inline>
        </w:drawing>
      </w:r>
      <w:r>
        <w:rPr>
          <w:noProof/>
          <w:lang w:eastAsia="zh-CN"/>
        </w:rPr>
        <w:drawing>
          <wp:anchor distT="0" distB="0" distL="114300" distR="114300" simplePos="0" relativeHeight="251659264" behindDoc="0" locked="0" layoutInCell="1" allowOverlap="1" wp14:anchorId="7115FBA3" wp14:editId="73639E70">
            <wp:simplePos x="0" y="0"/>
            <wp:positionH relativeFrom="column">
              <wp:align>left</wp:align>
            </wp:positionH>
            <wp:positionV relativeFrom="paragraph">
              <wp:align>top</wp:align>
            </wp:positionV>
            <wp:extent cx="2832735" cy="268605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832735" cy="2686050"/>
                    </a:xfrm>
                    <a:prstGeom prst="rect">
                      <a:avLst/>
                    </a:prstGeom>
                  </pic:spPr>
                </pic:pic>
              </a:graphicData>
            </a:graphic>
          </wp:anchor>
        </w:drawing>
      </w:r>
    </w:p>
    <w:p w14:paraId="5DD70128" w14:textId="77777777" w:rsidR="0083510D" w:rsidRDefault="0083510D">
      <w:pPr>
        <w:tabs>
          <w:tab w:val="left" w:pos="6560"/>
        </w:tabs>
        <w:spacing w:line="360" w:lineRule="auto"/>
        <w:jc w:val="both"/>
        <w:rPr>
          <w:lang w:eastAsia="zh-CN"/>
        </w:rPr>
      </w:pPr>
      <w:r>
        <w:rPr>
          <w:rFonts w:hint="eastAsia"/>
          <w:lang w:eastAsia="zh-CN"/>
        </w:rPr>
        <w:t>E                                                                                F</w:t>
      </w:r>
    </w:p>
    <w:p w14:paraId="1C54391F" w14:textId="77777777" w:rsidR="0083510D" w:rsidRDefault="0083510D">
      <w:pPr>
        <w:tabs>
          <w:tab w:val="left" w:pos="6560"/>
        </w:tabs>
        <w:spacing w:line="360" w:lineRule="auto"/>
        <w:jc w:val="both"/>
        <w:rPr>
          <w:lang w:eastAsia="zh-CN"/>
        </w:rPr>
      </w:pPr>
      <w:r>
        <w:rPr>
          <w:noProof/>
          <w:lang w:eastAsia="zh-CN"/>
        </w:rPr>
        <w:drawing>
          <wp:inline distT="0" distB="0" distL="0" distR="0" wp14:anchorId="4FC22333" wp14:editId="65CD46BF">
            <wp:extent cx="2635250" cy="294840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35386" cy="2948559"/>
                    </a:xfrm>
                    <a:prstGeom prst="rect">
                      <a:avLst/>
                    </a:prstGeom>
                  </pic:spPr>
                </pic:pic>
              </a:graphicData>
            </a:graphic>
          </wp:inline>
        </w:drawing>
      </w:r>
    </w:p>
    <w:p w14:paraId="662008B7" w14:textId="77777777" w:rsidR="0083510D" w:rsidRPr="00715DDD" w:rsidRDefault="0083510D">
      <w:pPr>
        <w:tabs>
          <w:tab w:val="left" w:pos="6560"/>
        </w:tabs>
        <w:spacing w:line="360" w:lineRule="auto"/>
        <w:jc w:val="both"/>
        <w:rPr>
          <w:lang w:eastAsia="zh-CN"/>
        </w:rPr>
      </w:pPr>
      <w:r>
        <w:rPr>
          <w:rFonts w:hint="eastAsia"/>
          <w:lang w:eastAsia="zh-CN"/>
        </w:rPr>
        <w:t>G</w:t>
      </w:r>
    </w:p>
    <w:p w14:paraId="75FB45FE" w14:textId="01711902" w:rsidR="00A77B3E" w:rsidRPr="0063142D"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sidR="000108F2">
        <w:rPr>
          <w:rFonts w:ascii="Book Antiqua" w:eastAsia="Book Antiqua" w:hAnsi="Book Antiqua" w:cs="Book Antiqua"/>
          <w:b/>
          <w:bCs/>
          <w:color w:val="000000"/>
        </w:rPr>
        <w:t>S</w:t>
      </w:r>
      <w:r>
        <w:rPr>
          <w:rFonts w:ascii="Book Antiqua" w:eastAsia="Book Antiqua" w:hAnsi="Book Antiqua" w:cs="Book Antiqua"/>
          <w:b/>
          <w:bCs/>
          <w:color w:val="000000"/>
        </w:rPr>
        <w:t xml:space="preserve">oluble programmed death-1 </w:t>
      </w:r>
      <w:r w:rsidR="00C533D8">
        <w:rPr>
          <w:rFonts w:ascii="Book Antiqua" w:eastAsia="Book Antiqua" w:hAnsi="Book Antiqua" w:cs="Book Antiqua"/>
          <w:b/>
          <w:bCs/>
          <w:color w:val="000000"/>
        </w:rPr>
        <w:t>l</w:t>
      </w:r>
      <w:r>
        <w:rPr>
          <w:rFonts w:ascii="Book Antiqua" w:eastAsia="Book Antiqua" w:hAnsi="Book Antiqua" w:cs="Book Antiqua"/>
          <w:b/>
          <w:bCs/>
          <w:color w:val="000000"/>
        </w:rPr>
        <w:t>evels</w:t>
      </w:r>
      <w:r w:rsidR="000108F2">
        <w:rPr>
          <w:rFonts w:ascii="Book Antiqua" w:eastAsia="Book Antiqua" w:hAnsi="Book Antiqua" w:cs="Book Antiqua"/>
          <w:b/>
          <w:bCs/>
          <w:color w:val="000000"/>
        </w:rPr>
        <w:t xml:space="preserve">. </w:t>
      </w:r>
      <w:r w:rsidR="000108F2">
        <w:rPr>
          <w:rFonts w:ascii="Book Antiqua" w:eastAsia="Book Antiqua" w:hAnsi="Book Antiqua" w:cs="Book Antiqua"/>
          <w:color w:val="000000"/>
        </w:rPr>
        <w:t>A: L</w:t>
      </w:r>
      <w:r w:rsidR="000108F2" w:rsidRPr="00373200">
        <w:rPr>
          <w:rFonts w:ascii="Book Antiqua" w:eastAsia="Book Antiqua" w:hAnsi="Book Antiqua" w:cs="Book Antiqua"/>
          <w:color w:val="000000"/>
        </w:rPr>
        <w:t>evels</w:t>
      </w:r>
      <w:r w:rsidRPr="00373200">
        <w:rPr>
          <w:rFonts w:ascii="Book Antiqua" w:eastAsia="Book Antiqua" w:hAnsi="Book Antiqua" w:cs="Book Antiqua"/>
          <w:color w:val="000000"/>
        </w:rPr>
        <w:t xml:space="preserve"> were positively correlated with alanine transaminase </w:t>
      </w:r>
      <w:r w:rsidR="000108F2">
        <w:rPr>
          <w:rFonts w:ascii="Book Antiqua" w:eastAsia="Book Antiqua" w:hAnsi="Book Antiqua" w:cs="Book Antiqua"/>
          <w:color w:val="000000"/>
        </w:rPr>
        <w:t xml:space="preserve">(ALT) </w:t>
      </w:r>
      <w:r w:rsidRPr="00373200">
        <w:rPr>
          <w:rFonts w:ascii="Book Antiqua" w:eastAsia="Book Antiqua" w:hAnsi="Book Antiqua" w:cs="Book Antiqua"/>
          <w:color w:val="000000"/>
        </w:rPr>
        <w:t>levels in all patients after 6 mo</w:t>
      </w:r>
      <w:r w:rsidR="000108F2">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0108F2">
        <w:rPr>
          <w:rFonts w:ascii="Book Antiqua" w:eastAsia="Book Antiqua" w:hAnsi="Book Antiqua" w:cs="Book Antiqua"/>
          <w:color w:val="000000"/>
        </w:rPr>
        <w:t>B, C: L</w:t>
      </w:r>
      <w:r w:rsidRPr="00373200">
        <w:rPr>
          <w:rFonts w:ascii="Book Antiqua" w:eastAsia="Book Antiqua" w:hAnsi="Book Antiqua" w:cs="Book Antiqua"/>
          <w:color w:val="000000"/>
        </w:rPr>
        <w:t xml:space="preserve">evels were positively correlated with </w:t>
      </w:r>
      <w:r w:rsidR="000108F2">
        <w:rPr>
          <w:rFonts w:ascii="Book Antiqua" w:eastAsia="Book Antiqua" w:hAnsi="Book Antiqua" w:cs="Book Antiqua"/>
          <w:color w:val="000000"/>
        </w:rPr>
        <w:t>ALT</w:t>
      </w:r>
      <w:r w:rsidRPr="00373200">
        <w:rPr>
          <w:rFonts w:ascii="Book Antiqua" w:eastAsia="Book Antiqua" w:hAnsi="Book Antiqua" w:cs="Book Antiqua"/>
          <w:color w:val="000000"/>
        </w:rPr>
        <w:t xml:space="preserve"> (B) and hepatitis B virus </w:t>
      </w:r>
      <w:r w:rsidR="000108F2">
        <w:rPr>
          <w:rFonts w:ascii="Book Antiqua" w:eastAsia="Book Antiqua" w:hAnsi="Book Antiqua" w:cs="Book Antiqua"/>
          <w:color w:val="000000"/>
        </w:rPr>
        <w:t xml:space="preserve">(HBV) </w:t>
      </w:r>
      <w:r w:rsidRPr="00373200">
        <w:rPr>
          <w:rFonts w:ascii="Book Antiqua" w:eastAsia="Book Antiqua" w:hAnsi="Book Antiqua" w:cs="Book Antiqua"/>
          <w:color w:val="000000"/>
        </w:rPr>
        <w:t xml:space="preserve">DNA levels (C) in patients with hepatitis B surface antigen </w:t>
      </w:r>
      <w:r w:rsidR="000108F2">
        <w:rPr>
          <w:rFonts w:ascii="Book Antiqua" w:eastAsia="Book Antiqua" w:hAnsi="Book Antiqua" w:cs="Book Antiqua"/>
          <w:color w:val="000000"/>
        </w:rPr>
        <w:t xml:space="preserve">(HBsAg) </w:t>
      </w:r>
      <w:r w:rsidRPr="00373200">
        <w:rPr>
          <w:rFonts w:ascii="Book Antiqua" w:eastAsia="Book Antiqua" w:hAnsi="Book Antiqua" w:cs="Book Antiqua"/>
          <w:color w:val="000000"/>
        </w:rPr>
        <w:t>loss after 6 mo;</w:t>
      </w:r>
      <w:r w:rsidRPr="000108F2">
        <w:rPr>
          <w:rFonts w:ascii="Book Antiqua" w:eastAsia="Book Antiqua" w:hAnsi="Book Antiqua" w:cs="Book Antiqua"/>
          <w:color w:val="000000"/>
          <w:szCs w:val="21"/>
        </w:rPr>
        <w:t xml:space="preserve"> </w:t>
      </w:r>
      <w:r w:rsidR="000108F2">
        <w:rPr>
          <w:rFonts w:ascii="Book Antiqua" w:eastAsia="Book Antiqua" w:hAnsi="Book Antiqua" w:cs="Book Antiqua"/>
          <w:color w:val="000000"/>
          <w:szCs w:val="21"/>
        </w:rPr>
        <w:t xml:space="preserve">D, E: </w:t>
      </w:r>
      <w:r w:rsidR="000108F2">
        <w:rPr>
          <w:rFonts w:ascii="Book Antiqua" w:eastAsia="Book Antiqua" w:hAnsi="Book Antiqua" w:cs="Book Antiqua"/>
          <w:color w:val="000000"/>
        </w:rPr>
        <w:t>L</w:t>
      </w:r>
      <w:r w:rsidRPr="00373200">
        <w:rPr>
          <w:rFonts w:ascii="Book Antiqua" w:eastAsia="Book Antiqua" w:hAnsi="Book Antiqua" w:cs="Book Antiqua"/>
          <w:color w:val="000000"/>
        </w:rPr>
        <w:t xml:space="preserve">evels were positively correlated with </w:t>
      </w:r>
      <w:r w:rsidR="000108F2">
        <w:rPr>
          <w:rFonts w:ascii="Book Antiqua" w:eastAsia="Book Antiqua" w:hAnsi="Book Antiqua" w:cs="Book Antiqua"/>
          <w:color w:val="000000"/>
        </w:rPr>
        <w:t>ALT</w:t>
      </w:r>
      <w:r w:rsidRPr="00373200">
        <w:rPr>
          <w:rFonts w:ascii="Book Antiqua" w:eastAsia="Book Antiqua" w:hAnsi="Book Antiqua" w:cs="Book Antiqua"/>
          <w:color w:val="000000"/>
        </w:rPr>
        <w:t xml:space="preserve"> (D) and </w:t>
      </w:r>
      <w:r w:rsidR="000108F2">
        <w:rPr>
          <w:rFonts w:ascii="Book Antiqua" w:eastAsia="Book Antiqua" w:hAnsi="Book Antiqua" w:cs="Book Antiqua"/>
          <w:color w:val="000000"/>
        </w:rPr>
        <w:t xml:space="preserve">HBV </w:t>
      </w:r>
      <w:r w:rsidRPr="00373200">
        <w:rPr>
          <w:rFonts w:ascii="Book Antiqua" w:eastAsia="Book Antiqua" w:hAnsi="Book Antiqua" w:cs="Book Antiqua"/>
          <w:color w:val="000000"/>
        </w:rPr>
        <w:t xml:space="preserve">DNA levels (E) in patients with </w:t>
      </w:r>
      <w:r w:rsidR="000108F2">
        <w:rPr>
          <w:rFonts w:ascii="Book Antiqua" w:eastAsia="Book Antiqua" w:hAnsi="Book Antiqua" w:cs="Book Antiqua"/>
          <w:color w:val="000000"/>
        </w:rPr>
        <w:t>HBsAg</w:t>
      </w:r>
      <w:r w:rsidRPr="00373200">
        <w:rPr>
          <w:rFonts w:ascii="Book Antiqua" w:eastAsia="Book Antiqua" w:hAnsi="Book Antiqua" w:cs="Book Antiqua"/>
          <w:color w:val="000000"/>
        </w:rPr>
        <w:t xml:space="preserve"> loss after 12 mo; </w:t>
      </w:r>
      <w:r w:rsidR="000108F2">
        <w:rPr>
          <w:rFonts w:ascii="Book Antiqua" w:eastAsia="Book Antiqua" w:hAnsi="Book Antiqua" w:cs="Book Antiqua"/>
          <w:color w:val="000000"/>
        </w:rPr>
        <w:t>F, G: L</w:t>
      </w:r>
      <w:r w:rsidRPr="00373200">
        <w:rPr>
          <w:rFonts w:ascii="Book Antiqua" w:eastAsia="Book Antiqua" w:hAnsi="Book Antiqua" w:cs="Book Antiqua"/>
          <w:color w:val="000000"/>
        </w:rPr>
        <w:t xml:space="preserve">evels were negatively correlated with </w:t>
      </w:r>
      <w:r w:rsidR="000108F2">
        <w:rPr>
          <w:rFonts w:ascii="Book Antiqua" w:eastAsia="Book Antiqua" w:hAnsi="Book Antiqua" w:cs="Book Antiqua"/>
          <w:color w:val="000000"/>
        </w:rPr>
        <w:t>HBsAg</w:t>
      </w:r>
      <w:r w:rsidRPr="00373200">
        <w:rPr>
          <w:rFonts w:ascii="Book Antiqua" w:eastAsia="Book Antiqua" w:hAnsi="Book Antiqua" w:cs="Book Antiqua"/>
          <w:color w:val="000000"/>
        </w:rPr>
        <w:t xml:space="preserve"> levels in all patients after 24 mo (F) and 48 mo (G).</w:t>
      </w:r>
      <w:r w:rsidR="00756947" w:rsidRPr="0063142D">
        <w:rPr>
          <w:rFonts w:ascii="Book Antiqua" w:hAnsi="Book Antiqua" w:cs="Book Antiqua" w:hint="eastAsia"/>
          <w:b/>
          <w:bCs/>
          <w:color w:val="000000"/>
          <w:lang w:eastAsia="zh-CN"/>
        </w:rPr>
        <w:t xml:space="preserve"> </w:t>
      </w:r>
      <w:r w:rsidR="00756947" w:rsidRPr="0063142D">
        <w:rPr>
          <w:rFonts w:ascii="Book Antiqua" w:hAnsi="Book Antiqua" w:cs="Book Antiqua" w:hint="eastAsia"/>
          <w:color w:val="000000"/>
          <w:lang w:eastAsia="zh-CN"/>
        </w:rPr>
        <w:t xml:space="preserve">sPD-1: </w:t>
      </w:r>
      <w:r w:rsidR="00756947" w:rsidRPr="0063142D">
        <w:rPr>
          <w:rFonts w:ascii="Book Antiqua" w:hAnsi="Book Antiqua" w:cs="Book Antiqua"/>
          <w:caps/>
          <w:color w:val="000000"/>
          <w:lang w:eastAsia="zh-CN"/>
        </w:rPr>
        <w:t>s</w:t>
      </w:r>
      <w:r w:rsidR="00756947" w:rsidRPr="0063142D">
        <w:rPr>
          <w:rFonts w:ascii="Book Antiqua" w:hAnsi="Book Antiqua" w:cs="Book Antiqua"/>
          <w:color w:val="000000"/>
          <w:lang w:eastAsia="zh-CN"/>
        </w:rPr>
        <w:t>oluble programmed death-1</w:t>
      </w:r>
      <w:r w:rsidR="00756947" w:rsidRPr="0063142D">
        <w:rPr>
          <w:rFonts w:ascii="Book Antiqua" w:hAnsi="Book Antiqua" w:cs="Book Antiqua" w:hint="eastAsia"/>
          <w:color w:val="000000"/>
          <w:lang w:eastAsia="zh-CN"/>
        </w:rPr>
        <w:t>.</w:t>
      </w:r>
    </w:p>
    <w:p w14:paraId="43B92898" w14:textId="77777777" w:rsidR="0083510D" w:rsidRDefault="0083510D">
      <w:pPr>
        <w:spacing w:line="360" w:lineRule="auto"/>
        <w:jc w:val="both"/>
        <w:rPr>
          <w:noProof/>
          <w:lang w:eastAsia="zh-CN"/>
        </w:rPr>
      </w:pPr>
      <w:r w:rsidRPr="0063142D">
        <w:rPr>
          <w:rFonts w:ascii="Book Antiqua" w:hAnsi="Book Antiqua" w:cs="Book Antiqua"/>
          <w:b/>
          <w:bCs/>
          <w:color w:val="000000"/>
          <w:lang w:eastAsia="zh-CN"/>
        </w:rPr>
        <w:br w:type="page"/>
      </w:r>
      <w:r>
        <w:rPr>
          <w:rFonts w:hint="eastAsia"/>
          <w:noProof/>
          <w:lang w:eastAsia="zh-CN"/>
        </w:rPr>
        <w:t xml:space="preserve"> </w:t>
      </w:r>
      <w:r>
        <w:rPr>
          <w:noProof/>
          <w:lang w:eastAsia="zh-CN"/>
        </w:rPr>
        <w:drawing>
          <wp:inline distT="0" distB="0" distL="0" distR="0" wp14:anchorId="0F200AD2" wp14:editId="5B4BD050">
            <wp:extent cx="2546350" cy="199122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46585" cy="1991406"/>
                    </a:xfrm>
                    <a:prstGeom prst="rect">
                      <a:avLst/>
                    </a:prstGeom>
                  </pic:spPr>
                </pic:pic>
              </a:graphicData>
            </a:graphic>
          </wp:inline>
        </w:drawing>
      </w:r>
      <w:r>
        <w:rPr>
          <w:rFonts w:hint="eastAsia"/>
          <w:noProof/>
          <w:lang w:eastAsia="zh-CN"/>
        </w:rPr>
        <w:t xml:space="preserve"> </w:t>
      </w:r>
      <w:r>
        <w:rPr>
          <w:noProof/>
          <w:lang w:eastAsia="zh-CN"/>
        </w:rPr>
        <w:drawing>
          <wp:inline distT="0" distB="0" distL="0" distR="0" wp14:anchorId="0683657B" wp14:editId="79D8E00B">
            <wp:extent cx="2819400" cy="204866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924"/>
                    <a:stretch/>
                  </pic:blipFill>
                  <pic:spPr bwMode="auto">
                    <a:xfrm>
                      <a:off x="0" y="0"/>
                      <a:ext cx="2819400" cy="2048661"/>
                    </a:xfrm>
                    <a:prstGeom prst="rect">
                      <a:avLst/>
                    </a:prstGeom>
                    <a:ln>
                      <a:noFill/>
                    </a:ln>
                    <a:extLst>
                      <a:ext uri="{53640926-AAD7-44D8-BBD7-CCE9431645EC}">
                        <a14:shadowObscured xmlns:a14="http://schemas.microsoft.com/office/drawing/2010/main"/>
                      </a:ext>
                    </a:extLst>
                  </pic:spPr>
                </pic:pic>
              </a:graphicData>
            </a:graphic>
          </wp:inline>
        </w:drawing>
      </w:r>
    </w:p>
    <w:p w14:paraId="31572ADB" w14:textId="77777777" w:rsidR="0083510D" w:rsidRPr="00756947" w:rsidRDefault="00756947">
      <w:pPr>
        <w:spacing w:line="360" w:lineRule="auto"/>
        <w:jc w:val="both"/>
        <w:rPr>
          <w:noProof/>
          <w:lang w:eastAsia="zh-CN"/>
        </w:rPr>
      </w:pPr>
      <w:r>
        <w:rPr>
          <w:rFonts w:hint="eastAsia"/>
          <w:noProof/>
          <w:lang w:eastAsia="zh-CN"/>
        </w:rPr>
        <w:t>A                                                                        B</w:t>
      </w:r>
    </w:p>
    <w:p w14:paraId="7813F304" w14:textId="77777777" w:rsidR="00A77B3E"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4 Receiver operating characteristic curves of soluble programmed death-1 and hepatitis B surface antigen levels in the prediction of subsequent hepatitis B surface antigen loss. </w:t>
      </w:r>
      <w:r>
        <w:rPr>
          <w:rFonts w:ascii="Book Antiqua" w:eastAsia="Book Antiqua" w:hAnsi="Book Antiqua" w:cs="Book Antiqua"/>
          <w:color w:val="000000"/>
        </w:rPr>
        <w:t xml:space="preserve">A: </w:t>
      </w:r>
      <w:r>
        <w:rPr>
          <w:rFonts w:ascii="Book Antiqua" w:eastAsia="Book Antiqua" w:hAnsi="Book Antiqua" w:cs="Book Antiqua"/>
          <w:caps/>
          <w:color w:val="000000"/>
        </w:rPr>
        <w:t>b</w:t>
      </w:r>
      <w:r>
        <w:rPr>
          <w:rFonts w:ascii="Book Antiqua" w:eastAsia="Book Antiqua" w:hAnsi="Book Antiqua" w:cs="Book Antiqua"/>
          <w:color w:val="000000"/>
        </w:rPr>
        <w:t xml:space="preserve">efore treatment; B: </w:t>
      </w:r>
      <w:r>
        <w:rPr>
          <w:rFonts w:ascii="Book Antiqua" w:eastAsia="Book Antiqua" w:hAnsi="Book Antiqua" w:cs="Book Antiqua"/>
          <w:caps/>
          <w:color w:val="000000"/>
        </w:rPr>
        <w:t>a</w:t>
      </w:r>
      <w:r>
        <w:rPr>
          <w:rFonts w:ascii="Book Antiqua" w:eastAsia="Book Antiqua" w:hAnsi="Book Antiqua" w:cs="Book Antiqua"/>
          <w:color w:val="000000"/>
        </w:rPr>
        <w:t>fter 6 mo of treatment.</w:t>
      </w:r>
      <w:r w:rsidR="00756947">
        <w:rPr>
          <w:rFonts w:ascii="Book Antiqua" w:hAnsi="Book Antiqua" w:cs="Book Antiqua" w:hint="eastAsia"/>
          <w:color w:val="000000"/>
          <w:lang w:eastAsia="zh-CN"/>
        </w:rPr>
        <w:t xml:space="preserve"> sPD-1: </w:t>
      </w:r>
      <w:r w:rsidR="00756947" w:rsidRPr="00756947">
        <w:rPr>
          <w:rFonts w:ascii="Book Antiqua" w:hAnsi="Book Antiqua" w:cs="Book Antiqua"/>
          <w:caps/>
          <w:color w:val="000000"/>
          <w:lang w:eastAsia="zh-CN"/>
        </w:rPr>
        <w:t>s</w:t>
      </w:r>
      <w:r w:rsidR="00756947" w:rsidRPr="00756947">
        <w:rPr>
          <w:rFonts w:ascii="Book Antiqua" w:hAnsi="Book Antiqua" w:cs="Book Antiqua"/>
          <w:color w:val="000000"/>
          <w:lang w:eastAsia="zh-CN"/>
        </w:rPr>
        <w:t>oluble programmed death-1</w:t>
      </w:r>
      <w:r w:rsidR="00756947">
        <w:rPr>
          <w:rFonts w:ascii="Book Antiqua" w:hAnsi="Book Antiqua" w:cs="Book Antiqua" w:hint="eastAsia"/>
          <w:color w:val="000000"/>
          <w:lang w:eastAsia="zh-CN"/>
        </w:rPr>
        <w:t xml:space="preserve">; </w:t>
      </w:r>
      <w:r w:rsidR="00756947">
        <w:rPr>
          <w:rFonts w:ascii="Book Antiqua" w:eastAsia="Book Antiqua" w:hAnsi="Book Antiqua" w:cs="Book Antiqua"/>
          <w:color w:val="000000"/>
        </w:rPr>
        <w:t>HBsAg: Hepatitis B surface antigen</w:t>
      </w:r>
      <w:r w:rsidR="00756947">
        <w:rPr>
          <w:rFonts w:ascii="Book Antiqua" w:hAnsi="Book Antiqua" w:cs="Book Antiqua" w:hint="eastAsia"/>
          <w:color w:val="000000"/>
          <w:lang w:eastAsia="zh-CN"/>
        </w:rPr>
        <w:t>.</w:t>
      </w:r>
    </w:p>
    <w:p w14:paraId="47BDB6BB" w14:textId="35DCF8B5" w:rsidR="00897D0D" w:rsidRDefault="00897D0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5D5E0414" w14:textId="77777777" w:rsidR="00897D0D" w:rsidRPr="003D6406" w:rsidRDefault="00897D0D" w:rsidP="00897D0D">
      <w:pPr>
        <w:adjustRightInd w:val="0"/>
        <w:snapToGrid w:val="0"/>
        <w:spacing w:line="360" w:lineRule="auto"/>
        <w:rPr>
          <w:rFonts w:ascii="Book Antiqua" w:eastAsia="等线" w:hAnsi="Book Antiqua"/>
          <w:b/>
          <w:bCs/>
          <w:color w:val="000000"/>
        </w:rPr>
      </w:pPr>
      <w:r w:rsidRPr="003D6406">
        <w:rPr>
          <w:rFonts w:ascii="Book Antiqua" w:eastAsia="等线" w:hAnsi="Book Antiqua"/>
          <w:b/>
          <w:bCs/>
          <w:color w:val="000000"/>
        </w:rPr>
        <w:t>Table 1 Baseline data characteristics of all patients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66"/>
        <w:gridCol w:w="2648"/>
        <w:gridCol w:w="1261"/>
      </w:tblGrid>
      <w:tr w:rsidR="00897D0D" w:rsidRPr="003D6406" w14:paraId="07112472" w14:textId="77777777" w:rsidTr="004E3E12">
        <w:trPr>
          <w:jc w:val="center"/>
        </w:trPr>
        <w:tc>
          <w:tcPr>
            <w:tcW w:w="2293" w:type="dxa"/>
            <w:tcBorders>
              <w:top w:val="single" w:sz="4" w:space="0" w:color="auto"/>
              <w:bottom w:val="single" w:sz="4" w:space="0" w:color="auto"/>
            </w:tcBorders>
            <w:vAlign w:val="center"/>
          </w:tcPr>
          <w:p w14:paraId="7ACF5FAF"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rPr>
              <w:t>Patients characteristics</w:t>
            </w:r>
          </w:p>
        </w:tc>
        <w:tc>
          <w:tcPr>
            <w:tcW w:w="2666" w:type="dxa"/>
            <w:tcBorders>
              <w:top w:val="single" w:sz="4" w:space="0" w:color="auto"/>
              <w:bottom w:val="single" w:sz="4" w:space="0" w:color="auto"/>
            </w:tcBorders>
            <w:vAlign w:val="center"/>
          </w:tcPr>
          <w:p w14:paraId="0096B669"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rPr>
              <w:t>HBsAg loss</w:t>
            </w:r>
          </w:p>
          <w:p w14:paraId="30E09AF5"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rPr>
              <w:t>(</w:t>
            </w:r>
            <w:r w:rsidRPr="003D6406">
              <w:rPr>
                <w:rFonts w:ascii="Book Antiqua" w:hAnsi="Book Antiqua" w:cs="Times New Roman"/>
                <w:b/>
                <w:i/>
              </w:rPr>
              <w:t>n</w:t>
            </w:r>
            <w:r w:rsidRPr="003D6406">
              <w:rPr>
                <w:rFonts w:ascii="Book Antiqua" w:hAnsi="Book Antiqua" w:cs="Times New Roman"/>
                <w:b/>
              </w:rPr>
              <w:t xml:space="preserve"> = 11)</w:t>
            </w:r>
          </w:p>
        </w:tc>
        <w:tc>
          <w:tcPr>
            <w:tcW w:w="2648" w:type="dxa"/>
            <w:tcBorders>
              <w:top w:val="single" w:sz="4" w:space="0" w:color="auto"/>
              <w:bottom w:val="single" w:sz="4" w:space="0" w:color="auto"/>
            </w:tcBorders>
            <w:vAlign w:val="center"/>
          </w:tcPr>
          <w:p w14:paraId="33A5876A"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rPr>
              <w:t>w/o HBsAg loss</w:t>
            </w:r>
          </w:p>
          <w:p w14:paraId="7048CDC0"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rPr>
              <w:t>(</w:t>
            </w:r>
            <w:r w:rsidRPr="003D6406">
              <w:rPr>
                <w:rFonts w:ascii="Book Antiqua" w:hAnsi="Book Antiqua" w:cs="Times New Roman"/>
                <w:b/>
                <w:i/>
              </w:rPr>
              <w:t xml:space="preserve">n </w:t>
            </w:r>
            <w:r w:rsidRPr="003D6406">
              <w:rPr>
                <w:rFonts w:ascii="Book Antiqua" w:hAnsi="Book Antiqua" w:cs="Times New Roman"/>
                <w:b/>
              </w:rPr>
              <w:t>= 44)</w:t>
            </w:r>
          </w:p>
        </w:tc>
        <w:tc>
          <w:tcPr>
            <w:tcW w:w="1261" w:type="dxa"/>
            <w:tcBorders>
              <w:top w:val="single" w:sz="4" w:space="0" w:color="auto"/>
              <w:bottom w:val="single" w:sz="4" w:space="0" w:color="auto"/>
            </w:tcBorders>
            <w:vAlign w:val="center"/>
          </w:tcPr>
          <w:p w14:paraId="340A37F3" w14:textId="77777777" w:rsidR="00897D0D" w:rsidRPr="003D6406" w:rsidRDefault="00897D0D" w:rsidP="004E3E12">
            <w:pPr>
              <w:adjustRightInd w:val="0"/>
              <w:snapToGrid w:val="0"/>
              <w:spacing w:line="360" w:lineRule="auto"/>
              <w:jc w:val="center"/>
              <w:rPr>
                <w:rFonts w:ascii="Book Antiqua" w:hAnsi="Book Antiqua" w:cs="Times New Roman"/>
                <w:b/>
              </w:rPr>
            </w:pPr>
            <w:r w:rsidRPr="003D6406">
              <w:rPr>
                <w:rFonts w:ascii="Book Antiqua" w:hAnsi="Book Antiqua" w:cs="Times New Roman"/>
                <w:b/>
                <w:i/>
              </w:rPr>
              <w:t>P</w:t>
            </w:r>
            <w:r w:rsidRPr="003D6406">
              <w:rPr>
                <w:rFonts w:ascii="Book Antiqua" w:hAnsi="Book Antiqua" w:cs="Times New Roman"/>
                <w:b/>
              </w:rPr>
              <w:t xml:space="preserve"> value</w:t>
            </w:r>
          </w:p>
        </w:tc>
      </w:tr>
      <w:tr w:rsidR="00897D0D" w:rsidRPr="003D6406" w14:paraId="68DC6115" w14:textId="77777777" w:rsidTr="004E3E12">
        <w:trPr>
          <w:jc w:val="center"/>
        </w:trPr>
        <w:tc>
          <w:tcPr>
            <w:tcW w:w="2293" w:type="dxa"/>
            <w:tcBorders>
              <w:top w:val="single" w:sz="4" w:space="0" w:color="auto"/>
            </w:tcBorders>
            <w:vAlign w:val="center"/>
          </w:tcPr>
          <w:p w14:paraId="37AFE19C"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Age</w:t>
            </w:r>
          </w:p>
        </w:tc>
        <w:tc>
          <w:tcPr>
            <w:tcW w:w="2666" w:type="dxa"/>
            <w:tcBorders>
              <w:top w:val="single" w:sz="4" w:space="0" w:color="auto"/>
            </w:tcBorders>
            <w:vAlign w:val="center"/>
          </w:tcPr>
          <w:p w14:paraId="716F005A"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35.00 (23.00-38.00</w:t>
            </w:r>
            <w:r w:rsidRPr="003D6406">
              <w:rPr>
                <w:rFonts w:ascii="Book Antiqua" w:hAnsi="Book Antiqua" w:cs="Times New Roman"/>
              </w:rPr>
              <w:t>）</w:t>
            </w:r>
          </w:p>
        </w:tc>
        <w:tc>
          <w:tcPr>
            <w:tcW w:w="2648" w:type="dxa"/>
            <w:tcBorders>
              <w:top w:val="single" w:sz="4" w:space="0" w:color="auto"/>
            </w:tcBorders>
            <w:vAlign w:val="center"/>
          </w:tcPr>
          <w:p w14:paraId="4A6D5F00"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36.5 (28-42.75</w:t>
            </w:r>
            <w:r w:rsidRPr="003D6406">
              <w:rPr>
                <w:rFonts w:ascii="Book Antiqua" w:hAnsi="Book Antiqua" w:cs="Times New Roman"/>
              </w:rPr>
              <w:t>）</w:t>
            </w:r>
          </w:p>
        </w:tc>
        <w:tc>
          <w:tcPr>
            <w:tcW w:w="1261" w:type="dxa"/>
            <w:tcBorders>
              <w:top w:val="single" w:sz="4" w:space="0" w:color="auto"/>
            </w:tcBorders>
            <w:vAlign w:val="center"/>
          </w:tcPr>
          <w:p w14:paraId="60E268D3"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0.3243</w:t>
            </w:r>
          </w:p>
        </w:tc>
      </w:tr>
      <w:tr w:rsidR="00897D0D" w:rsidRPr="003D6406" w14:paraId="0A07E1F5" w14:textId="77777777" w:rsidTr="004E3E12">
        <w:trPr>
          <w:jc w:val="center"/>
        </w:trPr>
        <w:tc>
          <w:tcPr>
            <w:tcW w:w="2293" w:type="dxa"/>
            <w:vAlign w:val="center"/>
          </w:tcPr>
          <w:p w14:paraId="69855B30"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Gender</w:t>
            </w:r>
          </w:p>
        </w:tc>
        <w:tc>
          <w:tcPr>
            <w:tcW w:w="2666" w:type="dxa"/>
            <w:vAlign w:val="center"/>
          </w:tcPr>
          <w:p w14:paraId="3C08243E"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10/1</w:t>
            </w:r>
          </w:p>
        </w:tc>
        <w:tc>
          <w:tcPr>
            <w:tcW w:w="2648" w:type="dxa"/>
            <w:vAlign w:val="center"/>
          </w:tcPr>
          <w:p w14:paraId="1F63364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7/37</w:t>
            </w:r>
          </w:p>
        </w:tc>
        <w:tc>
          <w:tcPr>
            <w:tcW w:w="1261" w:type="dxa"/>
            <w:vAlign w:val="center"/>
          </w:tcPr>
          <w:p w14:paraId="3C259D1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0.515</w:t>
            </w:r>
          </w:p>
        </w:tc>
      </w:tr>
      <w:tr w:rsidR="00897D0D" w:rsidRPr="003D6406" w14:paraId="57880014" w14:textId="77777777" w:rsidTr="004E3E12">
        <w:trPr>
          <w:jc w:val="center"/>
        </w:trPr>
        <w:tc>
          <w:tcPr>
            <w:tcW w:w="2293" w:type="dxa"/>
            <w:vAlign w:val="center"/>
          </w:tcPr>
          <w:p w14:paraId="6B7437BD"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ALT (IU/mL)</w:t>
            </w:r>
          </w:p>
        </w:tc>
        <w:tc>
          <w:tcPr>
            <w:tcW w:w="2666" w:type="dxa"/>
            <w:vAlign w:val="center"/>
          </w:tcPr>
          <w:p w14:paraId="648B2F4A"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140 (77-245</w:t>
            </w:r>
            <w:r w:rsidRPr="003D6406">
              <w:rPr>
                <w:rFonts w:ascii="Book Antiqua" w:hAnsi="Book Antiqua" w:cs="Times New Roman"/>
              </w:rPr>
              <w:t>）</w:t>
            </w:r>
          </w:p>
        </w:tc>
        <w:tc>
          <w:tcPr>
            <w:tcW w:w="2648" w:type="dxa"/>
            <w:vAlign w:val="center"/>
          </w:tcPr>
          <w:p w14:paraId="4AA21DCC"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116 (75-219</w:t>
            </w:r>
            <w:r w:rsidRPr="003D6406">
              <w:rPr>
                <w:rFonts w:ascii="Book Antiqua" w:hAnsi="Book Antiqua" w:cs="Times New Roman"/>
              </w:rPr>
              <w:t>）</w:t>
            </w:r>
          </w:p>
        </w:tc>
        <w:tc>
          <w:tcPr>
            <w:tcW w:w="1261" w:type="dxa"/>
            <w:vAlign w:val="center"/>
          </w:tcPr>
          <w:p w14:paraId="485DF4E0"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0.9590</w:t>
            </w:r>
          </w:p>
        </w:tc>
      </w:tr>
      <w:tr w:rsidR="00897D0D" w:rsidRPr="003D6406" w14:paraId="7F2FA3D1" w14:textId="77777777" w:rsidTr="004E3E12">
        <w:trPr>
          <w:jc w:val="center"/>
        </w:trPr>
        <w:tc>
          <w:tcPr>
            <w:tcW w:w="2293" w:type="dxa"/>
            <w:vAlign w:val="center"/>
          </w:tcPr>
          <w:p w14:paraId="1777DCC7"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HBV DNA (log IU/mL)</w:t>
            </w:r>
          </w:p>
        </w:tc>
        <w:tc>
          <w:tcPr>
            <w:tcW w:w="2666" w:type="dxa"/>
            <w:vAlign w:val="center"/>
          </w:tcPr>
          <w:p w14:paraId="6C5D8C2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8.447 (6.923-8.614</w:t>
            </w:r>
            <w:r w:rsidRPr="003D6406">
              <w:rPr>
                <w:rFonts w:ascii="Book Antiqua" w:hAnsi="Book Antiqua" w:cs="Times New Roman"/>
              </w:rPr>
              <w:t>）</w:t>
            </w:r>
          </w:p>
        </w:tc>
        <w:tc>
          <w:tcPr>
            <w:tcW w:w="2648" w:type="dxa"/>
            <w:vAlign w:val="center"/>
          </w:tcPr>
          <w:p w14:paraId="5BD636B7"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8.024 (6.909-8.934</w:t>
            </w:r>
            <w:r w:rsidRPr="003D6406">
              <w:rPr>
                <w:rFonts w:ascii="Book Antiqua" w:hAnsi="Book Antiqua" w:cs="Times New Roman"/>
              </w:rPr>
              <w:t>）</w:t>
            </w:r>
          </w:p>
        </w:tc>
        <w:tc>
          <w:tcPr>
            <w:tcW w:w="1261" w:type="dxa"/>
            <w:vAlign w:val="center"/>
          </w:tcPr>
          <w:p w14:paraId="43FDEB10"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0.8844</w:t>
            </w:r>
          </w:p>
        </w:tc>
      </w:tr>
      <w:tr w:rsidR="00897D0D" w:rsidRPr="003D6406" w14:paraId="5852D25B" w14:textId="77777777" w:rsidTr="004E3E12">
        <w:trPr>
          <w:jc w:val="center"/>
        </w:trPr>
        <w:tc>
          <w:tcPr>
            <w:tcW w:w="2293" w:type="dxa"/>
            <w:vAlign w:val="center"/>
          </w:tcPr>
          <w:p w14:paraId="61AC956A"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Antiviral therapy (first-line/second-line)</w:t>
            </w:r>
            <w:r w:rsidRPr="003D6406">
              <w:rPr>
                <w:rFonts w:ascii="Book Antiqua" w:hAnsi="Book Antiqua" w:cs="Times New Roman"/>
                <w:vertAlign w:val="superscript"/>
              </w:rPr>
              <w:t>1</w:t>
            </w:r>
          </w:p>
        </w:tc>
        <w:tc>
          <w:tcPr>
            <w:tcW w:w="2666" w:type="dxa"/>
            <w:vAlign w:val="center"/>
          </w:tcPr>
          <w:p w14:paraId="34ECF387"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6/5</w:t>
            </w:r>
          </w:p>
        </w:tc>
        <w:tc>
          <w:tcPr>
            <w:tcW w:w="2648" w:type="dxa"/>
            <w:vAlign w:val="center"/>
          </w:tcPr>
          <w:p w14:paraId="01474ABA"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29/15</w:t>
            </w:r>
          </w:p>
        </w:tc>
        <w:tc>
          <w:tcPr>
            <w:tcW w:w="1261" w:type="dxa"/>
            <w:vAlign w:val="center"/>
          </w:tcPr>
          <w:p w14:paraId="270A7C6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0.488</w:t>
            </w:r>
          </w:p>
        </w:tc>
      </w:tr>
      <w:tr w:rsidR="00897D0D" w:rsidRPr="003D6406" w14:paraId="333710CC" w14:textId="77777777" w:rsidTr="004E3E12">
        <w:trPr>
          <w:jc w:val="center"/>
        </w:trPr>
        <w:tc>
          <w:tcPr>
            <w:tcW w:w="2293" w:type="dxa"/>
            <w:vAlign w:val="center"/>
          </w:tcPr>
          <w:p w14:paraId="7C5CE41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ADV/LAM</w:t>
            </w:r>
          </w:p>
        </w:tc>
        <w:tc>
          <w:tcPr>
            <w:tcW w:w="2666" w:type="dxa"/>
            <w:vAlign w:val="center"/>
          </w:tcPr>
          <w:p w14:paraId="12A6D4E5"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4/1</w:t>
            </w:r>
          </w:p>
        </w:tc>
        <w:tc>
          <w:tcPr>
            <w:tcW w:w="2648" w:type="dxa"/>
            <w:vAlign w:val="center"/>
          </w:tcPr>
          <w:p w14:paraId="254211CF"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13/2</w:t>
            </w:r>
          </w:p>
        </w:tc>
        <w:tc>
          <w:tcPr>
            <w:tcW w:w="1261" w:type="dxa"/>
            <w:vAlign w:val="center"/>
          </w:tcPr>
          <w:p w14:paraId="72B20A03"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0.400</w:t>
            </w:r>
          </w:p>
        </w:tc>
      </w:tr>
      <w:tr w:rsidR="00897D0D" w:rsidRPr="003D6406" w14:paraId="31014636" w14:textId="77777777" w:rsidTr="004E3E12">
        <w:trPr>
          <w:jc w:val="center"/>
        </w:trPr>
        <w:tc>
          <w:tcPr>
            <w:tcW w:w="2293" w:type="dxa"/>
            <w:vAlign w:val="center"/>
          </w:tcPr>
          <w:p w14:paraId="628C37C0"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HBsAg</w:t>
            </w:r>
          </w:p>
          <w:p w14:paraId="3843B231"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 xml:space="preserve"> (log IU/mL)</w:t>
            </w:r>
          </w:p>
        </w:tc>
        <w:tc>
          <w:tcPr>
            <w:tcW w:w="2666" w:type="dxa"/>
            <w:vAlign w:val="center"/>
          </w:tcPr>
          <w:p w14:paraId="1817DBCB"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3.331 (2.826-4.582)</w:t>
            </w:r>
          </w:p>
        </w:tc>
        <w:tc>
          <w:tcPr>
            <w:tcW w:w="2648" w:type="dxa"/>
            <w:vAlign w:val="center"/>
          </w:tcPr>
          <w:p w14:paraId="6657B3FD"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3.856 (3.526-4.347)</w:t>
            </w:r>
          </w:p>
        </w:tc>
        <w:tc>
          <w:tcPr>
            <w:tcW w:w="1261" w:type="dxa"/>
            <w:vAlign w:val="center"/>
          </w:tcPr>
          <w:p w14:paraId="4DA0E86C"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0.1274</w:t>
            </w:r>
          </w:p>
        </w:tc>
      </w:tr>
      <w:tr w:rsidR="00897D0D" w:rsidRPr="003D6406" w14:paraId="1F1C122A" w14:textId="77777777" w:rsidTr="004E3E12">
        <w:trPr>
          <w:jc w:val="center"/>
        </w:trPr>
        <w:tc>
          <w:tcPr>
            <w:tcW w:w="2293" w:type="dxa"/>
            <w:tcBorders>
              <w:bottom w:val="single" w:sz="4" w:space="0" w:color="auto"/>
            </w:tcBorders>
            <w:vAlign w:val="center"/>
          </w:tcPr>
          <w:p w14:paraId="18EF4A5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sPD-1 (log pg/mL)</w:t>
            </w:r>
          </w:p>
        </w:tc>
        <w:tc>
          <w:tcPr>
            <w:tcW w:w="2666" w:type="dxa"/>
            <w:tcBorders>
              <w:bottom w:val="single" w:sz="4" w:space="0" w:color="auto"/>
            </w:tcBorders>
            <w:vAlign w:val="center"/>
          </w:tcPr>
          <w:p w14:paraId="2F0341A6"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2.766 (2.622-2.903)</w:t>
            </w:r>
          </w:p>
        </w:tc>
        <w:tc>
          <w:tcPr>
            <w:tcW w:w="2648" w:type="dxa"/>
            <w:tcBorders>
              <w:bottom w:val="single" w:sz="4" w:space="0" w:color="auto"/>
            </w:tcBorders>
            <w:vAlign w:val="center"/>
          </w:tcPr>
          <w:p w14:paraId="2AFA3B92"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2.657 (2.540-2.765)</w:t>
            </w:r>
          </w:p>
        </w:tc>
        <w:tc>
          <w:tcPr>
            <w:tcW w:w="1261" w:type="dxa"/>
            <w:tcBorders>
              <w:bottom w:val="single" w:sz="4" w:space="0" w:color="auto"/>
            </w:tcBorders>
            <w:vAlign w:val="center"/>
          </w:tcPr>
          <w:p w14:paraId="5CCC27B4" w14:textId="77777777" w:rsidR="00897D0D" w:rsidRPr="003D6406" w:rsidRDefault="00897D0D" w:rsidP="004E3E12">
            <w:pPr>
              <w:adjustRightInd w:val="0"/>
              <w:snapToGrid w:val="0"/>
              <w:spacing w:line="360" w:lineRule="auto"/>
              <w:jc w:val="center"/>
              <w:rPr>
                <w:rFonts w:ascii="Book Antiqua" w:hAnsi="Book Antiqua" w:cs="Times New Roman"/>
              </w:rPr>
            </w:pPr>
            <w:r w:rsidRPr="003D6406">
              <w:rPr>
                <w:rFonts w:ascii="Book Antiqua" w:hAnsi="Book Antiqua" w:cs="Times New Roman"/>
              </w:rPr>
              <w:t>0.0136</w:t>
            </w:r>
          </w:p>
        </w:tc>
      </w:tr>
    </w:tbl>
    <w:p w14:paraId="753135C0" w14:textId="77777777" w:rsidR="00897D0D" w:rsidRDefault="00897D0D" w:rsidP="00897D0D">
      <w:pPr>
        <w:spacing w:line="360" w:lineRule="auto"/>
        <w:jc w:val="both"/>
        <w:rPr>
          <w:rFonts w:ascii="Book Antiqua" w:hAnsi="Book Antiqua" w:cs="Book Antiqua"/>
          <w:color w:val="000000"/>
          <w:lang w:eastAsia="zh-CN"/>
        </w:rPr>
      </w:pPr>
      <w:r w:rsidRPr="003D6406">
        <w:rPr>
          <w:rFonts w:ascii="Book Antiqua" w:eastAsia="等线" w:hAnsi="Book Antiqua"/>
          <w:color w:val="000000"/>
          <w:vertAlign w:val="superscript"/>
        </w:rPr>
        <w:t>1</w:t>
      </w:r>
      <w:r w:rsidRPr="003D6406">
        <w:rPr>
          <w:rFonts w:ascii="Book Antiqua" w:eastAsia="等线" w:hAnsi="Book Antiqua"/>
          <w:color w:val="000000"/>
        </w:rPr>
        <w:t xml:space="preserve">Patients were treated with NAs: entecavir(first-line), lamivudine and adefovir dipivoxil (second-line). </w:t>
      </w:r>
      <w:r>
        <w:rPr>
          <w:rFonts w:ascii="Book Antiqua" w:eastAsia="Book Antiqua" w:hAnsi="Book Antiqua" w:cs="Book Antiqua"/>
          <w:color w:val="000000"/>
        </w:rPr>
        <w:t>HBsAg: Hepatitis B surface antigen</w:t>
      </w:r>
      <w:r>
        <w:rPr>
          <w:rFonts w:ascii="Book Antiqua" w:hAnsi="Book Antiqua" w:cs="Book Antiqua" w:hint="eastAsia"/>
          <w:color w:val="000000"/>
          <w:lang w:eastAsia="zh-CN"/>
        </w:rPr>
        <w:t>.</w:t>
      </w:r>
    </w:p>
    <w:p w14:paraId="57AFBF1D" w14:textId="1979EACB" w:rsidR="00897D0D" w:rsidRPr="00D327D8" w:rsidRDefault="00897D0D" w:rsidP="00897D0D">
      <w:pPr>
        <w:adjustRightInd w:val="0"/>
        <w:snapToGrid w:val="0"/>
        <w:spacing w:line="360" w:lineRule="auto"/>
        <w:rPr>
          <w:rFonts w:ascii="Book Antiqua" w:hAnsi="Book Antiqua"/>
          <w:b/>
          <w:bCs/>
          <w:color w:val="FF0000"/>
        </w:rPr>
      </w:pPr>
    </w:p>
    <w:p w14:paraId="0C43A0B1" w14:textId="77777777" w:rsidR="00897D0D" w:rsidRPr="00D327D8" w:rsidRDefault="00897D0D" w:rsidP="000D2022">
      <w:pPr>
        <w:spacing w:line="360" w:lineRule="auto"/>
        <w:rPr>
          <w:rFonts w:ascii="Book Antiqua" w:hAnsi="Book Antiqua"/>
          <w:b/>
          <w:bCs/>
          <w:color w:val="FF0000"/>
          <w:lang w:eastAsia="zh-CN"/>
        </w:rPr>
      </w:pPr>
    </w:p>
    <w:p w14:paraId="19786205" w14:textId="77777777" w:rsidR="00897D0D" w:rsidRDefault="00897D0D" w:rsidP="00897D0D">
      <w:pPr>
        <w:spacing w:line="360" w:lineRule="auto"/>
        <w:rPr>
          <w:rFonts w:ascii="Book Antiqua" w:hAnsi="Book Antiqua"/>
          <w:b/>
          <w:bCs/>
          <w:color w:val="000000" w:themeColor="text1"/>
        </w:rPr>
      </w:pPr>
    </w:p>
    <w:p w14:paraId="3A552ABD" w14:textId="77777777" w:rsidR="00897D0D" w:rsidRPr="00F368E9" w:rsidRDefault="00897D0D" w:rsidP="00897D0D"/>
    <w:p w14:paraId="793E12A4" w14:textId="77777777" w:rsidR="00897D0D" w:rsidRPr="00756947" w:rsidRDefault="00897D0D">
      <w:pPr>
        <w:spacing w:line="360" w:lineRule="auto"/>
        <w:jc w:val="both"/>
        <w:rPr>
          <w:lang w:eastAsia="zh-CN"/>
        </w:rPr>
      </w:pPr>
    </w:p>
    <w:sectPr w:rsidR="00897D0D" w:rsidRPr="00756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F420" w14:textId="77777777" w:rsidR="00D8116F" w:rsidRDefault="00D8116F" w:rsidP="00511AAC">
      <w:r>
        <w:separator/>
      </w:r>
    </w:p>
  </w:endnote>
  <w:endnote w:type="continuationSeparator" w:id="0">
    <w:p w14:paraId="318C3B6C" w14:textId="77777777" w:rsidR="00D8116F" w:rsidRDefault="00D8116F" w:rsidP="005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91699289"/>
      <w:docPartObj>
        <w:docPartGallery w:val="Page Numbers (Bottom of Page)"/>
        <w:docPartUnique/>
      </w:docPartObj>
    </w:sdtPr>
    <w:sdtEndPr>
      <w:rPr>
        <w:noProof/>
      </w:rPr>
    </w:sdtEndPr>
    <w:sdtContent>
      <w:p w14:paraId="43CCEDF3" w14:textId="6E6C1FED" w:rsidR="00B24F78" w:rsidRPr="00373200" w:rsidRDefault="00B24F78">
        <w:pPr>
          <w:pStyle w:val="a6"/>
          <w:jc w:val="right"/>
          <w:rPr>
            <w:rFonts w:ascii="Book Antiqua" w:hAnsi="Book Antiqua"/>
            <w:sz w:val="24"/>
            <w:szCs w:val="24"/>
          </w:rPr>
        </w:pPr>
        <w:r w:rsidRPr="00373200">
          <w:rPr>
            <w:rFonts w:ascii="Book Antiqua" w:hAnsi="Book Antiqua"/>
            <w:sz w:val="24"/>
            <w:szCs w:val="24"/>
          </w:rPr>
          <w:fldChar w:fldCharType="begin"/>
        </w:r>
        <w:r w:rsidRPr="00373200">
          <w:rPr>
            <w:rFonts w:ascii="Book Antiqua" w:hAnsi="Book Antiqua"/>
            <w:sz w:val="24"/>
            <w:szCs w:val="24"/>
          </w:rPr>
          <w:instrText xml:space="preserve"> PAGE   \* MERGEFORMAT </w:instrText>
        </w:r>
        <w:r w:rsidRPr="00373200">
          <w:rPr>
            <w:rFonts w:ascii="Book Antiqua" w:hAnsi="Book Antiqua"/>
            <w:sz w:val="24"/>
            <w:szCs w:val="24"/>
          </w:rPr>
          <w:fldChar w:fldCharType="separate"/>
        </w:r>
        <w:r w:rsidR="00D8116F">
          <w:rPr>
            <w:rFonts w:ascii="Book Antiqua" w:hAnsi="Book Antiqua"/>
            <w:noProof/>
            <w:sz w:val="24"/>
            <w:szCs w:val="24"/>
          </w:rPr>
          <w:t>1</w:t>
        </w:r>
        <w:r w:rsidRPr="00373200">
          <w:rPr>
            <w:rFonts w:ascii="Book Antiqua" w:hAnsi="Book Antiqua"/>
            <w:noProof/>
            <w:sz w:val="24"/>
            <w:szCs w:val="24"/>
          </w:rPr>
          <w:fldChar w:fldCharType="end"/>
        </w:r>
        <w:r w:rsidRPr="00373200">
          <w:rPr>
            <w:rFonts w:ascii="Book Antiqua" w:hAnsi="Book Antiqua"/>
            <w:noProof/>
            <w:sz w:val="24"/>
            <w:szCs w:val="24"/>
          </w:rPr>
          <w:t xml:space="preserve"> / 2</w:t>
        </w:r>
        <w:r w:rsidR="00F77603">
          <w:rPr>
            <w:rFonts w:ascii="Book Antiqua" w:hAnsi="Book Antiqua"/>
            <w:noProof/>
            <w:sz w:val="24"/>
            <w:szCs w:val="24"/>
          </w:rPr>
          <w:t>4</w:t>
        </w:r>
      </w:p>
    </w:sdtContent>
  </w:sdt>
  <w:p w14:paraId="1262D551" w14:textId="77777777" w:rsidR="00511AAC" w:rsidRDefault="00511A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712AD" w14:textId="77777777" w:rsidR="00D8116F" w:rsidRDefault="00D8116F" w:rsidP="00511AAC">
      <w:r>
        <w:separator/>
      </w:r>
    </w:p>
  </w:footnote>
  <w:footnote w:type="continuationSeparator" w:id="0">
    <w:p w14:paraId="1E84246B" w14:textId="77777777" w:rsidR="00D8116F" w:rsidRDefault="00D8116F" w:rsidP="0051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ADD"/>
    <w:rsid w:val="000108F2"/>
    <w:rsid w:val="000158FA"/>
    <w:rsid w:val="00045642"/>
    <w:rsid w:val="000967E4"/>
    <w:rsid w:val="000D2022"/>
    <w:rsid w:val="001B20A1"/>
    <w:rsid w:val="001F32C7"/>
    <w:rsid w:val="00212D73"/>
    <w:rsid w:val="00282716"/>
    <w:rsid w:val="002C5A10"/>
    <w:rsid w:val="00315F98"/>
    <w:rsid w:val="00373200"/>
    <w:rsid w:val="00452DB2"/>
    <w:rsid w:val="004739D3"/>
    <w:rsid w:val="004D42B9"/>
    <w:rsid w:val="004E2714"/>
    <w:rsid w:val="00511AAC"/>
    <w:rsid w:val="00575DDE"/>
    <w:rsid w:val="005B2908"/>
    <w:rsid w:val="005B6407"/>
    <w:rsid w:val="0063142D"/>
    <w:rsid w:val="00650B35"/>
    <w:rsid w:val="006771C1"/>
    <w:rsid w:val="006C3D2C"/>
    <w:rsid w:val="006C45F2"/>
    <w:rsid w:val="006C7BB1"/>
    <w:rsid w:val="006D09B5"/>
    <w:rsid w:val="00715DDD"/>
    <w:rsid w:val="00756947"/>
    <w:rsid w:val="007F2106"/>
    <w:rsid w:val="0083510D"/>
    <w:rsid w:val="00897D0D"/>
    <w:rsid w:val="008A78BE"/>
    <w:rsid w:val="009045EB"/>
    <w:rsid w:val="00914456"/>
    <w:rsid w:val="00950063"/>
    <w:rsid w:val="009B2796"/>
    <w:rsid w:val="00A100D4"/>
    <w:rsid w:val="00A77B3E"/>
    <w:rsid w:val="00B24F78"/>
    <w:rsid w:val="00B62CD1"/>
    <w:rsid w:val="00B91383"/>
    <w:rsid w:val="00BB4474"/>
    <w:rsid w:val="00BD20B6"/>
    <w:rsid w:val="00BF1D3F"/>
    <w:rsid w:val="00C24FAC"/>
    <w:rsid w:val="00C533D8"/>
    <w:rsid w:val="00C54C7C"/>
    <w:rsid w:val="00C920CC"/>
    <w:rsid w:val="00CA2A55"/>
    <w:rsid w:val="00CE602D"/>
    <w:rsid w:val="00D001D4"/>
    <w:rsid w:val="00D53508"/>
    <w:rsid w:val="00D8116F"/>
    <w:rsid w:val="00E217EB"/>
    <w:rsid w:val="00EA7946"/>
    <w:rsid w:val="00ED1CFD"/>
    <w:rsid w:val="00F1292B"/>
    <w:rsid w:val="00F77603"/>
    <w:rsid w:val="00FA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3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5DDD"/>
    <w:pPr>
      <w:spacing w:before="100" w:beforeAutospacing="1" w:after="100" w:afterAutospacing="1"/>
    </w:pPr>
    <w:rPr>
      <w:rFonts w:ascii="宋体" w:eastAsia="宋体" w:hAnsi="宋体" w:cs="宋体"/>
      <w:lang w:eastAsia="zh-CN"/>
    </w:rPr>
  </w:style>
  <w:style w:type="paragraph" w:styleId="a4">
    <w:name w:val="Balloon Text"/>
    <w:basedOn w:val="a"/>
    <w:link w:val="Char"/>
    <w:rsid w:val="00715DDD"/>
    <w:rPr>
      <w:sz w:val="18"/>
      <w:szCs w:val="18"/>
    </w:rPr>
  </w:style>
  <w:style w:type="character" w:customStyle="1" w:styleId="Char">
    <w:name w:val="批注框文本 Char"/>
    <w:basedOn w:val="a0"/>
    <w:link w:val="a4"/>
    <w:rsid w:val="00715DDD"/>
    <w:rPr>
      <w:sz w:val="18"/>
      <w:szCs w:val="18"/>
    </w:rPr>
  </w:style>
  <w:style w:type="paragraph" w:styleId="a5">
    <w:name w:val="header"/>
    <w:basedOn w:val="a"/>
    <w:link w:val="Char0"/>
    <w:rsid w:val="00511A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11AAC"/>
    <w:rPr>
      <w:sz w:val="18"/>
      <w:szCs w:val="18"/>
    </w:rPr>
  </w:style>
  <w:style w:type="paragraph" w:styleId="a6">
    <w:name w:val="footer"/>
    <w:basedOn w:val="a"/>
    <w:link w:val="Char1"/>
    <w:uiPriority w:val="99"/>
    <w:rsid w:val="00511AAC"/>
    <w:pPr>
      <w:tabs>
        <w:tab w:val="center" w:pos="4153"/>
        <w:tab w:val="right" w:pos="8306"/>
      </w:tabs>
      <w:snapToGrid w:val="0"/>
    </w:pPr>
    <w:rPr>
      <w:sz w:val="18"/>
      <w:szCs w:val="18"/>
    </w:rPr>
  </w:style>
  <w:style w:type="character" w:customStyle="1" w:styleId="Char1">
    <w:name w:val="页脚 Char"/>
    <w:basedOn w:val="a0"/>
    <w:link w:val="a6"/>
    <w:uiPriority w:val="99"/>
    <w:rsid w:val="00511AAC"/>
    <w:rPr>
      <w:sz w:val="18"/>
      <w:szCs w:val="18"/>
    </w:rPr>
  </w:style>
  <w:style w:type="table" w:styleId="a7">
    <w:name w:val="Table Grid"/>
    <w:basedOn w:val="a1"/>
    <w:uiPriority w:val="39"/>
    <w:rsid w:val="00897D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5DDD"/>
    <w:pPr>
      <w:spacing w:before="100" w:beforeAutospacing="1" w:after="100" w:afterAutospacing="1"/>
    </w:pPr>
    <w:rPr>
      <w:rFonts w:ascii="宋体" w:eastAsia="宋体" w:hAnsi="宋体" w:cs="宋体"/>
      <w:lang w:eastAsia="zh-CN"/>
    </w:rPr>
  </w:style>
  <w:style w:type="paragraph" w:styleId="a4">
    <w:name w:val="Balloon Text"/>
    <w:basedOn w:val="a"/>
    <w:link w:val="Char"/>
    <w:rsid w:val="00715DDD"/>
    <w:rPr>
      <w:sz w:val="18"/>
      <w:szCs w:val="18"/>
    </w:rPr>
  </w:style>
  <w:style w:type="character" w:customStyle="1" w:styleId="Char">
    <w:name w:val="批注框文本 Char"/>
    <w:basedOn w:val="a0"/>
    <w:link w:val="a4"/>
    <w:rsid w:val="00715DDD"/>
    <w:rPr>
      <w:sz w:val="18"/>
      <w:szCs w:val="18"/>
    </w:rPr>
  </w:style>
  <w:style w:type="paragraph" w:styleId="a5">
    <w:name w:val="header"/>
    <w:basedOn w:val="a"/>
    <w:link w:val="Char0"/>
    <w:rsid w:val="00511A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11AAC"/>
    <w:rPr>
      <w:sz w:val="18"/>
      <w:szCs w:val="18"/>
    </w:rPr>
  </w:style>
  <w:style w:type="paragraph" w:styleId="a6">
    <w:name w:val="footer"/>
    <w:basedOn w:val="a"/>
    <w:link w:val="Char1"/>
    <w:uiPriority w:val="99"/>
    <w:rsid w:val="00511AAC"/>
    <w:pPr>
      <w:tabs>
        <w:tab w:val="center" w:pos="4153"/>
        <w:tab w:val="right" w:pos="8306"/>
      </w:tabs>
      <w:snapToGrid w:val="0"/>
    </w:pPr>
    <w:rPr>
      <w:sz w:val="18"/>
      <w:szCs w:val="18"/>
    </w:rPr>
  </w:style>
  <w:style w:type="character" w:customStyle="1" w:styleId="Char1">
    <w:name w:val="页脚 Char"/>
    <w:basedOn w:val="a0"/>
    <w:link w:val="a6"/>
    <w:uiPriority w:val="99"/>
    <w:rsid w:val="00511AAC"/>
    <w:rPr>
      <w:sz w:val="18"/>
      <w:szCs w:val="18"/>
    </w:rPr>
  </w:style>
  <w:style w:type="table" w:styleId="a7">
    <w:name w:val="Table Grid"/>
    <w:basedOn w:val="a1"/>
    <w:uiPriority w:val="39"/>
    <w:rsid w:val="00897D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7</cp:revision>
  <dcterms:created xsi:type="dcterms:W3CDTF">2021-06-10T00:45:00Z</dcterms:created>
  <dcterms:modified xsi:type="dcterms:W3CDTF">2021-07-19T04:01:00Z</dcterms:modified>
</cp:coreProperties>
</file>