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C17AF" w14:textId="77777777" w:rsidR="00A77B3E" w:rsidRDefault="00C54E9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245989A" w14:textId="77777777" w:rsidR="00A77B3E" w:rsidRDefault="00C54E9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64591</w:t>
      </w:r>
    </w:p>
    <w:p w14:paraId="62FC0184" w14:textId="77777777" w:rsidR="00A77B3E" w:rsidRDefault="00C54E9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8D32048" w14:textId="77777777" w:rsidR="00A77B3E" w:rsidRDefault="00A77B3E">
      <w:pPr>
        <w:spacing w:line="360" w:lineRule="auto"/>
        <w:jc w:val="both"/>
      </w:pPr>
    </w:p>
    <w:p w14:paraId="568A699C" w14:textId="77777777" w:rsidR="00A77B3E" w:rsidRDefault="00C54E98">
      <w:pPr>
        <w:spacing w:line="360" w:lineRule="auto"/>
        <w:jc w:val="both"/>
      </w:pPr>
      <w:bookmarkStart w:id="0" w:name="OLE_LINK69"/>
      <w:bookmarkStart w:id="1" w:name="OLE_LINK70"/>
      <w:r>
        <w:rPr>
          <w:rFonts w:ascii="Book Antiqua" w:eastAsia="Book Antiqua" w:hAnsi="Book Antiqua" w:cs="Book Antiqua"/>
          <w:b/>
          <w:i/>
          <w:color w:val="000000"/>
        </w:rPr>
        <w:t>Observational Study</w:t>
      </w:r>
    </w:p>
    <w:p w14:paraId="17025E77" w14:textId="77777777" w:rsidR="00A77B3E" w:rsidRDefault="00C54E98">
      <w:pPr>
        <w:spacing w:line="360" w:lineRule="auto"/>
        <w:jc w:val="both"/>
      </w:pPr>
      <w:bookmarkStart w:id="2" w:name="OLE_LINK38"/>
      <w:bookmarkStart w:id="3" w:name="OLE_LINK39"/>
      <w:bookmarkStart w:id="4" w:name="OLE_LINK50"/>
      <w:bookmarkStart w:id="5" w:name="OLE_LINK77"/>
      <w:bookmarkEnd w:id="0"/>
      <w:bookmarkEnd w:id="1"/>
      <w:r>
        <w:rPr>
          <w:rFonts w:ascii="Book Antiqua" w:eastAsia="Book Antiqua" w:hAnsi="Book Antiqua" w:cs="Book Antiqua"/>
          <w:b/>
          <w:color w:val="000000"/>
        </w:rPr>
        <w:t>Assessing disease activity using the</w:t>
      </w:r>
      <w:r w:rsidR="007D5041">
        <w:rPr>
          <w:rFonts w:ascii="Book Antiqua" w:eastAsia="Book Antiqua" w:hAnsi="Book Antiqua" w:cs="Book Antiqua"/>
          <w:b/>
          <w:color w:val="000000"/>
        </w:rPr>
        <w:t xml:space="preserve"> pediatr</w:t>
      </w:r>
      <w:r>
        <w:rPr>
          <w:rFonts w:ascii="Book Antiqua" w:eastAsia="Book Antiqua" w:hAnsi="Book Antiqua" w:cs="Book Antiqua"/>
          <w:b/>
          <w:color w:val="000000"/>
        </w:rPr>
        <w:t xml:space="preserve">ic Crohn’s </w:t>
      </w:r>
      <w:r w:rsidR="007D5041">
        <w:rPr>
          <w:rFonts w:ascii="Book Antiqua" w:eastAsia="Book Antiqua" w:hAnsi="Book Antiqua" w:cs="Book Antiqua"/>
          <w:b/>
          <w:color w:val="000000"/>
        </w:rPr>
        <w:t>disease activity in</w:t>
      </w:r>
      <w:r>
        <w:rPr>
          <w:rFonts w:ascii="Book Antiqua" w:eastAsia="Book Antiqua" w:hAnsi="Book Antiqua" w:cs="Book Antiqua"/>
          <w:b/>
          <w:color w:val="000000"/>
        </w:rPr>
        <w:t>dex: Can we use subjective or objective parameters alone?</w:t>
      </w:r>
    </w:p>
    <w:bookmarkEnd w:id="2"/>
    <w:bookmarkEnd w:id="3"/>
    <w:bookmarkEnd w:id="4"/>
    <w:bookmarkEnd w:id="5"/>
    <w:p w14:paraId="50EEB812" w14:textId="77777777" w:rsidR="00A77B3E" w:rsidRDefault="00A77B3E">
      <w:pPr>
        <w:spacing w:line="360" w:lineRule="auto"/>
        <w:jc w:val="both"/>
      </w:pPr>
    </w:p>
    <w:p w14:paraId="71187742" w14:textId="77777777" w:rsidR="00A77B3E" w:rsidRDefault="007D5041">
      <w:pPr>
        <w:spacing w:line="360" w:lineRule="auto"/>
        <w:jc w:val="both"/>
      </w:pPr>
      <w:r>
        <w:rPr>
          <w:rFonts w:ascii="Book Antiqua" w:eastAsia="Book Antiqua" w:hAnsi="Book Antiqua" w:cs="Book Antiqua"/>
          <w:color w:val="000000"/>
        </w:rPr>
        <w:t xml:space="preserve">Grant </w:t>
      </w:r>
      <w:r>
        <w:rPr>
          <w:rFonts w:ascii="Book Antiqua" w:hAnsi="Book Antiqua" w:cs="Book Antiqua" w:hint="eastAsia"/>
          <w:color w:val="000000"/>
          <w:lang w:eastAsia="zh-CN"/>
        </w:rPr>
        <w:t xml:space="preserve">A </w:t>
      </w:r>
      <w:r w:rsidRPr="007D504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51"/>
      <w:bookmarkStart w:id="7" w:name="OLE_LINK52"/>
      <w:bookmarkStart w:id="8" w:name="OLE_LINK78"/>
      <w:r w:rsidR="00C54E98">
        <w:rPr>
          <w:rFonts w:ascii="Book Antiqua" w:eastAsia="Book Antiqua" w:hAnsi="Book Antiqua" w:cs="Book Antiqua"/>
          <w:color w:val="000000"/>
        </w:rPr>
        <w:t>Disease activity in pediatric Crohn’s disease</w:t>
      </w:r>
      <w:bookmarkEnd w:id="6"/>
      <w:bookmarkEnd w:id="7"/>
      <w:bookmarkEnd w:id="8"/>
    </w:p>
    <w:p w14:paraId="52A40E52" w14:textId="77777777" w:rsidR="00A77B3E" w:rsidRDefault="00A77B3E">
      <w:pPr>
        <w:spacing w:line="360" w:lineRule="auto"/>
        <w:jc w:val="both"/>
      </w:pPr>
    </w:p>
    <w:p w14:paraId="7AC636A1" w14:textId="77777777" w:rsidR="00A77B3E" w:rsidRDefault="00C54E98">
      <w:pPr>
        <w:spacing w:line="360" w:lineRule="auto"/>
        <w:jc w:val="both"/>
      </w:pPr>
      <w:r>
        <w:rPr>
          <w:rFonts w:ascii="Book Antiqua" w:eastAsia="Book Antiqua" w:hAnsi="Book Antiqua" w:cs="Book Antiqua"/>
          <w:color w:val="000000"/>
        </w:rPr>
        <w:t xml:space="preserve">Amy </w:t>
      </w:r>
      <w:bookmarkStart w:id="9" w:name="OLE_LINK1"/>
      <w:bookmarkStart w:id="10" w:name="OLE_LINK2"/>
      <w:r>
        <w:rPr>
          <w:rFonts w:ascii="Book Antiqua" w:eastAsia="Book Antiqua" w:hAnsi="Book Antiqua" w:cs="Book Antiqua"/>
          <w:color w:val="000000"/>
        </w:rPr>
        <w:t>Grant</w:t>
      </w:r>
      <w:bookmarkEnd w:id="9"/>
      <w:bookmarkEnd w:id="10"/>
      <w:r>
        <w:rPr>
          <w:rFonts w:ascii="Book Antiqua" w:eastAsia="Book Antiqua" w:hAnsi="Book Antiqua" w:cs="Book Antiqua"/>
          <w:color w:val="000000"/>
        </w:rPr>
        <w:t>, Trudy Lerer, Anne M Griffiths, JS Hyams, Anthony Otley</w:t>
      </w:r>
    </w:p>
    <w:p w14:paraId="212AAC56" w14:textId="77777777" w:rsidR="00A77B3E" w:rsidRDefault="00A77B3E">
      <w:pPr>
        <w:spacing w:line="360" w:lineRule="auto"/>
        <w:jc w:val="both"/>
      </w:pPr>
    </w:p>
    <w:p w14:paraId="7D221DCE" w14:textId="77777777" w:rsidR="00A77B3E" w:rsidRDefault="00C54E98">
      <w:pPr>
        <w:spacing w:line="360" w:lineRule="auto"/>
        <w:jc w:val="both"/>
      </w:pPr>
      <w:r>
        <w:rPr>
          <w:rFonts w:ascii="Book Antiqua" w:eastAsia="Book Antiqua" w:hAnsi="Book Antiqua" w:cs="Book Antiqua"/>
          <w:b/>
          <w:bCs/>
          <w:color w:val="000000"/>
        </w:rPr>
        <w:t xml:space="preserve">Amy Grant, </w:t>
      </w:r>
      <w:bookmarkStart w:id="11" w:name="OLE_LINK7"/>
      <w:bookmarkStart w:id="12" w:name="OLE_LINK8"/>
      <w:r w:rsidR="003B49E2">
        <w:rPr>
          <w:rFonts w:ascii="Book Antiqua" w:eastAsia="Book Antiqua" w:hAnsi="Book Antiqua" w:cs="Book Antiqua"/>
          <w:b/>
          <w:bCs/>
          <w:color w:val="000000"/>
        </w:rPr>
        <w:t>Anthony Otley,</w:t>
      </w:r>
      <w:r w:rsidR="003B49E2">
        <w:rPr>
          <w:rFonts w:ascii="Book Antiqua" w:hAnsi="Book Antiqua" w:cs="Book Antiqua" w:hint="eastAsia"/>
          <w:b/>
          <w:bCs/>
          <w:color w:val="000000"/>
          <w:lang w:eastAsia="zh-CN"/>
        </w:rPr>
        <w:t xml:space="preserve"> </w:t>
      </w:r>
      <w:bookmarkStart w:id="13" w:name="OLE_LINK55"/>
      <w:bookmarkStart w:id="14" w:name="OLE_LINK56"/>
      <w:bookmarkStart w:id="15" w:name="OLE_LINK13"/>
      <w:bookmarkStart w:id="16" w:name="OLE_LINK14"/>
      <w:r w:rsidR="003B49E2">
        <w:rPr>
          <w:rFonts w:ascii="Book Antiqua" w:eastAsia="Book Antiqua" w:hAnsi="Book Antiqua" w:cs="Book Antiqua"/>
          <w:color w:val="000000"/>
        </w:rPr>
        <w:t xml:space="preserve">Division of </w:t>
      </w:r>
      <w:bookmarkEnd w:id="11"/>
      <w:bookmarkEnd w:id="12"/>
      <w:r>
        <w:rPr>
          <w:rFonts w:ascii="Book Antiqua" w:eastAsia="Book Antiqua" w:hAnsi="Book Antiqua" w:cs="Book Antiqua"/>
          <w:color w:val="000000"/>
        </w:rPr>
        <w:t>Pediatrics</w:t>
      </w:r>
      <w:bookmarkEnd w:id="13"/>
      <w:bookmarkEnd w:id="14"/>
      <w:r>
        <w:rPr>
          <w:rFonts w:ascii="Book Antiqua" w:eastAsia="Book Antiqua" w:hAnsi="Book Antiqua" w:cs="Book Antiqua"/>
          <w:color w:val="000000"/>
        </w:rPr>
        <w:t xml:space="preserve">, </w:t>
      </w:r>
      <w:bookmarkStart w:id="17" w:name="OLE_LINK15"/>
      <w:bookmarkStart w:id="18" w:name="OLE_LINK16"/>
      <w:r>
        <w:rPr>
          <w:rFonts w:ascii="Book Antiqua" w:eastAsia="Book Antiqua" w:hAnsi="Book Antiqua" w:cs="Book Antiqua"/>
          <w:color w:val="000000"/>
        </w:rPr>
        <w:t>IWK Health</w:t>
      </w:r>
      <w:bookmarkEnd w:id="15"/>
      <w:bookmarkEnd w:id="16"/>
      <w:bookmarkEnd w:id="17"/>
      <w:bookmarkEnd w:id="18"/>
      <w:r>
        <w:rPr>
          <w:rFonts w:ascii="Book Antiqua" w:eastAsia="Book Antiqua" w:hAnsi="Book Antiqua" w:cs="Book Antiqua"/>
          <w:color w:val="000000"/>
        </w:rPr>
        <w:t>, Halifax, NS</w:t>
      </w:r>
      <w:r w:rsidR="003B49E2">
        <w:rPr>
          <w:rFonts w:ascii="Book Antiqua" w:hAnsi="Book Antiqua" w:cs="Book Antiqua" w:hint="eastAsia"/>
          <w:color w:val="000000"/>
          <w:lang w:eastAsia="zh-CN"/>
        </w:rPr>
        <w:t xml:space="preserve"> </w:t>
      </w:r>
      <w:r w:rsidR="003B49E2">
        <w:rPr>
          <w:rFonts w:ascii="Book Antiqua" w:eastAsia="Book Antiqua" w:hAnsi="Book Antiqua" w:cs="Book Antiqua"/>
          <w:color w:val="000000"/>
        </w:rPr>
        <w:t>B3K6R8</w:t>
      </w:r>
      <w:r>
        <w:rPr>
          <w:rFonts w:ascii="Book Antiqua" w:eastAsia="Book Antiqua" w:hAnsi="Book Antiqua" w:cs="Book Antiqua"/>
          <w:color w:val="000000"/>
        </w:rPr>
        <w:t xml:space="preserve">, </w:t>
      </w:r>
      <w:bookmarkStart w:id="19" w:name="OLE_LINK53"/>
      <w:bookmarkStart w:id="20" w:name="OLE_LINK54"/>
      <w:r>
        <w:rPr>
          <w:rFonts w:ascii="Book Antiqua" w:eastAsia="Book Antiqua" w:hAnsi="Book Antiqua" w:cs="Book Antiqua"/>
          <w:color w:val="000000"/>
        </w:rPr>
        <w:t>Canada</w:t>
      </w:r>
      <w:bookmarkEnd w:id="19"/>
      <w:bookmarkEnd w:id="20"/>
    </w:p>
    <w:p w14:paraId="20DE5B61" w14:textId="77777777" w:rsidR="00A77B3E" w:rsidRDefault="00A77B3E">
      <w:pPr>
        <w:spacing w:line="360" w:lineRule="auto"/>
        <w:jc w:val="both"/>
      </w:pPr>
    </w:p>
    <w:p w14:paraId="0D644F50" w14:textId="77777777" w:rsidR="00A77B3E" w:rsidRDefault="00C54E98">
      <w:pPr>
        <w:spacing w:line="360" w:lineRule="auto"/>
        <w:jc w:val="both"/>
      </w:pPr>
      <w:r>
        <w:rPr>
          <w:rFonts w:ascii="Book Antiqua" w:eastAsia="Book Antiqua" w:hAnsi="Book Antiqua" w:cs="Book Antiqua"/>
          <w:b/>
          <w:bCs/>
          <w:color w:val="000000"/>
        </w:rPr>
        <w:t xml:space="preserve">Trudy Lerer, </w:t>
      </w:r>
      <w:bookmarkStart w:id="21" w:name="OLE_LINK57"/>
      <w:bookmarkStart w:id="22" w:name="OLE_LINK58"/>
      <w:r w:rsidR="003B49E2">
        <w:rPr>
          <w:rFonts w:ascii="Book Antiqua" w:eastAsia="Book Antiqua" w:hAnsi="Book Antiqua" w:cs="Book Antiqua"/>
          <w:color w:val="000000"/>
        </w:rPr>
        <w:t xml:space="preserve">Division of </w:t>
      </w:r>
      <w:r>
        <w:rPr>
          <w:rFonts w:ascii="Book Antiqua" w:eastAsia="Book Antiqua" w:hAnsi="Book Antiqua" w:cs="Book Antiqua"/>
          <w:color w:val="000000"/>
        </w:rPr>
        <w:t>Research</w:t>
      </w:r>
      <w:bookmarkEnd w:id="21"/>
      <w:bookmarkEnd w:id="22"/>
      <w:r>
        <w:rPr>
          <w:rFonts w:ascii="Book Antiqua" w:eastAsia="Book Antiqua" w:hAnsi="Book Antiqua" w:cs="Book Antiqua"/>
          <w:color w:val="000000"/>
        </w:rPr>
        <w:t xml:space="preserve">, Connecticut Children's Medical Center, Hartford, </w:t>
      </w:r>
      <w:bookmarkStart w:id="23" w:name="OLE_LINK5"/>
      <w:bookmarkStart w:id="24" w:name="OLE_LINK6"/>
      <w:r w:rsidR="003B49E2">
        <w:rPr>
          <w:rFonts w:ascii="Book Antiqua" w:hAnsi="Book Antiqua" w:cs="Book Antiqua" w:hint="eastAsia"/>
          <w:color w:val="000000"/>
          <w:lang w:eastAsia="zh-CN"/>
        </w:rPr>
        <w:t>CT</w:t>
      </w:r>
      <w:r>
        <w:rPr>
          <w:rFonts w:ascii="Book Antiqua" w:eastAsia="Book Antiqua" w:hAnsi="Book Antiqua" w:cs="Book Antiqua"/>
          <w:color w:val="000000"/>
        </w:rPr>
        <w:t xml:space="preserve"> </w:t>
      </w:r>
      <w:bookmarkEnd w:id="23"/>
      <w:bookmarkEnd w:id="24"/>
      <w:r>
        <w:rPr>
          <w:rFonts w:ascii="Book Antiqua" w:eastAsia="Book Antiqua" w:hAnsi="Book Antiqua" w:cs="Book Antiqua"/>
          <w:color w:val="000000"/>
        </w:rPr>
        <w:t>06106, United States</w:t>
      </w:r>
    </w:p>
    <w:p w14:paraId="5C4376F1" w14:textId="77777777" w:rsidR="00A77B3E" w:rsidRDefault="00A77B3E">
      <w:pPr>
        <w:spacing w:line="360" w:lineRule="auto"/>
        <w:jc w:val="both"/>
      </w:pPr>
    </w:p>
    <w:p w14:paraId="2336F550" w14:textId="77777777" w:rsidR="00A77B3E" w:rsidRDefault="00C54E98">
      <w:pPr>
        <w:spacing w:line="360" w:lineRule="auto"/>
        <w:jc w:val="both"/>
      </w:pPr>
      <w:r>
        <w:rPr>
          <w:rFonts w:ascii="Book Antiqua" w:eastAsia="Book Antiqua" w:hAnsi="Book Antiqua" w:cs="Book Antiqua"/>
          <w:b/>
          <w:bCs/>
          <w:color w:val="000000"/>
        </w:rPr>
        <w:t xml:space="preserve">Anne M Griffiths, </w:t>
      </w:r>
      <w:bookmarkStart w:id="25" w:name="OLE_LINK3"/>
      <w:bookmarkStart w:id="26" w:name="OLE_LINK4"/>
      <w:bookmarkStart w:id="27" w:name="OLE_LINK59"/>
      <w:bookmarkStart w:id="28" w:name="OLE_LINK60"/>
      <w:r>
        <w:rPr>
          <w:rFonts w:ascii="Book Antiqua" w:eastAsia="Book Antiqua" w:hAnsi="Book Antiqua" w:cs="Book Antiqua"/>
          <w:color w:val="000000"/>
        </w:rPr>
        <w:t>Division of</w:t>
      </w:r>
      <w:bookmarkEnd w:id="25"/>
      <w:bookmarkEnd w:id="26"/>
      <w:r>
        <w:rPr>
          <w:rFonts w:ascii="Book Antiqua" w:eastAsia="Book Antiqua" w:hAnsi="Book Antiqua" w:cs="Book Antiqua"/>
          <w:color w:val="000000"/>
        </w:rPr>
        <w:t xml:space="preserve"> Gastroenterology Hepatology and Nutrition</w:t>
      </w:r>
      <w:bookmarkEnd w:id="27"/>
      <w:bookmarkEnd w:id="28"/>
      <w:r>
        <w:rPr>
          <w:rFonts w:ascii="Book Antiqua" w:eastAsia="Book Antiqua" w:hAnsi="Book Antiqua" w:cs="Book Antiqua"/>
          <w:color w:val="000000"/>
        </w:rPr>
        <w:t xml:space="preserve">, The Hospital for Sick Children, Toronto, </w:t>
      </w:r>
      <w:r w:rsidR="003B49E2">
        <w:rPr>
          <w:rFonts w:ascii="Book Antiqua" w:hAnsi="Book Antiqua" w:cs="Book Antiqua" w:hint="eastAsia"/>
          <w:color w:val="000000"/>
          <w:lang w:eastAsia="zh-CN"/>
        </w:rPr>
        <w:t xml:space="preserve">ON </w:t>
      </w:r>
      <w:r w:rsidR="003B49E2">
        <w:rPr>
          <w:rFonts w:ascii="Book Antiqua" w:eastAsia="Book Antiqua" w:hAnsi="Book Antiqua" w:cs="Book Antiqua"/>
          <w:color w:val="000000"/>
        </w:rPr>
        <w:t>M5G1X8</w:t>
      </w:r>
      <w:r>
        <w:rPr>
          <w:rFonts w:ascii="Book Antiqua" w:eastAsia="Book Antiqua" w:hAnsi="Book Antiqua" w:cs="Book Antiqua"/>
          <w:color w:val="000000"/>
        </w:rPr>
        <w:t>, Canada</w:t>
      </w:r>
    </w:p>
    <w:p w14:paraId="0E6DB7E9" w14:textId="77777777" w:rsidR="00A77B3E" w:rsidRDefault="00A77B3E">
      <w:pPr>
        <w:spacing w:line="360" w:lineRule="auto"/>
        <w:jc w:val="both"/>
      </w:pPr>
    </w:p>
    <w:p w14:paraId="223521D0" w14:textId="77777777" w:rsidR="00A77B3E" w:rsidRDefault="00C54E98">
      <w:pPr>
        <w:spacing w:line="360" w:lineRule="auto"/>
        <w:jc w:val="both"/>
      </w:pPr>
      <w:r>
        <w:rPr>
          <w:rFonts w:ascii="Book Antiqua" w:eastAsia="Book Antiqua" w:hAnsi="Book Antiqua" w:cs="Book Antiqua"/>
          <w:b/>
          <w:bCs/>
          <w:color w:val="000000"/>
        </w:rPr>
        <w:t xml:space="preserve">JS Hyams, </w:t>
      </w:r>
      <w:bookmarkStart w:id="29" w:name="OLE_LINK9"/>
      <w:bookmarkStart w:id="30" w:name="OLE_LINK10"/>
      <w:bookmarkStart w:id="31" w:name="OLE_LINK61"/>
      <w:bookmarkStart w:id="32" w:name="OLE_LINK62"/>
      <w:r w:rsidR="003B49E2">
        <w:rPr>
          <w:rFonts w:ascii="Book Antiqua" w:eastAsia="Book Antiqua" w:hAnsi="Book Antiqua" w:cs="Book Antiqua"/>
          <w:color w:val="000000"/>
        </w:rPr>
        <w:t xml:space="preserve">Division of </w:t>
      </w:r>
      <w:bookmarkEnd w:id="29"/>
      <w:bookmarkEnd w:id="30"/>
      <w:r>
        <w:rPr>
          <w:rFonts w:ascii="Book Antiqua" w:eastAsia="Book Antiqua" w:hAnsi="Book Antiqua" w:cs="Book Antiqua"/>
          <w:color w:val="000000"/>
        </w:rPr>
        <w:t>Gastroenterology</w:t>
      </w:r>
      <w:bookmarkEnd w:id="31"/>
      <w:bookmarkEnd w:id="32"/>
      <w:r>
        <w:rPr>
          <w:rFonts w:ascii="Book Antiqua" w:eastAsia="Book Antiqua" w:hAnsi="Book Antiqua" w:cs="Book Antiqua"/>
          <w:color w:val="000000"/>
        </w:rPr>
        <w:t xml:space="preserve">, Connecticut Children's Medical Center, Hartford, </w:t>
      </w:r>
      <w:r w:rsidR="003B49E2">
        <w:rPr>
          <w:rFonts w:ascii="Book Antiqua" w:hAnsi="Book Antiqua" w:cs="Book Antiqua" w:hint="eastAsia"/>
          <w:color w:val="000000"/>
          <w:lang w:eastAsia="zh-CN"/>
        </w:rPr>
        <w:t>CT</w:t>
      </w:r>
      <w:r>
        <w:rPr>
          <w:rFonts w:ascii="Book Antiqua" w:eastAsia="Book Antiqua" w:hAnsi="Book Antiqua" w:cs="Book Antiqua"/>
          <w:color w:val="000000"/>
        </w:rPr>
        <w:t xml:space="preserve"> 06106, United States</w:t>
      </w:r>
    </w:p>
    <w:p w14:paraId="6B5EFCEE" w14:textId="77777777" w:rsidR="00A77B3E" w:rsidRDefault="00A77B3E">
      <w:pPr>
        <w:spacing w:line="360" w:lineRule="auto"/>
        <w:jc w:val="both"/>
      </w:pPr>
    </w:p>
    <w:p w14:paraId="361A2488" w14:textId="77777777" w:rsidR="00A77B3E" w:rsidRDefault="00C54E98">
      <w:pPr>
        <w:spacing w:line="360" w:lineRule="auto"/>
        <w:jc w:val="both"/>
      </w:pPr>
      <w:bookmarkStart w:id="33" w:name="OLE_LINK11"/>
      <w:bookmarkStart w:id="34" w:name="OLE_LINK12"/>
      <w:r>
        <w:rPr>
          <w:rFonts w:ascii="Book Antiqua" w:eastAsia="Book Antiqua" w:hAnsi="Book Antiqua" w:cs="Book Antiqua"/>
          <w:b/>
          <w:bCs/>
          <w:color w:val="000000"/>
        </w:rPr>
        <w:t>Anthony Otley,</w:t>
      </w:r>
      <w:bookmarkEnd w:id="33"/>
      <w:bookmarkEnd w:id="34"/>
      <w:r>
        <w:rPr>
          <w:rFonts w:ascii="Book Antiqua" w:eastAsia="Book Antiqua" w:hAnsi="Book Antiqua" w:cs="Book Antiqua"/>
          <w:b/>
          <w:bCs/>
          <w:color w:val="000000"/>
        </w:rPr>
        <w:t xml:space="preserve"> </w:t>
      </w:r>
      <w:bookmarkStart w:id="35" w:name="OLE_LINK63"/>
      <w:bookmarkStart w:id="36" w:name="OLE_LINK64"/>
      <w:r w:rsidR="003B49E2">
        <w:rPr>
          <w:rFonts w:ascii="Book Antiqua" w:eastAsia="Book Antiqua" w:hAnsi="Book Antiqua" w:cs="Book Antiqua"/>
          <w:color w:val="000000"/>
        </w:rPr>
        <w:t xml:space="preserve">Division of </w:t>
      </w:r>
      <w:r>
        <w:rPr>
          <w:rFonts w:ascii="Book Antiqua" w:eastAsia="Book Antiqua" w:hAnsi="Book Antiqua" w:cs="Book Antiqua"/>
          <w:color w:val="000000"/>
        </w:rPr>
        <w:t>Pediatrics</w:t>
      </w:r>
      <w:bookmarkEnd w:id="35"/>
      <w:bookmarkEnd w:id="36"/>
      <w:r>
        <w:rPr>
          <w:rFonts w:ascii="Book Antiqua" w:eastAsia="Book Antiqua" w:hAnsi="Book Antiqua" w:cs="Book Antiqua"/>
          <w:color w:val="000000"/>
        </w:rPr>
        <w:t xml:space="preserve">, </w:t>
      </w:r>
      <w:bookmarkStart w:id="37" w:name="OLE_LINK65"/>
      <w:bookmarkStart w:id="38" w:name="OLE_LINK66"/>
      <w:r>
        <w:rPr>
          <w:rFonts w:ascii="Book Antiqua" w:eastAsia="Book Antiqua" w:hAnsi="Book Antiqua" w:cs="Book Antiqua"/>
          <w:color w:val="000000"/>
        </w:rPr>
        <w:t>Dalhousie University</w:t>
      </w:r>
      <w:bookmarkEnd w:id="37"/>
      <w:bookmarkEnd w:id="38"/>
      <w:r>
        <w:rPr>
          <w:rFonts w:ascii="Book Antiqua" w:eastAsia="Book Antiqua" w:hAnsi="Book Antiqua" w:cs="Book Antiqua"/>
          <w:color w:val="000000"/>
        </w:rPr>
        <w:t>, Halifax, N</w:t>
      </w:r>
      <w:r w:rsidR="003B49E2">
        <w:rPr>
          <w:rFonts w:ascii="Book Antiqua" w:hAnsi="Book Antiqua" w:cs="Book Antiqua" w:hint="eastAsia"/>
          <w:color w:val="000000"/>
          <w:lang w:eastAsia="zh-CN"/>
        </w:rPr>
        <w:t xml:space="preserve">S </w:t>
      </w:r>
      <w:r w:rsidR="003B49E2">
        <w:rPr>
          <w:rFonts w:ascii="Book Antiqua" w:eastAsia="Book Antiqua" w:hAnsi="Book Antiqua" w:cs="Book Antiqua"/>
          <w:color w:val="000000"/>
        </w:rPr>
        <w:t>B3H4C3</w:t>
      </w:r>
      <w:r>
        <w:rPr>
          <w:rFonts w:ascii="Book Antiqua" w:eastAsia="Book Antiqua" w:hAnsi="Book Antiqua" w:cs="Book Antiqua"/>
          <w:color w:val="000000"/>
        </w:rPr>
        <w:t>, Canada</w:t>
      </w:r>
    </w:p>
    <w:p w14:paraId="23F848CE" w14:textId="77777777" w:rsidR="00A77B3E" w:rsidRDefault="00A77B3E">
      <w:pPr>
        <w:spacing w:line="360" w:lineRule="auto"/>
        <w:jc w:val="both"/>
      </w:pPr>
    </w:p>
    <w:p w14:paraId="070DC0AF" w14:textId="42920205" w:rsidR="00A77B3E" w:rsidRDefault="00C54E98">
      <w:pPr>
        <w:spacing w:line="360" w:lineRule="auto"/>
        <w:jc w:val="both"/>
      </w:pPr>
      <w:r>
        <w:rPr>
          <w:rFonts w:ascii="Book Antiqua" w:eastAsia="Book Antiqua" w:hAnsi="Book Antiqua" w:cs="Book Antiqua"/>
          <w:b/>
          <w:bCs/>
          <w:color w:val="000000"/>
        </w:rPr>
        <w:t>Author contributions:</w:t>
      </w:r>
      <w:bookmarkStart w:id="39" w:name="OLE_LINK79"/>
      <w:bookmarkStart w:id="40" w:name="OLE_LINK80"/>
      <w:r>
        <w:rPr>
          <w:rFonts w:ascii="Book Antiqua" w:eastAsia="Book Antiqua" w:hAnsi="Book Antiqua" w:cs="Book Antiqua"/>
          <w:b/>
          <w:bCs/>
          <w:color w:val="000000"/>
        </w:rPr>
        <w:t xml:space="preserve"> </w:t>
      </w:r>
      <w:bookmarkStart w:id="41" w:name="OLE_LINK81"/>
      <w:bookmarkStart w:id="42" w:name="OLE_LINK82"/>
      <w:r>
        <w:rPr>
          <w:rFonts w:ascii="Book Antiqua" w:eastAsia="Book Antiqua" w:hAnsi="Book Antiqua" w:cs="Book Antiqua"/>
          <w:color w:val="000000"/>
        </w:rPr>
        <w:t>Grant A ac</w:t>
      </w:r>
      <w:r w:rsidR="00BF46A3">
        <w:rPr>
          <w:rFonts w:ascii="Book Antiqua" w:eastAsia="Book Antiqua" w:hAnsi="Book Antiqua" w:cs="Book Antiqua"/>
          <w:color w:val="000000"/>
        </w:rPr>
        <w:t>ts as guarantor of this article</w:t>
      </w:r>
      <w:r w:rsidR="00BF46A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91669">
        <w:rPr>
          <w:rFonts w:ascii="Book Antiqua" w:eastAsia="Book Antiqua" w:hAnsi="Book Antiqua" w:cs="Book Antiqua"/>
          <w:color w:val="000000"/>
        </w:rPr>
        <w:t>a</w:t>
      </w:r>
      <w:r>
        <w:rPr>
          <w:rFonts w:ascii="Book Antiqua" w:eastAsia="Book Antiqua" w:hAnsi="Book Antiqua" w:cs="Book Antiqua"/>
          <w:color w:val="000000"/>
        </w:rPr>
        <w:t>ll authors contributed</w:t>
      </w:r>
      <w:r w:rsidR="00BF46A3">
        <w:rPr>
          <w:rFonts w:ascii="Book Antiqua" w:eastAsia="Book Antiqua" w:hAnsi="Book Antiqua" w:cs="Book Antiqua"/>
          <w:color w:val="000000"/>
        </w:rPr>
        <w:t xml:space="preserve"> to the conception of the study</w:t>
      </w:r>
      <w:r w:rsidR="00BF46A3">
        <w:rPr>
          <w:rFonts w:ascii="Book Antiqua" w:hAnsi="Book Antiqua" w:cs="Book Antiqua" w:hint="eastAsia"/>
          <w:color w:val="000000"/>
          <w:lang w:eastAsia="zh-CN"/>
        </w:rPr>
        <w:t>;</w:t>
      </w:r>
      <w:r>
        <w:rPr>
          <w:rFonts w:ascii="Book Antiqua" w:eastAsia="Book Antiqua" w:hAnsi="Book Antiqua" w:cs="Book Antiqua"/>
          <w:color w:val="000000"/>
        </w:rPr>
        <w:t xml:space="preserve"> Grant A analyzed th</w:t>
      </w:r>
      <w:r w:rsidR="00BF46A3">
        <w:rPr>
          <w:rFonts w:ascii="Book Antiqua" w:eastAsia="Book Antiqua" w:hAnsi="Book Antiqua" w:cs="Book Antiqua"/>
          <w:color w:val="000000"/>
        </w:rPr>
        <w:t>e data and wrote the manuscript</w:t>
      </w:r>
      <w:r w:rsidR="00BF46A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91669">
        <w:rPr>
          <w:rFonts w:ascii="Book Antiqua" w:eastAsia="Book Antiqua" w:hAnsi="Book Antiqua" w:cs="Book Antiqua"/>
          <w:color w:val="000000"/>
        </w:rPr>
        <w:t>a</w:t>
      </w:r>
      <w:r>
        <w:rPr>
          <w:rFonts w:ascii="Book Antiqua" w:eastAsia="Book Antiqua" w:hAnsi="Book Antiqua" w:cs="Book Antiqua"/>
          <w:color w:val="000000"/>
        </w:rPr>
        <w:t xml:space="preserve">ll other authors provided critical insight into analysis, interpretation of results, and </w:t>
      </w:r>
      <w:r w:rsidR="00BF46A3">
        <w:rPr>
          <w:rFonts w:ascii="Book Antiqua" w:eastAsia="Book Antiqua" w:hAnsi="Book Antiqua" w:cs="Book Antiqua"/>
          <w:color w:val="000000"/>
        </w:rPr>
        <w:lastRenderedPageBreak/>
        <w:t>revision of the manuscript</w:t>
      </w:r>
      <w:r w:rsidR="00BF46A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91669">
        <w:rPr>
          <w:rFonts w:ascii="Book Antiqua" w:eastAsia="Book Antiqua" w:hAnsi="Book Antiqua" w:cs="Book Antiqua"/>
          <w:color w:val="000000"/>
        </w:rPr>
        <w:t>a</w:t>
      </w:r>
      <w:r>
        <w:rPr>
          <w:rFonts w:ascii="Book Antiqua" w:eastAsia="Book Antiqua" w:hAnsi="Book Antiqua" w:cs="Book Antiqua"/>
          <w:color w:val="000000"/>
        </w:rPr>
        <w:t>ll authors approved the final version of the article, including the authorship list.</w:t>
      </w:r>
    </w:p>
    <w:bookmarkEnd w:id="39"/>
    <w:bookmarkEnd w:id="40"/>
    <w:bookmarkEnd w:id="41"/>
    <w:bookmarkEnd w:id="42"/>
    <w:p w14:paraId="35A5B5BE" w14:textId="77777777" w:rsidR="00A77B3E" w:rsidRDefault="00A77B3E">
      <w:pPr>
        <w:spacing w:line="360" w:lineRule="auto"/>
        <w:jc w:val="both"/>
      </w:pPr>
    </w:p>
    <w:p w14:paraId="313A0E65" w14:textId="77777777" w:rsidR="00A77B3E" w:rsidRDefault="00C54E98">
      <w:pPr>
        <w:spacing w:line="360" w:lineRule="auto"/>
        <w:jc w:val="both"/>
      </w:pPr>
      <w:r>
        <w:rPr>
          <w:rFonts w:ascii="Book Antiqua" w:eastAsia="Book Antiqua" w:hAnsi="Book Antiqua" w:cs="Book Antiqua"/>
          <w:b/>
          <w:bCs/>
          <w:color w:val="000000"/>
        </w:rPr>
        <w:t xml:space="preserve">Corresponding author: Anthony Otley, FRCPC, MD, Doctor, Professor, </w:t>
      </w:r>
      <w:r w:rsidR="00DA540A">
        <w:rPr>
          <w:rFonts w:ascii="Book Antiqua" w:eastAsia="Book Antiqua" w:hAnsi="Book Antiqua" w:cs="Book Antiqua"/>
          <w:color w:val="000000"/>
        </w:rPr>
        <w:t xml:space="preserve">Division of Pediatrics, </w:t>
      </w:r>
      <w:r w:rsidR="00D5140A" w:rsidRPr="00D5140A">
        <w:rPr>
          <w:rFonts w:ascii="Book Antiqua" w:eastAsia="Book Antiqua" w:hAnsi="Book Antiqua" w:cs="Book Antiqua"/>
          <w:color w:val="000000"/>
        </w:rPr>
        <w:t>Dalhousie University</w:t>
      </w:r>
      <w:r w:rsidR="00DA540A">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43" w:name="OLE_LINK67"/>
      <w:bookmarkStart w:id="44" w:name="OLE_LINK68"/>
      <w:r w:rsidR="00DA540A" w:rsidRPr="00DA540A">
        <w:rPr>
          <w:rFonts w:ascii="Book Antiqua" w:eastAsia="Book Antiqua" w:hAnsi="Book Antiqua" w:cs="Book Antiqua"/>
          <w:color w:val="000000"/>
        </w:rPr>
        <w:t>5850/5980 University Avenue Halifax</w:t>
      </w:r>
      <w:bookmarkEnd w:id="43"/>
      <w:bookmarkEnd w:id="44"/>
      <w:r w:rsidR="00DA540A">
        <w:rPr>
          <w:rFonts w:ascii="Book Antiqua" w:hAnsi="Book Antiqua" w:cs="Book Antiqua" w:hint="eastAsia"/>
          <w:color w:val="000000"/>
          <w:lang w:eastAsia="zh-CN"/>
        </w:rPr>
        <w:t>,</w:t>
      </w:r>
      <w:r w:rsidR="00DA540A" w:rsidRPr="00DA540A">
        <w:rPr>
          <w:rFonts w:ascii="Book Antiqua" w:eastAsia="Book Antiqua" w:hAnsi="Book Antiqua" w:cs="Book Antiqua"/>
          <w:color w:val="000000"/>
        </w:rPr>
        <w:t xml:space="preserve"> </w:t>
      </w:r>
      <w:r>
        <w:rPr>
          <w:rFonts w:ascii="Book Antiqua" w:eastAsia="Book Antiqua" w:hAnsi="Book Antiqua" w:cs="Book Antiqua"/>
          <w:color w:val="000000"/>
        </w:rPr>
        <w:t>Halifax, N</w:t>
      </w:r>
      <w:r w:rsidR="00DA540A">
        <w:rPr>
          <w:rFonts w:ascii="Book Antiqua" w:hAnsi="Book Antiqua" w:cs="Book Antiqua" w:hint="eastAsia"/>
          <w:color w:val="000000"/>
          <w:lang w:eastAsia="zh-CN"/>
        </w:rPr>
        <w:t xml:space="preserve">S </w:t>
      </w:r>
      <w:r w:rsidR="00DA540A">
        <w:rPr>
          <w:rFonts w:ascii="Book Antiqua" w:eastAsia="Book Antiqua" w:hAnsi="Book Antiqua" w:cs="Book Antiqua"/>
          <w:color w:val="000000"/>
        </w:rPr>
        <w:t>B3H4C3</w:t>
      </w:r>
      <w:r>
        <w:rPr>
          <w:rFonts w:ascii="Book Antiqua" w:eastAsia="Book Antiqua" w:hAnsi="Book Antiqua" w:cs="Book Antiqua"/>
          <w:color w:val="000000"/>
        </w:rPr>
        <w:t>, Canada. arotley@dal.ca</w:t>
      </w:r>
    </w:p>
    <w:p w14:paraId="1B470066" w14:textId="77777777" w:rsidR="00A77B3E" w:rsidRDefault="00A77B3E">
      <w:pPr>
        <w:spacing w:line="360" w:lineRule="auto"/>
        <w:jc w:val="both"/>
      </w:pPr>
    </w:p>
    <w:p w14:paraId="0DE71C61" w14:textId="77777777" w:rsidR="00A77B3E" w:rsidRDefault="00C54E9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20, 2021</w:t>
      </w:r>
    </w:p>
    <w:p w14:paraId="7638681D" w14:textId="77777777" w:rsidR="00A77B3E" w:rsidRPr="004B5BC7" w:rsidRDefault="00C54E98">
      <w:pPr>
        <w:spacing w:line="360" w:lineRule="auto"/>
        <w:jc w:val="both"/>
        <w:rPr>
          <w:lang w:eastAsia="zh-CN"/>
        </w:rPr>
      </w:pPr>
      <w:r>
        <w:rPr>
          <w:rFonts w:ascii="Book Antiqua" w:eastAsia="Book Antiqua" w:hAnsi="Book Antiqua" w:cs="Book Antiqua"/>
          <w:b/>
          <w:bCs/>
          <w:color w:val="000000"/>
        </w:rPr>
        <w:t xml:space="preserve">Revised: </w:t>
      </w:r>
      <w:r w:rsidR="004B5BC7" w:rsidRPr="004B5BC7">
        <w:rPr>
          <w:rFonts w:ascii="Book Antiqua" w:hAnsi="Book Antiqua" w:cs="Book Antiqua" w:hint="eastAsia"/>
          <w:bCs/>
          <w:color w:val="000000"/>
          <w:lang w:eastAsia="zh-CN"/>
        </w:rPr>
        <w:t>May 22, 2021</w:t>
      </w:r>
    </w:p>
    <w:p w14:paraId="6CFF072F" w14:textId="1FC37E35" w:rsidR="00A77B3E" w:rsidRDefault="00C54E98">
      <w:pPr>
        <w:spacing w:line="360" w:lineRule="auto"/>
        <w:jc w:val="both"/>
      </w:pPr>
      <w:r>
        <w:rPr>
          <w:rFonts w:ascii="Book Antiqua" w:eastAsia="Book Antiqua" w:hAnsi="Book Antiqua" w:cs="Book Antiqua"/>
          <w:b/>
          <w:bCs/>
          <w:color w:val="000000"/>
        </w:rPr>
        <w:t xml:space="preserve">Accepted: </w:t>
      </w:r>
      <w:bookmarkStart w:id="45" w:name="OLE_LINK48"/>
      <w:r w:rsidR="00591669">
        <w:rPr>
          <w:rFonts w:ascii="Book Antiqua" w:eastAsia="宋体" w:hAnsi="Book Antiqua"/>
          <w:color w:val="000000" w:themeColor="text1"/>
        </w:rPr>
        <w:t>J</w:t>
      </w:r>
      <w:r w:rsidR="00591669">
        <w:rPr>
          <w:rFonts w:ascii="Book Antiqua" w:eastAsia="宋体" w:hAnsi="Book Antiqua" w:hint="eastAsia"/>
          <w:color w:val="000000" w:themeColor="text1"/>
        </w:rPr>
        <w:t>u</w:t>
      </w:r>
      <w:r w:rsidR="00591669">
        <w:rPr>
          <w:rFonts w:ascii="Book Antiqua" w:eastAsia="宋体" w:hAnsi="Book Antiqua"/>
          <w:color w:val="000000" w:themeColor="text1"/>
        </w:rPr>
        <w:t>ly</w:t>
      </w:r>
      <w:r w:rsidR="00591669" w:rsidRPr="00F06907">
        <w:rPr>
          <w:rFonts w:ascii="Book Antiqua" w:eastAsia="宋体" w:hAnsi="Book Antiqua"/>
          <w:color w:val="000000" w:themeColor="text1"/>
        </w:rPr>
        <w:t xml:space="preserve"> </w:t>
      </w:r>
      <w:r w:rsidR="00591669">
        <w:rPr>
          <w:rFonts w:ascii="Book Antiqua" w:eastAsia="宋体" w:hAnsi="Book Antiqua"/>
          <w:color w:val="000000" w:themeColor="text1"/>
        </w:rPr>
        <w:t>27</w:t>
      </w:r>
      <w:r w:rsidR="00591669" w:rsidRPr="00F06907">
        <w:rPr>
          <w:rFonts w:ascii="Book Antiqua" w:eastAsia="宋体" w:hAnsi="Book Antiqua"/>
          <w:color w:val="000000" w:themeColor="text1"/>
        </w:rPr>
        <w:t>, 2021</w:t>
      </w:r>
      <w:bookmarkEnd w:id="45"/>
    </w:p>
    <w:p w14:paraId="0EC39096" w14:textId="1F190EDF" w:rsidR="00A77B3E" w:rsidRDefault="00C54E98">
      <w:pPr>
        <w:spacing w:line="360" w:lineRule="auto"/>
        <w:jc w:val="both"/>
      </w:pPr>
      <w:r>
        <w:rPr>
          <w:rFonts w:ascii="Book Antiqua" w:eastAsia="Book Antiqua" w:hAnsi="Book Antiqua" w:cs="Book Antiqua"/>
          <w:b/>
          <w:bCs/>
          <w:color w:val="000000"/>
        </w:rPr>
        <w:t xml:space="preserve">Published online: </w:t>
      </w:r>
      <w:r w:rsidR="003B31C0" w:rsidRPr="00401267">
        <w:rPr>
          <w:rFonts w:ascii="Book Antiqua" w:eastAsia="Book Antiqua" w:hAnsi="Book Antiqua" w:cs="Book Antiqua"/>
          <w:bCs/>
          <w:color w:val="000000"/>
        </w:rPr>
        <w:t xml:space="preserve">August </w:t>
      </w:r>
      <w:r w:rsidR="003B31C0">
        <w:rPr>
          <w:rFonts w:ascii="Book Antiqua" w:hAnsi="Book Antiqua" w:cs="Book Antiqua" w:hint="eastAsia"/>
          <w:bCs/>
          <w:color w:val="000000"/>
          <w:lang w:eastAsia="zh-CN"/>
        </w:rPr>
        <w:t>14</w:t>
      </w:r>
      <w:r w:rsidR="003B31C0" w:rsidRPr="00401267">
        <w:rPr>
          <w:rFonts w:ascii="Book Antiqua" w:eastAsia="Book Antiqua" w:hAnsi="Book Antiqua" w:cs="Book Antiqua"/>
          <w:bCs/>
          <w:color w:val="000000"/>
        </w:rPr>
        <w:t>, 2021</w:t>
      </w:r>
    </w:p>
    <w:p w14:paraId="7F8E7D5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86C65CE" w14:textId="77777777" w:rsidR="00A77B3E" w:rsidRDefault="00C54E98">
      <w:pPr>
        <w:spacing w:line="360" w:lineRule="auto"/>
        <w:jc w:val="both"/>
      </w:pPr>
      <w:r>
        <w:rPr>
          <w:rFonts w:ascii="Book Antiqua" w:eastAsia="Book Antiqua" w:hAnsi="Book Antiqua" w:cs="Book Antiqua"/>
          <w:b/>
          <w:color w:val="000000"/>
        </w:rPr>
        <w:t>Abstract</w:t>
      </w:r>
    </w:p>
    <w:p w14:paraId="118A3D9F" w14:textId="77777777" w:rsidR="00A77B3E" w:rsidRDefault="00C54E98">
      <w:pPr>
        <w:spacing w:line="360" w:lineRule="auto"/>
        <w:jc w:val="both"/>
      </w:pPr>
      <w:r>
        <w:rPr>
          <w:rFonts w:ascii="Book Antiqua" w:eastAsia="Book Antiqua" w:hAnsi="Book Antiqua" w:cs="Book Antiqua"/>
          <w:color w:val="000000"/>
        </w:rPr>
        <w:t>BACKGROUND</w:t>
      </w:r>
    </w:p>
    <w:p w14:paraId="7F6AAF8F" w14:textId="77777777" w:rsidR="00A77B3E" w:rsidRDefault="00C54E98">
      <w:pPr>
        <w:spacing w:line="360" w:lineRule="auto"/>
        <w:jc w:val="both"/>
      </w:pPr>
      <w:bookmarkStart w:id="46" w:name="OLE_LINK86"/>
      <w:bookmarkStart w:id="47" w:name="OLE_LINK87"/>
      <w:r>
        <w:rPr>
          <w:rFonts w:ascii="Book Antiqua" w:eastAsia="Book Antiqua" w:hAnsi="Book Antiqua" w:cs="Book Antiqua"/>
          <w:color w:val="000000"/>
        </w:rPr>
        <w:t xml:space="preserve">The </w:t>
      </w:r>
      <w:bookmarkStart w:id="48" w:name="OLE_LINK30"/>
      <w:bookmarkStart w:id="49" w:name="OLE_LINK31"/>
      <w:r w:rsidR="00E13DCA">
        <w:rPr>
          <w:rFonts w:ascii="Book Antiqua" w:eastAsia="Book Antiqua" w:hAnsi="Book Antiqua" w:cs="Book Antiqua"/>
          <w:color w:val="000000"/>
        </w:rPr>
        <w:t xml:space="preserve">pediatric </w:t>
      </w:r>
      <w:r>
        <w:rPr>
          <w:rFonts w:ascii="Book Antiqua" w:eastAsia="Book Antiqua" w:hAnsi="Book Antiqua" w:cs="Book Antiqua"/>
          <w:color w:val="000000"/>
        </w:rPr>
        <w:t>Crohn’s</w:t>
      </w:r>
      <w:r w:rsidR="00E13DCA">
        <w:rPr>
          <w:rFonts w:ascii="Book Antiqua" w:eastAsia="Book Antiqua" w:hAnsi="Book Antiqua" w:cs="Book Antiqua"/>
          <w:color w:val="000000"/>
        </w:rPr>
        <w:t xml:space="preserve"> disease activity index </w:t>
      </w:r>
      <w:bookmarkEnd w:id="48"/>
      <w:bookmarkEnd w:id="49"/>
      <w:r>
        <w:rPr>
          <w:rFonts w:ascii="Book Antiqua" w:eastAsia="Book Antiqua" w:hAnsi="Book Antiqua" w:cs="Book Antiqua"/>
          <w:color w:val="000000"/>
        </w:rPr>
        <w:t>(PCDAI) is used as a standard tool to assess disease activity in clinica</w:t>
      </w:r>
      <w:r w:rsidR="00E13DCA">
        <w:rPr>
          <w:rFonts w:ascii="Book Antiqua" w:eastAsia="Book Antiqua" w:hAnsi="Book Antiqua" w:cs="Book Antiqua"/>
          <w:color w:val="000000"/>
        </w:rPr>
        <w:t xml:space="preserve">l trials for pediatric Crohn’s </w:t>
      </w:r>
      <w:r w:rsidR="00E13DCA">
        <w:rPr>
          <w:rFonts w:ascii="Book Antiqua" w:hAnsi="Book Antiqua" w:cs="Book Antiqua" w:hint="eastAsia"/>
          <w:color w:val="000000"/>
          <w:lang w:eastAsia="zh-CN"/>
        </w:rPr>
        <w:t>d</w:t>
      </w:r>
      <w:r>
        <w:rPr>
          <w:rFonts w:ascii="Book Antiqua" w:eastAsia="Book Antiqua" w:hAnsi="Book Antiqua" w:cs="Book Antiqua"/>
          <w:color w:val="000000"/>
        </w:rPr>
        <w:t xml:space="preserve">isease. </w:t>
      </w:r>
    </w:p>
    <w:bookmarkEnd w:id="46"/>
    <w:bookmarkEnd w:id="47"/>
    <w:p w14:paraId="3ADE06FF" w14:textId="77777777" w:rsidR="00A77B3E" w:rsidRDefault="00A77B3E">
      <w:pPr>
        <w:spacing w:line="360" w:lineRule="auto"/>
        <w:jc w:val="both"/>
      </w:pPr>
    </w:p>
    <w:p w14:paraId="72BF3CD3" w14:textId="77777777" w:rsidR="00A77B3E" w:rsidRDefault="00C54E98">
      <w:pPr>
        <w:spacing w:line="360" w:lineRule="auto"/>
        <w:jc w:val="both"/>
      </w:pPr>
      <w:r>
        <w:rPr>
          <w:rFonts w:ascii="Book Antiqua" w:eastAsia="Book Antiqua" w:hAnsi="Book Antiqua" w:cs="Book Antiqua"/>
          <w:color w:val="000000"/>
        </w:rPr>
        <w:t>AIM</w:t>
      </w:r>
    </w:p>
    <w:p w14:paraId="2D8D62D7" w14:textId="77777777" w:rsidR="00A77B3E" w:rsidRDefault="00C54E98">
      <w:pPr>
        <w:spacing w:line="360" w:lineRule="auto"/>
        <w:jc w:val="both"/>
      </w:pPr>
      <w:bookmarkStart w:id="50" w:name="OLE_LINK88"/>
      <w:bookmarkStart w:id="51" w:name="OLE_LINK89"/>
      <w:r>
        <w:rPr>
          <w:rFonts w:ascii="Book Antiqua" w:eastAsia="Book Antiqua" w:hAnsi="Book Antiqua" w:cs="Book Antiqua"/>
          <w:color w:val="000000"/>
        </w:rPr>
        <w:t>To examine which items on the PCDAI drive assessment of disease activity, and how subgroups of subjective and objective items reflect change in disease state over time.</w:t>
      </w:r>
    </w:p>
    <w:bookmarkEnd w:id="50"/>
    <w:bookmarkEnd w:id="51"/>
    <w:p w14:paraId="24159312" w14:textId="77777777" w:rsidR="00A77B3E" w:rsidRDefault="00A77B3E">
      <w:pPr>
        <w:spacing w:line="360" w:lineRule="auto"/>
        <w:jc w:val="both"/>
      </w:pPr>
    </w:p>
    <w:p w14:paraId="6AB7DF85" w14:textId="77777777" w:rsidR="00A77B3E" w:rsidRDefault="00C54E98">
      <w:pPr>
        <w:spacing w:line="360" w:lineRule="auto"/>
        <w:jc w:val="both"/>
      </w:pPr>
      <w:r>
        <w:rPr>
          <w:rFonts w:ascii="Book Antiqua" w:eastAsia="Book Antiqua" w:hAnsi="Book Antiqua" w:cs="Book Antiqua"/>
          <w:color w:val="000000"/>
        </w:rPr>
        <w:t>METHODS</w:t>
      </w:r>
    </w:p>
    <w:p w14:paraId="2B06E42F" w14:textId="77777777" w:rsidR="00A77B3E" w:rsidRDefault="00C54E98">
      <w:pPr>
        <w:spacing w:line="360" w:lineRule="auto"/>
        <w:jc w:val="both"/>
      </w:pPr>
      <w:bookmarkStart w:id="52" w:name="OLE_LINK90"/>
      <w:bookmarkStart w:id="53" w:name="OLE_LINK91"/>
      <w:r>
        <w:rPr>
          <w:rFonts w:ascii="Book Antiqua" w:eastAsia="Book Antiqua" w:hAnsi="Book Antiqua" w:cs="Book Antiqua"/>
          <w:color w:val="000000"/>
        </w:rPr>
        <w:t>Selective raw data from three prospectively collected datasets were combined, including 703 children with full PCD</w:t>
      </w:r>
      <w:r w:rsidR="00E13DCA">
        <w:rPr>
          <w:rFonts w:ascii="Book Antiqua" w:eastAsia="Book Antiqua" w:hAnsi="Book Antiqua" w:cs="Book Antiqua"/>
          <w:color w:val="000000"/>
        </w:rPr>
        <w:t>AI data at baseline, at 3-mo</w:t>
      </w:r>
      <w:r>
        <w:rPr>
          <w:rFonts w:ascii="Book Antiqua" w:eastAsia="Book Antiqua" w:hAnsi="Book Antiqua" w:cs="Book Antiqua"/>
          <w:color w:val="000000"/>
        </w:rPr>
        <w:t xml:space="preserve"> (Q1, </w:t>
      </w:r>
      <w:r>
        <w:rPr>
          <w:rFonts w:ascii="Book Antiqua" w:eastAsia="Book Antiqua" w:hAnsi="Book Antiqua" w:cs="Book Antiqua"/>
          <w:i/>
          <w:iCs/>
          <w:color w:val="000000"/>
        </w:rPr>
        <w:t>n</w:t>
      </w:r>
      <w:r>
        <w:rPr>
          <w:rFonts w:ascii="Book Antiqua" w:eastAsia="Book Antiqua" w:hAnsi="Book Antiqua" w:cs="Book Antiqua"/>
          <w:color w:val="000000"/>
        </w:rPr>
        <w:t xml:space="preserve"> = 670), and 1-year (Q4, </w:t>
      </w:r>
      <w:r>
        <w:rPr>
          <w:rFonts w:ascii="Book Antiqua" w:eastAsia="Book Antiqua" w:hAnsi="Book Antiqua" w:cs="Book Antiqua"/>
          <w:i/>
          <w:iCs/>
          <w:color w:val="000000"/>
        </w:rPr>
        <w:t>n</w:t>
      </w:r>
      <w:r>
        <w:rPr>
          <w:rFonts w:ascii="Book Antiqua" w:eastAsia="Book Antiqua" w:hAnsi="Book Antiqua" w:cs="Book Antiqua"/>
          <w:color w:val="000000"/>
        </w:rPr>
        <w:t xml:space="preserve"> = 474). Change in individual PCDAI scores from baseline to Q1 and to Q4 were examined using the non-weighted PCDAI. </w:t>
      </w:r>
    </w:p>
    <w:bookmarkEnd w:id="52"/>
    <w:bookmarkEnd w:id="53"/>
    <w:p w14:paraId="426CA402" w14:textId="77777777" w:rsidR="00A77B3E" w:rsidRDefault="00A77B3E">
      <w:pPr>
        <w:spacing w:line="360" w:lineRule="auto"/>
        <w:jc w:val="both"/>
      </w:pPr>
    </w:p>
    <w:p w14:paraId="5CDCBEC3" w14:textId="77777777" w:rsidR="00A77B3E" w:rsidRDefault="00C54E98">
      <w:pPr>
        <w:spacing w:line="360" w:lineRule="auto"/>
        <w:jc w:val="both"/>
      </w:pPr>
      <w:r>
        <w:rPr>
          <w:rFonts w:ascii="Book Antiqua" w:eastAsia="Book Antiqua" w:hAnsi="Book Antiqua" w:cs="Book Antiqua"/>
          <w:color w:val="000000"/>
        </w:rPr>
        <w:t>RESULTS</w:t>
      </w:r>
    </w:p>
    <w:p w14:paraId="1B8F171C" w14:textId="77777777" w:rsidR="00A77B3E" w:rsidRDefault="00C54E98">
      <w:pPr>
        <w:spacing w:line="360" w:lineRule="auto"/>
        <w:jc w:val="both"/>
      </w:pPr>
      <w:bookmarkStart w:id="54" w:name="OLE_LINK92"/>
      <w:bookmarkStart w:id="55" w:name="OLE_LINK93"/>
      <w:r>
        <w:rPr>
          <w:rFonts w:ascii="Book Antiqua" w:eastAsia="Book Antiqua" w:hAnsi="Book Antiqua" w:cs="Book Antiqua"/>
          <w:color w:val="000000"/>
        </w:rPr>
        <w:t>Abdominal pain, well-being, weight, and stooling had the highest change scores over time. Objective indicators including albumin, abdominal exam, and height velocity followed. Change scores for well-being and abdominal exam did not explain significant variance at Q1 but were significant predictors at Q4 (</w:t>
      </w:r>
      <w:r w:rsidR="00E13DCA" w:rsidRPr="00E13DCA">
        <w:rPr>
          <w:rFonts w:ascii="Book Antiqua" w:eastAsia="Book Antiqua" w:hAnsi="Book Antiqua" w:cs="Book Antiqua"/>
          <w:i/>
          <w:color w:val="000000"/>
        </w:rPr>
        <w:t>P</w:t>
      </w:r>
      <w:r w:rsidR="00E13DC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E13DCA">
        <w:rPr>
          <w:rFonts w:ascii="Book Antiqua" w:hAnsi="Book Antiqua" w:cs="Book Antiqua" w:hint="eastAsia"/>
          <w:color w:val="000000"/>
          <w:lang w:eastAsia="zh-CN"/>
        </w:rPr>
        <w:t xml:space="preserve"> 0</w:t>
      </w:r>
      <w:r>
        <w:rPr>
          <w:rFonts w:ascii="Book Antiqua" w:eastAsia="Book Antiqua" w:hAnsi="Book Antiqua" w:cs="Book Antiqua"/>
          <w:color w:val="000000"/>
        </w:rPr>
        <w:t xml:space="preserve">.001 and </w:t>
      </w:r>
      <w:r w:rsidR="00E13DCA" w:rsidRPr="00E13DCA">
        <w:rPr>
          <w:rFonts w:ascii="Book Antiqua" w:eastAsia="Book Antiqua" w:hAnsi="Book Antiqua" w:cs="Book Antiqua"/>
          <w:i/>
          <w:color w:val="000000"/>
        </w:rPr>
        <w:t>P</w:t>
      </w:r>
      <w:r w:rsidR="00E13DCA">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E13DCA">
        <w:rPr>
          <w:rFonts w:ascii="Book Antiqua" w:hAnsi="Book Antiqua" w:cs="Book Antiqua" w:hint="eastAsia"/>
          <w:color w:val="000000"/>
          <w:lang w:eastAsia="zh-CN"/>
        </w:rPr>
        <w:t>0</w:t>
      </w:r>
      <w:r>
        <w:rPr>
          <w:rFonts w:ascii="Book Antiqua" w:eastAsia="Book Antiqua" w:hAnsi="Book Antiqua" w:cs="Book Antiqua"/>
          <w:color w:val="000000"/>
        </w:rPr>
        <w:t>.05). Subjective and objective subgroups of items predicted less variance (18</w:t>
      </w:r>
      <w:r w:rsidR="00E13DCA">
        <w:rPr>
          <w:rFonts w:ascii="Book Antiqua" w:hAnsi="Book Antiqua" w:cs="Book Antiqua" w:hint="eastAsia"/>
          <w:color w:val="000000"/>
          <w:lang w:eastAsia="zh-CN"/>
        </w:rPr>
        <w:t>%</w:t>
      </w:r>
      <w:r>
        <w:rPr>
          <w:rFonts w:ascii="Book Antiqua" w:eastAsia="Book Antiqua" w:hAnsi="Book Antiqua" w:cs="Book Antiqua"/>
          <w:color w:val="000000"/>
        </w:rPr>
        <w:t xml:space="preserve"> and 22%) on total PCDAI scores at Q1 and Q4 compared to the full PCDAI, or a composite scale (both 32%) containing significant predictors. </w:t>
      </w:r>
    </w:p>
    <w:bookmarkEnd w:id="54"/>
    <w:bookmarkEnd w:id="55"/>
    <w:p w14:paraId="5B763F99" w14:textId="77777777" w:rsidR="00A77B3E" w:rsidRDefault="00A77B3E">
      <w:pPr>
        <w:spacing w:line="360" w:lineRule="auto"/>
        <w:jc w:val="both"/>
      </w:pPr>
    </w:p>
    <w:p w14:paraId="6272B3C9" w14:textId="77777777" w:rsidR="00A77B3E" w:rsidRDefault="00C54E98">
      <w:pPr>
        <w:spacing w:line="360" w:lineRule="auto"/>
        <w:jc w:val="both"/>
      </w:pPr>
      <w:r>
        <w:rPr>
          <w:rFonts w:ascii="Book Antiqua" w:eastAsia="Book Antiqua" w:hAnsi="Book Antiqua" w:cs="Book Antiqua"/>
          <w:color w:val="000000"/>
        </w:rPr>
        <w:t>CONCLUSION</w:t>
      </w:r>
    </w:p>
    <w:p w14:paraId="656812BD" w14:textId="77777777" w:rsidR="00A77B3E" w:rsidRDefault="00C54E98">
      <w:pPr>
        <w:spacing w:line="360" w:lineRule="auto"/>
        <w:jc w:val="both"/>
      </w:pPr>
      <w:bookmarkStart w:id="56" w:name="OLE_LINK94"/>
      <w:bookmarkStart w:id="57" w:name="OLE_LINK95"/>
      <w:r>
        <w:rPr>
          <w:rFonts w:ascii="Book Antiqua" w:eastAsia="Book Antiqua" w:hAnsi="Book Antiqua" w:cs="Book Antiqua"/>
          <w:color w:val="000000"/>
        </w:rPr>
        <w:t xml:space="preserve">Although subjective items on the PCDAI change the most over time, the full PCDAI or a smaller composite of items including a combination of subjective and objective components classifies disease activity better than a subgroup of either subjective or objective items alone. Reliance on subjective or objective items as stand-alone proxies for disease activity measurement could result in misclassification of disease state. </w:t>
      </w:r>
    </w:p>
    <w:bookmarkEnd w:id="56"/>
    <w:bookmarkEnd w:id="57"/>
    <w:p w14:paraId="64A3CC00" w14:textId="77777777" w:rsidR="00A77B3E" w:rsidRDefault="00A77B3E">
      <w:pPr>
        <w:spacing w:line="360" w:lineRule="auto"/>
        <w:jc w:val="both"/>
      </w:pPr>
    </w:p>
    <w:p w14:paraId="7AD6190D" w14:textId="77777777" w:rsidR="00A77B3E" w:rsidRDefault="00C54E98">
      <w:pPr>
        <w:spacing w:line="360" w:lineRule="auto"/>
        <w:jc w:val="both"/>
      </w:pPr>
      <w:r>
        <w:rPr>
          <w:rFonts w:ascii="Book Antiqua" w:eastAsia="Book Antiqua" w:hAnsi="Book Antiqua" w:cs="Book Antiqua"/>
          <w:b/>
          <w:bCs/>
          <w:color w:val="000000"/>
        </w:rPr>
        <w:t xml:space="preserve">Key Words: </w:t>
      </w:r>
      <w:bookmarkStart w:id="58" w:name="OLE_LINK71"/>
      <w:bookmarkStart w:id="59" w:name="OLE_LINK72"/>
      <w:bookmarkStart w:id="60" w:name="OLE_LINK83"/>
      <w:r w:rsidR="00CD2AAF">
        <w:rPr>
          <w:rFonts w:ascii="Book Antiqua" w:eastAsia="Book Antiqua" w:hAnsi="Book Antiqua" w:cs="Book Antiqua"/>
          <w:color w:val="000000"/>
        </w:rPr>
        <w:t xml:space="preserve">Crohn’s </w:t>
      </w:r>
      <w:r w:rsidR="00CD2AAF">
        <w:rPr>
          <w:rFonts w:ascii="Book Antiqua" w:hAnsi="Book Antiqua" w:cs="Book Antiqua" w:hint="eastAsia"/>
          <w:color w:val="000000"/>
          <w:lang w:eastAsia="zh-CN"/>
        </w:rPr>
        <w:t>d</w:t>
      </w:r>
      <w:r>
        <w:rPr>
          <w:rFonts w:ascii="Book Antiqua" w:eastAsia="Book Antiqua" w:hAnsi="Book Antiqua" w:cs="Book Antiqua"/>
          <w:color w:val="000000"/>
        </w:rPr>
        <w:t>isease; Pediatric Crohn’</w:t>
      </w:r>
      <w:r w:rsidR="00CD2AAF">
        <w:rPr>
          <w:rFonts w:ascii="Book Antiqua" w:eastAsia="Book Antiqua" w:hAnsi="Book Antiqua" w:cs="Book Antiqua"/>
          <w:color w:val="000000"/>
        </w:rPr>
        <w:t>s disease activity i</w:t>
      </w:r>
      <w:r>
        <w:rPr>
          <w:rFonts w:ascii="Book Antiqua" w:eastAsia="Book Antiqua" w:hAnsi="Book Antiqua" w:cs="Book Antiqua"/>
          <w:color w:val="000000"/>
        </w:rPr>
        <w:t xml:space="preserve">ndex; Patient </w:t>
      </w:r>
      <w:r w:rsidR="00CD2AAF">
        <w:rPr>
          <w:rFonts w:ascii="Book Antiqua" w:eastAsia="Book Antiqua" w:hAnsi="Book Antiqua" w:cs="Book Antiqua"/>
          <w:color w:val="000000"/>
        </w:rPr>
        <w:t>reported outcome measuremen</w:t>
      </w:r>
      <w:r>
        <w:rPr>
          <w:rFonts w:ascii="Book Antiqua" w:eastAsia="Book Antiqua" w:hAnsi="Book Antiqua" w:cs="Book Antiqua"/>
          <w:color w:val="000000"/>
        </w:rPr>
        <w:t>t; Disease activity; Clinical trials; Pediatric</w:t>
      </w:r>
      <w:bookmarkEnd w:id="58"/>
      <w:bookmarkEnd w:id="59"/>
      <w:bookmarkEnd w:id="60"/>
    </w:p>
    <w:p w14:paraId="2971C7EE" w14:textId="77777777" w:rsidR="003C5FAF" w:rsidRDefault="003C5FAF" w:rsidP="003C5FAF">
      <w:pPr>
        <w:spacing w:line="360" w:lineRule="auto"/>
        <w:jc w:val="both"/>
        <w:rPr>
          <w:lang w:eastAsia="zh-CN"/>
        </w:rPr>
      </w:pPr>
    </w:p>
    <w:p w14:paraId="0D0FCBEE" w14:textId="77777777" w:rsidR="003C5FAF" w:rsidRPr="00026CB8" w:rsidRDefault="003C5FAF" w:rsidP="003C5FA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28C0E00" w14:textId="77777777" w:rsidR="00A77B3E" w:rsidRDefault="00A77B3E">
      <w:pPr>
        <w:spacing w:line="360" w:lineRule="auto"/>
        <w:jc w:val="both"/>
      </w:pPr>
    </w:p>
    <w:p w14:paraId="25586DED" w14:textId="1CC1C690" w:rsidR="00A959BA" w:rsidRDefault="00A959BA" w:rsidP="003B31C0">
      <w:pPr>
        <w:spacing w:line="360" w:lineRule="auto"/>
        <w:jc w:val="both"/>
        <w:rPr>
          <w:rFonts w:ascii="Book Antiqua" w:hAnsi="Book Antiqua" w:cs="Book Antiqua" w:hint="eastAsia"/>
          <w:color w:val="000000"/>
          <w:lang w:eastAsia="zh-CN"/>
        </w:rPr>
      </w:pPr>
      <w:bookmarkStart w:id="61" w:name="OLE_LINK73"/>
      <w:bookmarkStart w:id="62" w:name="OLE_LINK74"/>
      <w:r w:rsidRPr="00A959BA">
        <w:rPr>
          <w:rFonts w:ascii="Book Antiqua" w:hAnsi="Book Antiqua" w:cs="Book Antiqua" w:hint="eastAsia"/>
          <w:b/>
          <w:color w:val="000000"/>
          <w:lang w:eastAsia="zh-CN"/>
        </w:rPr>
        <w:t xml:space="preserve">Citation: </w:t>
      </w:r>
      <w:r w:rsidR="00C54E98">
        <w:rPr>
          <w:rFonts w:ascii="Book Antiqua" w:eastAsia="Book Antiqua" w:hAnsi="Book Antiqua" w:cs="Book Antiqua"/>
          <w:color w:val="000000"/>
        </w:rPr>
        <w:t>Grant A, Lerer T, Griffiths AM, Hyams J, Otley A. Assess</w:t>
      </w:r>
      <w:r w:rsidR="00EA17DE">
        <w:rPr>
          <w:rFonts w:ascii="Book Antiqua" w:eastAsia="Book Antiqua" w:hAnsi="Book Antiqua" w:cs="Book Antiqua"/>
          <w:color w:val="000000"/>
        </w:rPr>
        <w:t xml:space="preserve">ing disease activity using the </w:t>
      </w:r>
      <w:r w:rsidR="00EA17DE">
        <w:rPr>
          <w:rFonts w:ascii="Book Antiqua" w:hAnsi="Book Antiqua" w:cs="Book Antiqua" w:hint="eastAsia"/>
          <w:color w:val="000000"/>
          <w:lang w:eastAsia="zh-CN"/>
        </w:rPr>
        <w:t>p</w:t>
      </w:r>
      <w:r w:rsidR="00C54E98">
        <w:rPr>
          <w:rFonts w:ascii="Book Antiqua" w:eastAsia="Book Antiqua" w:hAnsi="Book Antiqua" w:cs="Book Antiqua"/>
          <w:color w:val="000000"/>
        </w:rPr>
        <w:t xml:space="preserve">ediatric Crohn’s </w:t>
      </w:r>
      <w:r w:rsidR="00EA17DE">
        <w:rPr>
          <w:rFonts w:ascii="Book Antiqua" w:eastAsia="Book Antiqua" w:hAnsi="Book Antiqua" w:cs="Book Antiqua"/>
          <w:color w:val="000000"/>
        </w:rPr>
        <w:t>disease activity ind</w:t>
      </w:r>
      <w:r w:rsidR="00C54E98">
        <w:rPr>
          <w:rFonts w:ascii="Book Antiqua" w:eastAsia="Book Antiqua" w:hAnsi="Book Antiqua" w:cs="Book Antiqua"/>
          <w:color w:val="000000"/>
        </w:rPr>
        <w:t xml:space="preserve">ex: Can we use subjective or objective parameters alone? </w:t>
      </w:r>
      <w:r w:rsidR="00C54E98">
        <w:rPr>
          <w:rFonts w:ascii="Book Antiqua" w:eastAsia="Book Antiqua" w:hAnsi="Book Antiqua" w:cs="Book Antiqua"/>
          <w:i/>
          <w:iCs/>
          <w:color w:val="000000"/>
        </w:rPr>
        <w:t>World J Gastroenterol</w:t>
      </w:r>
      <w:r w:rsidR="00C54E98">
        <w:rPr>
          <w:rFonts w:ascii="Book Antiqua" w:eastAsia="Book Antiqua" w:hAnsi="Book Antiqua" w:cs="Book Antiqua"/>
          <w:color w:val="000000"/>
        </w:rPr>
        <w:t xml:space="preserve"> 2021; </w:t>
      </w:r>
      <w:r w:rsidR="003B31C0" w:rsidRPr="004346AA">
        <w:rPr>
          <w:rFonts w:ascii="Book Antiqua" w:eastAsia="Book Antiqua" w:hAnsi="Book Antiqua" w:cs="Book Antiqua"/>
          <w:color w:val="000000"/>
        </w:rPr>
        <w:t>27(</w:t>
      </w:r>
      <w:r w:rsidR="003B31C0">
        <w:rPr>
          <w:rFonts w:ascii="Book Antiqua" w:hAnsi="Book Antiqua" w:cs="Book Antiqua" w:hint="eastAsia"/>
          <w:color w:val="000000"/>
          <w:lang w:eastAsia="zh-CN"/>
        </w:rPr>
        <w:t>30</w:t>
      </w:r>
      <w:r w:rsidR="003B31C0" w:rsidRPr="004346AA">
        <w:rPr>
          <w:rFonts w:ascii="Book Antiqua" w:eastAsia="Book Antiqua" w:hAnsi="Book Antiqua" w:cs="Book Antiqua"/>
          <w:color w:val="000000"/>
        </w:rPr>
        <w:t xml:space="preserve">): </w:t>
      </w:r>
      <w:r w:rsidRPr="00A959BA">
        <w:rPr>
          <w:rFonts w:ascii="Book Antiqua" w:eastAsia="Book Antiqua" w:hAnsi="Book Antiqua" w:cs="Book Antiqua"/>
          <w:color w:val="000000"/>
        </w:rPr>
        <w:t>5100-5111</w:t>
      </w:r>
      <w:r w:rsidR="003B31C0" w:rsidRPr="004346AA">
        <w:rPr>
          <w:rFonts w:ascii="Book Antiqua" w:eastAsia="Book Antiqua" w:hAnsi="Book Antiqua" w:cs="Book Antiqua"/>
          <w:color w:val="000000"/>
        </w:rPr>
        <w:t xml:space="preserve"> </w:t>
      </w:r>
    </w:p>
    <w:p w14:paraId="1252A218" w14:textId="77777777" w:rsidR="00A959BA" w:rsidRDefault="003B31C0" w:rsidP="003B31C0">
      <w:pPr>
        <w:spacing w:line="360" w:lineRule="auto"/>
        <w:jc w:val="both"/>
        <w:rPr>
          <w:rFonts w:ascii="Book Antiqua" w:hAnsi="Book Antiqua" w:cs="Book Antiqua" w:hint="eastAsia"/>
          <w:color w:val="000000"/>
          <w:lang w:eastAsia="zh-CN"/>
        </w:rPr>
      </w:pPr>
      <w:r w:rsidRPr="00A959BA">
        <w:rPr>
          <w:rFonts w:ascii="Book Antiqua" w:eastAsia="Book Antiqua" w:hAnsi="Book Antiqua" w:cs="Book Antiqua"/>
          <w:b/>
          <w:color w:val="000000"/>
        </w:rPr>
        <w:t>URL:</w:t>
      </w:r>
      <w:r w:rsidRPr="004346AA">
        <w:rPr>
          <w:rFonts w:ascii="Book Antiqua" w:eastAsia="Book Antiqua" w:hAnsi="Book Antiqua" w:cs="Book Antiqua"/>
          <w:color w:val="000000"/>
        </w:rPr>
        <w:t xml:space="preserve"> https://www.wjgnet.com/1007-9327/full/v27/i</w:t>
      </w:r>
      <w:r>
        <w:rPr>
          <w:rFonts w:ascii="Book Antiqua" w:hAnsi="Book Antiqua" w:cs="Book Antiqua" w:hint="eastAsia"/>
          <w:color w:val="000000"/>
          <w:lang w:eastAsia="zh-CN"/>
        </w:rPr>
        <w:t>30</w:t>
      </w:r>
      <w:r w:rsidRPr="004346AA">
        <w:rPr>
          <w:rFonts w:ascii="Book Antiqua" w:eastAsia="Book Antiqua" w:hAnsi="Book Antiqua" w:cs="Book Antiqua"/>
          <w:color w:val="000000"/>
        </w:rPr>
        <w:t>/</w:t>
      </w:r>
      <w:r w:rsidR="00A959BA" w:rsidRPr="00A959BA">
        <w:rPr>
          <w:rFonts w:ascii="Book Antiqua" w:eastAsia="Book Antiqua" w:hAnsi="Book Antiqua" w:cs="Book Antiqua"/>
          <w:color w:val="000000"/>
        </w:rPr>
        <w:t>5100</w:t>
      </w:r>
      <w:r w:rsidRPr="004346AA">
        <w:rPr>
          <w:rFonts w:ascii="Book Antiqua" w:eastAsia="Book Antiqua" w:hAnsi="Book Antiqua" w:cs="Book Antiqua"/>
          <w:color w:val="000000"/>
        </w:rPr>
        <w:t xml:space="preserve">.htm </w:t>
      </w:r>
    </w:p>
    <w:p w14:paraId="679ECD7B" w14:textId="07212D64" w:rsidR="003B31C0" w:rsidRPr="004346AA" w:rsidRDefault="003B31C0" w:rsidP="003B31C0">
      <w:pPr>
        <w:spacing w:line="360" w:lineRule="auto"/>
        <w:jc w:val="both"/>
        <w:rPr>
          <w:rFonts w:ascii="Book Antiqua" w:eastAsia="Book Antiqua" w:hAnsi="Book Antiqua" w:cs="Book Antiqua"/>
          <w:color w:val="000000"/>
        </w:rPr>
      </w:pPr>
      <w:r w:rsidRPr="00A959BA">
        <w:rPr>
          <w:rFonts w:ascii="Book Antiqua" w:eastAsia="Book Antiqua" w:hAnsi="Book Antiqua" w:cs="Book Antiqua"/>
          <w:b/>
          <w:color w:val="000000"/>
        </w:rPr>
        <w:t>DOI:</w:t>
      </w:r>
      <w:r w:rsidRPr="004346AA">
        <w:rPr>
          <w:rFonts w:ascii="Book Antiqua" w:eastAsia="Book Antiqua" w:hAnsi="Book Antiqua" w:cs="Book Antiqua"/>
          <w:color w:val="000000"/>
        </w:rPr>
        <w:t xml:space="preserve"> https://dx.doi.org/10.3748/wjg.v27.i</w:t>
      </w:r>
      <w:r>
        <w:rPr>
          <w:rFonts w:ascii="Book Antiqua" w:hAnsi="Book Antiqua" w:cs="Book Antiqua" w:hint="eastAsia"/>
          <w:color w:val="000000"/>
          <w:lang w:eastAsia="zh-CN"/>
        </w:rPr>
        <w:t>30</w:t>
      </w:r>
      <w:r w:rsidRPr="004346AA">
        <w:rPr>
          <w:rFonts w:ascii="Book Antiqua" w:eastAsia="Book Antiqua" w:hAnsi="Book Antiqua" w:cs="Book Antiqua"/>
          <w:color w:val="000000"/>
        </w:rPr>
        <w:t>.</w:t>
      </w:r>
      <w:r w:rsidR="00A959BA" w:rsidRPr="00A959BA">
        <w:rPr>
          <w:rFonts w:ascii="Book Antiqua" w:eastAsia="Book Antiqua" w:hAnsi="Book Antiqua" w:cs="Book Antiqua"/>
          <w:color w:val="000000"/>
        </w:rPr>
        <w:t>5100</w:t>
      </w:r>
    </w:p>
    <w:p w14:paraId="5201B64B" w14:textId="441152B5" w:rsidR="00A77B3E" w:rsidRDefault="00A77B3E">
      <w:pPr>
        <w:spacing w:line="360" w:lineRule="auto"/>
        <w:jc w:val="both"/>
      </w:pPr>
    </w:p>
    <w:bookmarkEnd w:id="61"/>
    <w:bookmarkEnd w:id="62"/>
    <w:p w14:paraId="26BB401B" w14:textId="77777777" w:rsidR="00A77B3E" w:rsidRDefault="00A77B3E">
      <w:pPr>
        <w:spacing w:line="360" w:lineRule="auto"/>
        <w:jc w:val="both"/>
      </w:pPr>
    </w:p>
    <w:p w14:paraId="789702A7" w14:textId="77777777" w:rsidR="00A77B3E" w:rsidRDefault="00C54E98">
      <w:pPr>
        <w:spacing w:line="360" w:lineRule="auto"/>
        <w:jc w:val="both"/>
      </w:pPr>
      <w:r>
        <w:rPr>
          <w:rFonts w:ascii="Book Antiqua" w:eastAsia="Book Antiqua" w:hAnsi="Book Antiqua" w:cs="Book Antiqua"/>
          <w:b/>
          <w:bCs/>
          <w:color w:val="000000"/>
        </w:rPr>
        <w:t xml:space="preserve">Core Tip: </w:t>
      </w:r>
      <w:bookmarkStart w:id="63" w:name="OLE_LINK84"/>
      <w:bookmarkStart w:id="64" w:name="OLE_LINK85"/>
      <w:bookmarkStart w:id="65" w:name="OLE_LINK75"/>
      <w:bookmarkStart w:id="66" w:name="OLE_LINK76"/>
      <w:r w:rsidR="00F30315">
        <w:rPr>
          <w:rFonts w:ascii="Book Antiqua" w:eastAsia="Book Antiqua" w:hAnsi="Book Antiqua" w:cs="Book Antiqua"/>
          <w:color w:val="000000"/>
        </w:rPr>
        <w:t xml:space="preserve">The </w:t>
      </w:r>
      <w:r w:rsidR="00F30315">
        <w:rPr>
          <w:rFonts w:ascii="Book Antiqua" w:hAnsi="Book Antiqua" w:cs="Book Antiqua" w:hint="eastAsia"/>
          <w:color w:val="000000"/>
          <w:lang w:eastAsia="zh-CN"/>
        </w:rPr>
        <w:t>p</w:t>
      </w:r>
      <w:r>
        <w:rPr>
          <w:rFonts w:ascii="Book Antiqua" w:eastAsia="Book Antiqua" w:hAnsi="Book Antiqua" w:cs="Book Antiqua"/>
          <w:color w:val="000000"/>
        </w:rPr>
        <w:t xml:space="preserve">ediatric Crohn’s </w:t>
      </w:r>
      <w:r w:rsidR="00F30315">
        <w:rPr>
          <w:rFonts w:ascii="Book Antiqua" w:eastAsia="Book Antiqua" w:hAnsi="Book Antiqua" w:cs="Book Antiqua"/>
          <w:color w:val="000000"/>
        </w:rPr>
        <w:t>disease activity in</w:t>
      </w:r>
      <w:r>
        <w:rPr>
          <w:rFonts w:ascii="Book Antiqua" w:eastAsia="Book Antiqua" w:hAnsi="Book Antiqua" w:cs="Book Antiqua"/>
          <w:color w:val="000000"/>
        </w:rPr>
        <w:t>dex (PCDAI) is commonly used to assess disease activity in clinical trials. The PCDAI is a multi-item index incorporating subjective (</w:t>
      </w:r>
      <w:r w:rsidRPr="00F30315">
        <w:rPr>
          <w:rFonts w:ascii="Book Antiqua" w:eastAsia="Book Antiqua" w:hAnsi="Book Antiqua" w:cs="Book Antiqua"/>
          <w:i/>
          <w:color w:val="000000"/>
        </w:rPr>
        <w:t>e.g.</w:t>
      </w:r>
      <w:r>
        <w:rPr>
          <w:rFonts w:ascii="Book Antiqua" w:eastAsia="Book Antiqua" w:hAnsi="Book Antiqua" w:cs="Book Antiqua"/>
          <w:color w:val="000000"/>
        </w:rPr>
        <w:t>, patient well-being) and objective (</w:t>
      </w:r>
      <w:r w:rsidRPr="00F30315">
        <w:rPr>
          <w:rFonts w:ascii="Book Antiqua" w:eastAsia="Book Antiqua" w:hAnsi="Book Antiqua" w:cs="Book Antiqua"/>
          <w:i/>
          <w:color w:val="000000"/>
        </w:rPr>
        <w:t>e.g.</w:t>
      </w:r>
      <w:r>
        <w:rPr>
          <w:rFonts w:ascii="Book Antiqua" w:eastAsia="Book Antiqua" w:hAnsi="Book Antiqua" w:cs="Book Antiqua"/>
          <w:color w:val="000000"/>
        </w:rPr>
        <w:t>, laboratory tests) items. In response to a call from the Food and Drug Administration our team reexamined functioning of this index. Although subjective items on the PCDAI changed the most over time, the full PCDAI or a smaller composite of items that includes both subjective and objective components better classifies disease activity. Use of subjective or objective items on their own may result in misclassification of disease state.</w:t>
      </w:r>
      <w:bookmarkEnd w:id="63"/>
      <w:bookmarkEnd w:id="64"/>
    </w:p>
    <w:bookmarkEnd w:id="65"/>
    <w:bookmarkEnd w:id="66"/>
    <w:p w14:paraId="544DBF5F" w14:textId="77777777" w:rsidR="00A77B3E" w:rsidRDefault="00F30315">
      <w:pPr>
        <w:spacing w:line="360" w:lineRule="auto"/>
        <w:jc w:val="both"/>
      </w:pPr>
      <w:r>
        <w:rPr>
          <w:rFonts w:ascii="Book Antiqua" w:eastAsia="Book Antiqua" w:hAnsi="Book Antiqua" w:cs="Book Antiqua"/>
          <w:b/>
          <w:caps/>
          <w:color w:val="000000"/>
          <w:u w:val="single"/>
        </w:rPr>
        <w:br w:type="page"/>
      </w:r>
      <w:r w:rsidR="00C54E98">
        <w:rPr>
          <w:rFonts w:ascii="Book Antiqua" w:eastAsia="Book Antiqua" w:hAnsi="Book Antiqua" w:cs="Book Antiqua"/>
          <w:b/>
          <w:caps/>
          <w:color w:val="000000"/>
          <w:u w:val="single"/>
        </w:rPr>
        <w:t>INTRODUCTION</w:t>
      </w:r>
    </w:p>
    <w:p w14:paraId="45B37F58" w14:textId="3EA53CC6" w:rsidR="00A77B3E" w:rsidRDefault="00F30315">
      <w:pPr>
        <w:spacing w:line="360" w:lineRule="auto"/>
        <w:jc w:val="both"/>
      </w:pPr>
      <w:bookmarkStart w:id="67" w:name="OLE_LINK96"/>
      <w:bookmarkStart w:id="68" w:name="OLE_LINK97"/>
      <w:r>
        <w:rPr>
          <w:rFonts w:ascii="Book Antiqua" w:eastAsia="Book Antiqua" w:hAnsi="Book Antiqua" w:cs="Book Antiqua"/>
          <w:color w:val="000000"/>
        </w:rPr>
        <w:t xml:space="preserve">The </w:t>
      </w:r>
      <w:r>
        <w:rPr>
          <w:rFonts w:ascii="Book Antiqua" w:hAnsi="Book Antiqua" w:cs="Book Antiqua" w:hint="eastAsia"/>
          <w:color w:val="000000"/>
          <w:lang w:eastAsia="zh-CN"/>
        </w:rPr>
        <w:t>p</w:t>
      </w:r>
      <w:r w:rsidR="00C54E98">
        <w:rPr>
          <w:rFonts w:ascii="Book Antiqua" w:eastAsia="Book Antiqua" w:hAnsi="Book Antiqua" w:cs="Book Antiqua"/>
          <w:color w:val="000000"/>
        </w:rPr>
        <w:t xml:space="preserve">ediatric Crohn’s </w:t>
      </w:r>
      <w:r>
        <w:rPr>
          <w:rFonts w:ascii="Book Antiqua" w:eastAsia="Book Antiqua" w:hAnsi="Book Antiqua" w:cs="Book Antiqua"/>
          <w:color w:val="000000"/>
        </w:rPr>
        <w:t>disease activity in</w:t>
      </w:r>
      <w:r w:rsidR="00C54E98">
        <w:rPr>
          <w:rFonts w:ascii="Book Antiqua" w:eastAsia="Book Antiqua" w:hAnsi="Book Antiqua" w:cs="Book Antiqua"/>
          <w:color w:val="000000"/>
        </w:rPr>
        <w:t>dex (PCDAI) has been the standard tool to assess clinical disease activity and response to treatment in clinic</w:t>
      </w:r>
      <w:r>
        <w:rPr>
          <w:rFonts w:ascii="Book Antiqua" w:eastAsia="Book Antiqua" w:hAnsi="Book Antiqua" w:cs="Book Antiqua"/>
          <w:color w:val="000000"/>
        </w:rPr>
        <w:t xml:space="preserve">al trials of pediatric Crohn’s </w:t>
      </w:r>
      <w:r>
        <w:rPr>
          <w:rFonts w:ascii="Book Antiqua" w:hAnsi="Book Antiqua" w:cs="Book Antiqua" w:hint="eastAsia"/>
          <w:color w:val="000000"/>
          <w:lang w:eastAsia="zh-CN"/>
        </w:rPr>
        <w:t>d</w:t>
      </w:r>
      <w:r w:rsidR="00C54E98">
        <w:rPr>
          <w:rFonts w:ascii="Book Antiqua" w:eastAsia="Book Antiqua" w:hAnsi="Book Antiqua" w:cs="Book Antiqua"/>
          <w:color w:val="000000"/>
        </w:rPr>
        <w:t>isease (CD) for the past two decades</w:t>
      </w:r>
      <w:r w:rsidR="00C54E98">
        <w:rPr>
          <w:rFonts w:ascii="Book Antiqua" w:eastAsia="Book Antiqua" w:hAnsi="Book Antiqua" w:cs="Book Antiqua"/>
          <w:color w:val="000000"/>
          <w:szCs w:val="30"/>
          <w:vertAlign w:val="superscript"/>
        </w:rPr>
        <w:t>[1-4]</w:t>
      </w:r>
      <w:r w:rsidR="00C54E98">
        <w:rPr>
          <w:rFonts w:ascii="Book Antiqua" w:eastAsia="Book Antiqua" w:hAnsi="Book Antiqua" w:cs="Book Antiqua"/>
          <w:color w:val="000000"/>
        </w:rPr>
        <w:t>. The PCDAI was developed by a group</w:t>
      </w:r>
      <w:r>
        <w:rPr>
          <w:rFonts w:ascii="Book Antiqua" w:eastAsia="Book Antiqua" w:hAnsi="Book Antiqua" w:cs="Book Antiqua"/>
          <w:color w:val="000000"/>
        </w:rPr>
        <w:t xml:space="preserve"> of clinicians and focuses on: </w:t>
      </w:r>
      <w:r>
        <w:rPr>
          <w:rFonts w:ascii="Book Antiqua" w:hAnsi="Book Antiqua" w:cs="Book Antiqua" w:hint="eastAsia"/>
          <w:color w:val="000000"/>
          <w:lang w:eastAsia="zh-CN"/>
        </w:rPr>
        <w:t>(1</w:t>
      </w:r>
      <w:r w:rsidR="00C54E98">
        <w:rPr>
          <w:rFonts w:ascii="Book Antiqua" w:eastAsia="Book Antiqua" w:hAnsi="Book Antiqua" w:cs="Book Antiqua"/>
          <w:color w:val="000000"/>
        </w:rPr>
        <w:t xml:space="preserve">) </w:t>
      </w:r>
      <w:r w:rsidR="00591669">
        <w:rPr>
          <w:rFonts w:ascii="Book Antiqua" w:eastAsia="Book Antiqua" w:hAnsi="Book Antiqua" w:cs="Book Antiqua"/>
          <w:color w:val="000000"/>
        </w:rPr>
        <w:t>S</w:t>
      </w:r>
      <w:r w:rsidR="00C54E98">
        <w:rPr>
          <w:rFonts w:ascii="Book Antiqua" w:eastAsia="Book Antiqua" w:hAnsi="Book Antiqua" w:cs="Book Antiqua"/>
          <w:color w:val="000000"/>
        </w:rPr>
        <w:t>ubjective reporting of the degree of abdominal pain, stool pattern, and genera</w:t>
      </w:r>
      <w:r>
        <w:rPr>
          <w:rFonts w:ascii="Book Antiqua" w:eastAsia="Book Antiqua" w:hAnsi="Book Antiqua" w:cs="Book Antiqua"/>
          <w:color w:val="000000"/>
        </w:rPr>
        <w:t xml:space="preserve">l well-being; </w:t>
      </w:r>
      <w:r>
        <w:rPr>
          <w:rFonts w:ascii="Book Antiqua" w:hAnsi="Book Antiqua" w:cs="Book Antiqua" w:hint="eastAsia"/>
          <w:color w:val="000000"/>
          <w:lang w:eastAsia="zh-CN"/>
        </w:rPr>
        <w:t>(2</w:t>
      </w:r>
      <w:r w:rsidR="00C54E98">
        <w:rPr>
          <w:rFonts w:ascii="Book Antiqua" w:eastAsia="Book Antiqua" w:hAnsi="Book Antiqua" w:cs="Book Antiqua"/>
          <w:color w:val="000000"/>
        </w:rPr>
        <w:t xml:space="preserve">) </w:t>
      </w:r>
      <w:r w:rsidR="00591669">
        <w:rPr>
          <w:rFonts w:ascii="Book Antiqua" w:eastAsia="Book Antiqua" w:hAnsi="Book Antiqua" w:cs="Book Antiqua"/>
          <w:color w:val="000000"/>
        </w:rPr>
        <w:t>E</w:t>
      </w:r>
      <w:r w:rsidR="00C54E98">
        <w:rPr>
          <w:rFonts w:ascii="Book Antiqua" w:eastAsia="Book Antiqua" w:hAnsi="Book Antiqua" w:cs="Book Antiqua"/>
          <w:color w:val="000000"/>
        </w:rPr>
        <w:t>xtra-intestinal manifestations, such as fever,</w:t>
      </w:r>
      <w:r>
        <w:rPr>
          <w:rFonts w:ascii="Book Antiqua" w:eastAsia="Book Antiqua" w:hAnsi="Book Antiqua" w:cs="Book Antiqua"/>
          <w:color w:val="000000"/>
        </w:rPr>
        <w:t xml:space="preserve"> arthritis, rash, and uveitis; </w:t>
      </w:r>
      <w:r>
        <w:rPr>
          <w:rFonts w:ascii="Book Antiqua" w:hAnsi="Book Antiqua" w:cs="Book Antiqua" w:hint="eastAsia"/>
          <w:color w:val="000000"/>
          <w:lang w:eastAsia="zh-CN"/>
        </w:rPr>
        <w:t>(3</w:t>
      </w:r>
      <w:r w:rsidR="00C54E98">
        <w:rPr>
          <w:rFonts w:ascii="Book Antiqua" w:eastAsia="Book Antiqua" w:hAnsi="Book Antiqua" w:cs="Book Antiqua"/>
          <w:color w:val="000000"/>
        </w:rPr>
        <w:t xml:space="preserve">) </w:t>
      </w:r>
      <w:r w:rsidR="00591669">
        <w:rPr>
          <w:rFonts w:ascii="Book Antiqua" w:eastAsia="Book Antiqua" w:hAnsi="Book Antiqua" w:cs="Book Antiqua"/>
          <w:color w:val="000000"/>
        </w:rPr>
        <w:t>P</w:t>
      </w:r>
      <w:r w:rsidR="00C54E98">
        <w:rPr>
          <w:rFonts w:ascii="Book Antiqua" w:eastAsia="Book Antiqua" w:hAnsi="Book Antiqua" w:cs="Book Antiqua"/>
          <w:color w:val="000000"/>
        </w:rPr>
        <w:t>hysical examination findings including abdominal pain, perirectal disease, extraintestinal manifest</w:t>
      </w:r>
      <w:r>
        <w:rPr>
          <w:rFonts w:ascii="Book Antiqua" w:eastAsia="Book Antiqua" w:hAnsi="Book Antiqua" w:cs="Book Antiqua"/>
          <w:color w:val="000000"/>
        </w:rPr>
        <w:t xml:space="preserve">ations, weight and height; and </w:t>
      </w:r>
      <w:r>
        <w:rPr>
          <w:rFonts w:ascii="Book Antiqua" w:hAnsi="Book Antiqua" w:cs="Book Antiqua" w:hint="eastAsia"/>
          <w:color w:val="000000"/>
          <w:lang w:eastAsia="zh-CN"/>
        </w:rPr>
        <w:t>(4</w:t>
      </w:r>
      <w:r w:rsidR="00C54E98">
        <w:rPr>
          <w:rFonts w:ascii="Book Antiqua" w:eastAsia="Book Antiqua" w:hAnsi="Book Antiqua" w:cs="Book Antiqua"/>
          <w:color w:val="000000"/>
        </w:rPr>
        <w:t xml:space="preserve">) </w:t>
      </w:r>
      <w:r w:rsidR="00591669">
        <w:rPr>
          <w:rFonts w:ascii="Book Antiqua" w:eastAsia="Book Antiqua" w:hAnsi="Book Antiqua" w:cs="Book Antiqua"/>
          <w:color w:val="000000"/>
        </w:rPr>
        <w:t>L</w:t>
      </w:r>
      <w:r w:rsidR="00C54E98">
        <w:rPr>
          <w:rFonts w:ascii="Book Antiqua" w:eastAsia="Book Antiqua" w:hAnsi="Book Antiqua" w:cs="Book Antiqua"/>
          <w:color w:val="000000"/>
        </w:rPr>
        <w:t xml:space="preserve">aboratory data, including hematocrit, </w:t>
      </w:r>
      <w:bookmarkStart w:id="69" w:name="OLE_LINK32"/>
      <w:bookmarkStart w:id="70" w:name="OLE_LINK33"/>
      <w:r w:rsidR="00C54E98">
        <w:rPr>
          <w:rFonts w:ascii="Book Antiqua" w:eastAsia="Book Antiqua" w:hAnsi="Book Antiqua" w:cs="Book Antiqua"/>
          <w:color w:val="000000"/>
        </w:rPr>
        <w:t>erythrocyte sedimentation rate</w:t>
      </w:r>
      <w:bookmarkEnd w:id="69"/>
      <w:bookmarkEnd w:id="70"/>
      <w:r w:rsidR="00C54E98">
        <w:rPr>
          <w:rFonts w:ascii="Book Antiqua" w:eastAsia="Book Antiqua" w:hAnsi="Book Antiqua" w:cs="Book Antiqua"/>
          <w:color w:val="000000"/>
        </w:rPr>
        <w:t xml:space="preserve"> (ESR), and serum albumin</w:t>
      </w:r>
      <w:r w:rsidR="00C54E98">
        <w:rPr>
          <w:rFonts w:ascii="Book Antiqua" w:eastAsia="Book Antiqua" w:hAnsi="Book Antiqua" w:cs="Book Antiqua"/>
          <w:color w:val="000000"/>
          <w:szCs w:val="30"/>
          <w:vertAlign w:val="superscript"/>
        </w:rPr>
        <w:t>[1]</w:t>
      </w:r>
      <w:r w:rsidR="00C54E98">
        <w:rPr>
          <w:rFonts w:ascii="Book Antiqua" w:eastAsia="Book Antiqua" w:hAnsi="Book Antiqua" w:cs="Book Antiqua"/>
          <w:color w:val="000000"/>
        </w:rPr>
        <w:t xml:space="preserve"> . This index has high inter-rater reliability, and good construct validity with physician global assessments of disease activity</w:t>
      </w:r>
      <w:r w:rsidR="00C54E98">
        <w:rPr>
          <w:rFonts w:ascii="Book Antiqua" w:eastAsia="Book Antiqua" w:hAnsi="Book Antiqua" w:cs="Book Antiqua"/>
          <w:color w:val="000000"/>
          <w:szCs w:val="30"/>
          <w:vertAlign w:val="superscript"/>
        </w:rPr>
        <w:t>[1]</w:t>
      </w:r>
      <w:r w:rsidR="00C54E98">
        <w:rPr>
          <w:rFonts w:ascii="Book Antiqua" w:eastAsia="Book Antiqua" w:hAnsi="Book Antiqua" w:cs="Book Antiqua"/>
          <w:color w:val="000000"/>
        </w:rPr>
        <w:t>. Validity has been further demonstrated in several studies assessing its psychometric properties</w:t>
      </w:r>
      <w:r w:rsidR="00C54E98">
        <w:rPr>
          <w:rFonts w:ascii="Book Antiqua" w:eastAsia="Book Antiqua" w:hAnsi="Book Antiqua" w:cs="Book Antiqua"/>
          <w:color w:val="000000"/>
          <w:szCs w:val="30"/>
          <w:vertAlign w:val="superscript"/>
        </w:rPr>
        <w:t>[5-9]</w:t>
      </w:r>
      <w:r w:rsidR="00C54E98">
        <w:rPr>
          <w:rFonts w:ascii="Book Antiqua" w:eastAsia="Book Antiqua" w:hAnsi="Book Antiqua" w:cs="Book Antiqua"/>
          <w:color w:val="000000"/>
        </w:rPr>
        <w:t xml:space="preserve">. </w:t>
      </w:r>
    </w:p>
    <w:p w14:paraId="12293906" w14:textId="77777777" w:rsidR="00A77B3E" w:rsidRDefault="00C54E98" w:rsidP="00F30315">
      <w:pPr>
        <w:spacing w:line="360" w:lineRule="auto"/>
        <w:ind w:firstLineChars="100" w:firstLine="240"/>
        <w:jc w:val="both"/>
      </w:pPr>
      <w:r>
        <w:rPr>
          <w:rFonts w:ascii="Book Antiqua" w:eastAsia="Book Antiqua" w:hAnsi="Book Antiqua" w:cs="Book Antiqua"/>
          <w:color w:val="000000"/>
        </w:rPr>
        <w:t xml:space="preserve">Over time, concerns over both feasibility and short-term responsiveness to change in clinical status have arisen, due to the inclusion of perianal examination, as well as height velocity, which are not expected to change in </w:t>
      </w:r>
      <w:r w:rsidR="00F30315">
        <w:rPr>
          <w:rFonts w:ascii="Book Antiqua" w:eastAsia="Book Antiqua" w:hAnsi="Book Antiqua" w:cs="Book Antiqua"/>
          <w:color w:val="000000"/>
        </w:rPr>
        <w:t>a short-term (typically 8-12-w</w:t>
      </w:r>
      <w:r>
        <w:rPr>
          <w:rFonts w:ascii="Book Antiqua" w:eastAsia="Book Antiqua" w:hAnsi="Book Antiqua" w:cs="Book Antiqua"/>
          <w:color w:val="000000"/>
        </w:rPr>
        <w:t>k period for induction of remission) clinical trial. These feasibility concerns are problematic in use of the PCDAI as the completion rate in routine practice of the PCDAI is approximately half (48</w:t>
      </w:r>
      <w:r w:rsidR="00F3031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F30315">
        <w:rPr>
          <w:rFonts w:ascii="Book Antiqua" w:eastAsia="Book Antiqua" w:hAnsi="Book Antiqua" w:cs="Book Antiqua"/>
          <w:i/>
          <w:color w:val="000000"/>
        </w:rPr>
        <w:t>vs</w:t>
      </w:r>
      <w:r>
        <w:rPr>
          <w:rFonts w:ascii="Book Antiqua" w:eastAsia="Book Antiqua" w:hAnsi="Book Antiqua" w:cs="Book Antiqua"/>
          <w:color w:val="000000"/>
        </w:rPr>
        <w:t xml:space="preserve"> 98%)</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that of the </w:t>
      </w:r>
      <w:r w:rsidR="00F30315">
        <w:rPr>
          <w:rFonts w:ascii="Book Antiqua" w:eastAsia="Book Antiqua" w:hAnsi="Book Antiqua" w:cs="Book Antiqua"/>
          <w:color w:val="000000"/>
        </w:rPr>
        <w:t xml:space="preserve">pediatric ulcerative colitis activity index </w:t>
      </w:r>
      <w:r>
        <w:rPr>
          <w:rFonts w:ascii="Book Antiqua" w:eastAsia="Book Antiqua" w:hAnsi="Book Antiqua" w:cs="Book Antiqua"/>
          <w:color w:val="000000"/>
        </w:rPr>
        <w:t>(PUCAI), which does not include laboratory values, physical examination, or growth</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response, other versions of the PCDAI have been developed, which have demonstrated increased fe</w:t>
      </w:r>
      <w:r w:rsidR="009947EA">
        <w:rPr>
          <w:rFonts w:ascii="Book Antiqua" w:eastAsia="Book Antiqua" w:hAnsi="Book Antiqua" w:cs="Book Antiqua"/>
          <w:color w:val="000000"/>
        </w:rPr>
        <w:t xml:space="preserve">asibility: the </w:t>
      </w:r>
      <w:r w:rsidR="009947EA">
        <w:rPr>
          <w:rFonts w:ascii="Book Antiqua" w:hAnsi="Book Antiqua" w:cs="Book Antiqua" w:hint="eastAsia"/>
          <w:color w:val="000000"/>
          <w:lang w:eastAsia="zh-CN"/>
        </w:rPr>
        <w:t>a</w:t>
      </w:r>
      <w:r>
        <w:rPr>
          <w:rFonts w:ascii="Book Antiqua" w:eastAsia="Book Antiqua" w:hAnsi="Book Antiqua" w:cs="Book Antiqua"/>
          <w:color w:val="000000"/>
        </w:rPr>
        <w:t>bbreviated PCDAI</w:t>
      </w:r>
      <w:r w:rsidR="00F30315">
        <w:rPr>
          <w:rFonts w:ascii="Book Antiqua" w:eastAsia="Book Antiqua" w:hAnsi="Book Antiqua" w:cs="Book Antiqua"/>
          <w:color w:val="000000"/>
          <w:szCs w:val="30"/>
          <w:vertAlign w:val="superscript"/>
        </w:rPr>
        <w:t>[10,12,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Short PCDAI</w:t>
      </w:r>
      <w:r>
        <w:rPr>
          <w:rFonts w:ascii="Book Antiqua" w:eastAsia="Book Antiqua" w:hAnsi="Book Antiqua" w:cs="Book Antiqua"/>
          <w:color w:val="000000"/>
          <w:szCs w:val="30"/>
          <w:vertAlign w:val="superscript"/>
        </w:rPr>
        <w:t>[10]</w:t>
      </w:r>
      <w:r w:rsidR="00F30315">
        <w:rPr>
          <w:rFonts w:ascii="Book Antiqua" w:eastAsia="Book Antiqua" w:hAnsi="Book Antiqua" w:cs="Book Antiqua"/>
          <w:color w:val="000000"/>
        </w:rPr>
        <w:t xml:space="preserve">, and the </w:t>
      </w:r>
      <w:r w:rsidR="00F30315">
        <w:rPr>
          <w:rFonts w:ascii="Book Antiqua" w:hAnsi="Book Antiqua" w:cs="Book Antiqua" w:hint="eastAsia"/>
          <w:color w:val="000000"/>
          <w:lang w:eastAsia="zh-CN"/>
        </w:rPr>
        <w:t>m</w:t>
      </w:r>
      <w:r>
        <w:rPr>
          <w:rFonts w:ascii="Book Antiqua" w:eastAsia="Book Antiqua" w:hAnsi="Book Antiqua" w:cs="Book Antiqua"/>
          <w:color w:val="000000"/>
        </w:rPr>
        <w:t>odified PCDAI</w:t>
      </w:r>
      <w:r>
        <w:rPr>
          <w:rFonts w:ascii="Book Antiqua" w:eastAsia="Book Antiqua" w:hAnsi="Book Antiqua" w:cs="Book Antiqua"/>
          <w:color w:val="000000"/>
          <w:szCs w:val="30"/>
          <w:vertAlign w:val="superscript"/>
        </w:rPr>
        <w:t>[14]</w:t>
      </w:r>
      <w:r w:rsidR="00F30315">
        <w:rPr>
          <w:rFonts w:ascii="Book Antiqua" w:eastAsia="Book Antiqua" w:hAnsi="Book Antiqua" w:cs="Book Antiqua"/>
          <w:color w:val="000000"/>
        </w:rPr>
        <w:t>,</w:t>
      </w:r>
      <w:r>
        <w:rPr>
          <w:rFonts w:ascii="Book Antiqua" w:eastAsia="Book Antiqua" w:hAnsi="Book Antiqua" w:cs="Book Antiqua"/>
          <w:color w:val="000000"/>
        </w:rPr>
        <w:t xml:space="preserve"> but they have had lower face, construct and discriminant validity than the original PCDAI</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Subsequently, a mathematically weighted version (wPCDAI) that removed redundant and low feasibility items was established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Despite multiple versions, there remain concerns around construct validity due to the mismatch between clinical symptoms relied upon in the wPCDAI and objective markers of inflammation as visualized endoscopically, or reflected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C-reactive protein or fecal calprotectin</w:t>
      </w:r>
      <w:r>
        <w:rPr>
          <w:rFonts w:ascii="Book Antiqua" w:eastAsia="Book Antiqua" w:hAnsi="Book Antiqua" w:cs="Book Antiqua"/>
          <w:color w:val="000000"/>
          <w:vertAlign w:val="superscript"/>
        </w:rPr>
        <w:t>[15-17]</w:t>
      </w:r>
      <w:r>
        <w:rPr>
          <w:rFonts w:ascii="Book Antiqua" w:eastAsia="Book Antiqua" w:hAnsi="Book Antiqua" w:cs="Book Antiqua"/>
          <w:color w:val="000000"/>
        </w:rPr>
        <w:t>.</w:t>
      </w:r>
    </w:p>
    <w:p w14:paraId="527D5DCA" w14:textId="77777777" w:rsidR="00A77B3E" w:rsidRDefault="00C54E98" w:rsidP="001C7E73">
      <w:pPr>
        <w:spacing w:line="360" w:lineRule="auto"/>
        <w:ind w:firstLineChars="100" w:firstLine="240"/>
        <w:jc w:val="both"/>
      </w:pPr>
      <w:r>
        <w:rPr>
          <w:rFonts w:ascii="Book Antiqua" w:eastAsia="Book Antiqua" w:hAnsi="Book Antiqua" w:cs="Book Antiqua"/>
          <w:color w:val="000000"/>
        </w:rPr>
        <w:t>Traditionally, endpoints chosen for clinical trials have been based on multi-item indices</w:t>
      </w:r>
      <w:r w:rsidR="001C7E73">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such as the PCDAI, which can incorporate symptoms, signs, laboratory tests, and endoscopic measures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PCDAI is still in use as an endpoint in many pediatric CD trials despite the feasibility concerns of these multi-item indices. As such, the United States Food and Drug Administration (FDA) sponsored the Gastroenterology Regulatory Endpoints and Advancement of Therapeutics (GREAT) workshops to reassess their use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FDA is seeking to redefine endpoints used in clinical trials, based on the need for objective measures of disease state. Additionally, recent regulatory guidance mandates that symptoms should be scored directly from the patient without a proxy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This guidance recommends the development and use of Patient Reported Outcomes (PROs)</w:t>
      </w:r>
      <w:r>
        <w:rPr>
          <w:rFonts w:ascii="Book Antiqua" w:eastAsia="Book Antiqua" w:hAnsi="Book Antiqua" w:cs="Book Antiqua"/>
          <w:color w:val="000000"/>
          <w:szCs w:val="30"/>
          <w:vertAlign w:val="superscript"/>
        </w:rPr>
        <w:t>[22-25]</w:t>
      </w:r>
      <w:r>
        <w:rPr>
          <w:rFonts w:ascii="Book Antiqua" w:eastAsia="Book Antiqua" w:hAnsi="Book Antiqua" w:cs="Book Antiqua"/>
          <w:color w:val="000000"/>
        </w:rPr>
        <w:t xml:space="preserve"> to measure clinical trial end-points, alongside objective markers of disease (such as endoscopic tools)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and health related quality of life</w:t>
      </w:r>
      <w:r w:rsidR="001C7E73">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2E83FA95" w14:textId="77777777" w:rsidR="00A77B3E" w:rsidRDefault="00C54E98" w:rsidP="001C7E73">
      <w:pPr>
        <w:spacing w:line="360" w:lineRule="auto"/>
        <w:ind w:firstLineChars="100" w:firstLine="240"/>
        <w:jc w:val="both"/>
      </w:pPr>
      <w:r>
        <w:rPr>
          <w:rFonts w:ascii="Book Antiqua" w:eastAsia="Book Antiqua" w:hAnsi="Book Antiqua" w:cs="Book Antiqua"/>
          <w:color w:val="000000"/>
        </w:rPr>
        <w:t>The PCDAI is a composite of subjective items derived from a clinical observer, as well as objective items (laboratory studies), and as such it does not meet criteria set forth by the FDA for a PRO</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Although recent work has repurposed pieces of the PCDAI (ESR, stooling) with fecal calprotectin and C-reactive protein to develop a non-invasive index of mucosal healing in pediatric CD</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there is no validated measure of subjective disease state in this population. A PRO for pediatric CD disease activity is still in the early stages of development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and is years away from implementation and use as an endpoint in clinical trials. Meanwhile, adult </w:t>
      </w:r>
      <w:r w:rsidR="00DB2D06" w:rsidRPr="00DB2D06">
        <w:rPr>
          <w:rFonts w:ascii="Book Antiqua" w:eastAsia="Book Antiqua" w:hAnsi="Book Antiqua" w:cs="Book Antiqua"/>
          <w:color w:val="000000"/>
        </w:rPr>
        <w:t>inflammatory bowel disease (IBD)</w:t>
      </w:r>
      <w:r>
        <w:rPr>
          <w:rFonts w:ascii="Book Antiqua" w:eastAsia="Book Antiqua" w:hAnsi="Book Antiqua" w:cs="Book Antiqua"/>
          <w:color w:val="000000"/>
        </w:rPr>
        <w:t xml:space="preserve"> trials are currently moving away from multi-item indices as endpoints and moving towards FDA guidance involving use of a PRO to measure functional components of disease alongside an objective marker of inflammation</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As such, as part of the GREAT workshops, the academic and pharmaceutical communities were asked to investigate and redefine the drivers of remission on the PCDAI given the urgent need for a PRO in pediatric CD.</w:t>
      </w:r>
    </w:p>
    <w:p w14:paraId="1830E4B2" w14:textId="77777777" w:rsidR="00A77B3E" w:rsidRDefault="00C54E98" w:rsidP="00DB2D06">
      <w:pPr>
        <w:spacing w:line="360" w:lineRule="auto"/>
        <w:ind w:firstLineChars="100" w:firstLine="240"/>
        <w:jc w:val="both"/>
      </w:pPr>
      <w:r>
        <w:rPr>
          <w:rFonts w:ascii="Book Antiqua" w:eastAsia="Book Antiqua" w:hAnsi="Book Antiqua" w:cs="Book Antiqua"/>
          <w:color w:val="000000"/>
        </w:rPr>
        <w:t>In response to the FDA call we have set out to evaluate whether subgroups of items on the PCDAI could serve as an indicator of objective disease activity, or subjective disease activity until a PRO is ready for use. To date, post-hoc analyses of the PCDAI have not evaluated subcomponents that may serve as interim proxies of subjective or objective components, nor have they evaluated how individual items change over time. In the current study we evaluated the functioning of items on the PCDAI to determine how well subgroups of subjective and objective PCDAI items can capture disease activity.</w:t>
      </w:r>
    </w:p>
    <w:bookmarkEnd w:id="67"/>
    <w:bookmarkEnd w:id="68"/>
    <w:p w14:paraId="26C24DD8" w14:textId="77777777" w:rsidR="00A77B3E" w:rsidRDefault="00A77B3E">
      <w:pPr>
        <w:spacing w:line="360" w:lineRule="auto"/>
        <w:jc w:val="both"/>
      </w:pPr>
    </w:p>
    <w:p w14:paraId="07310E65" w14:textId="77777777" w:rsidR="00A77B3E" w:rsidRDefault="00C54E98">
      <w:pPr>
        <w:spacing w:line="360" w:lineRule="auto"/>
        <w:jc w:val="both"/>
      </w:pPr>
      <w:r>
        <w:rPr>
          <w:rFonts w:ascii="Book Antiqua" w:eastAsia="Book Antiqua" w:hAnsi="Book Antiqua" w:cs="Book Antiqua"/>
          <w:b/>
          <w:caps/>
          <w:color w:val="000000"/>
          <w:u w:val="single"/>
        </w:rPr>
        <w:t>MATERIALS AND METHODS</w:t>
      </w:r>
    </w:p>
    <w:p w14:paraId="0001F1A4" w14:textId="77777777" w:rsidR="00A77B3E" w:rsidRPr="00DB2D06" w:rsidRDefault="00C54E98">
      <w:pPr>
        <w:spacing w:line="360" w:lineRule="auto"/>
        <w:jc w:val="both"/>
        <w:rPr>
          <w:b/>
        </w:rPr>
      </w:pPr>
      <w:bookmarkStart w:id="71" w:name="OLE_LINK98"/>
      <w:bookmarkStart w:id="72" w:name="OLE_LINK99"/>
      <w:r w:rsidRPr="00DB2D06">
        <w:rPr>
          <w:rFonts w:ascii="Book Antiqua" w:eastAsia="Book Antiqua" w:hAnsi="Book Antiqua" w:cs="Book Antiqua"/>
          <w:b/>
          <w:i/>
          <w:iCs/>
          <w:color w:val="000000"/>
        </w:rPr>
        <w:t>Ethics</w:t>
      </w:r>
    </w:p>
    <w:p w14:paraId="659FD5DA" w14:textId="77777777" w:rsidR="00A77B3E" w:rsidRDefault="00C54E9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Appropriate ethics approvals were attained across all participating sites at the original time of data collection. No additional ethics approvals were required for the purpose of this study. </w:t>
      </w:r>
    </w:p>
    <w:p w14:paraId="3FDBEBA8" w14:textId="77777777" w:rsidR="00DB2D06" w:rsidRPr="00DB2D06" w:rsidRDefault="00DB2D06">
      <w:pPr>
        <w:spacing w:line="360" w:lineRule="auto"/>
        <w:jc w:val="both"/>
        <w:rPr>
          <w:lang w:eastAsia="zh-CN"/>
        </w:rPr>
      </w:pPr>
    </w:p>
    <w:p w14:paraId="72EC5D1A" w14:textId="77777777" w:rsidR="00A77B3E" w:rsidRPr="00DB2D06" w:rsidRDefault="00C54E98">
      <w:pPr>
        <w:spacing w:line="360" w:lineRule="auto"/>
        <w:jc w:val="both"/>
        <w:rPr>
          <w:b/>
        </w:rPr>
      </w:pPr>
      <w:r w:rsidRPr="00DB2D06">
        <w:rPr>
          <w:rFonts w:ascii="Book Antiqua" w:eastAsia="Book Antiqua" w:hAnsi="Book Antiqua" w:cs="Book Antiqua"/>
          <w:b/>
          <w:i/>
          <w:iCs/>
          <w:color w:val="000000"/>
        </w:rPr>
        <w:t>Participants</w:t>
      </w:r>
    </w:p>
    <w:p w14:paraId="70BC9CD0" w14:textId="77777777" w:rsidR="00A77B3E" w:rsidRDefault="00C54E98">
      <w:pPr>
        <w:spacing w:line="360" w:lineRule="auto"/>
        <w:jc w:val="both"/>
      </w:pPr>
      <w:r>
        <w:rPr>
          <w:rFonts w:ascii="Book Antiqua" w:eastAsia="Book Antiqua" w:hAnsi="Book Antiqua" w:cs="Book Antiqua"/>
          <w:color w:val="000000"/>
        </w:rPr>
        <w:t>Three prospectively collected datasets were merged and used for analysis, as follows.</w:t>
      </w:r>
    </w:p>
    <w:p w14:paraId="0ED8C6D6" w14:textId="77777777" w:rsidR="00A77B3E" w:rsidRDefault="00C54E98" w:rsidP="00DB2D06">
      <w:pPr>
        <w:spacing w:line="360" w:lineRule="auto"/>
        <w:ind w:firstLineChars="100" w:firstLine="240"/>
        <w:jc w:val="both"/>
      </w:pPr>
      <w:r w:rsidRPr="00DB2D06">
        <w:rPr>
          <w:rFonts w:ascii="Book Antiqua" w:eastAsia="Book Antiqua" w:hAnsi="Book Antiqua" w:cs="Book Antiqua"/>
          <w:iCs/>
          <w:color w:val="000000"/>
        </w:rPr>
        <w:t>The Registry</w:t>
      </w:r>
      <w:r w:rsidRPr="00DB2D06">
        <w:rPr>
          <w:rFonts w:ascii="Book Antiqua" w:eastAsia="Book Antiqua" w:hAnsi="Book Antiqua" w:cs="Book Antiqua"/>
          <w:iCs/>
          <w:color w:val="000000"/>
          <w:szCs w:val="30"/>
          <w:vertAlign w:val="superscript"/>
        </w:rPr>
        <w:t>[8]</w:t>
      </w:r>
      <w:r w:rsidRPr="00DB2D06">
        <w:rPr>
          <w:rFonts w:ascii="Book Antiqua" w:eastAsia="Book Antiqua" w:hAnsi="Book Antiqua" w:cs="Book Antiqua"/>
          <w:iCs/>
          <w:color w:val="000000"/>
        </w:rPr>
        <w:t>: The pediatric inflammatory bowel disease (IBD) collaborative research group registry.</w:t>
      </w:r>
      <w:r w:rsidR="00DB2D06">
        <w:rPr>
          <w:rFonts w:ascii="Book Antiqua" w:eastAsia="Book Antiqua" w:hAnsi="Book Antiqua" w:cs="Book Antiqua"/>
          <w:color w:val="000000"/>
        </w:rPr>
        <w:t xml:space="preserve"> Data from Canada and the U</w:t>
      </w:r>
      <w:r w:rsidR="00DB2D06">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were collected on children (&lt; 16 years old) newly diagnosed with IBD acr</w:t>
      </w:r>
      <w:r w:rsidR="00C037B2">
        <w:rPr>
          <w:rFonts w:ascii="Book Antiqua" w:eastAsia="Book Antiqua" w:hAnsi="Book Antiqua" w:cs="Book Antiqua"/>
          <w:color w:val="000000"/>
        </w:rPr>
        <w:t>oss 22 sites between 2002</w:t>
      </w:r>
      <w:r w:rsidR="00C037B2">
        <w:rPr>
          <w:rFonts w:ascii="Book Antiqua" w:hAnsi="Book Antiqua" w:cs="Book Antiqua" w:hint="eastAsia"/>
          <w:color w:val="000000"/>
          <w:lang w:eastAsia="zh-CN"/>
        </w:rPr>
        <w:t xml:space="preserve"> and </w:t>
      </w:r>
      <w:r>
        <w:rPr>
          <w:rFonts w:ascii="Book Antiqua" w:eastAsia="Book Antiqua" w:hAnsi="Book Antiqua" w:cs="Book Antiqua"/>
          <w:color w:val="000000"/>
        </w:rPr>
        <w:t>2014. For children with CD, PCDAI, as well as clinical and demographic characteristics, physician global assessment of disease activity, and therapies were recorded at time of diagnosis or at study enrolment, which sometimes differed by up to a few weeks (hereinafter r</w:t>
      </w:r>
      <w:r w:rsidR="00C037B2">
        <w:rPr>
          <w:rFonts w:ascii="Book Antiqua" w:eastAsia="Book Antiqua" w:hAnsi="Book Antiqua" w:cs="Book Antiqua"/>
          <w:color w:val="000000"/>
        </w:rPr>
        <w:t>eferred to as baseline), 30 d</w:t>
      </w:r>
      <w:r>
        <w:rPr>
          <w:rFonts w:ascii="Book Antiqua" w:eastAsia="Book Antiqua" w:hAnsi="Book Antiqua" w:cs="Book Antiqua"/>
          <w:color w:val="000000"/>
        </w:rPr>
        <w:t xml:space="preserve"> after diagnosis, and then quarterly. Children were not selected for inclusion based on disease severity. In the current study, data from baseline, first quarter (Q1), and at 1-year post diagnosis (Q4) were extracted for 414 children with PCDAI scores available.</w:t>
      </w:r>
    </w:p>
    <w:p w14:paraId="2D50A92E" w14:textId="77777777" w:rsidR="00A77B3E" w:rsidRDefault="00C54E98" w:rsidP="00C037B2">
      <w:pPr>
        <w:spacing w:line="360" w:lineRule="auto"/>
        <w:ind w:firstLineChars="100" w:firstLine="240"/>
        <w:jc w:val="both"/>
      </w:pPr>
      <w:r w:rsidRPr="00C037B2">
        <w:rPr>
          <w:rFonts w:ascii="Book Antiqua" w:eastAsia="Book Antiqua" w:hAnsi="Book Antiqua" w:cs="Book Antiqua"/>
          <w:iCs/>
          <w:color w:val="000000"/>
        </w:rPr>
        <w:t>The REACH study</w:t>
      </w:r>
      <w:r w:rsidRPr="00C037B2">
        <w:rPr>
          <w:rFonts w:ascii="Book Antiqua" w:eastAsia="Book Antiqua" w:hAnsi="Book Antiqua" w:cs="Book Antiqua"/>
          <w:iCs/>
          <w:color w:val="000000"/>
          <w:szCs w:val="30"/>
          <w:vertAlign w:val="superscript"/>
        </w:rPr>
        <w:t>[4]</w:t>
      </w:r>
      <w:r w:rsidRPr="00C037B2">
        <w:rPr>
          <w:rFonts w:ascii="Book Antiqua" w:eastAsia="Book Antiqua" w:hAnsi="Book Antiqua" w:cs="Book Antiqua"/>
          <w:iCs/>
          <w:color w:val="000000"/>
        </w:rPr>
        <w:t xml:space="preserve">: Clinical trial of infliximab use in pediatric CD. </w:t>
      </w:r>
      <w:r w:rsidRPr="00C037B2">
        <w:rPr>
          <w:rFonts w:ascii="Book Antiqua" w:eastAsia="Book Antiqua" w:hAnsi="Book Antiqua" w:cs="Book Antiqua"/>
          <w:color w:val="000000"/>
        </w:rPr>
        <w:t>This randomized</w:t>
      </w:r>
      <w:r>
        <w:rPr>
          <w:rFonts w:ascii="Book Antiqua" w:eastAsia="Book Antiqua" w:hAnsi="Book Antiqua" w:cs="Book Antiqua"/>
          <w:color w:val="000000"/>
        </w:rPr>
        <w:t xml:space="preserve"> controlled trial of infliximab use included 112 children 6-17 years old who had moderate to severe CD (PCDAI &gt; 30) at baseli</w:t>
      </w:r>
      <w:r w:rsidR="00C037B2">
        <w:rPr>
          <w:rFonts w:ascii="Book Antiqua" w:eastAsia="Book Antiqua" w:hAnsi="Book Antiqua" w:cs="Book Antiqua"/>
          <w:color w:val="000000"/>
        </w:rPr>
        <w:t>ne. This trial involved a 10-w</w:t>
      </w:r>
      <w:r>
        <w:rPr>
          <w:rFonts w:ascii="Book Antiqua" w:eastAsia="Book Antiqua" w:hAnsi="Book Antiqua" w:cs="Book Antiqua"/>
          <w:color w:val="000000"/>
        </w:rPr>
        <w:t xml:space="preserve">k induction phase, followed by a 1-year maintenance phase. Data at baseline, 10 wk (considered Q1), and 1-year (Q4) were extracted for the current study. </w:t>
      </w:r>
    </w:p>
    <w:p w14:paraId="0A770E59" w14:textId="77777777" w:rsidR="00A77B3E" w:rsidRDefault="00C54E98" w:rsidP="00C037B2">
      <w:pPr>
        <w:spacing w:line="360" w:lineRule="auto"/>
        <w:ind w:firstLineChars="100" w:firstLine="240"/>
        <w:jc w:val="both"/>
      </w:pPr>
      <w:r w:rsidRPr="00C037B2">
        <w:rPr>
          <w:rFonts w:ascii="Book Antiqua" w:eastAsia="Book Antiqua" w:hAnsi="Book Antiqua" w:cs="Book Antiqua"/>
          <w:iCs/>
          <w:color w:val="000000"/>
        </w:rPr>
        <w:t>The IMAgINE trial</w:t>
      </w:r>
      <w:r w:rsidRPr="00C037B2">
        <w:rPr>
          <w:rFonts w:ascii="Book Antiqua" w:eastAsia="Book Antiqua" w:hAnsi="Book Antiqua" w:cs="Book Antiqua"/>
          <w:iCs/>
          <w:color w:val="000000"/>
          <w:szCs w:val="30"/>
          <w:vertAlign w:val="superscript"/>
        </w:rPr>
        <w:t>[32]</w:t>
      </w:r>
      <w:r w:rsidRPr="00C037B2">
        <w:rPr>
          <w:rFonts w:ascii="Book Antiqua" w:eastAsia="Book Antiqua" w:hAnsi="Book Antiqua" w:cs="Book Antiqua"/>
          <w:iCs/>
          <w:color w:val="000000"/>
        </w:rPr>
        <w:t xml:space="preserve">: Clinical trial of adalimumab use in pediatric CD. </w:t>
      </w:r>
      <w:r w:rsidRPr="00C037B2">
        <w:rPr>
          <w:rFonts w:ascii="Book Antiqua" w:eastAsia="Book Antiqua" w:hAnsi="Book Antiqua" w:cs="Book Antiqua"/>
          <w:color w:val="000000"/>
        </w:rPr>
        <w:t>In this randomized</w:t>
      </w:r>
      <w:r>
        <w:rPr>
          <w:rFonts w:ascii="Book Antiqua" w:eastAsia="Book Antiqua" w:hAnsi="Book Antiqua" w:cs="Book Antiqua"/>
          <w:color w:val="000000"/>
        </w:rPr>
        <w:t xml:space="preserve"> controlled trial, 192 patients between 6 and 17 years old, with moderate to severe CD (PCDAI &gt;</w:t>
      </w:r>
      <w:r w:rsidR="000A0187">
        <w:rPr>
          <w:rFonts w:ascii="Book Antiqua" w:hAnsi="Book Antiqua" w:cs="Book Antiqua" w:hint="eastAsia"/>
          <w:color w:val="000000"/>
          <w:lang w:eastAsia="zh-CN"/>
        </w:rPr>
        <w:t xml:space="preserve"> </w:t>
      </w:r>
      <w:r>
        <w:rPr>
          <w:rFonts w:ascii="Book Antiqua" w:eastAsia="Book Antiqua" w:hAnsi="Book Antiqua" w:cs="Book Antiqua"/>
          <w:color w:val="000000"/>
        </w:rPr>
        <w:t>30) received open-label adalimumab at baseline and at 2 wk before being randomized in blinded fashion at week 4 to high or low dose alternate weekly adalimumab maintenance for an additional 48 wk. Patients were stratified prior to randomization by week 4 responder status and prior exposure to infliximab. Data for the current study were extracted at baseline, 12 wk (Q1) and 52 wk post-treatment initiation (Q4).</w:t>
      </w:r>
    </w:p>
    <w:p w14:paraId="146E2E7F" w14:textId="77777777" w:rsidR="000A0187" w:rsidRDefault="000A0187">
      <w:pPr>
        <w:spacing w:line="360" w:lineRule="auto"/>
        <w:jc w:val="both"/>
        <w:rPr>
          <w:rFonts w:ascii="Book Antiqua" w:hAnsi="Book Antiqua" w:cs="Book Antiqua"/>
          <w:i/>
          <w:iCs/>
          <w:color w:val="000000"/>
          <w:lang w:eastAsia="zh-CN"/>
        </w:rPr>
      </w:pPr>
    </w:p>
    <w:p w14:paraId="61FA8085" w14:textId="77777777" w:rsidR="00A77B3E" w:rsidRPr="000A0187" w:rsidRDefault="00C54E98">
      <w:pPr>
        <w:spacing w:line="360" w:lineRule="auto"/>
        <w:jc w:val="both"/>
        <w:rPr>
          <w:b/>
        </w:rPr>
      </w:pPr>
      <w:r w:rsidRPr="000A0187">
        <w:rPr>
          <w:rFonts w:ascii="Book Antiqua" w:eastAsia="Book Antiqua" w:hAnsi="Book Antiqua" w:cs="Book Antiqua"/>
          <w:b/>
          <w:i/>
          <w:iCs/>
          <w:color w:val="000000"/>
        </w:rPr>
        <w:t>Measures</w:t>
      </w:r>
    </w:p>
    <w:p w14:paraId="62216BF8" w14:textId="641951C4" w:rsidR="00A77B3E" w:rsidRDefault="00C54E98">
      <w:pPr>
        <w:spacing w:line="360" w:lineRule="auto"/>
        <w:jc w:val="both"/>
      </w:pPr>
      <w:r>
        <w:rPr>
          <w:rFonts w:ascii="Book Antiqua" w:eastAsia="Book Antiqua" w:hAnsi="Book Antiqua" w:cs="Book Antiqua"/>
          <w:color w:val="000000"/>
        </w:rPr>
        <w:t>The original version of the 11-item PCDAI (</w:t>
      </w:r>
      <w:r w:rsidRPr="000A0187">
        <w:rPr>
          <w:rFonts w:ascii="Book Antiqua" w:eastAsia="Book Antiqua" w:hAnsi="Book Antiqua" w:cs="Book Antiqua"/>
          <w:i/>
          <w:color w:val="000000"/>
        </w:rPr>
        <w:t>i</w:t>
      </w:r>
      <w:r w:rsidR="000A0187" w:rsidRPr="000A0187">
        <w:rPr>
          <w:rFonts w:ascii="Book Antiqua" w:hAnsi="Book Antiqua" w:cs="Book Antiqua" w:hint="eastAsia"/>
          <w:i/>
          <w:color w:val="000000"/>
          <w:lang w:eastAsia="zh-CN"/>
        </w:rPr>
        <w:t>.</w:t>
      </w:r>
      <w:r w:rsidRPr="000A0187">
        <w:rPr>
          <w:rFonts w:ascii="Book Antiqua" w:eastAsia="Book Antiqua" w:hAnsi="Book Antiqua" w:cs="Book Antiqua"/>
          <w:i/>
          <w:color w:val="000000"/>
        </w:rPr>
        <w:t>e.</w:t>
      </w:r>
      <w:r w:rsidR="00591669">
        <w:rPr>
          <w:rFonts w:ascii="Book Antiqua" w:eastAsia="Book Antiqua" w:hAnsi="Book Antiqua" w:cs="Book Antiqua"/>
          <w:i/>
          <w:color w:val="000000"/>
        </w:rPr>
        <w:t>,</w:t>
      </w:r>
      <w:r>
        <w:rPr>
          <w:rFonts w:ascii="Book Antiqua" w:eastAsia="Book Antiqua" w:hAnsi="Book Antiqua" w:cs="Book Antiqua"/>
          <w:color w:val="000000"/>
        </w:rPr>
        <w:t xml:space="preserve"> non-weighted) was used in this study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as this was in keeping with how data were collected, scored, and analyzed in each of the original studies. The PCDAI was used to assess disease activity, with the acknowledgement that there is no current gold standard of disease activity in pediatric CD assessment. Severity for each item is assigned a score of 0 (normal), 5 (mild abnormality), or 10 (severe abnormality) except for hematocrit and ESR which are scored as 0, 2.5, or 5. A minimum total index score is zero, and a maximum score is 100. Remission was defined as a total PCDAI score ≤</w:t>
      </w:r>
      <w:r w:rsidR="000A0187">
        <w:rPr>
          <w:rFonts w:ascii="Book Antiqua" w:hAnsi="Book Antiqua" w:cs="Book Antiqua" w:hint="eastAsia"/>
          <w:color w:val="000000"/>
          <w:lang w:eastAsia="zh-CN"/>
        </w:rPr>
        <w:t xml:space="preserve"> </w:t>
      </w:r>
      <w:r>
        <w:rPr>
          <w:rFonts w:ascii="Book Antiqua" w:eastAsia="Book Antiqua" w:hAnsi="Book Antiqua" w:cs="Book Antiqua"/>
          <w:color w:val="000000"/>
        </w:rPr>
        <w:t>10, congruent with the REACH and IMAgINE trials</w:t>
      </w:r>
      <w:r w:rsidR="000A0187">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3737FA63" w14:textId="77777777" w:rsidR="000A0187" w:rsidRDefault="000A0187">
      <w:pPr>
        <w:spacing w:line="360" w:lineRule="auto"/>
        <w:jc w:val="both"/>
        <w:rPr>
          <w:rFonts w:ascii="Book Antiqua" w:hAnsi="Book Antiqua" w:cs="Book Antiqua"/>
          <w:i/>
          <w:iCs/>
          <w:color w:val="000000"/>
          <w:lang w:eastAsia="zh-CN"/>
        </w:rPr>
      </w:pPr>
    </w:p>
    <w:p w14:paraId="798D7404" w14:textId="77777777" w:rsidR="00A77B3E" w:rsidRPr="000A0187" w:rsidRDefault="00C54E98">
      <w:pPr>
        <w:spacing w:line="360" w:lineRule="auto"/>
        <w:jc w:val="both"/>
        <w:rPr>
          <w:b/>
        </w:rPr>
      </w:pPr>
      <w:r w:rsidRPr="000A0187">
        <w:rPr>
          <w:rFonts w:ascii="Book Antiqua" w:eastAsia="Book Antiqua" w:hAnsi="Book Antiqua" w:cs="Book Antiqua"/>
          <w:b/>
          <w:i/>
          <w:iCs/>
          <w:color w:val="000000"/>
        </w:rPr>
        <w:t>Data acquisition</w:t>
      </w:r>
    </w:p>
    <w:p w14:paraId="42A8A54E" w14:textId="77777777" w:rsidR="00A77B3E" w:rsidRDefault="00C54E98">
      <w:pPr>
        <w:spacing w:line="360" w:lineRule="auto"/>
        <w:jc w:val="both"/>
      </w:pPr>
      <w:r>
        <w:rPr>
          <w:rFonts w:ascii="Book Antiqua" w:eastAsia="Book Antiqua" w:hAnsi="Book Antiqua" w:cs="Book Antiqua"/>
          <w:color w:val="000000"/>
        </w:rPr>
        <w:t>Relevant raw data were provided from each of the studies and were merged for group analysis. Basic demographic characteristics (age, gender, disease duration), and PCDAI scores at the above-mentioned time points were included. Physician Global Assessment (REACH, Registry), Subject and Parent Global Assessment (REACH), as well as IMPACT, a 35-item health related quality of life self-report measure for paediatric IBD patients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(REACH, Registry) were also provided, but were not included in the current analysis. Only data relevant to the proposed analyses were provided, thus, for further information on disease location, or types of treatment, please see the original manuscripts for the REACH</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IMAgINE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trials.</w:t>
      </w:r>
    </w:p>
    <w:p w14:paraId="5ADA71E2" w14:textId="77777777" w:rsidR="000A0187" w:rsidRDefault="000A0187">
      <w:pPr>
        <w:spacing w:line="360" w:lineRule="auto"/>
        <w:jc w:val="both"/>
        <w:rPr>
          <w:rFonts w:ascii="Book Antiqua" w:hAnsi="Book Antiqua" w:cs="Book Antiqua"/>
          <w:i/>
          <w:iCs/>
          <w:color w:val="000000"/>
          <w:lang w:eastAsia="zh-CN"/>
        </w:rPr>
      </w:pPr>
    </w:p>
    <w:p w14:paraId="094FCF0F" w14:textId="77777777" w:rsidR="00A77B3E" w:rsidRPr="000A0187" w:rsidRDefault="00C54E98">
      <w:pPr>
        <w:spacing w:line="360" w:lineRule="auto"/>
        <w:jc w:val="both"/>
        <w:rPr>
          <w:b/>
        </w:rPr>
      </w:pPr>
      <w:r w:rsidRPr="000A0187">
        <w:rPr>
          <w:rFonts w:ascii="Book Antiqua" w:eastAsia="Book Antiqua" w:hAnsi="Book Antiqua" w:cs="Book Antiqua"/>
          <w:b/>
          <w:i/>
          <w:iCs/>
          <w:color w:val="000000"/>
        </w:rPr>
        <w:t>Inclusion criteria</w:t>
      </w:r>
    </w:p>
    <w:p w14:paraId="55C731C3" w14:textId="77777777" w:rsidR="00A77B3E" w:rsidRDefault="00C54E98">
      <w:pPr>
        <w:spacing w:line="360" w:lineRule="auto"/>
        <w:jc w:val="both"/>
      </w:pPr>
      <w:r>
        <w:rPr>
          <w:rFonts w:ascii="Book Antiqua" w:eastAsia="Book Antiqua" w:hAnsi="Book Antiqua" w:cs="Book Antiqua"/>
          <w:color w:val="000000"/>
        </w:rPr>
        <w:t>Only participants with complete PCDAI data at baseline (i.e. had a score for each item on the questionnaire) were included. Thus, sample sizes for clinical trial datasets differ from the original reports, which used different missing data rules (</w:t>
      </w:r>
      <w:r w:rsidRPr="003F35DD">
        <w:rPr>
          <w:rFonts w:ascii="Book Antiqua" w:eastAsia="Book Antiqua" w:hAnsi="Book Antiqua" w:cs="Book Antiqua"/>
          <w:i/>
          <w:color w:val="000000"/>
        </w:rPr>
        <w:t>e.g.</w:t>
      </w:r>
      <w:r>
        <w:rPr>
          <w:rFonts w:ascii="Book Antiqua" w:eastAsia="Book Antiqua" w:hAnsi="Book Antiqua" w:cs="Book Antiqua"/>
          <w:color w:val="000000"/>
        </w:rPr>
        <w:t>, last value carried forward) as appropriate to the methodology of each respective trial. Sample sizes differ when examining change in PCDAI scores over time, as not all participants had complete data at each respective timepoint. Data were determined to be missing at random (</w:t>
      </w:r>
      <w:r w:rsidRPr="003F35DD">
        <w:rPr>
          <w:rFonts w:ascii="Book Antiqua" w:eastAsia="Book Antiqua" w:hAnsi="Book Antiqua" w:cs="Book Antiqua"/>
          <w:i/>
          <w:color w:val="000000"/>
        </w:rPr>
        <w:t>i.e.</w:t>
      </w:r>
      <w:r>
        <w:rPr>
          <w:rFonts w:ascii="Book Antiqua" w:eastAsia="Book Antiqua" w:hAnsi="Book Antiqua" w:cs="Book Antiqua"/>
          <w:color w:val="000000"/>
        </w:rPr>
        <w:t xml:space="preserve"> did not attend scheduled follow-up appointment, some clinical or laboratory data parameters not collected due to established PCDAI feasibility issues). </w:t>
      </w:r>
    </w:p>
    <w:p w14:paraId="55CCF256" w14:textId="77777777" w:rsidR="003F35DD" w:rsidRDefault="003F35DD">
      <w:pPr>
        <w:spacing w:line="360" w:lineRule="auto"/>
        <w:jc w:val="both"/>
        <w:rPr>
          <w:rFonts w:ascii="Book Antiqua" w:hAnsi="Book Antiqua" w:cs="Book Antiqua"/>
          <w:i/>
          <w:iCs/>
          <w:color w:val="000000"/>
          <w:lang w:eastAsia="zh-CN"/>
        </w:rPr>
      </w:pPr>
    </w:p>
    <w:p w14:paraId="3279A7AF" w14:textId="77777777" w:rsidR="00A77B3E" w:rsidRPr="003F35DD" w:rsidRDefault="003F35DD">
      <w:pPr>
        <w:spacing w:line="360" w:lineRule="auto"/>
        <w:jc w:val="both"/>
        <w:rPr>
          <w:b/>
        </w:rPr>
      </w:pPr>
      <w:r w:rsidRPr="003F35DD">
        <w:rPr>
          <w:rFonts w:ascii="Book Antiqua" w:eastAsia="Book Antiqua" w:hAnsi="Book Antiqua" w:cs="Book Antiqua"/>
          <w:b/>
          <w:i/>
          <w:iCs/>
          <w:color w:val="000000"/>
        </w:rPr>
        <w:t>Statistical analysis</w:t>
      </w:r>
    </w:p>
    <w:p w14:paraId="0022A145" w14:textId="77777777" w:rsidR="00A77B3E" w:rsidRDefault="00C54E98">
      <w:pPr>
        <w:spacing w:line="360" w:lineRule="auto"/>
        <w:jc w:val="both"/>
      </w:pPr>
      <w:r>
        <w:rPr>
          <w:rFonts w:ascii="Book Antiqua" w:eastAsia="Book Antiqua" w:hAnsi="Book Antiqua" w:cs="Book Antiqua"/>
          <w:color w:val="000000"/>
        </w:rPr>
        <w:t xml:space="preserve">Differences in demographic characteristics and baseline scores for participants with and without complete PCDAI data at each timepoint were compared using Independent samples Mann-Whitney U tests. PCDAI change scores were calculated by subtracting the score at baseline from the score at each follow-up time point (either Q1 or Q4, as appropriate). Repeated measures general linear models were run, which examined the mean change from baseline to Q1 and from baseline to Q4 for individual PCDAI items. Fisher’s least significant difference tests for pairwise comparisons were run within the general linear model to examine the rank order of change scores across items. Multivariate linear regressions were run to examine the relative contribution of individual PCDAI change scores (entered in weighted units) from baseline to total disease activity at Q1 and Q4. Unstandardized beta values are reported. Subsequent models were run to examine the relative performance of subjective and objective item change scores that significantly contributed to the overall score at Q1 and Q4 follow-up, as well as models looking at only those items that significantly contributed to the overall score at each follow-up time point. </w:t>
      </w:r>
    </w:p>
    <w:p w14:paraId="4B918C7D" w14:textId="77777777" w:rsidR="00A77B3E" w:rsidRDefault="00C54E98" w:rsidP="00C5387C">
      <w:pPr>
        <w:spacing w:line="360" w:lineRule="auto"/>
        <w:ind w:firstLineChars="100" w:firstLine="240"/>
        <w:jc w:val="both"/>
      </w:pPr>
      <w:r>
        <w:rPr>
          <w:rFonts w:ascii="Book Antiqua" w:eastAsia="Book Antiqua" w:hAnsi="Book Antiqua" w:cs="Book Antiqua"/>
          <w:color w:val="000000"/>
        </w:rPr>
        <w:t xml:space="preserve">Serial receiver operating characteristic curves (ROC) were run to determine the optimal total score cut-point that differentiates between remitters and non-remitters for the two subscales containing subjective items and objective items. The best cut-off score maximized sensitivity and specificity, corresponding to the upper left shoulder of the ROC curve. The cut-points were then used to examine how well subjective and objective scales alone would similarly classify patients as achieving remission (remitters) </w:t>
      </w:r>
      <w:r>
        <w:rPr>
          <w:rFonts w:ascii="Book Antiqua" w:eastAsia="Book Antiqua" w:hAnsi="Book Antiqua" w:cs="Book Antiqua"/>
          <w:i/>
          <w:iCs/>
          <w:color w:val="000000"/>
        </w:rPr>
        <w:t>vs</w:t>
      </w:r>
      <w:r>
        <w:rPr>
          <w:rFonts w:ascii="Book Antiqua" w:eastAsia="Book Antiqua" w:hAnsi="Book Antiqua" w:cs="Book Antiqua"/>
          <w:color w:val="000000"/>
        </w:rPr>
        <w:t xml:space="preserve"> non-remitters compared to the full PCDAI scale score. </w:t>
      </w:r>
    </w:p>
    <w:p w14:paraId="29C768A3" w14:textId="40B1118A" w:rsidR="00A77B3E" w:rsidRDefault="00C54E98" w:rsidP="00C5387C">
      <w:pPr>
        <w:spacing w:line="360" w:lineRule="auto"/>
        <w:ind w:firstLineChars="100" w:firstLine="240"/>
        <w:jc w:val="both"/>
      </w:pPr>
      <w:r>
        <w:rPr>
          <w:rFonts w:ascii="Book Antiqua" w:eastAsia="Book Antiqua" w:hAnsi="Book Antiqua" w:cs="Book Antiqua"/>
          <w:color w:val="000000"/>
        </w:rPr>
        <w:t>All analyses were carried out using SPSS V24.0 (Chicago, IL</w:t>
      </w:r>
      <w:r w:rsidR="00591669">
        <w:rPr>
          <w:rFonts w:ascii="Book Antiqua" w:eastAsia="Book Antiqua" w:hAnsi="Book Antiqua" w:cs="Book Antiqua"/>
          <w:color w:val="000000"/>
        </w:rPr>
        <w:t>, United States</w:t>
      </w:r>
      <w:r>
        <w:rPr>
          <w:rFonts w:ascii="Book Antiqua" w:eastAsia="Book Antiqua" w:hAnsi="Book Antiqua" w:cs="Book Antiqua"/>
          <w:color w:val="000000"/>
        </w:rPr>
        <w:t>).</w:t>
      </w:r>
      <w:bookmarkEnd w:id="71"/>
      <w:bookmarkEnd w:id="72"/>
    </w:p>
    <w:p w14:paraId="6205F32E" w14:textId="77777777" w:rsidR="00A77B3E" w:rsidRDefault="00A77B3E">
      <w:pPr>
        <w:spacing w:line="360" w:lineRule="auto"/>
        <w:jc w:val="both"/>
      </w:pPr>
    </w:p>
    <w:p w14:paraId="194F0DDF" w14:textId="77777777" w:rsidR="00A77B3E" w:rsidRDefault="00C54E98">
      <w:pPr>
        <w:spacing w:line="360" w:lineRule="auto"/>
        <w:jc w:val="both"/>
      </w:pPr>
      <w:r>
        <w:rPr>
          <w:rFonts w:ascii="Book Antiqua" w:eastAsia="Book Antiqua" w:hAnsi="Book Antiqua" w:cs="Book Antiqua"/>
          <w:b/>
          <w:caps/>
          <w:color w:val="000000"/>
          <w:u w:val="single"/>
        </w:rPr>
        <w:t>RESULTS</w:t>
      </w:r>
    </w:p>
    <w:p w14:paraId="08D3D58B" w14:textId="77777777" w:rsidR="00A77B3E" w:rsidRDefault="00C54E98">
      <w:pPr>
        <w:spacing w:line="360" w:lineRule="auto"/>
        <w:jc w:val="both"/>
      </w:pPr>
      <w:bookmarkStart w:id="73" w:name="OLE_LINK100"/>
      <w:bookmarkStart w:id="74" w:name="OLE_LINK101"/>
      <w:r>
        <w:rPr>
          <w:rFonts w:ascii="Book Antiqua" w:eastAsia="Book Antiqua" w:hAnsi="Book Antiqua" w:cs="Book Antiqua"/>
          <w:color w:val="000000"/>
        </w:rPr>
        <w:t xml:space="preserve">A total of 703 children, with full PCDAI data at baseline, were included in the current study (Table 1). Patients enrolled in the Registry were all at diagnosis, of varying disease severity, and treated per physician dictate, not by protocol. Patients enrolled in the REACH and IMAGINE studies had moderate to severe disease activity at study entry, had a mean disease duration of approximately two years since diagnosis, and were treated by the clinical trial protocol. Basic demographic information, including age, disease duration, and mean PCDAI scores, are presented separately for each dataset as the Registry sample was significantly different than each of the trials with respect to age at baseline (younger), age at diagnosis (younger), and baseline PCDAI (lower) (all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C5387C">
        <w:rPr>
          <w:rFonts w:ascii="Book Antiqua" w:hAnsi="Book Antiqua" w:cs="Book Antiqua" w:hint="eastAsia"/>
          <w:color w:val="000000"/>
          <w:lang w:eastAsia="zh-CN"/>
        </w:rPr>
        <w:t>0</w:t>
      </w:r>
      <w:r>
        <w:rPr>
          <w:rFonts w:ascii="Book Antiqua" w:eastAsia="Book Antiqua" w:hAnsi="Book Antiqua" w:cs="Book Antiqua"/>
          <w:color w:val="000000"/>
        </w:rPr>
        <w:t>.001).</w:t>
      </w:r>
      <w:r w:rsidR="004E6C22">
        <w:rPr>
          <w:rFonts w:ascii="Book Antiqua" w:eastAsia="Book Antiqua" w:hAnsi="Book Antiqua" w:cs="Book Antiqua"/>
          <w:color w:val="000000"/>
        </w:rPr>
        <w:t xml:space="preserve"> </w:t>
      </w:r>
      <w:r>
        <w:rPr>
          <w:rFonts w:ascii="Book Antiqua" w:eastAsia="Book Antiqua" w:hAnsi="Book Antiqua" w:cs="Book Antiqua"/>
          <w:color w:val="000000"/>
        </w:rPr>
        <w:t>The data were then merged and analyzed together for all subsequent analyses, as the goal with merging the data was to have a diverse and representative sample. Sample sizes differ for each follow-up time point as some participants had incomplete PCDAI data at those follow-ups. There were some differences between those who had full PCDAI data at Q1 (</w:t>
      </w:r>
      <w:r>
        <w:rPr>
          <w:rFonts w:ascii="Book Antiqua" w:eastAsia="Book Antiqua" w:hAnsi="Book Antiqua" w:cs="Book Antiqua"/>
          <w:i/>
          <w:iCs/>
          <w:color w:val="000000"/>
        </w:rPr>
        <w:t>n</w:t>
      </w:r>
      <w:r>
        <w:rPr>
          <w:rFonts w:ascii="Book Antiqua" w:eastAsia="Book Antiqua" w:hAnsi="Book Antiqua" w:cs="Book Antiqua"/>
          <w:color w:val="000000"/>
        </w:rPr>
        <w:t xml:space="preserve"> = 670), as participants who did not have full Q1 data (</w:t>
      </w:r>
      <w:r>
        <w:rPr>
          <w:rFonts w:ascii="Book Antiqua" w:eastAsia="Book Antiqua" w:hAnsi="Book Antiqua" w:cs="Book Antiqua"/>
          <w:i/>
          <w:iCs/>
          <w:color w:val="000000"/>
        </w:rPr>
        <w:t>n</w:t>
      </w:r>
      <w:r>
        <w:rPr>
          <w:rFonts w:ascii="Book Antiqua" w:eastAsia="Book Antiqua" w:hAnsi="Book Antiqua" w:cs="Book Antiqua"/>
          <w:color w:val="000000"/>
        </w:rPr>
        <w:t xml:space="preserve"> = 39) were somewhat older (13.5</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2.3 </w:t>
      </w:r>
      <w:r w:rsidRPr="00C5387C">
        <w:rPr>
          <w:rFonts w:ascii="Book Antiqua" w:eastAsia="Book Antiqua" w:hAnsi="Book Antiqua" w:cs="Book Antiqua"/>
          <w:i/>
          <w:color w:val="000000"/>
        </w:rPr>
        <w:t>vs</w:t>
      </w:r>
      <w:r>
        <w:rPr>
          <w:rFonts w:ascii="Book Antiqua" w:eastAsia="Book Antiqua" w:hAnsi="Book Antiqua" w:cs="Book Antiqua"/>
          <w:color w:val="000000"/>
        </w:rPr>
        <w:t xml:space="preserve"> 12.5</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2.8 years,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C5387C">
        <w:rPr>
          <w:rFonts w:ascii="Book Antiqua" w:hAnsi="Book Antiqua" w:cs="Book Antiqua" w:hint="eastAsia"/>
          <w:color w:val="000000"/>
          <w:lang w:eastAsia="zh-CN"/>
        </w:rPr>
        <w:t>0</w:t>
      </w:r>
      <w:r>
        <w:rPr>
          <w:rFonts w:ascii="Book Antiqua" w:eastAsia="Book Antiqua" w:hAnsi="Book Antiqua" w:cs="Book Antiqua"/>
          <w:color w:val="000000"/>
        </w:rPr>
        <w:t>.059), but were significantly younger at diagnosis (10.2</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2.9 </w:t>
      </w:r>
      <w:r w:rsidRPr="00C5387C">
        <w:rPr>
          <w:rFonts w:ascii="Book Antiqua" w:eastAsia="Book Antiqua" w:hAnsi="Book Antiqua" w:cs="Book Antiqua"/>
          <w:i/>
          <w:color w:val="000000"/>
        </w:rPr>
        <w:t>vs</w:t>
      </w:r>
      <w:r>
        <w:rPr>
          <w:rFonts w:ascii="Book Antiqua" w:eastAsia="Book Antiqua" w:hAnsi="Book Antiqua" w:cs="Book Antiqua"/>
          <w:color w:val="000000"/>
        </w:rPr>
        <w:t xml:space="preserve"> 11.5</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2.8 years,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C5387C">
        <w:rPr>
          <w:rFonts w:ascii="Book Antiqua" w:hAnsi="Book Antiqua" w:cs="Book Antiqua" w:hint="eastAsia"/>
          <w:color w:val="000000"/>
          <w:lang w:eastAsia="zh-CN"/>
        </w:rPr>
        <w:t>0</w:t>
      </w:r>
      <w:r>
        <w:rPr>
          <w:rFonts w:ascii="Book Antiqua" w:eastAsia="Book Antiqua" w:hAnsi="Book Antiqua" w:cs="Book Antiqua"/>
          <w:color w:val="000000"/>
        </w:rPr>
        <w:t>.004), and had higher baseline PCDAI scores (42.1</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9.6 </w:t>
      </w:r>
      <w:r w:rsidRPr="00C5387C">
        <w:rPr>
          <w:rFonts w:ascii="Book Antiqua" w:eastAsia="Book Antiqua" w:hAnsi="Book Antiqua" w:cs="Book Antiqua"/>
          <w:i/>
          <w:color w:val="000000"/>
        </w:rPr>
        <w:t>vs</w:t>
      </w:r>
      <w:r>
        <w:rPr>
          <w:rFonts w:ascii="Book Antiqua" w:eastAsia="Book Antiqua" w:hAnsi="Book Antiqua" w:cs="Book Antiqua"/>
          <w:color w:val="000000"/>
        </w:rPr>
        <w:t xml:space="preserve"> 34.9</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13.7,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C5387C">
        <w:rPr>
          <w:rFonts w:ascii="Book Antiqua" w:hAnsi="Book Antiqua" w:cs="Book Antiqua" w:hint="eastAsia"/>
          <w:color w:val="000000"/>
          <w:lang w:eastAsia="zh-CN"/>
        </w:rPr>
        <w:t>0</w:t>
      </w:r>
      <w:r>
        <w:rPr>
          <w:rFonts w:ascii="Book Antiqua" w:eastAsia="Book Antiqua" w:hAnsi="Book Antiqua" w:cs="Book Antiqua"/>
          <w:color w:val="000000"/>
        </w:rPr>
        <w:t>.001). Participants who did not have full PCDAI data at Q4 (</w:t>
      </w:r>
      <w:r>
        <w:rPr>
          <w:rFonts w:ascii="Book Antiqua" w:eastAsia="Book Antiqua" w:hAnsi="Book Antiqua" w:cs="Book Antiqua"/>
          <w:i/>
          <w:iCs/>
          <w:color w:val="000000"/>
        </w:rPr>
        <w:t>n</w:t>
      </w:r>
      <w:r>
        <w:rPr>
          <w:rFonts w:ascii="Book Antiqua" w:eastAsia="Book Antiqua" w:hAnsi="Book Antiqua" w:cs="Book Antiqua"/>
          <w:color w:val="000000"/>
        </w:rPr>
        <w:t xml:space="preserve"> = 235) were significantly younger (12.0</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2.7 </w:t>
      </w:r>
      <w:r w:rsidRPr="00C5387C">
        <w:rPr>
          <w:rFonts w:ascii="Book Antiqua" w:eastAsia="Book Antiqua" w:hAnsi="Book Antiqua" w:cs="Book Antiqua"/>
          <w:i/>
          <w:color w:val="000000"/>
        </w:rPr>
        <w:t>vs</w:t>
      </w:r>
      <w:r>
        <w:rPr>
          <w:rFonts w:ascii="Book Antiqua" w:eastAsia="Book Antiqua" w:hAnsi="Book Antiqua" w:cs="Book Antiqua"/>
          <w:color w:val="000000"/>
        </w:rPr>
        <w:t xml:space="preserve"> 12.8</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2.8,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C5387C">
        <w:rPr>
          <w:rFonts w:ascii="Book Antiqua" w:hAnsi="Book Antiqua" w:cs="Book Antiqua" w:hint="eastAsia"/>
          <w:color w:val="000000"/>
          <w:lang w:eastAsia="zh-CN"/>
        </w:rPr>
        <w:t>0</w:t>
      </w:r>
      <w:r>
        <w:rPr>
          <w:rFonts w:ascii="Book Antiqua" w:eastAsia="Book Antiqua" w:hAnsi="Book Antiqua" w:cs="Book Antiqua"/>
          <w:color w:val="000000"/>
        </w:rPr>
        <w:t>.001) and had lower baseline PCDAI scores (32.3</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14.7 </w:t>
      </w:r>
      <w:r w:rsidRPr="00C5387C">
        <w:rPr>
          <w:rFonts w:ascii="Book Antiqua" w:eastAsia="Book Antiqua" w:hAnsi="Book Antiqua" w:cs="Book Antiqua"/>
          <w:i/>
          <w:color w:val="000000"/>
        </w:rPr>
        <w:t>vs</w:t>
      </w:r>
      <w:r>
        <w:rPr>
          <w:rFonts w:ascii="Book Antiqua" w:eastAsia="Book Antiqua" w:hAnsi="Book Antiqua" w:cs="Book Antiqua"/>
          <w:color w:val="000000"/>
        </w:rPr>
        <w:t xml:space="preserve"> 36.89</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12.7,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C5387C">
        <w:rPr>
          <w:rFonts w:ascii="Book Antiqua" w:hAnsi="Book Antiqua" w:cs="Book Antiqua" w:hint="eastAsia"/>
          <w:color w:val="000000"/>
          <w:lang w:eastAsia="zh-CN"/>
        </w:rPr>
        <w:t>0</w:t>
      </w:r>
      <w:r>
        <w:rPr>
          <w:rFonts w:ascii="Book Antiqua" w:eastAsia="Book Antiqua" w:hAnsi="Book Antiqua" w:cs="Book Antiqua"/>
          <w:color w:val="000000"/>
        </w:rPr>
        <w:t>.001) compared to those with full PCDAI data at Q4 (</w:t>
      </w:r>
      <w:r>
        <w:rPr>
          <w:rFonts w:ascii="Book Antiqua" w:eastAsia="Book Antiqua" w:hAnsi="Book Antiqua" w:cs="Book Antiqua"/>
          <w:i/>
          <w:iCs/>
          <w:color w:val="000000"/>
        </w:rPr>
        <w:t>n</w:t>
      </w:r>
      <w:r>
        <w:rPr>
          <w:rFonts w:ascii="Book Antiqua" w:eastAsia="Book Antiqua" w:hAnsi="Book Antiqua" w:cs="Book Antiqua"/>
          <w:color w:val="000000"/>
        </w:rPr>
        <w:t xml:space="preserve"> = 474). There were no differences in gender distribution between those who did and did not have complete data at each time</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point (both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&gt; </w:t>
      </w:r>
      <w:r w:rsidR="00C5387C">
        <w:rPr>
          <w:rFonts w:ascii="Book Antiqua" w:hAnsi="Book Antiqua" w:cs="Book Antiqua" w:hint="eastAsia"/>
          <w:color w:val="000000"/>
          <w:lang w:eastAsia="zh-CN"/>
        </w:rPr>
        <w:t>0</w:t>
      </w:r>
      <w:r>
        <w:rPr>
          <w:rFonts w:ascii="Book Antiqua" w:eastAsia="Book Antiqua" w:hAnsi="Book Antiqua" w:cs="Book Antiqua"/>
          <w:color w:val="000000"/>
        </w:rPr>
        <w:t xml:space="preserve">.53). </w:t>
      </w:r>
    </w:p>
    <w:p w14:paraId="41B3EB72" w14:textId="77777777" w:rsidR="00A77B3E" w:rsidRPr="00FE0F7D" w:rsidRDefault="00C54E98" w:rsidP="00C5387C">
      <w:pPr>
        <w:spacing w:line="360" w:lineRule="auto"/>
        <w:ind w:firstLineChars="100" w:firstLine="240"/>
        <w:jc w:val="both"/>
        <w:rPr>
          <w:lang w:eastAsia="zh-CN"/>
        </w:rPr>
      </w:pPr>
      <w:r>
        <w:rPr>
          <w:rFonts w:ascii="Book Antiqua" w:eastAsia="Book Antiqua" w:hAnsi="Book Antiqua" w:cs="Book Antiqua"/>
          <w:color w:val="000000"/>
        </w:rPr>
        <w:t>The mean absolute change of individual PCDAI items was examined over time for individuals who had complete PCDAI data from baseline to Q1 (</w:t>
      </w:r>
      <w:r>
        <w:rPr>
          <w:rFonts w:ascii="Book Antiqua" w:eastAsia="Book Antiqua" w:hAnsi="Book Antiqua" w:cs="Book Antiqua"/>
          <w:i/>
          <w:iCs/>
          <w:color w:val="000000"/>
        </w:rPr>
        <w:t>n</w:t>
      </w:r>
      <w:r>
        <w:rPr>
          <w:rFonts w:ascii="Book Antiqua" w:eastAsia="Book Antiqua" w:hAnsi="Book Antiqua" w:cs="Book Antiqua"/>
          <w:color w:val="000000"/>
        </w:rPr>
        <w:t xml:space="preserve"> = 670), and from baseline to Q4 (</w:t>
      </w:r>
      <w:r>
        <w:rPr>
          <w:rFonts w:ascii="Book Antiqua" w:eastAsia="Book Antiqua" w:hAnsi="Book Antiqua" w:cs="Book Antiqua"/>
          <w:i/>
          <w:iCs/>
          <w:color w:val="000000"/>
        </w:rPr>
        <w:t>n</w:t>
      </w:r>
      <w:r>
        <w:rPr>
          <w:rFonts w:ascii="Book Antiqua" w:eastAsia="Book Antiqua" w:hAnsi="Book Antiqua" w:cs="Book Antiqua"/>
          <w:color w:val="000000"/>
        </w:rPr>
        <w:t xml:space="preserve"> = 474) (Figure 1). Of note is that accurate comparisons of mean change can</w:t>
      </w:r>
      <w:r w:rsidR="00FE0F7D">
        <w:rPr>
          <w:rFonts w:ascii="Book Antiqua" w:eastAsia="Book Antiqua" w:hAnsi="Book Antiqua" w:cs="Book Antiqua"/>
          <w:color w:val="000000"/>
        </w:rPr>
        <w:t xml:space="preserve">not be made between hematocrit </w:t>
      </w:r>
      <w:r>
        <w:rPr>
          <w:rFonts w:ascii="Book Antiqua" w:eastAsia="Book Antiqua" w:hAnsi="Book Antiqua" w:cs="Book Antiqua"/>
          <w:color w:val="000000"/>
        </w:rPr>
        <w:t>or ESR and the other PCD</w:t>
      </w:r>
      <w:r w:rsidR="00FE0F7D">
        <w:rPr>
          <w:rFonts w:ascii="Book Antiqua" w:eastAsia="Book Antiqua" w:hAnsi="Book Antiqua" w:cs="Book Antiqua"/>
          <w:color w:val="000000"/>
        </w:rPr>
        <w:t>AI items as they are scored on</w:t>
      </w:r>
      <w:r>
        <w:rPr>
          <w:rFonts w:ascii="Book Antiqua" w:eastAsia="Book Antiqua" w:hAnsi="Book Antiqua" w:cs="Book Antiqua"/>
          <w:color w:val="000000"/>
        </w:rPr>
        <w:t xml:space="preserve"> 5-point </w:t>
      </w:r>
      <w:r>
        <w:rPr>
          <w:rFonts w:ascii="Book Antiqua" w:eastAsia="Book Antiqua" w:hAnsi="Book Antiqua" w:cs="Book Antiqua"/>
          <w:i/>
          <w:iCs/>
          <w:color w:val="000000"/>
        </w:rPr>
        <w:t>vs</w:t>
      </w:r>
      <w:r>
        <w:rPr>
          <w:rFonts w:ascii="Book Antiqua" w:eastAsia="Book Antiqua" w:hAnsi="Book Antiqua" w:cs="Book Antiqua"/>
          <w:color w:val="000000"/>
        </w:rPr>
        <w:t xml:space="preserve"> the 10-point scale of the other PCDAI items. The mean change of individual items was similar at both Q1 and Q4. Abdominal pain, well-being, weight, and stooling had a larger degree of change from baseline to Q1 and Q4 in comparison to the other items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FE0F7D">
        <w:rPr>
          <w:rFonts w:ascii="Book Antiqua" w:hAnsi="Book Antiqua" w:cs="Book Antiqua" w:hint="eastAsia"/>
          <w:color w:val="000000"/>
          <w:lang w:eastAsia="zh-CN"/>
        </w:rPr>
        <w:t>0</w:t>
      </w:r>
      <w:r>
        <w:rPr>
          <w:rFonts w:ascii="Book Antiqua" w:eastAsia="Book Antiqua" w:hAnsi="Book Antiqua" w:cs="Book Antiqua"/>
          <w:color w:val="000000"/>
        </w:rPr>
        <w:t>.05). Other objective indicators of disease activity followed, with albumin, abdominal exam, height velocity, and ESR being within the next four most highly ranked items showing similar degrees of absolute change over time to both follow-up time</w:t>
      </w:r>
      <w:r w:rsidR="00FE0F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points. </w:t>
      </w:r>
    </w:p>
    <w:p w14:paraId="2E5C45DD" w14:textId="7D1FFE0C" w:rsidR="00A77B3E" w:rsidRDefault="00C54E98" w:rsidP="00FE0F7D">
      <w:pPr>
        <w:spacing w:line="360" w:lineRule="auto"/>
        <w:ind w:firstLineChars="100" w:firstLine="240"/>
        <w:jc w:val="both"/>
      </w:pPr>
      <w:r>
        <w:rPr>
          <w:rFonts w:ascii="Book Antiqua" w:eastAsia="Book Antiqua" w:hAnsi="Book Antiqua" w:cs="Book Antiqua"/>
          <w:color w:val="000000"/>
        </w:rPr>
        <w:t xml:space="preserve">Two linear regression analyses were run to examine the contribution of individual PCDAI change scores to disease activity at Q1 and Q4 (Table 2). At Q1, abdominal pain, stooling, ESR, albumin, weight, height velocity, and perirectal examination were all significant predictors of disease activity (all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FE0F7D">
        <w:rPr>
          <w:rFonts w:ascii="Book Antiqua" w:hAnsi="Book Antiqua" w:cs="Book Antiqua" w:hint="eastAsia"/>
          <w:color w:val="000000"/>
          <w:lang w:eastAsia="zh-CN"/>
        </w:rPr>
        <w:t>0</w:t>
      </w:r>
      <w:r>
        <w:rPr>
          <w:rFonts w:ascii="Book Antiqua" w:eastAsia="Book Antiqua" w:hAnsi="Book Antiqua" w:cs="Book Antiqua"/>
          <w:color w:val="000000"/>
        </w:rPr>
        <w:t xml:space="preserve">.05). Three additional models were run: </w:t>
      </w:r>
      <w:r w:rsidR="00FE0F7D">
        <w:rPr>
          <w:rFonts w:ascii="Book Antiqua" w:hAnsi="Book Antiqua" w:cs="Book Antiqua" w:hint="eastAsia"/>
          <w:color w:val="000000"/>
          <w:lang w:eastAsia="zh-CN"/>
        </w:rPr>
        <w:t>(</w:t>
      </w:r>
      <w:r w:rsidR="00FE0F7D">
        <w:rPr>
          <w:rFonts w:ascii="Book Antiqua" w:eastAsia="Book Antiqua" w:hAnsi="Book Antiqua" w:cs="Book Antiqua"/>
          <w:color w:val="000000"/>
        </w:rPr>
        <w:t xml:space="preserve">1) </w:t>
      </w:r>
      <w:r w:rsidR="00591669">
        <w:rPr>
          <w:rFonts w:ascii="Book Antiqua" w:eastAsia="Book Antiqua" w:hAnsi="Book Antiqua" w:cs="Book Antiqua"/>
          <w:color w:val="000000"/>
        </w:rPr>
        <w:t>S</w:t>
      </w:r>
      <w:r w:rsidR="00FE0F7D">
        <w:rPr>
          <w:rFonts w:ascii="Book Antiqua" w:eastAsia="Book Antiqua" w:hAnsi="Book Antiqua" w:cs="Book Antiqua"/>
          <w:color w:val="000000"/>
        </w:rPr>
        <w:t>ubjective</w:t>
      </w:r>
      <w:r w:rsidR="00FE0F7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0F7D">
        <w:rPr>
          <w:rFonts w:ascii="Book Antiqua" w:hAnsi="Book Antiqua" w:cs="Book Antiqua" w:hint="eastAsia"/>
          <w:color w:val="000000"/>
          <w:lang w:eastAsia="zh-CN"/>
        </w:rPr>
        <w:t>(</w:t>
      </w:r>
      <w:r w:rsidR="00FE0F7D">
        <w:rPr>
          <w:rFonts w:ascii="Book Antiqua" w:eastAsia="Book Antiqua" w:hAnsi="Book Antiqua" w:cs="Book Antiqua"/>
          <w:color w:val="000000"/>
        </w:rPr>
        <w:t xml:space="preserve">2) </w:t>
      </w:r>
      <w:r w:rsidR="00591669">
        <w:rPr>
          <w:rFonts w:ascii="Book Antiqua" w:eastAsia="Book Antiqua" w:hAnsi="Book Antiqua" w:cs="Book Antiqua"/>
          <w:color w:val="000000"/>
        </w:rPr>
        <w:t>O</w:t>
      </w:r>
      <w:r w:rsidR="00FE0F7D">
        <w:rPr>
          <w:rFonts w:ascii="Book Antiqua" w:eastAsia="Book Antiqua" w:hAnsi="Book Antiqua" w:cs="Book Antiqua"/>
          <w:color w:val="000000"/>
        </w:rPr>
        <w:t>bjective</w:t>
      </w:r>
      <w:r w:rsidR="00FE0F7D">
        <w:rPr>
          <w:rFonts w:ascii="Book Antiqua" w:hAnsi="Book Antiqua" w:cs="Book Antiqua" w:hint="eastAsia"/>
          <w:color w:val="000000"/>
          <w:lang w:eastAsia="zh-CN"/>
        </w:rPr>
        <w:t>;</w:t>
      </w:r>
      <w:r>
        <w:rPr>
          <w:rFonts w:ascii="Book Antiqua" w:eastAsia="Book Antiqua" w:hAnsi="Book Antiqua" w:cs="Book Antiqua"/>
          <w:color w:val="000000"/>
        </w:rPr>
        <w:t xml:space="preserve"> or </w:t>
      </w:r>
      <w:r w:rsidR="00FE0F7D">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591669">
        <w:rPr>
          <w:rFonts w:ascii="Book Antiqua" w:eastAsia="Book Antiqua" w:hAnsi="Book Antiqua" w:cs="Book Antiqua"/>
          <w:color w:val="000000"/>
        </w:rPr>
        <w:t>A</w:t>
      </w:r>
      <w:r>
        <w:rPr>
          <w:rFonts w:ascii="Book Antiqua" w:eastAsia="Book Antiqua" w:hAnsi="Book Antiqua" w:cs="Book Antiqua"/>
          <w:color w:val="000000"/>
        </w:rPr>
        <w:t xml:space="preserve"> composite scale of PCDAI items that were significant predictors in the full model. All the models were significant (all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&lt;</w:t>
      </w:r>
      <w:r w:rsidR="00FE0F7D">
        <w:rPr>
          <w:rFonts w:ascii="Book Antiqua" w:hAnsi="Book Antiqua" w:cs="Book Antiqua" w:hint="eastAsia"/>
          <w:color w:val="000000"/>
          <w:lang w:eastAsia="zh-CN"/>
        </w:rPr>
        <w:t xml:space="preserve"> 0</w:t>
      </w:r>
      <w:r>
        <w:rPr>
          <w:rFonts w:ascii="Book Antiqua" w:eastAsia="Book Antiqua" w:hAnsi="Book Antiqua" w:cs="Book Antiqua"/>
          <w:color w:val="000000"/>
        </w:rPr>
        <w:t xml:space="preserve">.001), however, the proportion of variance accounted for by the PCDAI questions included was highest for the total and composite scales (both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w:t>
      </w:r>
      <w:r w:rsidR="00FE0F7D">
        <w:rPr>
          <w:rFonts w:ascii="Book Antiqua" w:hAnsi="Book Antiqua" w:cs="Book Antiqua" w:hint="eastAsia"/>
          <w:color w:val="000000"/>
          <w:lang w:eastAsia="zh-CN"/>
        </w:rPr>
        <w:t>0</w:t>
      </w:r>
      <w:r>
        <w:rPr>
          <w:rFonts w:ascii="Book Antiqua" w:eastAsia="Book Antiqua" w:hAnsi="Book Antiqua" w:cs="Book Antiqua"/>
          <w:color w:val="000000"/>
        </w:rPr>
        <w:t>.32), where less variance was accounted for on the models including only the subjective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w:t>
      </w:r>
      <w:r w:rsidR="00FE0F7D">
        <w:rPr>
          <w:rFonts w:ascii="Book Antiqua" w:hAnsi="Book Antiqua" w:cs="Book Antiqua" w:hint="eastAsia"/>
          <w:color w:val="000000"/>
          <w:lang w:eastAsia="zh-CN"/>
        </w:rPr>
        <w:t>0</w:t>
      </w:r>
      <w:r>
        <w:rPr>
          <w:rFonts w:ascii="Book Antiqua" w:eastAsia="Book Antiqua" w:hAnsi="Book Antiqua" w:cs="Book Antiqua"/>
          <w:color w:val="000000"/>
        </w:rPr>
        <w:t>.18) and objective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w:t>
      </w:r>
      <w:r w:rsidR="00FE0F7D">
        <w:rPr>
          <w:rFonts w:ascii="Book Antiqua" w:hAnsi="Book Antiqua" w:cs="Book Antiqua" w:hint="eastAsia"/>
          <w:color w:val="000000"/>
          <w:lang w:eastAsia="zh-CN"/>
        </w:rPr>
        <w:t>0</w:t>
      </w:r>
      <w:r>
        <w:rPr>
          <w:rFonts w:ascii="Book Antiqua" w:eastAsia="Book Antiqua" w:hAnsi="Book Antiqua" w:cs="Book Antiqua"/>
          <w:color w:val="000000"/>
        </w:rPr>
        <w:t>.21) items. Similar results were found at Q4, except that the PCDAI change scores from baseline to Q4 were also significant for well-being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FE0F7D">
        <w:rPr>
          <w:rFonts w:ascii="Book Antiqua" w:hAnsi="Book Antiqua" w:cs="Book Antiqua" w:hint="eastAsia"/>
          <w:color w:val="000000"/>
          <w:lang w:eastAsia="zh-CN"/>
        </w:rPr>
        <w:t>0</w:t>
      </w:r>
      <w:r>
        <w:rPr>
          <w:rFonts w:ascii="Book Antiqua" w:eastAsia="Book Antiqua" w:hAnsi="Book Antiqua" w:cs="Book Antiqua"/>
          <w:color w:val="000000"/>
        </w:rPr>
        <w:t>.001), abdominal exam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FE0F7D">
        <w:rPr>
          <w:rFonts w:ascii="Book Antiqua" w:hAnsi="Book Antiqua" w:cs="Book Antiqua" w:hint="eastAsia"/>
          <w:color w:val="000000"/>
          <w:lang w:eastAsia="zh-CN"/>
        </w:rPr>
        <w:t>0</w:t>
      </w:r>
      <w:r>
        <w:rPr>
          <w:rFonts w:ascii="Book Antiqua" w:eastAsia="Book Antiqua" w:hAnsi="Book Antiqua" w:cs="Book Antiqua"/>
          <w:color w:val="000000"/>
        </w:rPr>
        <w:t>.05), and extraintestinal manifestations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FE0F7D">
        <w:rPr>
          <w:rFonts w:ascii="Book Antiqua" w:hAnsi="Book Antiqua" w:cs="Book Antiqua" w:hint="eastAsia"/>
          <w:color w:val="000000"/>
          <w:lang w:eastAsia="zh-CN"/>
        </w:rPr>
        <w:t>0</w:t>
      </w:r>
      <w:r>
        <w:rPr>
          <w:rFonts w:ascii="Book Antiqua" w:eastAsia="Book Antiqua" w:hAnsi="Book Antiqua" w:cs="Book Antiqua"/>
          <w:color w:val="000000"/>
        </w:rPr>
        <w:t xml:space="preserve">.05). The three additional models also all accounted for a significant amount of variance (all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&lt;</w:t>
      </w:r>
      <w:r w:rsidR="00FE0F7D">
        <w:rPr>
          <w:rFonts w:ascii="Book Antiqua" w:hAnsi="Book Antiqua" w:cs="Book Antiqua" w:hint="eastAsia"/>
          <w:color w:val="000000"/>
          <w:lang w:eastAsia="zh-CN"/>
        </w:rPr>
        <w:t xml:space="preserve"> 0</w:t>
      </w:r>
      <w:r>
        <w:rPr>
          <w:rFonts w:ascii="Book Antiqua" w:eastAsia="Book Antiqua" w:hAnsi="Book Antiqua" w:cs="Book Antiqua"/>
          <w:color w:val="000000"/>
        </w:rPr>
        <w:t xml:space="preserve">.001), with the subjective scale at this time point also including well-being, and the objective scale included abdominal exam and extraintestinal manifestations, as previously discussed. Similar to Q1, more variance was accounted for by the full and composite models (both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w:t>
      </w:r>
      <w:r w:rsidR="00FE0F7D">
        <w:rPr>
          <w:rFonts w:ascii="Book Antiqua" w:hAnsi="Book Antiqua" w:cs="Book Antiqua" w:hint="eastAsia"/>
          <w:color w:val="000000"/>
          <w:lang w:eastAsia="zh-CN"/>
        </w:rPr>
        <w:t>0</w:t>
      </w:r>
      <w:r>
        <w:rPr>
          <w:rFonts w:ascii="Book Antiqua" w:eastAsia="Book Antiqua" w:hAnsi="Book Antiqua" w:cs="Book Antiqua"/>
          <w:color w:val="000000"/>
        </w:rPr>
        <w:t>.45), than for the subjective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w:t>
      </w:r>
      <w:r w:rsidR="00FE0F7D">
        <w:rPr>
          <w:rFonts w:ascii="Book Antiqua" w:hAnsi="Book Antiqua" w:cs="Book Antiqua" w:hint="eastAsia"/>
          <w:color w:val="000000"/>
          <w:lang w:eastAsia="zh-CN"/>
        </w:rPr>
        <w:t>0</w:t>
      </w:r>
      <w:r>
        <w:rPr>
          <w:rFonts w:ascii="Book Antiqua" w:eastAsia="Book Antiqua" w:hAnsi="Book Antiqua" w:cs="Book Antiqua"/>
          <w:color w:val="000000"/>
        </w:rPr>
        <w:t>.22) or objective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w:t>
      </w:r>
      <w:r w:rsidR="00FE0F7D">
        <w:rPr>
          <w:rFonts w:ascii="Book Antiqua" w:hAnsi="Book Antiqua" w:cs="Book Antiqua" w:hint="eastAsia"/>
          <w:color w:val="000000"/>
          <w:lang w:eastAsia="zh-CN"/>
        </w:rPr>
        <w:t>0</w:t>
      </w:r>
      <w:r>
        <w:rPr>
          <w:rFonts w:ascii="Book Antiqua" w:eastAsia="Book Antiqua" w:hAnsi="Book Antiqua" w:cs="Book Antiqua"/>
          <w:color w:val="000000"/>
        </w:rPr>
        <w:t>.36) models.</w:t>
      </w:r>
    </w:p>
    <w:p w14:paraId="24F0F3C6" w14:textId="01AB21D6" w:rsidR="00A77B3E" w:rsidRDefault="00C54E98" w:rsidP="00FE0F7D">
      <w:pPr>
        <w:spacing w:line="360" w:lineRule="auto"/>
        <w:ind w:firstLineChars="100" w:firstLine="240"/>
        <w:jc w:val="both"/>
      </w:pPr>
      <w:r>
        <w:rPr>
          <w:rFonts w:ascii="Book Antiqua" w:eastAsia="Book Antiqua" w:hAnsi="Book Antiqua" w:cs="Book Antiqua"/>
          <w:color w:val="000000"/>
        </w:rPr>
        <w:t>ROC curves were run to examine how well these sub-scales of subjective and objective items would function on their own, as a proxy to measure disease activity. Items included on the subjective and objective subscales were made based on which item change scores significantly predicted disease activity at the first follow-up (Q1) as this is a similar timeframe to many clinical trials and corresponds with the degree of clinical change observed during a feasible assessment time frame. Cut-points to define remission were defined at Q1 (</w:t>
      </w:r>
      <w:r>
        <w:rPr>
          <w:rFonts w:ascii="Book Antiqua" w:eastAsia="Book Antiqua" w:hAnsi="Book Antiqua" w:cs="Book Antiqua"/>
          <w:i/>
          <w:iCs/>
          <w:color w:val="000000"/>
        </w:rPr>
        <w:t>n</w:t>
      </w:r>
      <w:r>
        <w:rPr>
          <w:rFonts w:ascii="Book Antiqua" w:eastAsia="Book Antiqua" w:hAnsi="Book Antiqua" w:cs="Book Antiqua"/>
          <w:color w:val="000000"/>
        </w:rPr>
        <w:t xml:space="preserve"> = 670), using a composite of the significant subjective items (abdomin</w:t>
      </w:r>
      <w:r w:rsidR="00B354B6">
        <w:rPr>
          <w:rFonts w:ascii="Book Antiqua" w:eastAsia="Book Antiqua" w:hAnsi="Book Antiqua" w:cs="Book Antiqua"/>
          <w:color w:val="000000"/>
        </w:rPr>
        <w:t>al pain and stooling) (Figure 2</w:t>
      </w:r>
      <w:r w:rsidR="00B354B6">
        <w:rPr>
          <w:rFonts w:ascii="Book Antiqua" w:hAnsi="Book Antiqua" w:cs="Book Antiqua" w:hint="eastAsia"/>
          <w:color w:val="000000"/>
          <w:lang w:eastAsia="zh-CN"/>
        </w:rPr>
        <w:t>A</w:t>
      </w:r>
      <w:r>
        <w:rPr>
          <w:rFonts w:ascii="Book Antiqua" w:eastAsia="Book Antiqua" w:hAnsi="Book Antiqua" w:cs="Book Antiqua"/>
          <w:color w:val="000000"/>
        </w:rPr>
        <w:t>) and objective items (ESR, albumin, weight, height velocity, and pe</w:t>
      </w:r>
      <w:r w:rsidR="00B354B6">
        <w:rPr>
          <w:rFonts w:ascii="Book Antiqua" w:eastAsia="Book Antiqua" w:hAnsi="Book Antiqua" w:cs="Book Antiqua"/>
          <w:color w:val="000000"/>
        </w:rPr>
        <w:t>rirectal examination) (Figure 2</w:t>
      </w:r>
      <w:r w:rsidR="00B354B6">
        <w:rPr>
          <w:rFonts w:ascii="Book Antiqua" w:hAnsi="Book Antiqua" w:cs="Book Antiqua" w:hint="eastAsia"/>
          <w:color w:val="000000"/>
          <w:lang w:eastAsia="zh-CN"/>
        </w:rPr>
        <w:t>B</w:t>
      </w:r>
      <w:r>
        <w:rPr>
          <w:rFonts w:ascii="Book Antiqua" w:eastAsia="Book Antiqua" w:hAnsi="Book Antiqua" w:cs="Book Antiqua"/>
          <w:color w:val="000000"/>
        </w:rPr>
        <w:t>). A cut-point of ≤</w:t>
      </w:r>
      <w:r w:rsidR="00B354B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(out of a maximum score of 20) best defined remission for the subjective composite, based on an area under the curve of </w:t>
      </w:r>
      <w:r w:rsidR="00B354B6">
        <w:rPr>
          <w:rFonts w:ascii="Book Antiqua" w:hAnsi="Book Antiqua" w:cs="Book Antiqua" w:hint="eastAsia"/>
          <w:color w:val="000000"/>
          <w:lang w:eastAsia="zh-CN"/>
        </w:rPr>
        <w:t>0</w:t>
      </w:r>
      <w:r>
        <w:rPr>
          <w:rFonts w:ascii="Book Antiqua" w:eastAsia="Book Antiqua" w:hAnsi="Book Antiqua" w:cs="Book Antiqua"/>
          <w:color w:val="000000"/>
        </w:rPr>
        <w:t>.84 (95%CI</w:t>
      </w:r>
      <w:r w:rsidR="00591669">
        <w:rPr>
          <w:rFonts w:ascii="Book Antiqua" w:eastAsia="Book Antiqua" w:hAnsi="Book Antiqua" w:cs="Book Antiqua"/>
          <w:color w:val="000000"/>
        </w:rPr>
        <w:t>:</w:t>
      </w:r>
      <w:r>
        <w:rPr>
          <w:rFonts w:ascii="Book Antiqua" w:eastAsia="Book Antiqua" w:hAnsi="Book Antiqua" w:cs="Book Antiqua"/>
          <w:color w:val="000000"/>
        </w:rPr>
        <w:t xml:space="preserve"> </w:t>
      </w:r>
      <w:r w:rsidR="00B354B6">
        <w:rPr>
          <w:rFonts w:ascii="Book Antiqua" w:hAnsi="Book Antiqua" w:cs="Book Antiqua" w:hint="eastAsia"/>
          <w:color w:val="000000"/>
          <w:lang w:eastAsia="zh-CN"/>
        </w:rPr>
        <w:t>0</w:t>
      </w:r>
      <w:r>
        <w:rPr>
          <w:rFonts w:ascii="Book Antiqua" w:eastAsia="Book Antiqua" w:hAnsi="Book Antiqua" w:cs="Book Antiqua"/>
          <w:color w:val="000000"/>
        </w:rPr>
        <w:t>.80-</w:t>
      </w:r>
      <w:r w:rsidR="00B354B6">
        <w:rPr>
          <w:rFonts w:ascii="Book Antiqua" w:hAnsi="Book Antiqua" w:cs="Book Antiqua" w:hint="eastAsia"/>
          <w:color w:val="000000"/>
          <w:lang w:eastAsia="zh-CN"/>
        </w:rPr>
        <w:t>0</w:t>
      </w:r>
      <w:r>
        <w:rPr>
          <w:rFonts w:ascii="Book Antiqua" w:eastAsia="Book Antiqua" w:hAnsi="Book Antiqua" w:cs="Book Antiqua"/>
          <w:color w:val="000000"/>
        </w:rPr>
        <w:t>.87), with a sensitivity of 74% and a specificity of 83%. For the objective composite, a cut-point of ≤</w:t>
      </w:r>
      <w:r w:rsidR="00B354B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3.75 (out of 45) defined remission, with an area under the curve of </w:t>
      </w:r>
      <w:r w:rsidR="00B354B6">
        <w:rPr>
          <w:rFonts w:ascii="Book Antiqua" w:hAnsi="Book Antiqua" w:cs="Book Antiqua" w:hint="eastAsia"/>
          <w:color w:val="000000"/>
          <w:lang w:eastAsia="zh-CN"/>
        </w:rPr>
        <w:t>0</w:t>
      </w:r>
      <w:r>
        <w:rPr>
          <w:rFonts w:ascii="Book Antiqua" w:eastAsia="Book Antiqua" w:hAnsi="Book Antiqua" w:cs="Book Antiqua"/>
          <w:color w:val="000000"/>
        </w:rPr>
        <w:t>.85 (95%CI</w:t>
      </w:r>
      <w:r w:rsidR="00591669">
        <w:rPr>
          <w:rFonts w:ascii="Book Antiqua" w:eastAsia="Book Antiqua" w:hAnsi="Book Antiqua" w:cs="Book Antiqua"/>
          <w:color w:val="000000"/>
        </w:rPr>
        <w:t>:</w:t>
      </w:r>
      <w:r>
        <w:rPr>
          <w:rFonts w:ascii="Book Antiqua" w:eastAsia="Book Antiqua" w:hAnsi="Book Antiqua" w:cs="Book Antiqua"/>
          <w:color w:val="000000"/>
        </w:rPr>
        <w:t xml:space="preserve"> </w:t>
      </w:r>
      <w:r w:rsidR="00B354B6">
        <w:rPr>
          <w:rFonts w:ascii="Book Antiqua" w:hAnsi="Book Antiqua" w:cs="Book Antiqua" w:hint="eastAsia"/>
          <w:color w:val="000000"/>
          <w:lang w:eastAsia="zh-CN"/>
        </w:rPr>
        <w:t>0</w:t>
      </w:r>
      <w:r>
        <w:rPr>
          <w:rFonts w:ascii="Book Antiqua" w:eastAsia="Book Antiqua" w:hAnsi="Book Antiqua" w:cs="Book Antiqua"/>
          <w:color w:val="000000"/>
        </w:rPr>
        <w:t>.82-</w:t>
      </w:r>
      <w:r w:rsidR="00B354B6">
        <w:rPr>
          <w:rFonts w:ascii="Book Antiqua" w:hAnsi="Book Antiqua" w:cs="Book Antiqua" w:hint="eastAsia"/>
          <w:color w:val="000000"/>
          <w:lang w:eastAsia="zh-CN"/>
        </w:rPr>
        <w:t>0</w:t>
      </w:r>
      <w:r>
        <w:rPr>
          <w:rFonts w:ascii="Book Antiqua" w:eastAsia="Book Antiqua" w:hAnsi="Book Antiqua" w:cs="Book Antiqua"/>
          <w:color w:val="000000"/>
        </w:rPr>
        <w:t>.88), sensitivity of 71% and specificity of 78%.</w:t>
      </w:r>
    </w:p>
    <w:p w14:paraId="4AC4A728" w14:textId="77777777" w:rsidR="00A77B3E" w:rsidRDefault="00C54E98" w:rsidP="00B354B6">
      <w:pPr>
        <w:spacing w:line="360" w:lineRule="auto"/>
        <w:ind w:firstLineChars="100" w:firstLine="240"/>
        <w:jc w:val="both"/>
      </w:pPr>
      <w:r>
        <w:rPr>
          <w:rFonts w:ascii="Book Antiqua" w:eastAsia="Book Antiqua" w:hAnsi="Book Antiqua" w:cs="Book Antiqua"/>
          <w:color w:val="000000"/>
        </w:rPr>
        <w:t xml:space="preserve">Remission status at Q1 and Q4 was examined using subscales of subjective and objective items with the cut-points identified above to examine the comparability of using subscales compared to the full PCDAI (Table 3). This table demonstrates the proportion of patients that would be classified the same or different as the original PCDAI scale by using subscale scores only, thus either in remission (“remitters”) or having active disease (“non-remitters”). At Q1, of those classified as in remission using the full PCDAI, only 73.8% would be classified as in remission using the subjective subscale, and thus 26.2% of patients would be classified incorrectly. Using the objective scale, 71.5% of patients deemed remitters using the full PCDAI would be classified as being in remission. For patients not in remission using the full PCDAI, 16.7% would be differently classified using the subjective scale, and 21.2% using the objective scale. At Q4 73.7% of those in remission according to the full PCDAI scale would be in remission based on the subjective subscale, and 74.5% would be in remission according to the objective subscale. For those with active disease at Q4, 77.5% would be similarly defined as having active disease using the subjective subscale, and 72.0% would have active disease using the objective subscale. </w:t>
      </w:r>
      <w:bookmarkEnd w:id="73"/>
      <w:bookmarkEnd w:id="74"/>
    </w:p>
    <w:p w14:paraId="754D7428" w14:textId="77777777" w:rsidR="00A77B3E" w:rsidRDefault="00A77B3E">
      <w:pPr>
        <w:spacing w:line="360" w:lineRule="auto"/>
        <w:jc w:val="both"/>
      </w:pPr>
    </w:p>
    <w:p w14:paraId="376E1F70" w14:textId="77777777" w:rsidR="00A77B3E" w:rsidRDefault="00C54E98">
      <w:pPr>
        <w:spacing w:line="360" w:lineRule="auto"/>
        <w:jc w:val="both"/>
      </w:pPr>
      <w:r>
        <w:rPr>
          <w:rFonts w:ascii="Book Antiqua" w:eastAsia="Book Antiqua" w:hAnsi="Book Antiqua" w:cs="Book Antiqua"/>
          <w:b/>
          <w:caps/>
          <w:color w:val="000000"/>
          <w:u w:val="single"/>
        </w:rPr>
        <w:t>DISCUSSION</w:t>
      </w:r>
    </w:p>
    <w:p w14:paraId="16B8DDBD" w14:textId="77777777" w:rsidR="00A77B3E" w:rsidRDefault="00C54E98">
      <w:pPr>
        <w:spacing w:line="360" w:lineRule="auto"/>
        <w:jc w:val="both"/>
      </w:pPr>
      <w:bookmarkStart w:id="75" w:name="OLE_LINK102"/>
      <w:bookmarkStart w:id="76" w:name="OLE_LINK103"/>
      <w:r>
        <w:rPr>
          <w:rFonts w:ascii="Book Antiqua" w:eastAsia="Book Antiqua" w:hAnsi="Book Antiqua" w:cs="Book Antiqua"/>
          <w:color w:val="000000"/>
        </w:rPr>
        <w:t>In response to the FDA call for reevaluation of subcomponents of the PCDAI, and through work generated through the GREAT-III workshops, we have evaluated items on the PCDAI to determine the suitability of these subjective components in assessing disease ac</w:t>
      </w:r>
      <w:r w:rsidR="00B354B6">
        <w:rPr>
          <w:rFonts w:ascii="Book Antiqua" w:eastAsia="Book Antiqua" w:hAnsi="Book Antiqua" w:cs="Book Antiqua"/>
          <w:color w:val="000000"/>
        </w:rPr>
        <w:t>tivity on their own–</w:t>
      </w:r>
      <w:r>
        <w:rPr>
          <w:rFonts w:ascii="Book Antiqua" w:eastAsia="Book Antiqua" w:hAnsi="Book Antiqua" w:cs="Book Antiqua"/>
          <w:color w:val="000000"/>
        </w:rPr>
        <w:t xml:space="preserve">while we await the development of a PRO for pediatric </w:t>
      </w:r>
      <w:r w:rsidR="004E6C22">
        <w:rPr>
          <w:rFonts w:ascii="Book Antiqua" w:eastAsia="Book Antiqua" w:hAnsi="Book Antiqua" w:cs="Book Antiqua"/>
          <w:color w:val="000000"/>
        </w:rPr>
        <w:t>CD</w:t>
      </w:r>
      <w:r>
        <w:rPr>
          <w:rFonts w:ascii="Book Antiqua" w:eastAsia="Book Antiqua" w:hAnsi="Book Antiqua" w:cs="Book Antiqua"/>
          <w:color w:val="000000"/>
        </w:rPr>
        <w:t xml:space="preserve"> that fulfills FDA guidance. The results of this study indicate that relying on these items, as they are currently measured (</w:t>
      </w:r>
      <w:r w:rsidRPr="00B354B6">
        <w:rPr>
          <w:rFonts w:ascii="Book Antiqua" w:eastAsia="Book Antiqua" w:hAnsi="Book Antiqua" w:cs="Book Antiqua"/>
          <w:i/>
          <w:color w:val="000000"/>
        </w:rPr>
        <w:t>i</w:t>
      </w:r>
      <w:r w:rsidR="00B354B6" w:rsidRPr="00B354B6">
        <w:rPr>
          <w:rFonts w:ascii="Book Antiqua" w:hAnsi="Book Antiqua" w:cs="Book Antiqua" w:hint="eastAsia"/>
          <w:i/>
          <w:color w:val="000000"/>
          <w:lang w:eastAsia="zh-CN"/>
        </w:rPr>
        <w:t>.</w:t>
      </w:r>
      <w:r w:rsidRPr="00B354B6">
        <w:rPr>
          <w:rFonts w:ascii="Book Antiqua" w:eastAsia="Book Antiqua" w:hAnsi="Book Antiqua" w:cs="Book Antiqua"/>
          <w:i/>
          <w:color w:val="000000"/>
        </w:rPr>
        <w:t>e.</w:t>
      </w:r>
      <w:r>
        <w:rPr>
          <w:rFonts w:ascii="Book Antiqua" w:eastAsia="Book Antiqua" w:hAnsi="Book Antiqua" w:cs="Book Antiqua"/>
          <w:color w:val="000000"/>
        </w:rPr>
        <w:t xml:space="preserve">, clinician report, nominal variable scoring), they will not suffice as a substitution for a robust PRO outcome measure. However, the results do indicate that subjective items such as abdominal pain and stooling in the short-term, and well-being in a longer-term measurement are adequate indicators of disease activity and response to treatment. </w:t>
      </w:r>
    </w:p>
    <w:p w14:paraId="4D1F4B2A" w14:textId="77777777" w:rsidR="00A77B3E" w:rsidRDefault="00C54E98" w:rsidP="00B354B6">
      <w:pPr>
        <w:spacing w:line="360" w:lineRule="auto"/>
        <w:ind w:firstLineChars="100" w:firstLine="240"/>
        <w:jc w:val="both"/>
      </w:pPr>
      <w:r>
        <w:rPr>
          <w:rFonts w:ascii="Book Antiqua" w:eastAsia="Book Antiqua" w:hAnsi="Book Antiqua" w:cs="Book Antiqua"/>
          <w:color w:val="000000"/>
        </w:rPr>
        <w:t xml:space="preserve">We examined both absolute change in scores over time, in addition to looking at what change scores explained unique variance </w:t>
      </w:r>
      <w:r w:rsidR="00B354B6">
        <w:rPr>
          <w:rFonts w:ascii="Book Antiqua" w:eastAsia="Book Antiqua" w:hAnsi="Book Antiqua" w:cs="Book Antiqua"/>
          <w:color w:val="000000"/>
        </w:rPr>
        <w:t>in disease activity at a 3-mo</w:t>
      </w:r>
      <w:r>
        <w:rPr>
          <w:rFonts w:ascii="Book Antiqua" w:eastAsia="Book Antiqua" w:hAnsi="Book Antiqua" w:cs="Book Antiqua"/>
          <w:color w:val="000000"/>
        </w:rPr>
        <w:t xml:space="preserve"> and 1-year follow-up. Items that changed the most over this period were similar. Subjective items including abdominal pain, well-being, and stooling were consistently among the top four items that changed the most over these periods. The rank order of the remaining items varied across these two time points, although objective markers of disease activity including weight, albumin, and abdominal exam were amongst the next group of items that changed the most over time. Results were similar when looking at the unique contributions of the change in item scores to the follow-up total PCDAI score at each time point. However, well-being was not a</w:t>
      </w:r>
      <w:r w:rsidR="00B354B6">
        <w:rPr>
          <w:rFonts w:ascii="Book Antiqua" w:eastAsia="Book Antiqua" w:hAnsi="Book Antiqua" w:cs="Book Antiqua"/>
          <w:color w:val="000000"/>
        </w:rPr>
        <w:t xml:space="preserve"> unique predictor at the 3-mo</w:t>
      </w:r>
      <w:r>
        <w:rPr>
          <w:rFonts w:ascii="Book Antiqua" w:eastAsia="Book Antiqua" w:hAnsi="Book Antiqua" w:cs="Book Antiqua"/>
          <w:color w:val="000000"/>
        </w:rPr>
        <w:t xml:space="preserve"> follow-up, nor was abdominal exam. At the 1-year follow-up however, almost all the change scores from baseline to 1-year added unique variance to the total score, except for hematocrit. </w:t>
      </w:r>
    </w:p>
    <w:p w14:paraId="44936A3E" w14:textId="1D3DCFC8" w:rsidR="00A77B3E" w:rsidRDefault="00C54E98" w:rsidP="00B354B6">
      <w:pPr>
        <w:spacing w:line="360" w:lineRule="auto"/>
        <w:ind w:firstLineChars="100" w:firstLine="240"/>
        <w:jc w:val="both"/>
      </w:pPr>
      <w:r>
        <w:rPr>
          <w:rFonts w:ascii="Book Antiqua" w:eastAsia="Book Antiqua" w:hAnsi="Book Antiqua" w:cs="Book Antiqua"/>
          <w:color w:val="000000"/>
        </w:rPr>
        <w:t>Dominant PCDAI items (</w:t>
      </w:r>
      <w:r w:rsidRPr="00B354B6">
        <w:rPr>
          <w:rFonts w:ascii="Book Antiqua" w:eastAsia="Book Antiqua" w:hAnsi="Book Antiqua" w:cs="Book Antiqua"/>
          <w:i/>
          <w:color w:val="000000"/>
        </w:rPr>
        <w:t>i</w:t>
      </w:r>
      <w:r w:rsidR="00B354B6" w:rsidRPr="00B354B6">
        <w:rPr>
          <w:rFonts w:ascii="Book Antiqua" w:hAnsi="Book Antiqua" w:cs="Book Antiqua" w:hint="eastAsia"/>
          <w:i/>
          <w:color w:val="000000"/>
          <w:lang w:eastAsia="zh-CN"/>
        </w:rPr>
        <w:t>.</w:t>
      </w:r>
      <w:r w:rsidRPr="00B354B6">
        <w:rPr>
          <w:rFonts w:ascii="Book Antiqua" w:eastAsia="Book Antiqua" w:hAnsi="Book Antiqua" w:cs="Book Antiqua"/>
          <w:i/>
          <w:color w:val="000000"/>
        </w:rPr>
        <w:t>e.</w:t>
      </w:r>
      <w:r w:rsidR="00591669">
        <w:rPr>
          <w:rFonts w:ascii="Book Antiqua" w:eastAsia="Book Antiqua" w:hAnsi="Book Antiqua" w:cs="Book Antiqua"/>
          <w:i/>
          <w:color w:val="000000"/>
        </w:rPr>
        <w:t>,</w:t>
      </w:r>
      <w:r>
        <w:rPr>
          <w:rFonts w:ascii="Book Antiqua" w:eastAsia="Book Antiqua" w:hAnsi="Book Antiqua" w:cs="Book Antiqua"/>
          <w:color w:val="000000"/>
        </w:rPr>
        <w:t xml:space="preserve"> items that contributed significant, unique variance) were similar to previous work examining functioning of the PCDAI and the contribution of individual items to change in disease activity</w:t>
      </w:r>
      <w:r>
        <w:rPr>
          <w:rFonts w:ascii="Book Antiqua" w:eastAsia="Book Antiqua" w:hAnsi="Book Antiqua" w:cs="Book Antiqua"/>
          <w:color w:val="000000"/>
          <w:szCs w:val="30"/>
          <w:vertAlign w:val="superscript"/>
        </w:rPr>
        <w:t>[9]</w:t>
      </w:r>
      <w:r w:rsidR="005E0961">
        <w:rPr>
          <w:rFonts w:ascii="Book Antiqua" w:eastAsia="Book Antiqua" w:hAnsi="Book Antiqua" w:cs="Book Antiqua"/>
          <w:color w:val="000000"/>
        </w:rPr>
        <w:t>. At the 3-mo</w:t>
      </w:r>
      <w:r>
        <w:rPr>
          <w:rFonts w:ascii="Book Antiqua" w:eastAsia="Book Antiqua" w:hAnsi="Book Antiqua" w:cs="Book Antiqua"/>
          <w:color w:val="000000"/>
        </w:rPr>
        <w:t xml:space="preserve"> follow-up, well-being, hematocrit, abdominal exam, and extraintestinal manifestations did not explain unique variance in the total PCDAI score. This is similar to previous work demonstrating the limited responsiveness of specific items on the PCDAI, where abdominal exam, height, and hematocrit were removed from the currently recommended weighted PCDAI as they were found to be redundant in predicting change in disease activity as measured by physician global assessment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At the 1-year follow-up, change scores for all items contributed significant unique variance to the total PCDAI score except for hematocrit. The strength in the current work is the examination of change scores over a 1-year period, highlighting the composite nature of the PCDAI, and that the change in items such as height velocity, abdominal exam, and extraintestinal manifestations take a longer time to demonstrate statistically unique or meaningful change but are nonetheless important components of overall well-being and functioning in patients with CD.</w:t>
      </w:r>
    </w:p>
    <w:p w14:paraId="665F9A26" w14:textId="77777777" w:rsidR="00A77B3E" w:rsidRDefault="00C54E98" w:rsidP="005E0961">
      <w:pPr>
        <w:spacing w:line="360" w:lineRule="auto"/>
        <w:ind w:firstLineChars="100" w:firstLine="240"/>
        <w:jc w:val="both"/>
      </w:pPr>
      <w:r>
        <w:rPr>
          <w:rFonts w:ascii="Book Antiqua" w:eastAsia="Book Antiqua" w:hAnsi="Book Antiqua" w:cs="Book Antiqua"/>
          <w:color w:val="000000"/>
        </w:rPr>
        <w:t>Further examination of the subjective and objective subcomponents highlighted that change in both subcomponents over time does contribute significantly to disease activity. However, change in either subjective or objective groups of items on their own did not perform as well as the full-scale, or to a subgroup of questions (items that were significant unique predictors of total scores) that served as a composite measure of disease activity. If these subcomponents were used to classify patients into remission or active disease, a large portion of patients would be classified differently compared to using the full-sc</w:t>
      </w:r>
      <w:r w:rsidR="005E0961">
        <w:rPr>
          <w:rFonts w:ascii="Book Antiqua" w:eastAsia="Book Antiqua" w:hAnsi="Book Antiqua" w:cs="Book Antiqua"/>
          <w:color w:val="000000"/>
        </w:rPr>
        <w:t>ale. The outcomes at the 3-mo</w:t>
      </w:r>
      <w:r>
        <w:rPr>
          <w:rFonts w:ascii="Book Antiqua" w:eastAsia="Book Antiqua" w:hAnsi="Book Antiqua" w:cs="Book Antiqua"/>
          <w:color w:val="000000"/>
        </w:rPr>
        <w:t xml:space="preserve"> and 1-year assessments were similar, where approximately 25% of patients in remission with the full scale would be classified as having active disease with either the subjective or objective scales.</w:t>
      </w:r>
    </w:p>
    <w:p w14:paraId="7CA98489" w14:textId="77777777" w:rsidR="00A77B3E" w:rsidRDefault="00C54E98" w:rsidP="005E0961">
      <w:pPr>
        <w:spacing w:line="360" w:lineRule="auto"/>
        <w:ind w:firstLineChars="100" w:firstLine="240"/>
        <w:jc w:val="both"/>
      </w:pPr>
      <w:r>
        <w:rPr>
          <w:rFonts w:ascii="Book Antiqua" w:eastAsia="Book Antiqua" w:hAnsi="Book Antiqua" w:cs="Book Antiqua"/>
          <w:color w:val="000000"/>
        </w:rPr>
        <w:t>For patients with active disease, the percentage of patients misclassified ranged from about 16</w:t>
      </w:r>
      <w:r w:rsidR="00BF3EC3">
        <w:rPr>
          <w:rFonts w:ascii="Book Antiqua" w:hAnsi="Book Antiqua" w:cs="Book Antiqua" w:hint="eastAsia"/>
          <w:color w:val="000000"/>
          <w:lang w:eastAsia="zh-CN"/>
        </w:rPr>
        <w:t>%</w:t>
      </w:r>
      <w:r>
        <w:rPr>
          <w:rFonts w:ascii="Book Antiqua" w:eastAsia="Book Antiqua" w:hAnsi="Book Antiqua" w:cs="Book Antiqua"/>
          <w:color w:val="000000"/>
        </w:rPr>
        <w:t xml:space="preserve"> to 22% with the subjective scale, whereas the range was 21</w:t>
      </w:r>
      <w:r w:rsidR="00C10068">
        <w:rPr>
          <w:rFonts w:ascii="Book Antiqua" w:hAnsi="Book Antiqua" w:cs="Book Antiqua" w:hint="eastAsia"/>
          <w:color w:val="000000"/>
          <w:lang w:eastAsia="zh-CN"/>
        </w:rPr>
        <w:t>%</w:t>
      </w:r>
      <w:r>
        <w:rPr>
          <w:rFonts w:ascii="Book Antiqua" w:eastAsia="Book Antiqua" w:hAnsi="Book Antiqua" w:cs="Book Antiqua"/>
          <w:color w:val="000000"/>
        </w:rPr>
        <w:t xml:space="preserve"> to 28% misclassified with the objective scale at both follow-up time</w:t>
      </w:r>
      <w:r w:rsidR="00C10068">
        <w:rPr>
          <w:rFonts w:ascii="Book Antiqua" w:hAnsi="Book Antiqua" w:cs="Book Antiqua" w:hint="eastAsia"/>
          <w:color w:val="000000"/>
          <w:lang w:eastAsia="zh-CN"/>
        </w:rPr>
        <w:t xml:space="preserve"> </w:t>
      </w:r>
      <w:r>
        <w:rPr>
          <w:rFonts w:ascii="Book Antiqua" w:eastAsia="Book Antiqua" w:hAnsi="Book Antiqua" w:cs="Book Antiqua"/>
          <w:color w:val="000000"/>
        </w:rPr>
        <w:t>points. Although the composite of items showed similar performance to the full PCDAI, the goal of this work was not to recommend or endorse a composite PCDAI measure as this work has already been completed</w:t>
      </w:r>
      <w:r w:rsidR="00C10068">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our findings produced similar results as previously described. Rather, the focus of the current work around these smaller subgroups of items reflects the limited ability of either subjective or objective components alone, as measured on the PCDAI, to fully characterize disease activity. </w:t>
      </w:r>
    </w:p>
    <w:p w14:paraId="0E4E68B8" w14:textId="77777777" w:rsidR="00A77B3E" w:rsidRDefault="00C54E98" w:rsidP="00C10068">
      <w:pPr>
        <w:spacing w:line="360" w:lineRule="auto"/>
        <w:ind w:firstLineChars="100" w:firstLine="240"/>
        <w:jc w:val="both"/>
      </w:pPr>
      <w:r>
        <w:rPr>
          <w:rFonts w:ascii="Book Antiqua" w:eastAsia="Book Antiqua" w:hAnsi="Book Antiqua" w:cs="Book Antiqua"/>
          <w:color w:val="000000"/>
        </w:rPr>
        <w:t>Our study has several limitations, where the main limitation in the current work is the lack of “gold standard” measurement of disease activity beyond physician global assessment. The examination of the change in subjective and objective items on the PCDAI was compared over time but in relation to measurement of disease activity with the same measure at follow-up time</w:t>
      </w:r>
      <w:r w:rsidR="00C10068">
        <w:rPr>
          <w:rFonts w:ascii="Book Antiqua" w:hAnsi="Book Antiqua" w:cs="Book Antiqua" w:hint="eastAsia"/>
          <w:color w:val="000000"/>
          <w:lang w:eastAsia="zh-CN"/>
        </w:rPr>
        <w:t xml:space="preserve"> </w:t>
      </w:r>
      <w:r>
        <w:rPr>
          <w:rFonts w:ascii="Book Antiqua" w:eastAsia="Book Antiqua" w:hAnsi="Book Antiqua" w:cs="Book Antiqua"/>
          <w:color w:val="000000"/>
        </w:rPr>
        <w:t>points. Other work in trying to assess the psychometric properties of existing measures of disease activity in pediatric CD has found limited correlation with objective measurement of mucosal inflammation with the Simple Endoscopic Score for CD</w:t>
      </w:r>
      <w:r w:rsidR="00C10068">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Additionally, work to identify biomarkers that accurately identify disease activity in pediatric CD is ongoing</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but currently suggest that fecal calprotectin and C-reactive protein are reliable markers with utility in management of a patient’s condition</w:t>
      </w:r>
      <w:r>
        <w:rPr>
          <w:rFonts w:ascii="Book Antiqua" w:eastAsia="Book Antiqua" w:hAnsi="Book Antiqua" w:cs="Book Antiqua"/>
          <w:color w:val="000000"/>
          <w:szCs w:val="30"/>
          <w:vertAlign w:val="superscript"/>
        </w:rPr>
        <w:t>[35]</w:t>
      </w:r>
      <w:r w:rsidR="00893C0B">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These indices also demonstrate limited correlation with C-reactive protein, and a poor correlation with fecal calprotectin</w:t>
      </w:r>
      <w:r w:rsidR="00893C0B">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sidR="00893C0B">
        <w:rPr>
          <w:rFonts w:ascii="Book Antiqua" w:hAnsi="Book Antiqua" w:cs="Book Antiqua" w:hint="eastAsia"/>
          <w:color w:val="000000"/>
          <w:lang w:eastAsia="zh-CN"/>
        </w:rPr>
        <w:t>.</w:t>
      </w:r>
      <w:r>
        <w:rPr>
          <w:rFonts w:ascii="Book Antiqua" w:eastAsia="Book Antiqua" w:hAnsi="Book Antiqua" w:cs="Book Antiqua"/>
          <w:color w:val="000000"/>
        </w:rPr>
        <w:t xml:space="preserve"> Although there were some differences (younger at diagnosis, higher disease activity at baseline) between participants who had complete follow-up data at 1 year and those who did not, these differences were not considered problematic in the context of the current study. The objective of this study was to examine performance of the PCDAI rather than response to treatment, thus differences between those with and without complete data were not thought to be influential factors that would affect outcomes. In the absence of a universal gold standard measure, the current study is a first step in further understanding the functioning of subjective and objective assessment of disease activity as measured on the primary outcome </w:t>
      </w:r>
      <w:r w:rsidR="00893C0B">
        <w:rPr>
          <w:rFonts w:ascii="Book Antiqua" w:eastAsia="Book Antiqua" w:hAnsi="Book Antiqua" w:cs="Book Antiqua"/>
          <w:color w:val="000000"/>
        </w:rPr>
        <w:t>measure used in clinical trials</w:t>
      </w:r>
      <w:r w:rsidR="00893C0B">
        <w:rPr>
          <w:rFonts w:ascii="Book Antiqua" w:hAnsi="Book Antiqua" w:cs="Book Antiqua" w:hint="eastAsia"/>
          <w:color w:val="000000"/>
          <w:lang w:eastAsia="zh-CN"/>
        </w:rPr>
        <w:t>-</w:t>
      </w:r>
      <w:r>
        <w:rPr>
          <w:rFonts w:ascii="Book Antiqua" w:eastAsia="Book Antiqua" w:hAnsi="Book Antiqua" w:cs="Book Antiqua"/>
          <w:color w:val="000000"/>
        </w:rPr>
        <w:t xml:space="preserve">the PCDAI. </w:t>
      </w:r>
    </w:p>
    <w:p w14:paraId="71141283" w14:textId="77777777" w:rsidR="00A77B3E" w:rsidRDefault="00C54E98" w:rsidP="00893C0B">
      <w:pPr>
        <w:spacing w:line="360" w:lineRule="auto"/>
        <w:ind w:firstLineChars="100" w:firstLine="240"/>
        <w:jc w:val="both"/>
      </w:pPr>
      <w:r>
        <w:rPr>
          <w:rFonts w:ascii="Book Antiqua" w:eastAsia="Book Antiqua" w:hAnsi="Book Antiqua" w:cs="Book Antiqua"/>
          <w:color w:val="000000"/>
        </w:rPr>
        <w:t>Without a pediatric CD PRO ready for use, it is tempting to consider using measures already in existence to serve as an interim substitution. However, our study found that looking at subjective items alone in a large sample of patients with a range of disease activity is likely to misclassify many of these patients by relying on subjective items alone. Although subjective items on the PCDAI change the most over time, these items do not capture disease activity as well as a composite of PCDAI items containing both subjective and objective components, or in comparison to the full PCDAI scale. It is not surprising that a composite scale might outperform individual items given the protean nature of CD. This may be particularly relevant when looking over longer periods of time when changes in growth parameters may be more evident.</w:t>
      </w:r>
      <w:bookmarkEnd w:id="75"/>
      <w:bookmarkEnd w:id="76"/>
      <w:r>
        <w:rPr>
          <w:rFonts w:ascii="Book Antiqua" w:eastAsia="Book Antiqua" w:hAnsi="Book Antiqua" w:cs="Book Antiqua"/>
          <w:color w:val="000000"/>
        </w:rPr>
        <w:t xml:space="preserve"> </w:t>
      </w:r>
    </w:p>
    <w:p w14:paraId="2A172A38" w14:textId="77777777" w:rsidR="00A77B3E" w:rsidRDefault="00A77B3E">
      <w:pPr>
        <w:spacing w:line="360" w:lineRule="auto"/>
        <w:jc w:val="both"/>
      </w:pPr>
    </w:p>
    <w:p w14:paraId="55BB7F48" w14:textId="77777777" w:rsidR="00A77B3E" w:rsidRDefault="00C54E98">
      <w:pPr>
        <w:spacing w:line="360" w:lineRule="auto"/>
        <w:jc w:val="both"/>
      </w:pPr>
      <w:r>
        <w:rPr>
          <w:rFonts w:ascii="Book Antiqua" w:eastAsia="Book Antiqua" w:hAnsi="Book Antiqua" w:cs="Book Antiqua"/>
          <w:b/>
          <w:caps/>
          <w:color w:val="000000"/>
          <w:u w:val="single"/>
        </w:rPr>
        <w:t>CONCLUSION</w:t>
      </w:r>
    </w:p>
    <w:p w14:paraId="150EDE4D" w14:textId="6758F89C" w:rsidR="00A77B3E" w:rsidRPr="00BB463F" w:rsidRDefault="00C54E98">
      <w:pPr>
        <w:spacing w:line="360" w:lineRule="auto"/>
        <w:jc w:val="both"/>
        <w:rPr>
          <w:lang w:eastAsia="zh-CN"/>
        </w:rPr>
      </w:pPr>
      <w:bookmarkStart w:id="77" w:name="OLE_LINK104"/>
      <w:bookmarkStart w:id="78" w:name="OLE_LINK105"/>
      <w:r>
        <w:rPr>
          <w:rFonts w:ascii="Book Antiqua" w:eastAsia="Book Antiqua" w:hAnsi="Book Antiqua" w:cs="Book Antiqua"/>
          <w:color w:val="000000"/>
        </w:rPr>
        <w:t>Our analysis highlights the limitations of relying only on subjective or objective items as currently measured on the PCDAI as stand-alone proxies for disease activity measurement in pediatric patients with CD. Measuring improvements in health outcomes should be informed by evidence-based information produced by patients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Where improvement in disease state may not reflect improvements in a patients well-being</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our data reiterate that complementary subjective (</w:t>
      </w:r>
      <w:r w:rsidRPr="007B5DB8">
        <w:rPr>
          <w:rFonts w:ascii="Book Antiqua" w:eastAsia="Book Antiqua" w:hAnsi="Book Antiqua" w:cs="Book Antiqua"/>
          <w:i/>
          <w:color w:val="000000"/>
        </w:rPr>
        <w:t>i</w:t>
      </w:r>
      <w:r w:rsidR="007B5DB8" w:rsidRPr="007B5DB8">
        <w:rPr>
          <w:rFonts w:ascii="Book Antiqua" w:hAnsi="Book Antiqua" w:cs="Book Antiqua" w:hint="eastAsia"/>
          <w:i/>
          <w:color w:val="000000"/>
          <w:lang w:eastAsia="zh-CN"/>
        </w:rPr>
        <w:t>.</w:t>
      </w:r>
      <w:r w:rsidRPr="007B5DB8">
        <w:rPr>
          <w:rFonts w:ascii="Book Antiqua" w:eastAsia="Book Antiqua" w:hAnsi="Book Antiqua" w:cs="Book Antiqua"/>
          <w:i/>
          <w:color w:val="000000"/>
        </w:rPr>
        <w:t>e.</w:t>
      </w:r>
      <w:r w:rsidR="00591669">
        <w:rPr>
          <w:rFonts w:ascii="Book Antiqua" w:eastAsia="Book Antiqua" w:hAnsi="Book Antiqua" w:cs="Book Antiqua"/>
          <w:i/>
          <w:color w:val="000000"/>
        </w:rPr>
        <w:t>,</w:t>
      </w:r>
      <w:r>
        <w:rPr>
          <w:rFonts w:ascii="Book Antiqua" w:eastAsia="Book Antiqua" w:hAnsi="Book Antiqua" w:cs="Book Antiqua"/>
          <w:color w:val="000000"/>
        </w:rPr>
        <w:t xml:space="preserve"> PROs)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and objective markers of disease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should be used to evaluate the outcomes of treatment.</w:t>
      </w:r>
    </w:p>
    <w:bookmarkEnd w:id="77"/>
    <w:bookmarkEnd w:id="78"/>
    <w:p w14:paraId="7672EE16" w14:textId="77777777" w:rsidR="00A77B3E" w:rsidRDefault="00A77B3E">
      <w:pPr>
        <w:spacing w:line="360" w:lineRule="auto"/>
        <w:jc w:val="both"/>
      </w:pPr>
    </w:p>
    <w:p w14:paraId="3224B216" w14:textId="77777777" w:rsidR="00A77B3E" w:rsidRDefault="00C54E98">
      <w:pPr>
        <w:spacing w:line="360" w:lineRule="auto"/>
        <w:jc w:val="both"/>
      </w:pPr>
      <w:r>
        <w:rPr>
          <w:rFonts w:ascii="Book Antiqua" w:eastAsia="Book Antiqua" w:hAnsi="Book Antiqua" w:cs="Book Antiqua"/>
          <w:b/>
          <w:caps/>
          <w:color w:val="000000"/>
          <w:u w:val="single"/>
        </w:rPr>
        <w:t>ARTICLE HIGHLIGHTS</w:t>
      </w:r>
    </w:p>
    <w:p w14:paraId="44D0C5A4" w14:textId="77777777" w:rsidR="00A77B3E" w:rsidRDefault="00C54E98">
      <w:pPr>
        <w:spacing w:line="360" w:lineRule="auto"/>
        <w:jc w:val="both"/>
      </w:pPr>
      <w:r>
        <w:rPr>
          <w:rFonts w:ascii="Book Antiqua" w:eastAsia="Book Antiqua" w:hAnsi="Book Antiqua" w:cs="Book Antiqua"/>
          <w:b/>
          <w:i/>
          <w:color w:val="000000"/>
        </w:rPr>
        <w:t>Research background</w:t>
      </w:r>
    </w:p>
    <w:p w14:paraId="183B01A4" w14:textId="77777777" w:rsidR="00A77B3E" w:rsidRDefault="00044467">
      <w:pPr>
        <w:spacing w:line="360" w:lineRule="auto"/>
        <w:jc w:val="both"/>
      </w:pPr>
      <w:bookmarkStart w:id="79" w:name="OLE_LINK106"/>
      <w:bookmarkStart w:id="80" w:name="OLE_LINK107"/>
      <w:r>
        <w:rPr>
          <w:rFonts w:ascii="Book Antiqua" w:eastAsia="Book Antiqua" w:hAnsi="Book Antiqua" w:cs="Book Antiqua"/>
          <w:color w:val="000000"/>
        </w:rPr>
        <w:t xml:space="preserve">The </w:t>
      </w:r>
      <w:r>
        <w:rPr>
          <w:rFonts w:ascii="Book Antiqua" w:hAnsi="Book Antiqua" w:cs="Book Antiqua" w:hint="eastAsia"/>
          <w:color w:val="000000"/>
          <w:lang w:eastAsia="zh-CN"/>
        </w:rPr>
        <w:t>p</w:t>
      </w:r>
      <w:r w:rsidR="00C54E98">
        <w:rPr>
          <w:rFonts w:ascii="Book Antiqua" w:eastAsia="Book Antiqua" w:hAnsi="Book Antiqua" w:cs="Book Antiqua"/>
          <w:color w:val="000000"/>
        </w:rPr>
        <w:t xml:space="preserve">ediatric Crohn’s </w:t>
      </w:r>
      <w:r>
        <w:rPr>
          <w:rFonts w:ascii="Book Antiqua" w:eastAsia="Book Antiqua" w:hAnsi="Book Antiqua" w:cs="Book Antiqua"/>
          <w:color w:val="000000"/>
        </w:rPr>
        <w:t>disease activity index</w:t>
      </w:r>
      <w:r w:rsidR="00C54E98">
        <w:rPr>
          <w:rFonts w:ascii="Book Antiqua" w:eastAsia="Book Antiqua" w:hAnsi="Book Antiqua" w:cs="Book Antiqua"/>
          <w:color w:val="000000"/>
        </w:rPr>
        <w:t xml:space="preserve"> (PCDAI) is a standard tool to assess disease activity in clinica</w:t>
      </w:r>
      <w:r>
        <w:rPr>
          <w:rFonts w:ascii="Book Antiqua" w:eastAsia="Book Antiqua" w:hAnsi="Book Antiqua" w:cs="Book Antiqua"/>
          <w:color w:val="000000"/>
        </w:rPr>
        <w:t xml:space="preserve">l trials for pediatric Crohn’s </w:t>
      </w:r>
      <w:r>
        <w:rPr>
          <w:rFonts w:ascii="Book Antiqua" w:hAnsi="Book Antiqua" w:cs="Book Antiqua" w:hint="eastAsia"/>
          <w:color w:val="000000"/>
          <w:lang w:eastAsia="zh-CN"/>
        </w:rPr>
        <w:t>d</w:t>
      </w:r>
      <w:r w:rsidR="00C54E98">
        <w:rPr>
          <w:rFonts w:ascii="Book Antiqua" w:eastAsia="Book Antiqua" w:hAnsi="Book Antiqua" w:cs="Book Antiqua"/>
          <w:color w:val="000000"/>
        </w:rPr>
        <w:t>isease. Over time, concerns over both feasibility and short-term responsiveness to change in clinical status have arisen. Based on feasibility concerns, and new guidance recommending that symptoms are scored directly from a patient, the PCDAI was reexamined.</w:t>
      </w:r>
    </w:p>
    <w:bookmarkEnd w:id="79"/>
    <w:bookmarkEnd w:id="80"/>
    <w:p w14:paraId="2ABABAFC" w14:textId="77777777" w:rsidR="00A77B3E" w:rsidRDefault="00A77B3E">
      <w:pPr>
        <w:spacing w:line="360" w:lineRule="auto"/>
        <w:jc w:val="both"/>
      </w:pPr>
    </w:p>
    <w:p w14:paraId="58A4172F" w14:textId="77777777" w:rsidR="00A77B3E" w:rsidRDefault="00C54E98">
      <w:pPr>
        <w:spacing w:line="360" w:lineRule="auto"/>
        <w:jc w:val="both"/>
      </w:pPr>
      <w:r>
        <w:rPr>
          <w:rFonts w:ascii="Book Antiqua" w:eastAsia="Book Antiqua" w:hAnsi="Book Antiqua" w:cs="Book Antiqua"/>
          <w:b/>
          <w:i/>
          <w:color w:val="000000"/>
        </w:rPr>
        <w:t>Research motivation</w:t>
      </w:r>
    </w:p>
    <w:p w14:paraId="2A1A4469" w14:textId="77777777" w:rsidR="00A77B3E" w:rsidRDefault="00C54E98">
      <w:pPr>
        <w:spacing w:line="360" w:lineRule="auto"/>
        <w:jc w:val="both"/>
      </w:pPr>
      <w:bookmarkStart w:id="81" w:name="OLE_LINK108"/>
      <w:bookmarkStart w:id="82" w:name="OLE_LINK109"/>
      <w:r>
        <w:rPr>
          <w:rFonts w:ascii="Book Antiqua" w:eastAsia="Book Antiqua" w:hAnsi="Book Antiqua" w:cs="Book Antiqua"/>
          <w:color w:val="000000"/>
        </w:rPr>
        <w:t>In response to a call from the Food and Drug Administration our team reexamined functioning of this index.</w:t>
      </w:r>
    </w:p>
    <w:bookmarkEnd w:id="81"/>
    <w:bookmarkEnd w:id="82"/>
    <w:p w14:paraId="4CBF3DEB" w14:textId="77777777" w:rsidR="00A77B3E" w:rsidRDefault="00A77B3E">
      <w:pPr>
        <w:spacing w:line="360" w:lineRule="auto"/>
        <w:jc w:val="both"/>
      </w:pPr>
    </w:p>
    <w:p w14:paraId="5FB74F0A" w14:textId="77777777" w:rsidR="00A77B3E" w:rsidRDefault="00C54E98">
      <w:pPr>
        <w:spacing w:line="360" w:lineRule="auto"/>
        <w:jc w:val="both"/>
      </w:pPr>
      <w:r>
        <w:rPr>
          <w:rFonts w:ascii="Book Antiqua" w:eastAsia="Book Antiqua" w:hAnsi="Book Antiqua" w:cs="Book Antiqua"/>
          <w:b/>
          <w:i/>
          <w:color w:val="000000"/>
        </w:rPr>
        <w:t>Research objectives</w:t>
      </w:r>
    </w:p>
    <w:p w14:paraId="16601757" w14:textId="77777777" w:rsidR="00A77B3E" w:rsidRDefault="00C54E98">
      <w:pPr>
        <w:spacing w:line="360" w:lineRule="auto"/>
        <w:jc w:val="both"/>
      </w:pPr>
      <w:bookmarkStart w:id="83" w:name="OLE_LINK110"/>
      <w:bookmarkStart w:id="84" w:name="OLE_LINK111"/>
      <w:r>
        <w:rPr>
          <w:rFonts w:ascii="Book Antiqua" w:eastAsia="Book Antiqua" w:hAnsi="Book Antiqua" w:cs="Book Antiqua"/>
          <w:color w:val="000000"/>
        </w:rPr>
        <w:t>The objective of this study was to examine which items on the PCDAI drive assessment of disease activity, and how subgroups of subjective and objective items reflect change in disease state over time.</w:t>
      </w:r>
    </w:p>
    <w:bookmarkEnd w:id="83"/>
    <w:bookmarkEnd w:id="84"/>
    <w:p w14:paraId="7F6C1CE0" w14:textId="77777777" w:rsidR="00A77B3E" w:rsidRDefault="00A77B3E">
      <w:pPr>
        <w:spacing w:line="360" w:lineRule="auto"/>
        <w:jc w:val="both"/>
      </w:pPr>
    </w:p>
    <w:p w14:paraId="719CA705" w14:textId="77777777" w:rsidR="00A77B3E" w:rsidRDefault="00C54E98">
      <w:pPr>
        <w:spacing w:line="360" w:lineRule="auto"/>
        <w:jc w:val="both"/>
      </w:pPr>
      <w:r>
        <w:rPr>
          <w:rFonts w:ascii="Book Antiqua" w:eastAsia="Book Antiqua" w:hAnsi="Book Antiqua" w:cs="Book Antiqua"/>
          <w:b/>
          <w:i/>
          <w:color w:val="000000"/>
        </w:rPr>
        <w:t>Research methods</w:t>
      </w:r>
    </w:p>
    <w:p w14:paraId="21C06F84" w14:textId="77777777" w:rsidR="00A77B3E" w:rsidRDefault="00C54E98">
      <w:pPr>
        <w:spacing w:line="360" w:lineRule="auto"/>
        <w:jc w:val="both"/>
      </w:pPr>
      <w:bookmarkStart w:id="85" w:name="OLE_LINK112"/>
      <w:bookmarkStart w:id="86" w:name="OLE_LINK113"/>
      <w:r>
        <w:rPr>
          <w:rFonts w:ascii="Book Antiqua" w:eastAsia="Book Antiqua" w:hAnsi="Book Antiqua" w:cs="Book Antiqua"/>
          <w:color w:val="000000"/>
        </w:rPr>
        <w:t>We retrospectively examined data from three completed studies – one registry study and two clinical trials involving pediatric patients with Crohn’s disease. Data was co</w:t>
      </w:r>
      <w:r w:rsidR="003F23A6">
        <w:rPr>
          <w:rFonts w:ascii="Book Antiqua" w:eastAsia="Book Antiqua" w:hAnsi="Book Antiqua" w:cs="Book Antiqua"/>
          <w:color w:val="000000"/>
        </w:rPr>
        <w:t>llected at baseline, at 3-mo</w:t>
      </w:r>
      <w:r>
        <w:rPr>
          <w:rFonts w:ascii="Book Antiqua" w:eastAsia="Book Antiqua" w:hAnsi="Book Antiqua" w:cs="Book Antiqua"/>
          <w:color w:val="000000"/>
        </w:rPr>
        <w:t xml:space="preserve"> (Q1) and 1-year (Q4). Change in individual PCDAI scores from baseline to Q1 and to Q4 were examined using the non-weighted PCDAI. </w:t>
      </w:r>
    </w:p>
    <w:bookmarkEnd w:id="85"/>
    <w:bookmarkEnd w:id="86"/>
    <w:p w14:paraId="6E82E8CD" w14:textId="77777777" w:rsidR="00A77B3E" w:rsidRDefault="00A77B3E">
      <w:pPr>
        <w:spacing w:line="360" w:lineRule="auto"/>
        <w:jc w:val="both"/>
      </w:pPr>
    </w:p>
    <w:p w14:paraId="2F29F61D" w14:textId="77777777" w:rsidR="00A77B3E" w:rsidRDefault="00C54E98">
      <w:pPr>
        <w:spacing w:line="360" w:lineRule="auto"/>
        <w:jc w:val="both"/>
      </w:pPr>
      <w:r>
        <w:rPr>
          <w:rFonts w:ascii="Book Antiqua" w:eastAsia="Book Antiqua" w:hAnsi="Book Antiqua" w:cs="Book Antiqua"/>
          <w:b/>
          <w:i/>
          <w:color w:val="000000"/>
        </w:rPr>
        <w:t>Research results</w:t>
      </w:r>
    </w:p>
    <w:p w14:paraId="77D370E7" w14:textId="77777777" w:rsidR="00A77B3E" w:rsidRDefault="00C54E98">
      <w:pPr>
        <w:spacing w:line="360" w:lineRule="auto"/>
        <w:jc w:val="both"/>
      </w:pPr>
      <w:bookmarkStart w:id="87" w:name="OLE_LINK114"/>
      <w:bookmarkStart w:id="88" w:name="OLE_LINK115"/>
      <w:r>
        <w:rPr>
          <w:rFonts w:ascii="Book Antiqua" w:eastAsia="Book Antiqua" w:hAnsi="Book Antiqua" w:cs="Book Antiqua"/>
          <w:color w:val="000000"/>
        </w:rPr>
        <w:t>Abdominal pain, well-being, weight, and stooling had the highest change scores over time. Objective markers of disease activity including weight, albumin, and abdominal exam were amongst the next group of items that changed the most over time. Subjective and objective subgroups of items predicted less variance on total PCDAI scores at Q1 and Q4 compared to the full PCDAI, or a composite scale containing significant predictors.</w:t>
      </w:r>
      <w:bookmarkEnd w:id="87"/>
      <w:bookmarkEnd w:id="88"/>
      <w:r>
        <w:rPr>
          <w:rFonts w:ascii="Book Antiqua" w:eastAsia="Book Antiqua" w:hAnsi="Book Antiqua" w:cs="Book Antiqua"/>
          <w:color w:val="000000"/>
        </w:rPr>
        <w:t xml:space="preserve"> </w:t>
      </w:r>
    </w:p>
    <w:p w14:paraId="059F3ADE" w14:textId="77777777" w:rsidR="00A77B3E" w:rsidRDefault="00A77B3E">
      <w:pPr>
        <w:spacing w:line="360" w:lineRule="auto"/>
        <w:jc w:val="both"/>
      </w:pPr>
    </w:p>
    <w:p w14:paraId="48A20E52" w14:textId="77777777" w:rsidR="00A77B3E" w:rsidRDefault="00C54E98">
      <w:pPr>
        <w:spacing w:line="360" w:lineRule="auto"/>
        <w:jc w:val="both"/>
      </w:pPr>
      <w:r>
        <w:rPr>
          <w:rFonts w:ascii="Book Antiqua" w:eastAsia="Book Antiqua" w:hAnsi="Book Antiqua" w:cs="Book Antiqua"/>
          <w:b/>
          <w:i/>
          <w:color w:val="000000"/>
        </w:rPr>
        <w:t>Research conclusions</w:t>
      </w:r>
    </w:p>
    <w:p w14:paraId="0C0C380F" w14:textId="77777777" w:rsidR="00A77B3E" w:rsidRDefault="00C54E98">
      <w:pPr>
        <w:spacing w:line="360" w:lineRule="auto"/>
        <w:jc w:val="both"/>
      </w:pPr>
      <w:bookmarkStart w:id="89" w:name="OLE_LINK116"/>
      <w:bookmarkStart w:id="90" w:name="OLE_LINK117"/>
      <w:r>
        <w:rPr>
          <w:rFonts w:ascii="Book Antiqua" w:eastAsia="Book Antiqua" w:hAnsi="Book Antiqua" w:cs="Book Antiqua"/>
          <w:color w:val="000000"/>
        </w:rPr>
        <w:t xml:space="preserve">Although subjective items on the PCDAI change the most over time, the full PCDAI or a smaller composite of items including a combination of subjective and objective components classifies disease activity better than a subgroup of either subjective or objective items alone. However, the results do indicate that subjective items such as abdominal pain and stooling in the short-term, and well-being in a longer-term measurement are adequate indicators of disease activity and response to treatment. Reliance on subjective or objective items as stand-alone proxies for disease activity measurement could result in misclassification of disease state. </w:t>
      </w:r>
    </w:p>
    <w:bookmarkEnd w:id="89"/>
    <w:bookmarkEnd w:id="90"/>
    <w:p w14:paraId="4BCF49E0" w14:textId="77777777" w:rsidR="00A77B3E" w:rsidRDefault="00A77B3E">
      <w:pPr>
        <w:spacing w:line="360" w:lineRule="auto"/>
        <w:jc w:val="both"/>
      </w:pPr>
    </w:p>
    <w:p w14:paraId="6A51F994" w14:textId="77777777" w:rsidR="00A77B3E" w:rsidRDefault="00C54E98">
      <w:pPr>
        <w:spacing w:line="360" w:lineRule="auto"/>
        <w:jc w:val="both"/>
      </w:pPr>
      <w:r>
        <w:rPr>
          <w:rFonts w:ascii="Book Antiqua" w:eastAsia="Book Antiqua" w:hAnsi="Book Antiqua" w:cs="Book Antiqua"/>
          <w:b/>
          <w:i/>
          <w:color w:val="000000"/>
        </w:rPr>
        <w:t>Research perspectives</w:t>
      </w:r>
    </w:p>
    <w:p w14:paraId="65E08F7C" w14:textId="5B46580E" w:rsidR="00A77B3E" w:rsidRDefault="00C54E98">
      <w:pPr>
        <w:spacing w:line="360" w:lineRule="auto"/>
        <w:jc w:val="both"/>
      </w:pPr>
      <w:bookmarkStart w:id="91" w:name="OLE_LINK118"/>
      <w:bookmarkStart w:id="92" w:name="OLE_LINK119"/>
      <w:r>
        <w:rPr>
          <w:rFonts w:ascii="Book Antiqua" w:eastAsia="Book Antiqua" w:hAnsi="Book Antiqua" w:cs="Book Antiqua"/>
          <w:color w:val="000000"/>
        </w:rPr>
        <w:t>Subjective or objective items alone, as currently measured on the PCDAI, do not serve as a substitute for a robust pat</w:t>
      </w:r>
      <w:r w:rsidR="00B903A6">
        <w:rPr>
          <w:rFonts w:ascii="Book Antiqua" w:eastAsia="Book Antiqua" w:hAnsi="Book Antiqua" w:cs="Book Antiqua"/>
          <w:color w:val="000000"/>
        </w:rPr>
        <w:t xml:space="preserve">ient-reported outcome measure. </w:t>
      </w:r>
      <w:r>
        <w:rPr>
          <w:rFonts w:ascii="Book Antiqua" w:eastAsia="Book Antiqua" w:hAnsi="Book Antiqua" w:cs="Book Antiqua"/>
          <w:color w:val="000000"/>
        </w:rPr>
        <w:t>Complementary subjective (</w:t>
      </w:r>
      <w:r w:rsidRPr="00B903A6">
        <w:rPr>
          <w:rFonts w:ascii="Book Antiqua" w:eastAsia="Book Antiqua" w:hAnsi="Book Antiqua" w:cs="Book Antiqua"/>
          <w:i/>
          <w:color w:val="000000"/>
        </w:rPr>
        <w:t>i</w:t>
      </w:r>
      <w:r w:rsidR="00B903A6" w:rsidRPr="00B903A6">
        <w:rPr>
          <w:rFonts w:ascii="Book Antiqua" w:hAnsi="Book Antiqua" w:cs="Book Antiqua" w:hint="eastAsia"/>
          <w:i/>
          <w:color w:val="000000"/>
          <w:lang w:eastAsia="zh-CN"/>
        </w:rPr>
        <w:t>.</w:t>
      </w:r>
      <w:r w:rsidRPr="00B903A6">
        <w:rPr>
          <w:rFonts w:ascii="Book Antiqua" w:eastAsia="Book Antiqua" w:hAnsi="Book Antiqua" w:cs="Book Antiqua"/>
          <w:i/>
          <w:color w:val="000000"/>
        </w:rPr>
        <w:t>e.</w:t>
      </w:r>
      <w:r w:rsidR="00591669">
        <w:rPr>
          <w:rFonts w:ascii="Book Antiqua" w:eastAsia="Book Antiqua" w:hAnsi="Book Antiqua" w:cs="Book Antiqua"/>
          <w:i/>
          <w:color w:val="000000"/>
        </w:rPr>
        <w:t>,</w:t>
      </w:r>
      <w:r>
        <w:rPr>
          <w:rFonts w:ascii="Book Antiqua" w:eastAsia="Book Antiqua" w:hAnsi="Book Antiqua" w:cs="Book Antiqua"/>
          <w:color w:val="000000"/>
        </w:rPr>
        <w:t xml:space="preserve"> patient reported outcome measures) and objective markers of disease should be used to evaluate the outcomes of treatment.</w:t>
      </w:r>
    </w:p>
    <w:bookmarkEnd w:id="91"/>
    <w:bookmarkEnd w:id="92"/>
    <w:p w14:paraId="72ED7763" w14:textId="77777777" w:rsidR="00A77B3E" w:rsidRDefault="00A77B3E">
      <w:pPr>
        <w:spacing w:line="360" w:lineRule="auto"/>
        <w:jc w:val="both"/>
      </w:pPr>
    </w:p>
    <w:p w14:paraId="1B0A0E06" w14:textId="77777777" w:rsidR="00A77B3E" w:rsidRDefault="00C54E98">
      <w:pPr>
        <w:spacing w:line="360" w:lineRule="auto"/>
        <w:jc w:val="both"/>
      </w:pPr>
      <w:r>
        <w:rPr>
          <w:rFonts w:ascii="Book Antiqua" w:eastAsia="Book Antiqua" w:hAnsi="Book Antiqua" w:cs="Book Antiqua"/>
          <w:b/>
          <w:caps/>
          <w:color w:val="000000"/>
          <w:u w:val="single"/>
        </w:rPr>
        <w:t>ACKNOWLEDGEMENTS</w:t>
      </w:r>
    </w:p>
    <w:p w14:paraId="6BC8B5CC" w14:textId="77777777" w:rsidR="00A77B3E" w:rsidRDefault="00C54E98">
      <w:pPr>
        <w:spacing w:line="360" w:lineRule="auto"/>
        <w:jc w:val="both"/>
      </w:pPr>
      <w:bookmarkStart w:id="93" w:name="OLE_LINK120"/>
      <w:bookmarkStart w:id="94" w:name="OLE_LINK121"/>
      <w:r>
        <w:rPr>
          <w:rFonts w:ascii="Book Antiqua" w:eastAsia="Book Antiqua" w:hAnsi="Book Antiqua" w:cs="Book Antiqua"/>
          <w:color w:val="000000"/>
        </w:rPr>
        <w:t>We would like to thank Janssen for providing the REACH data, with particular thanks to Richard Strauss for facilitating data access and providing feedback on this manuscript; and to Abbvie for providing the IMAgINE data and for reviewing a draft of this manuscript.</w:t>
      </w:r>
    </w:p>
    <w:bookmarkEnd w:id="93"/>
    <w:bookmarkEnd w:id="94"/>
    <w:p w14:paraId="0DF3471A" w14:textId="77777777" w:rsidR="00A77B3E" w:rsidRPr="002E1EA9" w:rsidRDefault="00A77B3E" w:rsidP="002E1EA9">
      <w:pPr>
        <w:adjustRightInd w:val="0"/>
        <w:snapToGrid w:val="0"/>
        <w:spacing w:line="360" w:lineRule="auto"/>
        <w:jc w:val="both"/>
        <w:rPr>
          <w:rFonts w:ascii="Book Antiqua" w:hAnsi="Book Antiqua"/>
        </w:rPr>
      </w:pPr>
    </w:p>
    <w:p w14:paraId="48FB6AD0" w14:textId="77777777" w:rsidR="00A77B3E" w:rsidRPr="002E1EA9" w:rsidRDefault="00C54E98" w:rsidP="002E1EA9">
      <w:pPr>
        <w:adjustRightInd w:val="0"/>
        <w:snapToGrid w:val="0"/>
        <w:spacing w:line="360" w:lineRule="auto"/>
        <w:jc w:val="both"/>
        <w:rPr>
          <w:rFonts w:ascii="Book Antiqua" w:hAnsi="Book Antiqua"/>
        </w:rPr>
      </w:pPr>
      <w:r w:rsidRPr="002E1EA9">
        <w:rPr>
          <w:rFonts w:ascii="Book Antiqua" w:eastAsia="Book Antiqua" w:hAnsi="Book Antiqua" w:cs="Book Antiqua"/>
          <w:b/>
        </w:rPr>
        <w:t>REFERENCES</w:t>
      </w:r>
    </w:p>
    <w:p w14:paraId="703D9A81" w14:textId="77777777" w:rsidR="002E1EA9" w:rsidRPr="002E1EA9"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bookmarkStart w:id="95" w:name="OLE_LINK122"/>
      <w:bookmarkStart w:id="96" w:name="OLE_LINK123"/>
      <w:r w:rsidRPr="002E1EA9">
        <w:rPr>
          <w:rFonts w:ascii="Book Antiqua" w:hAnsi="Book Antiqua"/>
        </w:rPr>
        <w:t>1 </w:t>
      </w:r>
      <w:r w:rsidRPr="002E1EA9">
        <w:rPr>
          <w:rFonts w:ascii="Book Antiqua" w:hAnsi="Book Antiqua"/>
          <w:b/>
          <w:bCs/>
        </w:rPr>
        <w:t>Hyams JS</w:t>
      </w:r>
      <w:r w:rsidRPr="002E1EA9">
        <w:rPr>
          <w:rFonts w:ascii="Book Antiqua" w:hAnsi="Book Antiqua"/>
        </w:rPr>
        <w:t>, Ferry GD, Mandel FS, Gryboski JD, Kibort PM, Kirschner BS, Griffiths AM, Katz AJ, Grand RJ, Boyle JT. Development and validation of a pediatric Crohn's disease activity index. </w:t>
      </w:r>
      <w:r w:rsidRPr="002E1EA9">
        <w:rPr>
          <w:rFonts w:ascii="Book Antiqua" w:hAnsi="Book Antiqua"/>
          <w:i/>
          <w:iCs/>
        </w:rPr>
        <w:t>J Pediatr Gastroenterol Nutr</w:t>
      </w:r>
      <w:r w:rsidRPr="002E1EA9">
        <w:rPr>
          <w:rFonts w:ascii="Book Antiqua" w:hAnsi="Book Antiqua"/>
        </w:rPr>
        <w:t> 1991; </w:t>
      </w:r>
      <w:r w:rsidRPr="002E1EA9">
        <w:rPr>
          <w:rFonts w:ascii="Book Antiqua" w:hAnsi="Book Antiqua"/>
          <w:b/>
          <w:bCs/>
        </w:rPr>
        <w:t>12</w:t>
      </w:r>
      <w:r w:rsidRPr="002E1EA9">
        <w:rPr>
          <w:rFonts w:ascii="Book Antiqua" w:hAnsi="Book Antiqua"/>
        </w:rPr>
        <w:t>: 439-447 [PMID: 1678008 DOI: 10.1097/00005176-199105000-00005]</w:t>
      </w:r>
    </w:p>
    <w:p w14:paraId="065D4B1E" w14:textId="77777777" w:rsidR="002E1EA9" w:rsidRPr="002E1EA9"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2E1EA9">
        <w:rPr>
          <w:rFonts w:ascii="Book Antiqua" w:hAnsi="Book Antiqua"/>
        </w:rPr>
        <w:t>2 </w:t>
      </w:r>
      <w:r w:rsidRPr="002E1EA9">
        <w:rPr>
          <w:rFonts w:ascii="Book Antiqua" w:hAnsi="Book Antiqua"/>
          <w:b/>
          <w:bCs/>
        </w:rPr>
        <w:t>Johnson T</w:t>
      </w:r>
      <w:r w:rsidRPr="002E1EA9">
        <w:rPr>
          <w:rFonts w:ascii="Book Antiqua" w:hAnsi="Book Antiqua"/>
        </w:rPr>
        <w:t>, Macdonald S, Hill SM, Thomas A, Murphy MS. Treatment of active Crohn's disease in children using partial enteral nutrition with liquid formula: a randomised controlled trial. </w:t>
      </w:r>
      <w:r w:rsidRPr="002E1EA9">
        <w:rPr>
          <w:rFonts w:ascii="Book Antiqua" w:hAnsi="Book Antiqua"/>
          <w:i/>
          <w:iCs/>
        </w:rPr>
        <w:t>Gut</w:t>
      </w:r>
      <w:r w:rsidRPr="002E1EA9">
        <w:rPr>
          <w:rFonts w:ascii="Book Antiqua" w:hAnsi="Book Antiqua"/>
        </w:rPr>
        <w:t> 2006; </w:t>
      </w:r>
      <w:r w:rsidRPr="002E1EA9">
        <w:rPr>
          <w:rFonts w:ascii="Book Antiqua" w:hAnsi="Book Antiqua"/>
          <w:b/>
          <w:bCs/>
        </w:rPr>
        <w:t>55</w:t>
      </w:r>
      <w:r w:rsidRPr="002E1EA9">
        <w:rPr>
          <w:rFonts w:ascii="Book Antiqua" w:hAnsi="Book Antiqua"/>
        </w:rPr>
        <w:t>: 356-361 [PMID: 16162683 DOI: 10.1136/gut.2004.062554]</w:t>
      </w:r>
    </w:p>
    <w:p w14:paraId="441761F0" w14:textId="77777777" w:rsidR="002E1EA9" w:rsidRPr="002E1EA9"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2E1EA9">
        <w:rPr>
          <w:rFonts w:ascii="Book Antiqua" w:hAnsi="Book Antiqua"/>
        </w:rPr>
        <w:t>3 </w:t>
      </w:r>
      <w:r w:rsidRPr="002E1EA9">
        <w:rPr>
          <w:rFonts w:ascii="Book Antiqua" w:hAnsi="Book Antiqua"/>
          <w:b/>
          <w:bCs/>
        </w:rPr>
        <w:t>Pappa HM</w:t>
      </w:r>
      <w:r w:rsidRPr="002E1EA9">
        <w:rPr>
          <w:rFonts w:ascii="Book Antiqua" w:hAnsi="Book Antiqua"/>
        </w:rPr>
        <w:t>, Mitchell PD, Jiang H, Kassiff S, Filip-Dhima R, DiFabio D, Quinn N, Lawton RC, Varvaris M, Van Straaten S, Gordon CM. Treatment of vitamin D insufficiency in children and adolescents with inflammatory bowel disease: a randomized clinical trial comparing three regimens. </w:t>
      </w:r>
      <w:r w:rsidRPr="002E1EA9">
        <w:rPr>
          <w:rFonts w:ascii="Book Antiqua" w:hAnsi="Book Antiqua"/>
          <w:i/>
          <w:iCs/>
        </w:rPr>
        <w:t>J Clin Endocrinol Metab</w:t>
      </w:r>
      <w:r w:rsidRPr="002E1EA9">
        <w:rPr>
          <w:rFonts w:ascii="Book Antiqua" w:hAnsi="Book Antiqua"/>
        </w:rPr>
        <w:t> 2012; </w:t>
      </w:r>
      <w:r w:rsidRPr="002E1EA9">
        <w:rPr>
          <w:rFonts w:ascii="Book Antiqua" w:hAnsi="Book Antiqua"/>
          <w:b/>
          <w:bCs/>
        </w:rPr>
        <w:t>97</w:t>
      </w:r>
      <w:r w:rsidRPr="002E1EA9">
        <w:rPr>
          <w:rFonts w:ascii="Book Antiqua" w:hAnsi="Book Antiqua"/>
        </w:rPr>
        <w:t>: 2134-2142 [PMID: 22456619 DOI: 10.1210/jc.2011-3182]</w:t>
      </w:r>
    </w:p>
    <w:p w14:paraId="50151C30"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4 </w:t>
      </w:r>
      <w:r w:rsidRPr="0042768F">
        <w:rPr>
          <w:rFonts w:ascii="Book Antiqua" w:hAnsi="Book Antiqua"/>
          <w:b/>
          <w:bCs/>
        </w:rPr>
        <w:t>Hyams J</w:t>
      </w:r>
      <w:r w:rsidRPr="0042768F">
        <w:rPr>
          <w:rFonts w:ascii="Book Antiqua" w:hAnsi="Book Antiqua"/>
        </w:rPr>
        <w:t>, Crandall W, Kugathasan S, Griffiths A, Olson A, Johanns J, Liu G, Travers S, Heuschkel R, Markowitz J, Cohen S, Winter H, Veereman-Wauters G, Ferry G, Baldassano R; REACH Study Group. Induction and maintenance infliximab therapy for the treatment of moderate-to-severe Crohn's disease in children. </w:t>
      </w:r>
      <w:r w:rsidRPr="0042768F">
        <w:rPr>
          <w:rFonts w:ascii="Book Antiqua" w:hAnsi="Book Antiqua"/>
          <w:i/>
          <w:iCs/>
        </w:rPr>
        <w:t>Gastroenterology</w:t>
      </w:r>
      <w:r w:rsidRPr="0042768F">
        <w:rPr>
          <w:rFonts w:ascii="Book Antiqua" w:hAnsi="Book Antiqua"/>
        </w:rPr>
        <w:t> 2007; </w:t>
      </w:r>
      <w:r w:rsidRPr="0042768F">
        <w:rPr>
          <w:rFonts w:ascii="Book Antiqua" w:hAnsi="Book Antiqua"/>
          <w:b/>
          <w:bCs/>
        </w:rPr>
        <w:t>132</w:t>
      </w:r>
      <w:r w:rsidRPr="0042768F">
        <w:rPr>
          <w:rFonts w:ascii="Book Antiqua" w:hAnsi="Book Antiqua"/>
        </w:rPr>
        <w:t>: 863-73; quiz 1165-6 [PMID: 17324398 DOI: 10.1053/j.gastro.2006.12.003]</w:t>
      </w:r>
    </w:p>
    <w:p w14:paraId="54E73BC5"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5 </w:t>
      </w:r>
      <w:r w:rsidRPr="0042768F">
        <w:rPr>
          <w:rFonts w:ascii="Book Antiqua" w:hAnsi="Book Antiqua"/>
          <w:b/>
          <w:bCs/>
        </w:rPr>
        <w:t>Turner D</w:t>
      </w:r>
      <w:r w:rsidRPr="0042768F">
        <w:rPr>
          <w:rFonts w:ascii="Book Antiqua" w:hAnsi="Book Antiqua"/>
        </w:rPr>
        <w:t>, Griffiths AM, Walters TD, Seah T, Markowitz J, Pfefferkorn M, Keljo D, Waxman J, Otley A, LeLeiko NS, Mack D, Hyams J, Levine A. Mathematical weighting of the pediatric Crohn's disease activity index (PCDAI) and comparison with its other short versions. </w:t>
      </w:r>
      <w:r w:rsidRPr="0042768F">
        <w:rPr>
          <w:rFonts w:ascii="Book Antiqua" w:hAnsi="Book Antiqua"/>
          <w:i/>
          <w:iCs/>
        </w:rPr>
        <w:t>Inflamm Bowel Dis</w:t>
      </w:r>
      <w:r w:rsidRPr="0042768F">
        <w:rPr>
          <w:rFonts w:ascii="Book Antiqua" w:hAnsi="Book Antiqua"/>
        </w:rPr>
        <w:t> 2012; </w:t>
      </w:r>
      <w:r w:rsidRPr="0042768F">
        <w:rPr>
          <w:rFonts w:ascii="Book Antiqua" w:hAnsi="Book Antiqua"/>
          <w:b/>
          <w:bCs/>
        </w:rPr>
        <w:t>18</w:t>
      </w:r>
      <w:r w:rsidRPr="0042768F">
        <w:rPr>
          <w:rFonts w:ascii="Book Antiqua" w:hAnsi="Book Antiqua"/>
        </w:rPr>
        <w:t>: 55-62 [PMID: 21351206 DOI: 10.1002/ibd.21649]</w:t>
      </w:r>
    </w:p>
    <w:p w14:paraId="45ECE8B5"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6 </w:t>
      </w:r>
      <w:r w:rsidRPr="0042768F">
        <w:rPr>
          <w:rFonts w:ascii="Book Antiqua" w:hAnsi="Book Antiqua"/>
          <w:b/>
          <w:bCs/>
        </w:rPr>
        <w:t>Kundhal PS</w:t>
      </w:r>
      <w:r w:rsidRPr="0042768F">
        <w:rPr>
          <w:rFonts w:ascii="Book Antiqua" w:hAnsi="Book Antiqua"/>
        </w:rPr>
        <w:t>, Critch JN, Zachos M, Otley AR, Stephens D, Griffiths AM. Pediatric Crohn Disease Activity Index: responsive to short-term change. </w:t>
      </w:r>
      <w:r w:rsidRPr="0042768F">
        <w:rPr>
          <w:rFonts w:ascii="Book Antiqua" w:hAnsi="Book Antiqua"/>
          <w:i/>
          <w:iCs/>
        </w:rPr>
        <w:t>J Pediatr Gastroenterol Nutr</w:t>
      </w:r>
      <w:r w:rsidRPr="0042768F">
        <w:rPr>
          <w:rFonts w:ascii="Book Antiqua" w:hAnsi="Book Antiqua"/>
        </w:rPr>
        <w:t> 2003; </w:t>
      </w:r>
      <w:r w:rsidRPr="0042768F">
        <w:rPr>
          <w:rFonts w:ascii="Book Antiqua" w:hAnsi="Book Antiqua"/>
          <w:b/>
          <w:bCs/>
        </w:rPr>
        <w:t>36</w:t>
      </w:r>
      <w:r w:rsidRPr="0042768F">
        <w:rPr>
          <w:rFonts w:ascii="Book Antiqua" w:hAnsi="Book Antiqua"/>
        </w:rPr>
        <w:t>: 83-89 [PMID: 12500001 DOI: 10.1097/00005176-200301000-00016]</w:t>
      </w:r>
    </w:p>
    <w:p w14:paraId="2CA83010"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7 </w:t>
      </w:r>
      <w:r w:rsidRPr="0042768F">
        <w:rPr>
          <w:rFonts w:ascii="Book Antiqua" w:hAnsi="Book Antiqua"/>
          <w:b/>
          <w:bCs/>
        </w:rPr>
        <w:t>Otley A</w:t>
      </w:r>
      <w:r w:rsidRPr="0042768F">
        <w:rPr>
          <w:rFonts w:ascii="Book Antiqua" w:hAnsi="Book Antiqua"/>
        </w:rPr>
        <w:t>, Loonen H, Parekh N, Corey M, Sherman PM, Griffiths AM. Assessing activity of pediatric Crohn's disease: which index to use? </w:t>
      </w:r>
      <w:r w:rsidRPr="0042768F">
        <w:rPr>
          <w:rFonts w:ascii="Book Antiqua" w:hAnsi="Book Antiqua"/>
          <w:i/>
          <w:iCs/>
        </w:rPr>
        <w:t>Gastroenterology</w:t>
      </w:r>
      <w:r w:rsidRPr="0042768F">
        <w:rPr>
          <w:rFonts w:ascii="Book Antiqua" w:hAnsi="Book Antiqua"/>
        </w:rPr>
        <w:t> 1999; </w:t>
      </w:r>
      <w:r w:rsidRPr="0042768F">
        <w:rPr>
          <w:rFonts w:ascii="Book Antiqua" w:hAnsi="Book Antiqua"/>
          <w:b/>
          <w:bCs/>
        </w:rPr>
        <w:t>116</w:t>
      </w:r>
      <w:r w:rsidRPr="0042768F">
        <w:rPr>
          <w:rFonts w:ascii="Book Antiqua" w:hAnsi="Book Antiqua"/>
        </w:rPr>
        <w:t>: 527-531 [PMID: 10029610 DOI: 10.1016/s0016-5085(99)70173-3]</w:t>
      </w:r>
    </w:p>
    <w:p w14:paraId="4B489427"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8 </w:t>
      </w:r>
      <w:r w:rsidRPr="0042768F">
        <w:rPr>
          <w:rFonts w:ascii="Book Antiqua" w:hAnsi="Book Antiqua"/>
          <w:b/>
          <w:bCs/>
        </w:rPr>
        <w:t>Hyams J</w:t>
      </w:r>
      <w:r w:rsidRPr="0042768F">
        <w:rPr>
          <w:rFonts w:ascii="Book Antiqua" w:hAnsi="Book Antiqua"/>
        </w:rPr>
        <w:t>, Markowitz J, Otley A, Rosh J, Mack D, Bousvaros A, Kugathasan S, Pfefferkorn M, Tolia V, Evans J, Treem W, Wyllie R, Rothbaum R, del Rosario J, Katz A, Mezoff A, Oliva-Hemker M, Lerer T, Griffiths A; Pediatric Inflammatory Bowel Disease Collaborative Research Group. Evaluation of the pediatric crohn disease activity index: a prospective multicenter experience. </w:t>
      </w:r>
      <w:r w:rsidRPr="0042768F">
        <w:rPr>
          <w:rFonts w:ascii="Book Antiqua" w:hAnsi="Book Antiqua"/>
          <w:i/>
          <w:iCs/>
        </w:rPr>
        <w:t>J Pediatr Gastroenterol Nutr</w:t>
      </w:r>
      <w:r w:rsidRPr="0042768F">
        <w:rPr>
          <w:rFonts w:ascii="Book Antiqua" w:hAnsi="Book Antiqua"/>
        </w:rPr>
        <w:t> 2005; </w:t>
      </w:r>
      <w:r w:rsidRPr="0042768F">
        <w:rPr>
          <w:rFonts w:ascii="Book Antiqua" w:hAnsi="Book Antiqua"/>
          <w:b/>
          <w:bCs/>
        </w:rPr>
        <w:t>41</w:t>
      </w:r>
      <w:r w:rsidRPr="0042768F">
        <w:rPr>
          <w:rFonts w:ascii="Book Antiqua" w:hAnsi="Book Antiqua"/>
        </w:rPr>
        <w:t>: 416-421 [PMID: 16205508 DOI: 10.1097/01.mpg.0000183350.46795.42]</w:t>
      </w:r>
    </w:p>
    <w:p w14:paraId="3A687ACE"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9 </w:t>
      </w:r>
      <w:r w:rsidRPr="0042768F">
        <w:rPr>
          <w:rFonts w:ascii="Book Antiqua" w:hAnsi="Book Antiqua"/>
          <w:b/>
          <w:bCs/>
        </w:rPr>
        <w:t>Turner D</w:t>
      </w:r>
      <w:r w:rsidRPr="0042768F">
        <w:rPr>
          <w:rFonts w:ascii="Book Antiqua" w:hAnsi="Book Antiqua"/>
        </w:rPr>
        <w:t>, Griffiths AM, Walters TD, Seah T, Markowitz J, Pfefferkorn M, Keljo D, Otley A, Leleiko NS, Mack D, Hyams J, Levine A. Appraisal of the pediatric Crohn's disease activity index on four prospectively collected datasets: recommended cutoff values and clinimetric properties. </w:t>
      </w:r>
      <w:r w:rsidRPr="0042768F">
        <w:rPr>
          <w:rFonts w:ascii="Book Antiqua" w:hAnsi="Book Antiqua"/>
          <w:i/>
          <w:iCs/>
        </w:rPr>
        <w:t>Am J Gastroenterol</w:t>
      </w:r>
      <w:r w:rsidRPr="0042768F">
        <w:rPr>
          <w:rFonts w:ascii="Book Antiqua" w:hAnsi="Book Antiqua"/>
        </w:rPr>
        <w:t> 2010; </w:t>
      </w:r>
      <w:r w:rsidRPr="0042768F">
        <w:rPr>
          <w:rFonts w:ascii="Book Antiqua" w:hAnsi="Book Antiqua"/>
          <w:b/>
          <w:bCs/>
        </w:rPr>
        <w:t>105</w:t>
      </w:r>
      <w:r w:rsidRPr="0042768F">
        <w:rPr>
          <w:rFonts w:ascii="Book Antiqua" w:hAnsi="Book Antiqua"/>
        </w:rPr>
        <w:t>: 2085-2092 [PMID: 20372111 DOI: 10.1038/ajg.2010.143]</w:t>
      </w:r>
    </w:p>
    <w:p w14:paraId="553BF41F"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10 </w:t>
      </w:r>
      <w:r w:rsidRPr="0042768F">
        <w:rPr>
          <w:rFonts w:ascii="Book Antiqua" w:hAnsi="Book Antiqua"/>
          <w:b/>
          <w:bCs/>
        </w:rPr>
        <w:t>Kappelman MD</w:t>
      </w:r>
      <w:r w:rsidRPr="0042768F">
        <w:rPr>
          <w:rFonts w:ascii="Book Antiqua" w:hAnsi="Book Antiqua"/>
        </w:rPr>
        <w:t>, Crandall WV, Colletti RB, Goudie A, Leibowitz IH, Duffy L, Milov DE, Kim SC, Schoen BT, Patel AS, Grunow J, Larry E, Fairbrother G, Margolis P. Short pediatric Crohn's disease activity index for quality improvement and observational research. </w:t>
      </w:r>
      <w:r w:rsidRPr="0042768F">
        <w:rPr>
          <w:rFonts w:ascii="Book Antiqua" w:hAnsi="Book Antiqua"/>
          <w:i/>
          <w:iCs/>
        </w:rPr>
        <w:t>Inflamm Bowel Dis</w:t>
      </w:r>
      <w:r w:rsidRPr="0042768F">
        <w:rPr>
          <w:rFonts w:ascii="Book Antiqua" w:hAnsi="Book Antiqua"/>
        </w:rPr>
        <w:t> 2011; </w:t>
      </w:r>
      <w:r w:rsidRPr="0042768F">
        <w:rPr>
          <w:rFonts w:ascii="Book Antiqua" w:hAnsi="Book Antiqua"/>
          <w:b/>
          <w:bCs/>
        </w:rPr>
        <w:t>17</w:t>
      </w:r>
      <w:r w:rsidRPr="0042768F">
        <w:rPr>
          <w:rFonts w:ascii="Book Antiqua" w:hAnsi="Book Antiqua"/>
        </w:rPr>
        <w:t>: 112-117 [PMID: 20812330 DOI: 10.1002/ibd.21452]</w:t>
      </w:r>
    </w:p>
    <w:p w14:paraId="78112772"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11 </w:t>
      </w:r>
      <w:r w:rsidRPr="0042768F">
        <w:rPr>
          <w:rFonts w:ascii="Book Antiqua" w:hAnsi="Book Antiqua"/>
          <w:b/>
          <w:bCs/>
        </w:rPr>
        <w:t>Turner D</w:t>
      </w:r>
      <w:r w:rsidRPr="0042768F">
        <w:rPr>
          <w:rFonts w:ascii="Book Antiqua" w:hAnsi="Book Antiqua"/>
        </w:rPr>
        <w:t>, Hyams J, Markowitz J, Lerer T, Mack DR, Evans J, Pfefferkorn M, Rosh J, Kay M, Crandall W, Keljo D, Otley AR, Kugathasan S, Carvalho R, Oliva-Hemker M, Langton C, Mamula P, Bousvaros A, LeLeiko N, Griffiths AM; Pediatric IBD Collaborative Research Group. Appraisal of the pediatric ulcerative colitis activity index (PUCAI). </w:t>
      </w:r>
      <w:r w:rsidRPr="0042768F">
        <w:rPr>
          <w:rFonts w:ascii="Book Antiqua" w:hAnsi="Book Antiqua"/>
          <w:i/>
          <w:iCs/>
        </w:rPr>
        <w:t>Inflamm Bowel Dis</w:t>
      </w:r>
      <w:r w:rsidRPr="0042768F">
        <w:rPr>
          <w:rFonts w:ascii="Book Antiqua" w:hAnsi="Book Antiqua"/>
        </w:rPr>
        <w:t> 2009; </w:t>
      </w:r>
      <w:r w:rsidRPr="0042768F">
        <w:rPr>
          <w:rFonts w:ascii="Book Antiqua" w:hAnsi="Book Antiqua"/>
          <w:b/>
          <w:bCs/>
        </w:rPr>
        <w:t>15</w:t>
      </w:r>
      <w:r w:rsidRPr="0042768F">
        <w:rPr>
          <w:rFonts w:ascii="Book Antiqua" w:hAnsi="Book Antiqua"/>
        </w:rPr>
        <w:t>: 1218-1223 [PMID: 19161178 DOI: 10.1002/ibd.20867]</w:t>
      </w:r>
    </w:p>
    <w:p w14:paraId="4523269E"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12 </w:t>
      </w:r>
      <w:r w:rsidRPr="0042768F">
        <w:rPr>
          <w:rFonts w:ascii="Book Antiqua" w:hAnsi="Book Antiqua"/>
          <w:b/>
          <w:bCs/>
        </w:rPr>
        <w:t>Loonen HJ</w:t>
      </w:r>
      <w:r w:rsidRPr="0042768F">
        <w:rPr>
          <w:rFonts w:ascii="Book Antiqua" w:hAnsi="Book Antiqua"/>
        </w:rPr>
        <w:t>, Griffiths AM, Merkus MP, Derkx HH. A critical assessment of items on the Pediatric Crohn's Disease Activity Index. </w:t>
      </w:r>
      <w:r w:rsidRPr="0042768F">
        <w:rPr>
          <w:rFonts w:ascii="Book Antiqua" w:hAnsi="Book Antiqua"/>
          <w:i/>
          <w:iCs/>
        </w:rPr>
        <w:t>J Pediatr Gastroenterol Nutr</w:t>
      </w:r>
      <w:r w:rsidRPr="0042768F">
        <w:rPr>
          <w:rFonts w:ascii="Book Antiqua" w:hAnsi="Book Antiqua"/>
        </w:rPr>
        <w:t> 2003; </w:t>
      </w:r>
      <w:r w:rsidRPr="0042768F">
        <w:rPr>
          <w:rFonts w:ascii="Book Antiqua" w:hAnsi="Book Antiqua"/>
          <w:b/>
          <w:bCs/>
        </w:rPr>
        <w:t>36</w:t>
      </w:r>
      <w:r w:rsidRPr="0042768F">
        <w:rPr>
          <w:rFonts w:ascii="Book Antiqua" w:hAnsi="Book Antiqua"/>
        </w:rPr>
        <w:t>: 90-95 [PMID: 12500002 DOI: 10.1097/00005176-200301000-00017]</w:t>
      </w:r>
    </w:p>
    <w:p w14:paraId="708D4BF2"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13 </w:t>
      </w:r>
      <w:r w:rsidRPr="0042768F">
        <w:rPr>
          <w:rFonts w:ascii="Book Antiqua" w:hAnsi="Book Antiqua"/>
          <w:b/>
          <w:bCs/>
        </w:rPr>
        <w:t>Shepanski MA</w:t>
      </w:r>
      <w:r w:rsidRPr="0042768F">
        <w:rPr>
          <w:rFonts w:ascii="Book Antiqua" w:hAnsi="Book Antiqua"/>
        </w:rPr>
        <w:t>, Markowitz JE, Mamula P, Hurd LB, Baldassano RN. Is an abbreviated Pediatric Crohn's Disease Activity Index better than the original? </w:t>
      </w:r>
      <w:r w:rsidRPr="0042768F">
        <w:rPr>
          <w:rFonts w:ascii="Book Antiqua" w:hAnsi="Book Antiqua"/>
          <w:i/>
          <w:iCs/>
        </w:rPr>
        <w:t>J Pediatr Gastroenterol Nutr</w:t>
      </w:r>
      <w:r w:rsidRPr="0042768F">
        <w:rPr>
          <w:rFonts w:ascii="Book Antiqua" w:hAnsi="Book Antiqua"/>
        </w:rPr>
        <w:t> 2004; </w:t>
      </w:r>
      <w:r w:rsidRPr="0042768F">
        <w:rPr>
          <w:rFonts w:ascii="Book Antiqua" w:hAnsi="Book Antiqua"/>
          <w:b/>
          <w:bCs/>
        </w:rPr>
        <w:t>39</w:t>
      </w:r>
      <w:r w:rsidRPr="0042768F">
        <w:rPr>
          <w:rFonts w:ascii="Book Antiqua" w:hAnsi="Book Antiqua"/>
        </w:rPr>
        <w:t>: 68-72 [PMID: 15187784 DOI: 10.1097/00005176-200407000-00014]</w:t>
      </w:r>
    </w:p>
    <w:p w14:paraId="77A766DE"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14 </w:t>
      </w:r>
      <w:r w:rsidRPr="0042768F">
        <w:rPr>
          <w:rFonts w:ascii="Book Antiqua" w:hAnsi="Book Antiqua"/>
          <w:b/>
          <w:bCs/>
        </w:rPr>
        <w:t>Leach ST</w:t>
      </w:r>
      <w:r w:rsidRPr="0042768F">
        <w:rPr>
          <w:rFonts w:ascii="Book Antiqua" w:hAnsi="Book Antiqua"/>
        </w:rPr>
        <w:t>, Nahidi L, Tilakaratne S, Day AS, Lemberg DA. Development and assessment of a modified Pediatric Crohn Disease Activity Index. </w:t>
      </w:r>
      <w:r w:rsidRPr="0042768F">
        <w:rPr>
          <w:rFonts w:ascii="Book Antiqua" w:hAnsi="Book Antiqua"/>
          <w:i/>
          <w:iCs/>
        </w:rPr>
        <w:t>J Pediatr Gastroenterol Nutr</w:t>
      </w:r>
      <w:r w:rsidRPr="0042768F">
        <w:rPr>
          <w:rFonts w:ascii="Book Antiqua" w:hAnsi="Book Antiqua"/>
        </w:rPr>
        <w:t> 2010; </w:t>
      </w:r>
      <w:r w:rsidRPr="0042768F">
        <w:rPr>
          <w:rFonts w:ascii="Book Antiqua" w:hAnsi="Book Antiqua"/>
          <w:b/>
          <w:bCs/>
        </w:rPr>
        <w:t>51</w:t>
      </w:r>
      <w:r w:rsidRPr="0042768F">
        <w:rPr>
          <w:rFonts w:ascii="Book Antiqua" w:hAnsi="Book Antiqua"/>
        </w:rPr>
        <w:t>: 232-236 [PMID: 20479686 DOI: 10.1097/MPG.0b013e3181d13609]</w:t>
      </w:r>
    </w:p>
    <w:p w14:paraId="6C223879"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15 </w:t>
      </w:r>
      <w:r w:rsidRPr="0042768F">
        <w:rPr>
          <w:rFonts w:ascii="Book Antiqua" w:hAnsi="Book Antiqua"/>
          <w:b/>
          <w:bCs/>
        </w:rPr>
        <w:t>Turner D</w:t>
      </w:r>
      <w:r w:rsidRPr="0042768F">
        <w:rPr>
          <w:rFonts w:ascii="Book Antiqua" w:hAnsi="Book Antiqua"/>
        </w:rPr>
        <w:t>, Levine A, Walters TD, Focht G, Otley A, López VN, Koletzko S, Baldassano R, Mack D, Hyams J, Griffiths AM. Which PCDAI Version Best Reflects Intestinal Inflammation in Pediatric Crohn Disease? </w:t>
      </w:r>
      <w:r w:rsidRPr="0042768F">
        <w:rPr>
          <w:rFonts w:ascii="Book Antiqua" w:hAnsi="Book Antiqua"/>
          <w:i/>
          <w:iCs/>
        </w:rPr>
        <w:t>J Pediatr Gastroenterol Nutr</w:t>
      </w:r>
      <w:r w:rsidRPr="0042768F">
        <w:rPr>
          <w:rFonts w:ascii="Book Antiqua" w:hAnsi="Book Antiqua"/>
        </w:rPr>
        <w:t> 2017; </w:t>
      </w:r>
      <w:r w:rsidRPr="0042768F">
        <w:rPr>
          <w:rFonts w:ascii="Book Antiqua" w:hAnsi="Book Antiqua"/>
          <w:b/>
          <w:bCs/>
        </w:rPr>
        <w:t>64</w:t>
      </w:r>
      <w:r w:rsidRPr="0042768F">
        <w:rPr>
          <w:rFonts w:ascii="Book Antiqua" w:hAnsi="Book Antiqua"/>
        </w:rPr>
        <w:t>: 254-260 [PMID: 27050050 DOI: 10.1097/MPG.0000000000001227]</w:t>
      </w:r>
    </w:p>
    <w:p w14:paraId="77DD7476"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16 </w:t>
      </w:r>
      <w:r w:rsidRPr="0042768F">
        <w:rPr>
          <w:rFonts w:ascii="Book Antiqua" w:hAnsi="Book Antiqua"/>
          <w:b/>
          <w:bCs/>
        </w:rPr>
        <w:t>Zubin G</w:t>
      </w:r>
      <w:r w:rsidRPr="0042768F">
        <w:rPr>
          <w:rFonts w:ascii="Book Antiqua" w:hAnsi="Book Antiqua"/>
        </w:rPr>
        <w:t>, Peter L. Predicting Endoscopic Crohn's Disease Activity Before and After Induction Therapy in Children: A Comprehensive Assessment of PCDAI, CRP, and Fecal Calprotectin. </w:t>
      </w:r>
      <w:r w:rsidRPr="0042768F">
        <w:rPr>
          <w:rFonts w:ascii="Book Antiqua" w:hAnsi="Book Antiqua"/>
          <w:i/>
          <w:iCs/>
        </w:rPr>
        <w:t>Inflamm Bowel Dis</w:t>
      </w:r>
      <w:r w:rsidRPr="0042768F">
        <w:rPr>
          <w:rFonts w:ascii="Book Antiqua" w:hAnsi="Book Antiqua"/>
        </w:rPr>
        <w:t> 2015; </w:t>
      </w:r>
      <w:r w:rsidRPr="0042768F">
        <w:rPr>
          <w:rFonts w:ascii="Book Antiqua" w:hAnsi="Book Antiqua"/>
          <w:b/>
          <w:bCs/>
        </w:rPr>
        <w:t>21</w:t>
      </w:r>
      <w:r w:rsidRPr="0042768F">
        <w:rPr>
          <w:rFonts w:ascii="Book Antiqua" w:hAnsi="Book Antiqua"/>
        </w:rPr>
        <w:t>: 1386-1391 [</w:t>
      </w:r>
      <w:bookmarkStart w:id="97" w:name="OLE_LINK21"/>
      <w:bookmarkStart w:id="98" w:name="OLE_LINK22"/>
      <w:r w:rsidRPr="0042768F">
        <w:rPr>
          <w:rFonts w:ascii="Book Antiqua" w:hAnsi="Book Antiqua"/>
        </w:rPr>
        <w:t>PMID: 25851564</w:t>
      </w:r>
      <w:bookmarkEnd w:id="97"/>
      <w:bookmarkEnd w:id="98"/>
      <w:r w:rsidRPr="0042768F">
        <w:rPr>
          <w:rFonts w:ascii="Book Antiqua" w:hAnsi="Book Antiqua"/>
        </w:rPr>
        <w:t xml:space="preserve"> </w:t>
      </w:r>
      <w:r w:rsidR="000F5C7A" w:rsidRPr="0042768F">
        <w:rPr>
          <w:rFonts w:ascii="Book Antiqua" w:hAnsi="Book Antiqua"/>
        </w:rPr>
        <w:t>DOI: 10.1097/MIB.0000000000000388</w:t>
      </w:r>
      <w:r w:rsidRPr="0042768F">
        <w:rPr>
          <w:rFonts w:ascii="Book Antiqua" w:hAnsi="Book Antiqua"/>
        </w:rPr>
        <w:t>]</w:t>
      </w:r>
    </w:p>
    <w:p w14:paraId="05C9D279"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17 </w:t>
      </w:r>
      <w:r w:rsidRPr="0042768F">
        <w:rPr>
          <w:rFonts w:ascii="Book Antiqua" w:hAnsi="Book Antiqua"/>
          <w:b/>
          <w:bCs/>
        </w:rPr>
        <w:t>Yu Y</w:t>
      </w:r>
      <w:r w:rsidRPr="0042768F">
        <w:rPr>
          <w:rFonts w:ascii="Book Antiqua" w:hAnsi="Book Antiqua"/>
        </w:rPr>
        <w:t>, Zhao H, Luo Y, Lou J, Chen J, Fang Y. Poor Concordance Between Clinical Activity and Endoscopic Severity in Pediatric Crohn's Disease: Before and After Induction Therapy. </w:t>
      </w:r>
      <w:r w:rsidRPr="0042768F">
        <w:rPr>
          <w:rFonts w:ascii="Book Antiqua" w:hAnsi="Book Antiqua"/>
          <w:i/>
          <w:iCs/>
        </w:rPr>
        <w:t>Dig Dis Sci</w:t>
      </w:r>
      <w:r w:rsidRPr="0042768F">
        <w:rPr>
          <w:rFonts w:ascii="Book Antiqua" w:hAnsi="Book Antiqua"/>
        </w:rPr>
        <w:t> 2021 [PMID: 33818661 DOI: 10.1007/s10620-021-06917-3]</w:t>
      </w:r>
    </w:p>
    <w:p w14:paraId="2A9C2C52"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591669">
        <w:rPr>
          <w:rFonts w:ascii="Book Antiqua" w:hAnsi="Book Antiqua"/>
          <w:highlight w:val="yellow"/>
        </w:rPr>
        <w:t>18 </w:t>
      </w:r>
      <w:r w:rsidRPr="00591669">
        <w:rPr>
          <w:rFonts w:ascii="Book Antiqua" w:hAnsi="Book Antiqua"/>
          <w:b/>
          <w:bCs/>
          <w:highlight w:val="yellow"/>
        </w:rPr>
        <w:t>Brody T.</w:t>
      </w:r>
      <w:r w:rsidRPr="00591669">
        <w:rPr>
          <w:rFonts w:ascii="Book Antiqua" w:hAnsi="Book Antiqua"/>
          <w:bCs/>
          <w:highlight w:val="yellow"/>
        </w:rPr>
        <w:t xml:space="preserve"> Clinical trials: study design,</w:t>
      </w:r>
      <w:r w:rsidRPr="00591669">
        <w:rPr>
          <w:rFonts w:ascii="Book Antiqua" w:hAnsi="Book Antiqua"/>
          <w:highlight w:val="yellow"/>
        </w:rPr>
        <w:t> endpoints and biomarkers, drug saf</w:t>
      </w:r>
      <w:r w:rsidR="000F5C7A" w:rsidRPr="00591669">
        <w:rPr>
          <w:rFonts w:ascii="Book Antiqua" w:hAnsi="Book Antiqua"/>
          <w:highlight w:val="yellow"/>
        </w:rPr>
        <w:t>ety, and FDA and ICH guidelines</w:t>
      </w:r>
      <w:r w:rsidR="000F5C7A" w:rsidRPr="00591669">
        <w:rPr>
          <w:rFonts w:ascii="Book Antiqua" w:hAnsi="Book Antiqua" w:hint="eastAsia"/>
          <w:highlight w:val="yellow"/>
        </w:rPr>
        <w:t>. 2</w:t>
      </w:r>
      <w:r w:rsidR="000F5C7A" w:rsidRPr="00591669">
        <w:rPr>
          <w:rFonts w:ascii="Book Antiqua" w:hAnsi="Book Antiqua" w:hint="eastAsia"/>
          <w:highlight w:val="yellow"/>
          <w:vertAlign w:val="superscript"/>
        </w:rPr>
        <w:t>ne</w:t>
      </w:r>
      <w:r w:rsidR="000F5C7A" w:rsidRPr="00591669">
        <w:rPr>
          <w:rFonts w:ascii="Book Antiqua" w:hAnsi="Book Antiqua" w:hint="eastAsia"/>
          <w:highlight w:val="yellow"/>
        </w:rPr>
        <w:t xml:space="preserve"> ed.</w:t>
      </w:r>
      <w:r w:rsidRPr="00591669">
        <w:rPr>
          <w:rFonts w:ascii="Book Antiqua" w:hAnsi="Book Antiqua"/>
          <w:highlight w:val="yellow"/>
        </w:rPr>
        <w:t xml:space="preserve"> Academic press, 2016</w:t>
      </w:r>
    </w:p>
    <w:p w14:paraId="445D20C1"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19 </w:t>
      </w:r>
      <w:r w:rsidRPr="0042768F">
        <w:rPr>
          <w:rFonts w:ascii="Book Antiqua" w:hAnsi="Book Antiqua"/>
          <w:b/>
          <w:bCs/>
        </w:rPr>
        <w:t>Green DJ</w:t>
      </w:r>
      <w:r w:rsidRPr="0042768F">
        <w:rPr>
          <w:rFonts w:ascii="Book Antiqua" w:hAnsi="Book Antiqua"/>
        </w:rPr>
        <w:t>, Burnham JM, Schuette P, Liu XI, Maas BM, Yao L, McCune SK, Chen J, van den Anker JN, Burckart GJ. Primary Endpoints in Pediatric Efficacy Trials Submitted to the US FDA. </w:t>
      </w:r>
      <w:r w:rsidRPr="0042768F">
        <w:rPr>
          <w:rFonts w:ascii="Book Antiqua" w:hAnsi="Book Antiqua"/>
          <w:i/>
          <w:iCs/>
        </w:rPr>
        <w:t>J Clin Pharmacol</w:t>
      </w:r>
      <w:r w:rsidRPr="0042768F">
        <w:rPr>
          <w:rFonts w:ascii="Book Antiqua" w:hAnsi="Book Antiqua"/>
        </w:rPr>
        <w:t> 2018; </w:t>
      </w:r>
      <w:r w:rsidRPr="0042768F">
        <w:rPr>
          <w:rFonts w:ascii="Book Antiqua" w:hAnsi="Book Antiqua"/>
          <w:b/>
          <w:bCs/>
        </w:rPr>
        <w:t>58</w:t>
      </w:r>
      <w:r w:rsidRPr="0042768F">
        <w:rPr>
          <w:rFonts w:ascii="Book Antiqua" w:hAnsi="Book Antiqua"/>
        </w:rPr>
        <w:t>: 885-890 [PMID: 29663424 DOI: 10.1002/jcph.1109]</w:t>
      </w:r>
    </w:p>
    <w:p w14:paraId="43BE5338"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20 </w:t>
      </w:r>
      <w:r w:rsidRPr="0042768F">
        <w:rPr>
          <w:rFonts w:ascii="Book Antiqua" w:hAnsi="Book Antiqua"/>
          <w:b/>
          <w:bCs/>
        </w:rPr>
        <w:t>Levesque BG</w:t>
      </w:r>
      <w:r w:rsidRPr="0042768F">
        <w:rPr>
          <w:rFonts w:ascii="Book Antiqua" w:hAnsi="Book Antiqua"/>
        </w:rPr>
        <w:t>, Sandborn WJ, Ruel J, Feagan BG, Sands BE, Colombel JF. Converging goals of treatment of inflammatory bowel disease from clinical trials and practice. </w:t>
      </w:r>
      <w:r w:rsidRPr="0042768F">
        <w:rPr>
          <w:rFonts w:ascii="Book Antiqua" w:hAnsi="Book Antiqua"/>
          <w:i/>
          <w:iCs/>
        </w:rPr>
        <w:t>Gastroenterology</w:t>
      </w:r>
      <w:r w:rsidRPr="0042768F">
        <w:rPr>
          <w:rFonts w:ascii="Book Antiqua" w:hAnsi="Book Antiqua"/>
        </w:rPr>
        <w:t> 2015; </w:t>
      </w:r>
      <w:r w:rsidRPr="0042768F">
        <w:rPr>
          <w:rFonts w:ascii="Book Antiqua" w:hAnsi="Book Antiqua"/>
          <w:b/>
          <w:bCs/>
        </w:rPr>
        <w:t>148</w:t>
      </w:r>
      <w:r w:rsidRPr="0042768F">
        <w:rPr>
          <w:rFonts w:ascii="Book Antiqua" w:hAnsi="Book Antiqua"/>
        </w:rPr>
        <w:t>: 37-51.e1 [PMID: 25127678 DOI: 10.1053/j.gastro.2014.08.003]</w:t>
      </w:r>
    </w:p>
    <w:p w14:paraId="778B73A4"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21 </w:t>
      </w:r>
      <w:r w:rsidRPr="0042768F">
        <w:rPr>
          <w:rFonts w:ascii="Book Antiqua" w:hAnsi="Book Antiqua"/>
          <w:b/>
          <w:bCs/>
        </w:rPr>
        <w:t>Williet N</w:t>
      </w:r>
      <w:r w:rsidRPr="0042768F">
        <w:rPr>
          <w:rFonts w:ascii="Book Antiqua" w:hAnsi="Book Antiqua"/>
        </w:rPr>
        <w:t>, Sandborn WJ, Peyrin-Biroulet L. Patient-reported outcomes as primary end points in clinical trials of inflammatory bowel disease. </w:t>
      </w:r>
      <w:r w:rsidRPr="0042768F">
        <w:rPr>
          <w:rFonts w:ascii="Book Antiqua" w:hAnsi="Book Antiqua"/>
          <w:i/>
          <w:iCs/>
        </w:rPr>
        <w:t>Clin Gastroenterol Hepatol</w:t>
      </w:r>
      <w:r w:rsidRPr="0042768F">
        <w:rPr>
          <w:rFonts w:ascii="Book Antiqua" w:hAnsi="Book Antiqua"/>
        </w:rPr>
        <w:t> 2014; </w:t>
      </w:r>
      <w:r w:rsidRPr="0042768F">
        <w:rPr>
          <w:rFonts w:ascii="Book Antiqua" w:hAnsi="Book Antiqua"/>
          <w:b/>
          <w:bCs/>
        </w:rPr>
        <w:t>12</w:t>
      </w:r>
      <w:r w:rsidRPr="0042768F">
        <w:rPr>
          <w:rFonts w:ascii="Book Antiqua" w:hAnsi="Book Antiqua"/>
        </w:rPr>
        <w:t>: 1246-56.e6 [PMID: 24534550 DOI: 10.1016/j.cgh.2014.02.016]</w:t>
      </w:r>
    </w:p>
    <w:p w14:paraId="3BE054C9"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 xml:space="preserve">22 </w:t>
      </w:r>
      <w:r w:rsidR="000F5C7A" w:rsidRPr="0042768F">
        <w:rPr>
          <w:rFonts w:ascii="Book Antiqua" w:hAnsi="Book Antiqua"/>
          <w:b/>
        </w:rPr>
        <w:t>U.S. Department of Health and Human Services FDA Center for Drug Evaluation and Research</w:t>
      </w:r>
      <w:r w:rsidR="000F5C7A" w:rsidRPr="0042768F">
        <w:rPr>
          <w:rFonts w:ascii="Book Antiqua" w:hAnsi="Book Antiqua"/>
        </w:rPr>
        <w:t xml:space="preserve">; U.S. Department of Health and Human Services FDA Center for Biologics Evaluation and Research; U.S. Department of Health and Human Services FDA Center for Devices and Radiological Health. Guidance for industry: patient-reported outcome measures: use in medical product development to support labeling claims: draft guidance. </w:t>
      </w:r>
      <w:r w:rsidR="000F5C7A" w:rsidRPr="0042768F">
        <w:rPr>
          <w:rFonts w:ascii="Book Antiqua" w:hAnsi="Book Antiqua"/>
          <w:i/>
        </w:rPr>
        <w:t>Health Qual Life Outcomes</w:t>
      </w:r>
      <w:r w:rsidR="000F5C7A" w:rsidRPr="0042768F">
        <w:rPr>
          <w:rFonts w:ascii="Book Antiqua" w:hAnsi="Book Antiqua"/>
        </w:rPr>
        <w:t xml:space="preserve"> 2006;</w:t>
      </w:r>
      <w:r w:rsidR="000F5C7A" w:rsidRPr="0042768F">
        <w:rPr>
          <w:rFonts w:ascii="Book Antiqua" w:hAnsi="Book Antiqua" w:hint="eastAsia"/>
        </w:rPr>
        <w:t xml:space="preserve"> </w:t>
      </w:r>
      <w:r w:rsidR="000F5C7A" w:rsidRPr="0042768F">
        <w:rPr>
          <w:rFonts w:ascii="Book Antiqua" w:hAnsi="Book Antiqua"/>
          <w:b/>
        </w:rPr>
        <w:t>4</w:t>
      </w:r>
      <w:r w:rsidR="000F5C7A" w:rsidRPr="0042768F">
        <w:rPr>
          <w:rFonts w:ascii="Book Antiqua" w:hAnsi="Book Antiqua"/>
        </w:rPr>
        <w:t>:</w:t>
      </w:r>
      <w:r w:rsidR="000F5C7A" w:rsidRPr="0042768F">
        <w:rPr>
          <w:rFonts w:ascii="Book Antiqua" w:hAnsi="Book Antiqua" w:hint="eastAsia"/>
        </w:rPr>
        <w:t xml:space="preserve"> </w:t>
      </w:r>
      <w:r w:rsidR="000F5C7A" w:rsidRPr="0042768F">
        <w:rPr>
          <w:rFonts w:ascii="Book Antiqua" w:hAnsi="Book Antiqua"/>
        </w:rPr>
        <w:t xml:space="preserve">79 </w:t>
      </w:r>
      <w:r w:rsidR="000F5C7A" w:rsidRPr="0042768F">
        <w:rPr>
          <w:rFonts w:ascii="Book Antiqua" w:hAnsi="Book Antiqua" w:hint="eastAsia"/>
        </w:rPr>
        <w:t>[</w:t>
      </w:r>
      <w:r w:rsidR="000F5C7A" w:rsidRPr="0042768F">
        <w:rPr>
          <w:rFonts w:ascii="Book Antiqua" w:hAnsi="Book Antiqua"/>
        </w:rPr>
        <w:t>PMID: 17034633</w:t>
      </w:r>
      <w:r w:rsidR="000F5C7A" w:rsidRPr="0042768F">
        <w:rPr>
          <w:rFonts w:ascii="Book Antiqua" w:hAnsi="Book Antiqua" w:hint="eastAsia"/>
        </w:rPr>
        <w:t xml:space="preserve"> DOI</w:t>
      </w:r>
      <w:r w:rsidR="000F5C7A" w:rsidRPr="0042768F">
        <w:rPr>
          <w:rFonts w:ascii="Book Antiqua" w:hAnsi="Book Antiqua"/>
        </w:rPr>
        <w:t>: 10.1186/1477-7525-4-79</w:t>
      </w:r>
      <w:r w:rsidR="000F5C7A" w:rsidRPr="0042768F">
        <w:rPr>
          <w:rFonts w:ascii="Book Antiqua" w:hAnsi="Book Antiqua" w:hint="eastAsia"/>
        </w:rPr>
        <w:t>]</w:t>
      </w:r>
    </w:p>
    <w:p w14:paraId="282186C0"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23 </w:t>
      </w:r>
      <w:r w:rsidRPr="0042768F">
        <w:rPr>
          <w:rFonts w:ascii="Book Antiqua" w:hAnsi="Book Antiqua"/>
          <w:b/>
          <w:bCs/>
        </w:rPr>
        <w:t>Black N</w:t>
      </w:r>
      <w:r w:rsidRPr="0042768F">
        <w:rPr>
          <w:rFonts w:ascii="Book Antiqua" w:hAnsi="Book Antiqua"/>
        </w:rPr>
        <w:t>. Patient reported outcome measures could help transform healthcare. </w:t>
      </w:r>
      <w:r w:rsidRPr="0042768F">
        <w:rPr>
          <w:rFonts w:ascii="Book Antiqua" w:hAnsi="Book Antiqua"/>
          <w:i/>
          <w:iCs/>
        </w:rPr>
        <w:t>BMJ</w:t>
      </w:r>
      <w:r w:rsidRPr="0042768F">
        <w:rPr>
          <w:rFonts w:ascii="Book Antiqua" w:hAnsi="Book Antiqua"/>
        </w:rPr>
        <w:t> 2013; </w:t>
      </w:r>
      <w:r w:rsidRPr="0042768F">
        <w:rPr>
          <w:rFonts w:ascii="Book Antiqua" w:hAnsi="Book Antiqua"/>
          <w:b/>
          <w:bCs/>
        </w:rPr>
        <w:t>346</w:t>
      </w:r>
      <w:r w:rsidRPr="0042768F">
        <w:rPr>
          <w:rFonts w:ascii="Book Antiqua" w:hAnsi="Book Antiqua"/>
        </w:rPr>
        <w:t>: f167 [PMID: 23358487 DOI: 10.1136/bmj.f167]</w:t>
      </w:r>
    </w:p>
    <w:p w14:paraId="293B4486"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24 </w:t>
      </w:r>
      <w:r w:rsidRPr="0042768F">
        <w:rPr>
          <w:rFonts w:ascii="Book Antiqua" w:hAnsi="Book Antiqua"/>
          <w:b/>
          <w:bCs/>
        </w:rPr>
        <w:t>Weldring T</w:t>
      </w:r>
      <w:r w:rsidRPr="0042768F">
        <w:rPr>
          <w:rFonts w:ascii="Book Antiqua" w:hAnsi="Book Antiqua"/>
        </w:rPr>
        <w:t>, Smith SM. Patient-Reported Outcomes (PROs) and Patient-Reported Outcome Measures (PROMs). </w:t>
      </w:r>
      <w:r w:rsidRPr="0042768F">
        <w:rPr>
          <w:rFonts w:ascii="Book Antiqua" w:hAnsi="Book Antiqua"/>
          <w:i/>
          <w:iCs/>
        </w:rPr>
        <w:t>Health Serv Insights</w:t>
      </w:r>
      <w:r w:rsidRPr="0042768F">
        <w:rPr>
          <w:rFonts w:ascii="Book Antiqua" w:hAnsi="Book Antiqua"/>
        </w:rPr>
        <w:t> 2013; </w:t>
      </w:r>
      <w:r w:rsidRPr="0042768F">
        <w:rPr>
          <w:rFonts w:ascii="Book Antiqua" w:hAnsi="Book Antiqua"/>
          <w:b/>
          <w:bCs/>
        </w:rPr>
        <w:t>6</w:t>
      </w:r>
      <w:r w:rsidRPr="0042768F">
        <w:rPr>
          <w:rFonts w:ascii="Book Antiqua" w:hAnsi="Book Antiqua"/>
        </w:rPr>
        <w:t>: 61-68 [</w:t>
      </w:r>
      <w:bookmarkStart w:id="99" w:name="OLE_LINK23"/>
      <w:bookmarkStart w:id="100" w:name="OLE_LINK24"/>
      <w:r w:rsidRPr="0042768F">
        <w:rPr>
          <w:rFonts w:ascii="Book Antiqua" w:hAnsi="Book Antiqua"/>
        </w:rPr>
        <w:t>PMID: 25114561</w:t>
      </w:r>
      <w:bookmarkEnd w:id="99"/>
      <w:bookmarkEnd w:id="100"/>
      <w:r w:rsidRPr="0042768F">
        <w:rPr>
          <w:rFonts w:ascii="Book Antiqua" w:hAnsi="Book Antiqua"/>
        </w:rPr>
        <w:t xml:space="preserve"> </w:t>
      </w:r>
      <w:r w:rsidR="000F5C7A" w:rsidRPr="0042768F">
        <w:rPr>
          <w:rFonts w:ascii="Book Antiqua" w:hAnsi="Book Antiqua"/>
        </w:rPr>
        <w:t>DOI: 10.4137/HSI.S11093</w:t>
      </w:r>
      <w:r w:rsidRPr="0042768F">
        <w:rPr>
          <w:rFonts w:ascii="Book Antiqua" w:hAnsi="Book Antiqua"/>
        </w:rPr>
        <w:t>]</w:t>
      </w:r>
    </w:p>
    <w:p w14:paraId="61C09B2D"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25 </w:t>
      </w:r>
      <w:r w:rsidRPr="0042768F">
        <w:rPr>
          <w:rFonts w:ascii="Book Antiqua" w:hAnsi="Book Antiqua"/>
          <w:b/>
          <w:bCs/>
        </w:rPr>
        <w:t>McLeod LD</w:t>
      </w:r>
      <w:r w:rsidRPr="0042768F">
        <w:rPr>
          <w:rFonts w:ascii="Book Antiqua" w:hAnsi="Book Antiqua"/>
        </w:rPr>
        <w:t>, Coon CD, Martin SA, Fehnel SE, Hays RD. Interpreting patient-reported outcome results: US FDA guidance and emerging methods. </w:t>
      </w:r>
      <w:r w:rsidRPr="0042768F">
        <w:rPr>
          <w:rFonts w:ascii="Book Antiqua" w:hAnsi="Book Antiqua"/>
          <w:i/>
          <w:iCs/>
        </w:rPr>
        <w:t>Expert Rev Pharmacoecon Outcomes Res</w:t>
      </w:r>
      <w:r w:rsidRPr="0042768F">
        <w:rPr>
          <w:rFonts w:ascii="Book Antiqua" w:hAnsi="Book Antiqua"/>
        </w:rPr>
        <w:t> 2011; </w:t>
      </w:r>
      <w:r w:rsidRPr="0042768F">
        <w:rPr>
          <w:rFonts w:ascii="Book Antiqua" w:hAnsi="Book Antiqua"/>
          <w:b/>
          <w:bCs/>
        </w:rPr>
        <w:t>11</w:t>
      </w:r>
      <w:r w:rsidRPr="0042768F">
        <w:rPr>
          <w:rFonts w:ascii="Book Antiqua" w:hAnsi="Book Antiqua"/>
        </w:rPr>
        <w:t>: 163-169 [PMID: 21476818 DOI: 10.1586/erp.11.12]</w:t>
      </w:r>
    </w:p>
    <w:p w14:paraId="350DE6AA"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26 </w:t>
      </w:r>
      <w:r w:rsidRPr="0042768F">
        <w:rPr>
          <w:rFonts w:ascii="Book Antiqua" w:hAnsi="Book Antiqua"/>
          <w:b/>
          <w:bCs/>
        </w:rPr>
        <w:t>Ghosh S</w:t>
      </w:r>
      <w:r w:rsidRPr="0042768F">
        <w:rPr>
          <w:rFonts w:ascii="Book Antiqua" w:hAnsi="Book Antiqua"/>
        </w:rPr>
        <w:t>. Are patient-reported outcome measures the way to go in inflammatory bowel disease? </w:t>
      </w:r>
      <w:r w:rsidRPr="0042768F">
        <w:rPr>
          <w:rFonts w:ascii="Book Antiqua" w:hAnsi="Book Antiqua"/>
          <w:i/>
          <w:iCs/>
        </w:rPr>
        <w:t>Can J Gastroenterol Hepatol</w:t>
      </w:r>
      <w:r w:rsidRPr="0042768F">
        <w:rPr>
          <w:rFonts w:ascii="Book Antiqua" w:hAnsi="Book Antiqua"/>
        </w:rPr>
        <w:t> 2014; </w:t>
      </w:r>
      <w:r w:rsidRPr="0042768F">
        <w:rPr>
          <w:rFonts w:ascii="Book Antiqua" w:hAnsi="Book Antiqua"/>
          <w:b/>
          <w:bCs/>
        </w:rPr>
        <w:t>28</w:t>
      </w:r>
      <w:r w:rsidRPr="0042768F">
        <w:rPr>
          <w:rFonts w:ascii="Book Antiqua" w:hAnsi="Book Antiqua"/>
        </w:rPr>
        <w:t>: 535 [PMID: 25390614 DOI: 10.1155/2014/748938]</w:t>
      </w:r>
    </w:p>
    <w:p w14:paraId="7156CF03"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27 </w:t>
      </w:r>
      <w:r w:rsidRPr="0042768F">
        <w:rPr>
          <w:rFonts w:ascii="Book Antiqua" w:hAnsi="Book Antiqua"/>
          <w:b/>
          <w:bCs/>
        </w:rPr>
        <w:t>Matza LS</w:t>
      </w:r>
      <w:r w:rsidRPr="0042768F">
        <w:rPr>
          <w:rFonts w:ascii="Book Antiqua" w:hAnsi="Book Antiqua"/>
        </w:rPr>
        <w:t>, Patrick DL, Riley AW, Alexander JJ, Rajmil L, Pleil AM, Bullinger M. Pediatric patient-reported outcome instruments for research to support medical product labeling: report of the ISPOR PRO good research practices for the assessment of children and adolescents task force. </w:t>
      </w:r>
      <w:r w:rsidRPr="0042768F">
        <w:rPr>
          <w:rFonts w:ascii="Book Antiqua" w:hAnsi="Book Antiqua"/>
          <w:i/>
          <w:iCs/>
        </w:rPr>
        <w:t>Value Health</w:t>
      </w:r>
      <w:r w:rsidRPr="0042768F">
        <w:rPr>
          <w:rFonts w:ascii="Book Antiqua" w:hAnsi="Book Antiqua"/>
        </w:rPr>
        <w:t> 2013; </w:t>
      </w:r>
      <w:r w:rsidRPr="0042768F">
        <w:rPr>
          <w:rFonts w:ascii="Book Antiqua" w:hAnsi="Book Antiqua"/>
          <w:b/>
          <w:bCs/>
        </w:rPr>
        <w:t>16</w:t>
      </w:r>
      <w:r w:rsidRPr="0042768F">
        <w:rPr>
          <w:rFonts w:ascii="Book Antiqua" w:hAnsi="Book Antiqua"/>
        </w:rPr>
        <w:t>: 461-479 [PMID: 23796280 DOI: 10.1016/j.jval.2013.04.004]</w:t>
      </w:r>
    </w:p>
    <w:p w14:paraId="2A509C54"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28 </w:t>
      </w:r>
      <w:r w:rsidRPr="0042768F">
        <w:rPr>
          <w:rFonts w:ascii="Book Antiqua" w:hAnsi="Book Antiqua"/>
          <w:b/>
          <w:bCs/>
        </w:rPr>
        <w:t>Ruemmele FM</w:t>
      </w:r>
      <w:r w:rsidRPr="0042768F">
        <w:rPr>
          <w:rFonts w:ascii="Book Antiqua" w:hAnsi="Book Antiqua"/>
        </w:rPr>
        <w:t>, Hyams JS, Otley A, Griffiths A, Kolho KL, Dias JA, Levine A, Escher JC, Taminiau J, Veres G, Colombel JF, Vermeire S, Wilson DC, Turner D. Outcome measures for clinical trials in paediatric IBD: an evidence-based, expert-driven practical statement paper of the paediatric ECCO committee. </w:t>
      </w:r>
      <w:r w:rsidRPr="0042768F">
        <w:rPr>
          <w:rFonts w:ascii="Book Antiqua" w:hAnsi="Book Antiqua"/>
          <w:i/>
          <w:iCs/>
        </w:rPr>
        <w:t>Gut</w:t>
      </w:r>
      <w:r w:rsidRPr="0042768F">
        <w:rPr>
          <w:rFonts w:ascii="Book Antiqua" w:hAnsi="Book Antiqua"/>
        </w:rPr>
        <w:t> 2015; </w:t>
      </w:r>
      <w:r w:rsidRPr="0042768F">
        <w:rPr>
          <w:rFonts w:ascii="Book Antiqua" w:hAnsi="Book Antiqua"/>
          <w:b/>
          <w:bCs/>
        </w:rPr>
        <w:t>64</w:t>
      </w:r>
      <w:r w:rsidRPr="0042768F">
        <w:rPr>
          <w:rFonts w:ascii="Book Antiqua" w:hAnsi="Book Antiqua"/>
        </w:rPr>
        <w:t>: 438-446 [PMID: 24821616 DOI: 10.1136/gutjnl-2014-307008]</w:t>
      </w:r>
    </w:p>
    <w:p w14:paraId="718A0E44"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29 </w:t>
      </w:r>
      <w:r w:rsidRPr="0042768F">
        <w:rPr>
          <w:rFonts w:ascii="Book Antiqua" w:hAnsi="Book Antiqua"/>
          <w:b/>
          <w:bCs/>
        </w:rPr>
        <w:t>Cozijnsen MA</w:t>
      </w:r>
      <w:r w:rsidRPr="0042768F">
        <w:rPr>
          <w:rFonts w:ascii="Book Antiqua" w:hAnsi="Book Antiqua"/>
        </w:rPr>
        <w:t>, Ben Shoham A, Kang B, Choe BH, Choe YH, Jongsma MME, Russell RK, Ruemmele FM, Escher JC, de Ridder L, Koletzko S, Martín-de-Carpi J, Hyams J, Walters T, Griffiths A, Turner D. Development and Validation of the Mucosal Inflammation Noninvasive Index For Pediatric Crohn's Disease. </w:t>
      </w:r>
      <w:r w:rsidRPr="0042768F">
        <w:rPr>
          <w:rFonts w:ascii="Book Antiqua" w:hAnsi="Book Antiqua"/>
          <w:i/>
          <w:iCs/>
        </w:rPr>
        <w:t>Clin Gastroenterol Hepatol</w:t>
      </w:r>
      <w:r w:rsidRPr="0042768F">
        <w:rPr>
          <w:rFonts w:ascii="Book Antiqua" w:hAnsi="Book Antiqua"/>
        </w:rPr>
        <w:t> 2020; </w:t>
      </w:r>
      <w:r w:rsidRPr="0042768F">
        <w:rPr>
          <w:rFonts w:ascii="Book Antiqua" w:hAnsi="Book Antiqua"/>
          <w:b/>
          <w:bCs/>
        </w:rPr>
        <w:t>18</w:t>
      </w:r>
      <w:r w:rsidRPr="0042768F">
        <w:rPr>
          <w:rFonts w:ascii="Book Antiqua" w:hAnsi="Book Antiqua"/>
        </w:rPr>
        <w:t>: 133-140.e1 [PMID: 30981008 DOI: 10.1016/j.cgh.2019.04.012]</w:t>
      </w:r>
    </w:p>
    <w:p w14:paraId="5852390B"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30 </w:t>
      </w:r>
      <w:r w:rsidRPr="0042768F">
        <w:rPr>
          <w:rFonts w:ascii="Book Antiqua" w:hAnsi="Book Antiqua"/>
          <w:b/>
          <w:bCs/>
        </w:rPr>
        <w:t>Crane MB,</w:t>
      </w:r>
      <w:r w:rsidRPr="0042768F">
        <w:rPr>
          <w:rFonts w:ascii="Book Antiqua" w:hAnsi="Book Antiqua"/>
        </w:rPr>
        <w:t xml:space="preserve"> Grant A, Hyams J, Croft N, Mack DR, Hussey S, Sylvester F, Huynh HQ, Turner D, Otley A. </w:t>
      </w:r>
      <w:bookmarkStart w:id="101" w:name="OLE_LINK25"/>
      <w:bookmarkStart w:id="102" w:name="OLE_LINK26"/>
      <w:r w:rsidRPr="0042768F">
        <w:rPr>
          <w:rFonts w:ascii="Book Antiqua" w:hAnsi="Book Antiqua"/>
        </w:rPr>
        <w:t>A132 Development of the TUMMY-CD, A symptoms-based disease activity patient reported outcome (PRO) for pediatric Crohn's disease</w:t>
      </w:r>
      <w:bookmarkEnd w:id="101"/>
      <w:bookmarkEnd w:id="102"/>
      <w:r w:rsidRPr="0042768F">
        <w:rPr>
          <w:rFonts w:ascii="Book Antiqua" w:hAnsi="Book Antiqua"/>
        </w:rPr>
        <w:t>.</w:t>
      </w:r>
      <w:r w:rsidR="00EF3D0E" w:rsidRPr="0042768F">
        <w:rPr>
          <w:i/>
        </w:rPr>
        <w:t xml:space="preserve"> </w:t>
      </w:r>
      <w:r w:rsidR="00EF3D0E" w:rsidRPr="0042768F">
        <w:rPr>
          <w:rFonts w:ascii="Book Antiqua" w:hAnsi="Book Antiqua"/>
          <w:i/>
        </w:rPr>
        <w:t>J Can Assoc Gastroenterol</w:t>
      </w:r>
      <w:r w:rsidRPr="0042768F">
        <w:rPr>
          <w:rFonts w:ascii="Book Antiqua" w:hAnsi="Book Antiqua"/>
        </w:rPr>
        <w:t xml:space="preserve"> 2018; </w:t>
      </w:r>
      <w:r w:rsidRPr="0042768F">
        <w:rPr>
          <w:rFonts w:ascii="Book Antiqua" w:hAnsi="Book Antiqua"/>
          <w:b/>
        </w:rPr>
        <w:t>1</w:t>
      </w:r>
      <w:r w:rsidRPr="0042768F">
        <w:rPr>
          <w:rFonts w:ascii="Book Antiqua" w:hAnsi="Book Antiqua"/>
        </w:rPr>
        <w:t>: 197-198</w:t>
      </w:r>
      <w:r w:rsidR="00EF3D0E" w:rsidRPr="0042768F">
        <w:rPr>
          <w:rFonts w:ascii="Book Antiqua" w:hAnsi="Book Antiqua" w:hint="eastAsia"/>
        </w:rPr>
        <w:t xml:space="preserve"> [DOI: </w:t>
      </w:r>
      <w:r w:rsidR="00EF3D0E" w:rsidRPr="0042768F">
        <w:rPr>
          <w:rFonts w:ascii="Book Antiqua" w:hAnsi="Book Antiqua"/>
        </w:rPr>
        <w:t>10.1093/jcag/gwy009.132</w:t>
      </w:r>
      <w:r w:rsidR="00EF3D0E" w:rsidRPr="0042768F">
        <w:rPr>
          <w:rFonts w:ascii="Book Antiqua" w:hAnsi="Book Antiqua" w:hint="eastAsia"/>
        </w:rPr>
        <w:t>]</w:t>
      </w:r>
    </w:p>
    <w:p w14:paraId="65633C07"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31 </w:t>
      </w:r>
      <w:r w:rsidRPr="0042768F">
        <w:rPr>
          <w:rFonts w:ascii="Book Antiqua" w:hAnsi="Book Antiqua"/>
          <w:b/>
          <w:bCs/>
        </w:rPr>
        <w:t>Bojic D</w:t>
      </w:r>
      <w:r w:rsidRPr="0042768F">
        <w:rPr>
          <w:rFonts w:ascii="Book Antiqua" w:hAnsi="Book Antiqua"/>
        </w:rPr>
        <w:t>, Bodger K, Travis S. Patient Reported Outcome Measures (PROMs) in Inflammatory Bowel Disease: New Data. </w:t>
      </w:r>
      <w:r w:rsidRPr="0042768F">
        <w:rPr>
          <w:rFonts w:ascii="Book Antiqua" w:hAnsi="Book Antiqua"/>
          <w:i/>
          <w:iCs/>
        </w:rPr>
        <w:t>J Crohns Colitis</w:t>
      </w:r>
      <w:r w:rsidRPr="0042768F">
        <w:rPr>
          <w:rFonts w:ascii="Book Antiqua" w:hAnsi="Book Antiqua"/>
        </w:rPr>
        <w:t> 2017; </w:t>
      </w:r>
      <w:r w:rsidRPr="0042768F">
        <w:rPr>
          <w:rFonts w:ascii="Book Antiqua" w:hAnsi="Book Antiqua"/>
          <w:b/>
          <w:bCs/>
        </w:rPr>
        <w:t>11</w:t>
      </w:r>
      <w:r w:rsidRPr="0042768F">
        <w:rPr>
          <w:rFonts w:ascii="Book Antiqua" w:hAnsi="Book Antiqua"/>
        </w:rPr>
        <w:t>: S576-S585 [PMID: 27797917 DOI: 10.1093/ecco-jcc/jjw187]</w:t>
      </w:r>
    </w:p>
    <w:p w14:paraId="2B02BB00"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32 </w:t>
      </w:r>
      <w:r w:rsidRPr="0042768F">
        <w:rPr>
          <w:rFonts w:ascii="Book Antiqua" w:hAnsi="Book Antiqua"/>
          <w:b/>
          <w:bCs/>
        </w:rPr>
        <w:t>Hyams JS</w:t>
      </w:r>
      <w:r w:rsidRPr="0042768F">
        <w:rPr>
          <w:rFonts w:ascii="Book Antiqua" w:hAnsi="Book Antiqua"/>
        </w:rPr>
        <w:t>, Griffiths A, Markowitz J, Baldassano RN, Faubion WA Jr, Colletti RB, Dubinsky M, Kierkus J, Rosh J, Wang Y, Huang B, Bittle B, Marshall M, Lazar A. Safety and efficacy of adalimumab for moderate to severe Crohn's disease in children. </w:t>
      </w:r>
      <w:r w:rsidRPr="0042768F">
        <w:rPr>
          <w:rFonts w:ascii="Book Antiqua" w:hAnsi="Book Antiqua"/>
          <w:i/>
          <w:iCs/>
        </w:rPr>
        <w:t>Gastroenterology</w:t>
      </w:r>
      <w:r w:rsidRPr="0042768F">
        <w:rPr>
          <w:rFonts w:ascii="Book Antiqua" w:hAnsi="Book Antiqua"/>
        </w:rPr>
        <w:t> 2012; </w:t>
      </w:r>
      <w:r w:rsidRPr="0042768F">
        <w:rPr>
          <w:rFonts w:ascii="Book Antiqua" w:hAnsi="Book Antiqua"/>
          <w:b/>
          <w:bCs/>
        </w:rPr>
        <w:t>143</w:t>
      </w:r>
      <w:r w:rsidRPr="0042768F">
        <w:rPr>
          <w:rFonts w:ascii="Book Antiqua" w:hAnsi="Book Antiqua"/>
        </w:rPr>
        <w:t>: 365-74.e2 [PMID: 22562021 DOI: 10.1053/j.gastro.2012.04.046]</w:t>
      </w:r>
    </w:p>
    <w:p w14:paraId="22CCBC67"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33 </w:t>
      </w:r>
      <w:r w:rsidRPr="0042768F">
        <w:rPr>
          <w:rFonts w:ascii="Book Antiqua" w:hAnsi="Book Antiqua"/>
          <w:b/>
          <w:bCs/>
        </w:rPr>
        <w:t>Otley A</w:t>
      </w:r>
      <w:r w:rsidRPr="0042768F">
        <w:rPr>
          <w:rFonts w:ascii="Book Antiqua" w:hAnsi="Book Antiqua"/>
        </w:rPr>
        <w:t>, Smith C, Nicholas D, Munk M, Avolio J, Sherman PM, Griffiths AM. The IMPACT questionnaire: a valid measure of health-related quality of life in pediatric inflammatory bowel disease. </w:t>
      </w:r>
      <w:r w:rsidRPr="0042768F">
        <w:rPr>
          <w:rFonts w:ascii="Book Antiqua" w:hAnsi="Book Antiqua"/>
          <w:i/>
          <w:iCs/>
        </w:rPr>
        <w:t>J Pediatr Gastroenterol Nutr</w:t>
      </w:r>
      <w:r w:rsidRPr="0042768F">
        <w:rPr>
          <w:rFonts w:ascii="Book Antiqua" w:hAnsi="Book Antiqua"/>
        </w:rPr>
        <w:t> 2002; </w:t>
      </w:r>
      <w:r w:rsidRPr="0042768F">
        <w:rPr>
          <w:rFonts w:ascii="Book Antiqua" w:hAnsi="Book Antiqua"/>
          <w:b/>
          <w:bCs/>
        </w:rPr>
        <w:t>35</w:t>
      </w:r>
      <w:r w:rsidRPr="0042768F">
        <w:rPr>
          <w:rFonts w:ascii="Book Antiqua" w:hAnsi="Book Antiqua"/>
        </w:rPr>
        <w:t>: 557-563 [PMID: 12394384 DOI: 10.1097/00005176-200210000-00018]</w:t>
      </w:r>
    </w:p>
    <w:p w14:paraId="2364873F"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34 </w:t>
      </w:r>
      <w:r w:rsidRPr="0042768F">
        <w:rPr>
          <w:rFonts w:ascii="Book Antiqua" w:hAnsi="Book Antiqua"/>
          <w:b/>
          <w:bCs/>
        </w:rPr>
        <w:t>Dulai PS</w:t>
      </w:r>
      <w:r w:rsidRPr="0042768F">
        <w:rPr>
          <w:rFonts w:ascii="Book Antiqua" w:hAnsi="Book Antiqua"/>
        </w:rPr>
        <w:t>, Peyrin-Biroulet L, Danese S, Sands BE, Dignass A, Turner D, Mantzaris G, Schölmerich J, Mary JY, Reinisch W, Sandborn WJ. Approaches to Integrating Biomarkers Into Clinical Trials and Care Pathways as Targets for the Treatment of Inflammatory Bowel Diseases. </w:t>
      </w:r>
      <w:r w:rsidRPr="0042768F">
        <w:rPr>
          <w:rFonts w:ascii="Book Antiqua" w:hAnsi="Book Antiqua"/>
          <w:i/>
          <w:iCs/>
        </w:rPr>
        <w:t>Gastroenterology</w:t>
      </w:r>
      <w:r w:rsidRPr="0042768F">
        <w:rPr>
          <w:rFonts w:ascii="Book Antiqua" w:hAnsi="Book Antiqua"/>
        </w:rPr>
        <w:t> 2019; </w:t>
      </w:r>
      <w:r w:rsidRPr="0042768F">
        <w:rPr>
          <w:rFonts w:ascii="Book Antiqua" w:hAnsi="Book Antiqua"/>
          <w:b/>
          <w:bCs/>
        </w:rPr>
        <w:t>157</w:t>
      </w:r>
      <w:r w:rsidRPr="0042768F">
        <w:rPr>
          <w:rFonts w:ascii="Book Antiqua" w:hAnsi="Book Antiqua"/>
        </w:rPr>
        <w:t>: 1032-1043.e1 [PMID: 31228441 DOI: 10.1053/j.gastro.2019.06.018]</w:t>
      </w:r>
    </w:p>
    <w:p w14:paraId="62A54ED5"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35 </w:t>
      </w:r>
      <w:r w:rsidRPr="0042768F">
        <w:rPr>
          <w:rFonts w:ascii="Book Antiqua" w:hAnsi="Book Antiqua"/>
          <w:b/>
          <w:bCs/>
        </w:rPr>
        <w:t>Dragoni G</w:t>
      </w:r>
      <w:r w:rsidRPr="0042768F">
        <w:rPr>
          <w:rFonts w:ascii="Book Antiqua" w:hAnsi="Book Antiqua"/>
        </w:rPr>
        <w:t>, Innocenti T, Galli A. Biomarkers of Inflammation in Inflammatory Bowel Disease: How Long before Abandoning Single-Marker Approaches? </w:t>
      </w:r>
      <w:r w:rsidRPr="0042768F">
        <w:rPr>
          <w:rFonts w:ascii="Book Antiqua" w:hAnsi="Book Antiqua"/>
          <w:i/>
          <w:iCs/>
        </w:rPr>
        <w:t>Dig Dis</w:t>
      </w:r>
      <w:r w:rsidRPr="0042768F">
        <w:rPr>
          <w:rFonts w:ascii="Book Antiqua" w:hAnsi="Book Antiqua"/>
        </w:rPr>
        <w:t> 2021; </w:t>
      </w:r>
      <w:r w:rsidRPr="0042768F">
        <w:rPr>
          <w:rFonts w:ascii="Book Antiqua" w:hAnsi="Book Antiqua"/>
          <w:b/>
          <w:bCs/>
        </w:rPr>
        <w:t>39</w:t>
      </w:r>
      <w:r w:rsidRPr="0042768F">
        <w:rPr>
          <w:rFonts w:ascii="Book Antiqua" w:hAnsi="Book Antiqua"/>
        </w:rPr>
        <w:t>: 190-203 [PMID: 32942275 DOI: 10.1159/000511641]</w:t>
      </w:r>
    </w:p>
    <w:p w14:paraId="7ACE1E23"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36 </w:t>
      </w:r>
      <w:r w:rsidRPr="0042768F">
        <w:rPr>
          <w:rFonts w:ascii="Book Antiqua" w:hAnsi="Book Antiqua"/>
          <w:b/>
          <w:bCs/>
        </w:rPr>
        <w:t>Gabriel SE</w:t>
      </w:r>
      <w:r w:rsidRPr="0042768F">
        <w:rPr>
          <w:rFonts w:ascii="Book Antiqua" w:hAnsi="Book Antiqua"/>
        </w:rPr>
        <w:t>, Normand SL. Getting the methods right--the foundation of patient-centered outcomes research. </w:t>
      </w:r>
      <w:r w:rsidRPr="0042768F">
        <w:rPr>
          <w:rFonts w:ascii="Book Antiqua" w:hAnsi="Book Antiqua"/>
          <w:i/>
          <w:iCs/>
        </w:rPr>
        <w:t>N Engl J Med</w:t>
      </w:r>
      <w:r w:rsidRPr="0042768F">
        <w:rPr>
          <w:rFonts w:ascii="Book Antiqua" w:hAnsi="Book Antiqua"/>
        </w:rPr>
        <w:t> 2012; </w:t>
      </w:r>
      <w:r w:rsidRPr="0042768F">
        <w:rPr>
          <w:rFonts w:ascii="Book Antiqua" w:hAnsi="Book Antiqua"/>
          <w:b/>
          <w:bCs/>
        </w:rPr>
        <w:t>367</w:t>
      </w:r>
      <w:r w:rsidRPr="0042768F">
        <w:rPr>
          <w:rFonts w:ascii="Book Antiqua" w:hAnsi="Book Antiqua"/>
        </w:rPr>
        <w:t>: 787-790 [PMID: 22830434 DOI: 10.1056/NEJMp1207437]</w:t>
      </w:r>
    </w:p>
    <w:p w14:paraId="50671FF9" w14:textId="77777777" w:rsidR="002E1EA9" w:rsidRPr="002E1EA9"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37 </w:t>
      </w:r>
      <w:r w:rsidRPr="0042768F">
        <w:rPr>
          <w:rFonts w:ascii="Book Antiqua" w:hAnsi="Book Antiqua"/>
          <w:b/>
          <w:bCs/>
        </w:rPr>
        <w:t>Breitscheidel L</w:t>
      </w:r>
      <w:r w:rsidRPr="0042768F">
        <w:rPr>
          <w:rFonts w:ascii="Book Antiqua" w:hAnsi="Book Antiqua"/>
        </w:rPr>
        <w:t>, Stamenitis S. Using patient-reported outcome assessments in clinical practice and their importance in risk management. </w:t>
      </w:r>
      <w:r w:rsidRPr="0042768F">
        <w:rPr>
          <w:rFonts w:ascii="Book Antiqua" w:hAnsi="Book Antiqua"/>
          <w:i/>
          <w:iCs/>
        </w:rPr>
        <w:t>J Med Econ</w:t>
      </w:r>
      <w:r w:rsidRPr="0042768F">
        <w:rPr>
          <w:rFonts w:ascii="Book Antiqua" w:hAnsi="Book Antiqua"/>
        </w:rPr>
        <w:t> 2009; </w:t>
      </w:r>
      <w:r w:rsidRPr="0042768F">
        <w:rPr>
          <w:rFonts w:ascii="Book Antiqua" w:hAnsi="Book Antiqua"/>
          <w:b/>
          <w:bCs/>
        </w:rPr>
        <w:t>12</w:t>
      </w:r>
      <w:r w:rsidRPr="0042768F">
        <w:rPr>
          <w:rFonts w:ascii="Book Antiqua" w:hAnsi="Book Antiqua"/>
        </w:rPr>
        <w:t>: 180-181 [PMID: 19691445 DOI: 10.3111/13696990903216278]</w:t>
      </w:r>
    </w:p>
    <w:bookmarkEnd w:id="95"/>
    <w:bookmarkEnd w:id="96"/>
    <w:p w14:paraId="1F4265A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1429B79" w14:textId="77777777" w:rsidR="00A77B3E" w:rsidRDefault="00C54E98">
      <w:pPr>
        <w:spacing w:line="360" w:lineRule="auto"/>
        <w:jc w:val="both"/>
      </w:pPr>
      <w:r>
        <w:rPr>
          <w:rFonts w:ascii="Book Antiqua" w:eastAsia="Book Antiqua" w:hAnsi="Book Antiqua" w:cs="Book Antiqua"/>
          <w:b/>
          <w:color w:val="000000"/>
        </w:rPr>
        <w:t>Footnotes</w:t>
      </w:r>
    </w:p>
    <w:p w14:paraId="035348B4" w14:textId="77777777" w:rsidR="00A77B3E" w:rsidRPr="001F6C1E" w:rsidRDefault="00C54E98">
      <w:pPr>
        <w:spacing w:line="360" w:lineRule="auto"/>
        <w:jc w:val="both"/>
        <w:rPr>
          <w:lang w:eastAsia="zh-CN"/>
        </w:rPr>
      </w:pPr>
      <w:r>
        <w:rPr>
          <w:rFonts w:ascii="Book Antiqua" w:eastAsia="Book Antiqua" w:hAnsi="Book Antiqua" w:cs="Book Antiqua"/>
          <w:b/>
          <w:bCs/>
          <w:color w:val="000000"/>
        </w:rPr>
        <w:t xml:space="preserve">Institutional review board statement: </w:t>
      </w:r>
      <w:bookmarkStart w:id="103" w:name="OLE_LINK124"/>
      <w:bookmarkStart w:id="104" w:name="OLE_LINK125"/>
      <w:r>
        <w:rPr>
          <w:rFonts w:ascii="Book Antiqua" w:eastAsia="Book Antiqua" w:hAnsi="Book Antiqua" w:cs="Book Antiqua"/>
          <w:color w:val="000000"/>
          <w:shd w:val="clear" w:color="auto" w:fill="FFFFFF"/>
        </w:rPr>
        <w:t>Each individual study received institutional ethics review at each study site. Local Institutional Review Board approval was obtained by th</w:t>
      </w:r>
      <w:r w:rsidR="001F6C1E">
        <w:rPr>
          <w:rFonts w:ascii="Book Antiqua" w:eastAsia="Book Antiqua" w:hAnsi="Book Antiqua" w:cs="Book Antiqua"/>
          <w:color w:val="000000"/>
          <w:shd w:val="clear" w:color="auto" w:fill="FFFFFF"/>
        </w:rPr>
        <w:t xml:space="preserve">e IWK Health Center (Approval </w:t>
      </w:r>
      <w:r w:rsidR="001F6C1E">
        <w:rPr>
          <w:rFonts w:ascii="Book Antiqua" w:hAnsi="Book Antiqua" w:cs="Book Antiqua" w:hint="eastAsia"/>
          <w:color w:val="000000"/>
          <w:shd w:val="clear" w:color="auto" w:fill="FFFFFF"/>
          <w:lang w:eastAsia="zh-CN"/>
        </w:rPr>
        <w:t>Nos</w:t>
      </w:r>
      <w:r>
        <w:rPr>
          <w:rFonts w:ascii="Book Antiqua" w:eastAsia="Book Antiqua" w:hAnsi="Book Antiqua" w:cs="Book Antiqua"/>
          <w:color w:val="000000"/>
          <w:shd w:val="clear" w:color="auto" w:fill="FFFFFF"/>
        </w:rPr>
        <w:t>: 3899, 2631, 2163).</w:t>
      </w:r>
      <w:bookmarkEnd w:id="103"/>
      <w:bookmarkEnd w:id="104"/>
    </w:p>
    <w:p w14:paraId="2D18C967" w14:textId="77777777" w:rsidR="00A77B3E" w:rsidRDefault="00A77B3E">
      <w:pPr>
        <w:spacing w:line="360" w:lineRule="auto"/>
        <w:jc w:val="both"/>
      </w:pPr>
    </w:p>
    <w:p w14:paraId="2AF34E1C" w14:textId="77777777" w:rsidR="00A77B3E" w:rsidRDefault="00C54E98">
      <w:pPr>
        <w:spacing w:line="360" w:lineRule="auto"/>
        <w:jc w:val="both"/>
      </w:pPr>
      <w:r>
        <w:rPr>
          <w:rFonts w:ascii="Book Antiqua" w:eastAsia="Book Antiqua" w:hAnsi="Book Antiqua" w:cs="Book Antiqua"/>
          <w:b/>
          <w:bCs/>
          <w:color w:val="000000"/>
        </w:rPr>
        <w:t xml:space="preserve">Informed consent statement: </w:t>
      </w:r>
      <w:bookmarkStart w:id="105" w:name="OLE_LINK128"/>
      <w:bookmarkStart w:id="106" w:name="OLE_LINK129"/>
      <w:r>
        <w:rPr>
          <w:rFonts w:ascii="Book Antiqua" w:eastAsia="Book Antiqua" w:hAnsi="Book Antiqua" w:cs="Book Antiqua"/>
          <w:color w:val="000000"/>
          <w:shd w:val="clear" w:color="auto" w:fill="FFFFFF"/>
        </w:rPr>
        <w:t>All study participants, or their legal guardian, provided informed written consent prior to study enrollment.</w:t>
      </w:r>
      <w:bookmarkEnd w:id="105"/>
      <w:bookmarkEnd w:id="106"/>
    </w:p>
    <w:p w14:paraId="530862E9" w14:textId="77777777" w:rsidR="00A77B3E" w:rsidRDefault="00A77B3E">
      <w:pPr>
        <w:spacing w:line="360" w:lineRule="auto"/>
        <w:jc w:val="both"/>
      </w:pPr>
    </w:p>
    <w:p w14:paraId="03C75D37" w14:textId="77777777" w:rsidR="00A77B3E" w:rsidRDefault="00C54E98">
      <w:pPr>
        <w:spacing w:line="360" w:lineRule="auto"/>
        <w:jc w:val="both"/>
      </w:pPr>
      <w:r>
        <w:rPr>
          <w:rFonts w:ascii="Book Antiqua" w:eastAsia="Book Antiqua" w:hAnsi="Book Antiqua" w:cs="Book Antiqua"/>
          <w:b/>
          <w:bCs/>
          <w:color w:val="000000"/>
          <w:szCs w:val="22"/>
        </w:rPr>
        <w:t xml:space="preserve">Conflict-of-interest statement: </w:t>
      </w:r>
      <w:bookmarkStart w:id="107" w:name="OLE_LINK130"/>
      <w:bookmarkStart w:id="108" w:name="OLE_LINK131"/>
      <w:r>
        <w:rPr>
          <w:rFonts w:ascii="Book Antiqua" w:eastAsia="Book Antiqua" w:hAnsi="Book Antiqua" w:cs="Book Antiqua"/>
          <w:color w:val="000000"/>
          <w:szCs w:val="20"/>
          <w:shd w:val="clear" w:color="auto" w:fill="FFFFFF"/>
        </w:rPr>
        <w:t xml:space="preserve">Grant A and Lerer T have no conflicts of interest to disclose. Otley A </w:t>
      </w:r>
      <w:r>
        <w:rPr>
          <w:rFonts w:ascii="Book Antiqua" w:eastAsia="Book Antiqua" w:hAnsi="Book Antiqua" w:cs="Book Antiqua"/>
          <w:color w:val="000000"/>
          <w:szCs w:val="20"/>
        </w:rPr>
        <w:t xml:space="preserve">is on the Advisory Board for Janssen Canada and AbbVie Canada, has received unrestricted educational grants from Janssen Canada and AbbVie Canada, has received research funding from AbbVie Global, and his centre is involved in an AbbVie clinical trial. Hyams J is on the Advisory Board for Janssen and Abbvie, and is a consultant for </w:t>
      </w:r>
      <w:r>
        <w:rPr>
          <w:rFonts w:ascii="Book Antiqua" w:eastAsia="Book Antiqua" w:hAnsi="Book Antiqua" w:cs="Book Antiqua"/>
          <w:color w:val="000000"/>
          <w:szCs w:val="20"/>
          <w:shd w:val="clear" w:color="auto" w:fill="FFFFFF"/>
        </w:rPr>
        <w:t xml:space="preserve">Pfizer, Boehringer Ingelheim, Lilly, Celgene, Allergan, and Roche. Griffiths A </w:t>
      </w:r>
      <w:r>
        <w:rPr>
          <w:rFonts w:ascii="Book Antiqua" w:eastAsia="Book Antiqua" w:hAnsi="Book Antiqua" w:cs="Book Antiqua"/>
          <w:color w:val="000000"/>
          <w:szCs w:val="20"/>
        </w:rPr>
        <w:t>has served as a speaker or consultant or advisory board member for AbbVie, Amgen, Bristol Meyers Squibb, Celgene, Janssen, Lilly, Merck, Nestle, Pfizer, and Roche, and has received a research grant from AbbVie. </w:t>
      </w:r>
      <w:r>
        <w:rPr>
          <w:rFonts w:ascii="Book Antiqua" w:eastAsia="Book Antiqua" w:hAnsi="Book Antiqua" w:cs="Book Antiqua"/>
          <w:color w:val="000000"/>
          <w:szCs w:val="22"/>
        </w:rPr>
        <w:t>None of the above conflicts are related to the current study.</w:t>
      </w:r>
    </w:p>
    <w:bookmarkEnd w:id="107"/>
    <w:bookmarkEnd w:id="108"/>
    <w:p w14:paraId="124FAEEC" w14:textId="77777777" w:rsidR="00A77B3E" w:rsidRDefault="00A77B3E">
      <w:pPr>
        <w:spacing w:line="360" w:lineRule="auto"/>
        <w:jc w:val="both"/>
      </w:pPr>
    </w:p>
    <w:p w14:paraId="15F64018" w14:textId="77777777" w:rsidR="00A77B3E" w:rsidRDefault="00C54E98">
      <w:pPr>
        <w:spacing w:line="360" w:lineRule="auto"/>
        <w:jc w:val="both"/>
      </w:pPr>
      <w:r>
        <w:rPr>
          <w:rFonts w:ascii="Book Antiqua" w:eastAsia="Book Antiqua" w:hAnsi="Book Antiqua" w:cs="Book Antiqua"/>
          <w:b/>
          <w:bCs/>
          <w:color w:val="000000"/>
        </w:rPr>
        <w:t xml:space="preserve">Data sharing statement: </w:t>
      </w:r>
      <w:bookmarkStart w:id="109" w:name="OLE_LINK132"/>
      <w:bookmarkStart w:id="110" w:name="OLE_LINK133"/>
      <w:r>
        <w:rPr>
          <w:rFonts w:ascii="Book Antiqua" w:eastAsia="Book Antiqua" w:hAnsi="Book Antiqua" w:cs="Book Antiqua"/>
          <w:color w:val="000000"/>
          <w:shd w:val="clear" w:color="auto" w:fill="FFFFFF"/>
        </w:rPr>
        <w:t>Participants did not give informed consent for data sharing. Data is not available from the study authors.</w:t>
      </w:r>
      <w:bookmarkEnd w:id="109"/>
      <w:bookmarkEnd w:id="110"/>
      <w:r>
        <w:rPr>
          <w:rFonts w:ascii="Book Antiqua" w:eastAsia="Book Antiqua" w:hAnsi="Book Antiqua" w:cs="Book Antiqua"/>
          <w:color w:val="000000"/>
          <w:shd w:val="clear" w:color="auto" w:fill="FFFFFF"/>
        </w:rPr>
        <w:t xml:space="preserve"> </w:t>
      </w:r>
    </w:p>
    <w:p w14:paraId="2305A094" w14:textId="77777777" w:rsidR="00A77B3E" w:rsidRDefault="00A77B3E">
      <w:pPr>
        <w:spacing w:line="360" w:lineRule="auto"/>
        <w:jc w:val="both"/>
      </w:pPr>
    </w:p>
    <w:p w14:paraId="29EE08A9" w14:textId="77777777" w:rsidR="00A77B3E" w:rsidRDefault="00C54E98">
      <w:pPr>
        <w:spacing w:line="360" w:lineRule="auto"/>
        <w:jc w:val="both"/>
      </w:pPr>
      <w:r>
        <w:rPr>
          <w:rFonts w:ascii="Book Antiqua" w:eastAsia="Book Antiqua" w:hAnsi="Book Antiqua" w:cs="Book Antiqua"/>
          <w:b/>
          <w:bCs/>
          <w:color w:val="000000"/>
        </w:rPr>
        <w:t xml:space="preserve">STROBE statement: </w:t>
      </w:r>
      <w:bookmarkStart w:id="111" w:name="OLE_LINK134"/>
      <w:bookmarkStart w:id="112" w:name="OLE_LINK135"/>
      <w:r>
        <w:rPr>
          <w:rFonts w:ascii="Book Antiqua" w:eastAsia="Book Antiqua" w:hAnsi="Book Antiqua" w:cs="Book Antiqua"/>
          <w:color w:val="000000"/>
          <w:shd w:val="clear" w:color="auto" w:fill="FFFFFF"/>
        </w:rPr>
        <w:t>The authors</w:t>
      </w:r>
      <w:r w:rsidR="005B2659">
        <w:rPr>
          <w:rFonts w:ascii="Book Antiqua" w:eastAsia="Book Antiqua" w:hAnsi="Book Antiqua" w:cs="Book Antiqua"/>
          <w:color w:val="000000"/>
          <w:shd w:val="clear" w:color="auto" w:fill="FFFFFF"/>
        </w:rPr>
        <w:t xml:space="preserve"> have read the STROBE Statement</w:t>
      </w:r>
      <w:r w:rsidR="005B265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 and the manuscript was prepared and revised ac</w:t>
      </w:r>
      <w:r w:rsidR="005B2659">
        <w:rPr>
          <w:rFonts w:ascii="Book Antiqua" w:eastAsia="Book Antiqua" w:hAnsi="Book Antiqua" w:cs="Book Antiqua"/>
          <w:color w:val="000000"/>
          <w:shd w:val="clear" w:color="auto" w:fill="FFFFFF"/>
        </w:rPr>
        <w:t>cording to the STROBE Statement</w:t>
      </w:r>
      <w:r w:rsidR="005B265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w:t>
      </w:r>
    </w:p>
    <w:bookmarkEnd w:id="111"/>
    <w:bookmarkEnd w:id="112"/>
    <w:p w14:paraId="2BCF0C65" w14:textId="77777777" w:rsidR="00A77B3E" w:rsidRDefault="00A77B3E">
      <w:pPr>
        <w:spacing w:line="360" w:lineRule="auto"/>
        <w:jc w:val="both"/>
      </w:pPr>
    </w:p>
    <w:p w14:paraId="411B3FBB" w14:textId="77777777" w:rsidR="00A77B3E" w:rsidRDefault="00C54E9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68B5E2" w14:textId="77777777" w:rsidR="00A77B3E" w:rsidRDefault="00A77B3E">
      <w:pPr>
        <w:spacing w:line="360" w:lineRule="auto"/>
        <w:jc w:val="both"/>
      </w:pPr>
    </w:p>
    <w:p w14:paraId="45168DD8" w14:textId="77777777" w:rsidR="00A77B3E" w:rsidRDefault="00C54E98">
      <w:pPr>
        <w:spacing w:line="360" w:lineRule="auto"/>
        <w:jc w:val="both"/>
      </w:pPr>
      <w:r>
        <w:rPr>
          <w:rFonts w:ascii="Book Antiqua" w:eastAsia="Book Antiqua" w:hAnsi="Book Antiqua" w:cs="Book Antiqua"/>
          <w:b/>
          <w:color w:val="000000"/>
        </w:rPr>
        <w:t xml:space="preserve">Manuscript source: </w:t>
      </w:r>
      <w:r w:rsidR="0036176C">
        <w:rPr>
          <w:rFonts w:ascii="Book Antiqua" w:eastAsia="Book Antiqua" w:hAnsi="Book Antiqua" w:cs="Book Antiqua"/>
          <w:color w:val="000000"/>
        </w:rPr>
        <w:t xml:space="preserve">Unsolicited </w:t>
      </w:r>
      <w:r w:rsidR="0036176C">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D4C8325" w14:textId="77777777" w:rsidR="00A77B3E" w:rsidRDefault="00A77B3E">
      <w:pPr>
        <w:spacing w:line="360" w:lineRule="auto"/>
        <w:jc w:val="both"/>
      </w:pPr>
    </w:p>
    <w:p w14:paraId="4B4FD697" w14:textId="77777777" w:rsidR="00A77B3E" w:rsidRDefault="00C54E9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20, 2021</w:t>
      </w:r>
    </w:p>
    <w:p w14:paraId="50E848E1" w14:textId="77777777" w:rsidR="00A77B3E" w:rsidRDefault="00C54E9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14:paraId="7A40BA66" w14:textId="2D70020E" w:rsidR="00A77B3E" w:rsidRDefault="00C54E98">
      <w:pPr>
        <w:spacing w:line="360" w:lineRule="auto"/>
        <w:jc w:val="both"/>
      </w:pPr>
      <w:r>
        <w:rPr>
          <w:rFonts w:ascii="Book Antiqua" w:eastAsia="Book Antiqua" w:hAnsi="Book Antiqua" w:cs="Book Antiqua"/>
          <w:b/>
          <w:color w:val="000000"/>
        </w:rPr>
        <w:t xml:space="preserve">Article in press: </w:t>
      </w:r>
      <w:r w:rsidR="003B31C0">
        <w:rPr>
          <w:rFonts w:ascii="Book Antiqua" w:eastAsia="宋体" w:hAnsi="Book Antiqua"/>
          <w:color w:val="000000" w:themeColor="text1"/>
        </w:rPr>
        <w:t>J</w:t>
      </w:r>
      <w:r w:rsidR="003B31C0">
        <w:rPr>
          <w:rFonts w:ascii="Book Antiqua" w:eastAsia="宋体" w:hAnsi="Book Antiqua" w:hint="eastAsia"/>
          <w:color w:val="000000" w:themeColor="text1"/>
        </w:rPr>
        <w:t>u</w:t>
      </w:r>
      <w:r w:rsidR="003B31C0">
        <w:rPr>
          <w:rFonts w:ascii="Book Antiqua" w:eastAsia="宋体" w:hAnsi="Book Antiqua"/>
          <w:color w:val="000000" w:themeColor="text1"/>
        </w:rPr>
        <w:t>ly</w:t>
      </w:r>
      <w:r w:rsidR="003B31C0" w:rsidRPr="00F06907">
        <w:rPr>
          <w:rFonts w:ascii="Book Antiqua" w:eastAsia="宋体" w:hAnsi="Book Antiqua"/>
          <w:color w:val="000000" w:themeColor="text1"/>
        </w:rPr>
        <w:t xml:space="preserve"> </w:t>
      </w:r>
      <w:r w:rsidR="003B31C0">
        <w:rPr>
          <w:rFonts w:ascii="Book Antiqua" w:eastAsia="宋体" w:hAnsi="Book Antiqua"/>
          <w:color w:val="000000" w:themeColor="text1"/>
        </w:rPr>
        <w:t>27</w:t>
      </w:r>
      <w:r w:rsidR="003B31C0" w:rsidRPr="00F06907">
        <w:rPr>
          <w:rFonts w:ascii="Book Antiqua" w:eastAsia="宋体" w:hAnsi="Book Antiqua"/>
          <w:color w:val="000000" w:themeColor="text1"/>
        </w:rPr>
        <w:t>, 2021</w:t>
      </w:r>
    </w:p>
    <w:p w14:paraId="203BD304" w14:textId="77777777" w:rsidR="00A77B3E" w:rsidRDefault="00A77B3E">
      <w:pPr>
        <w:spacing w:line="360" w:lineRule="auto"/>
        <w:jc w:val="both"/>
      </w:pPr>
    </w:p>
    <w:p w14:paraId="321B12F3" w14:textId="77777777" w:rsidR="00A77B3E" w:rsidRDefault="00C54E98">
      <w:pPr>
        <w:spacing w:line="360" w:lineRule="auto"/>
        <w:jc w:val="both"/>
      </w:pPr>
      <w:r>
        <w:rPr>
          <w:rFonts w:ascii="Book Antiqua" w:eastAsia="Book Antiqua" w:hAnsi="Book Antiqua" w:cs="Book Antiqua"/>
          <w:b/>
          <w:color w:val="000000"/>
        </w:rPr>
        <w:t xml:space="preserve">Specialty type: </w:t>
      </w:r>
      <w:r w:rsidR="0036176C">
        <w:rPr>
          <w:rFonts w:ascii="Book Antiqua" w:eastAsia="Book Antiqua" w:hAnsi="Book Antiqua" w:cs="Book Antiqua"/>
          <w:color w:val="000000"/>
        </w:rPr>
        <w:t xml:space="preserve">Gastroenterology and </w:t>
      </w:r>
      <w:r w:rsidR="0036176C">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3B2CD97" w14:textId="77777777" w:rsidR="00A77B3E" w:rsidRDefault="00C54E9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0D86077B" w14:textId="77777777" w:rsidR="00A77B3E" w:rsidRDefault="00C54E98">
      <w:pPr>
        <w:spacing w:line="360" w:lineRule="auto"/>
        <w:jc w:val="both"/>
      </w:pPr>
      <w:r>
        <w:rPr>
          <w:rFonts w:ascii="Book Antiqua" w:eastAsia="Book Antiqua" w:hAnsi="Book Antiqua" w:cs="Book Antiqua"/>
          <w:b/>
          <w:color w:val="000000"/>
        </w:rPr>
        <w:t>Peer-review report’s scientific quality classification</w:t>
      </w:r>
    </w:p>
    <w:p w14:paraId="69D9A331" w14:textId="77777777" w:rsidR="00A77B3E" w:rsidRPr="00EA0D35" w:rsidRDefault="00C54E98">
      <w:pPr>
        <w:spacing w:line="360" w:lineRule="auto"/>
        <w:jc w:val="both"/>
        <w:rPr>
          <w:lang w:eastAsia="zh-CN"/>
        </w:rPr>
      </w:pPr>
      <w:r>
        <w:rPr>
          <w:rFonts w:ascii="Book Antiqua" w:eastAsia="Book Antiqua" w:hAnsi="Book Antiqua" w:cs="Book Antiqua"/>
          <w:color w:val="000000"/>
        </w:rPr>
        <w:t>Grade A (Excellent): A</w:t>
      </w:r>
      <w:r w:rsidR="00EA0D35">
        <w:rPr>
          <w:rFonts w:ascii="Book Antiqua" w:hAnsi="Book Antiqua" w:cs="Book Antiqua" w:hint="eastAsia"/>
          <w:color w:val="000000"/>
          <w:lang w:eastAsia="zh-CN"/>
        </w:rPr>
        <w:t>, A</w:t>
      </w:r>
    </w:p>
    <w:p w14:paraId="5D5680C4" w14:textId="77777777" w:rsidR="00A77B3E" w:rsidRDefault="00C54E98">
      <w:pPr>
        <w:spacing w:line="360" w:lineRule="auto"/>
        <w:jc w:val="both"/>
      </w:pPr>
      <w:r>
        <w:rPr>
          <w:rFonts w:ascii="Book Antiqua" w:eastAsia="Book Antiqua" w:hAnsi="Book Antiqua" w:cs="Book Antiqua"/>
          <w:color w:val="000000"/>
        </w:rPr>
        <w:t>Grade B (Very good): B, B</w:t>
      </w:r>
    </w:p>
    <w:p w14:paraId="5A96C39B" w14:textId="77777777" w:rsidR="00A77B3E" w:rsidRDefault="00C54E98">
      <w:pPr>
        <w:spacing w:line="360" w:lineRule="auto"/>
        <w:jc w:val="both"/>
      </w:pPr>
      <w:r>
        <w:rPr>
          <w:rFonts w:ascii="Book Antiqua" w:eastAsia="Book Antiqua" w:hAnsi="Book Antiqua" w:cs="Book Antiqua"/>
          <w:color w:val="000000"/>
        </w:rPr>
        <w:t>Grade C (Good): 0</w:t>
      </w:r>
    </w:p>
    <w:p w14:paraId="64DAFA6E" w14:textId="77777777" w:rsidR="00A77B3E" w:rsidRDefault="00C54E98">
      <w:pPr>
        <w:spacing w:line="360" w:lineRule="auto"/>
        <w:jc w:val="both"/>
      </w:pPr>
      <w:r>
        <w:rPr>
          <w:rFonts w:ascii="Book Antiqua" w:eastAsia="Book Antiqua" w:hAnsi="Book Antiqua" w:cs="Book Antiqua"/>
          <w:color w:val="000000"/>
        </w:rPr>
        <w:t>Grade D (Fair): 0</w:t>
      </w:r>
    </w:p>
    <w:p w14:paraId="3FC64818" w14:textId="77777777" w:rsidR="00A77B3E" w:rsidRDefault="00C54E98">
      <w:pPr>
        <w:spacing w:line="360" w:lineRule="auto"/>
        <w:jc w:val="both"/>
      </w:pPr>
      <w:r>
        <w:rPr>
          <w:rFonts w:ascii="Book Antiqua" w:eastAsia="Book Antiqua" w:hAnsi="Book Antiqua" w:cs="Book Antiqua"/>
          <w:color w:val="000000"/>
        </w:rPr>
        <w:t>Grade E (Poor): 0</w:t>
      </w:r>
    </w:p>
    <w:p w14:paraId="34C89D68" w14:textId="77777777" w:rsidR="00A77B3E" w:rsidRDefault="00A77B3E">
      <w:pPr>
        <w:spacing w:line="360" w:lineRule="auto"/>
        <w:jc w:val="both"/>
      </w:pPr>
    </w:p>
    <w:p w14:paraId="0F4B6CB6" w14:textId="6CDEFBD3" w:rsidR="00A77B3E" w:rsidRDefault="00C54E98" w:rsidP="003B31C0">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Dragoni G, Khachfe H, Ramos L</w:t>
      </w:r>
      <w:r>
        <w:rPr>
          <w:rFonts w:ascii="Book Antiqua" w:eastAsia="Book Antiqua" w:hAnsi="Book Antiqua" w:cs="Book Antiqua"/>
          <w:b/>
          <w:color w:val="000000"/>
        </w:rPr>
        <w:t xml:space="preserve"> S-Editor: </w:t>
      </w:r>
      <w:r w:rsidR="0036176C">
        <w:rPr>
          <w:rFonts w:ascii="Book Antiqua" w:hAnsi="Book Antiqua" w:cs="Book Antiqua" w:hint="eastAsia"/>
          <w:color w:val="000000"/>
          <w:lang w:eastAsia="zh-CN"/>
        </w:rPr>
        <w:t>Zhang H</w:t>
      </w:r>
      <w:r w:rsidR="0036176C">
        <w:rPr>
          <w:rFonts w:ascii="Book Antiqua" w:eastAsia="Book Antiqua" w:hAnsi="Book Antiqua" w:cs="Book Antiqua"/>
          <w:b/>
          <w:color w:val="000000"/>
        </w:rPr>
        <w:t xml:space="preserve"> L-Editor:</w:t>
      </w:r>
      <w:r w:rsidR="003B31C0">
        <w:rPr>
          <w:rFonts w:ascii="Book Antiqua" w:hAnsi="Book Antiqua" w:cs="Book Antiqua" w:hint="eastAsia"/>
          <w:b/>
          <w:color w:val="000000"/>
          <w:lang w:eastAsia="zh-CN"/>
        </w:rPr>
        <w:t xml:space="preserve"> </w:t>
      </w:r>
      <w:r w:rsidR="003B31C0" w:rsidRPr="003B31C0">
        <w:rPr>
          <w:rFonts w:ascii="Book Antiqua" w:hAnsi="Book Antiqua" w:cs="Book Antiqua" w:hint="eastAsia"/>
          <w:color w:val="000000"/>
          <w:lang w:eastAsia="zh-CN"/>
        </w:rPr>
        <w:t>A</w:t>
      </w:r>
      <w:r w:rsidR="0036176C" w:rsidRPr="003B31C0">
        <w:rPr>
          <w:rFonts w:ascii="Book Antiqua" w:eastAsia="Book Antiqua" w:hAnsi="Book Antiqua" w:cs="Book Antiqua"/>
          <w:color w:val="000000"/>
        </w:rPr>
        <w:t xml:space="preserve"> </w:t>
      </w:r>
      <w:r>
        <w:rPr>
          <w:rFonts w:ascii="Book Antiqua" w:eastAsia="Book Antiqua" w:hAnsi="Book Antiqua" w:cs="Book Antiqua"/>
          <w:b/>
          <w:color w:val="000000"/>
        </w:rPr>
        <w:t xml:space="preserve">P-Editor: </w:t>
      </w:r>
      <w:r w:rsidR="003B31C0" w:rsidRPr="003B31C0">
        <w:rPr>
          <w:rFonts w:ascii="Book Antiqua" w:eastAsia="Book Antiqua" w:hAnsi="Book Antiqua" w:cs="Book Antiqua"/>
          <w:color w:val="000000"/>
        </w:rPr>
        <w:t>Xing YX</w:t>
      </w:r>
    </w:p>
    <w:p w14:paraId="5B9631FF" w14:textId="77777777" w:rsidR="00A77B3E" w:rsidRDefault="00C54E98">
      <w:pPr>
        <w:spacing w:line="360" w:lineRule="auto"/>
        <w:jc w:val="both"/>
      </w:pPr>
      <w:r>
        <w:rPr>
          <w:rFonts w:ascii="Book Antiqua" w:eastAsia="Book Antiqua" w:hAnsi="Book Antiqua" w:cs="Book Antiqua"/>
          <w:b/>
          <w:color w:val="000000"/>
        </w:rPr>
        <w:t>Figure Legends</w:t>
      </w:r>
    </w:p>
    <w:p w14:paraId="2C08E01A" w14:textId="77777777" w:rsidR="00C54E98" w:rsidRDefault="00C54E98">
      <w:pPr>
        <w:spacing w:line="360" w:lineRule="auto"/>
        <w:jc w:val="both"/>
        <w:rPr>
          <w:rFonts w:ascii="Book Antiqua" w:hAnsi="Book Antiqua" w:cs="Book Antiqua"/>
          <w:b/>
          <w:color w:val="000000"/>
          <w:szCs w:val="22"/>
          <w:lang w:eastAsia="zh-CN"/>
        </w:rPr>
      </w:pPr>
      <w:r>
        <w:rPr>
          <w:rFonts w:ascii="Book Antiqua" w:hAnsi="Book Antiqua" w:cs="Book Antiqua"/>
          <w:b/>
          <w:noProof/>
          <w:color w:val="000000"/>
          <w:szCs w:val="22"/>
          <w:lang w:eastAsia="zh-CN"/>
        </w:rPr>
        <w:drawing>
          <wp:inline distT="0" distB="0" distL="0" distR="0" wp14:anchorId="49B79B9C" wp14:editId="23D99E91">
            <wp:extent cx="5838825" cy="28971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7008" cy="2901173"/>
                    </a:xfrm>
                    <a:prstGeom prst="rect">
                      <a:avLst/>
                    </a:prstGeom>
                    <a:noFill/>
                  </pic:spPr>
                </pic:pic>
              </a:graphicData>
            </a:graphic>
          </wp:inline>
        </w:drawing>
      </w:r>
    </w:p>
    <w:p w14:paraId="6B89FE77" w14:textId="6241B87E" w:rsidR="00A77B3E" w:rsidRDefault="0024785E">
      <w:pPr>
        <w:spacing w:line="360" w:lineRule="auto"/>
        <w:jc w:val="both"/>
      </w:pPr>
      <w:bookmarkStart w:id="113" w:name="OLE_LINK136"/>
      <w:bookmarkStart w:id="114" w:name="OLE_LINK137"/>
      <w:r w:rsidRPr="00C54E98">
        <w:rPr>
          <w:rFonts w:ascii="Book Antiqua" w:eastAsia="Book Antiqua" w:hAnsi="Book Antiqua" w:cs="Book Antiqua"/>
          <w:b/>
          <w:color w:val="000000"/>
          <w:szCs w:val="22"/>
        </w:rPr>
        <w:t>Figure 1</w:t>
      </w:r>
      <w:r w:rsidR="00C54E98" w:rsidRPr="00C54E98">
        <w:rPr>
          <w:rFonts w:ascii="Book Antiqua" w:eastAsia="Book Antiqua" w:hAnsi="Book Antiqua" w:cs="Book Antiqua"/>
          <w:b/>
          <w:color w:val="000000"/>
          <w:szCs w:val="22"/>
        </w:rPr>
        <w:t xml:space="preserve"> Mean change over time (from </w:t>
      </w:r>
      <w:r w:rsidR="00591669">
        <w:rPr>
          <w:rFonts w:ascii="Book Antiqua" w:eastAsia="Book Antiqua" w:hAnsi="Book Antiqua" w:cs="Book Antiqua"/>
          <w:b/>
          <w:color w:val="000000"/>
          <w:szCs w:val="22"/>
        </w:rPr>
        <w:t>b</w:t>
      </w:r>
      <w:r w:rsidR="00C54E98" w:rsidRPr="00C54E98">
        <w:rPr>
          <w:rFonts w:ascii="Book Antiqua" w:eastAsia="Book Antiqua" w:hAnsi="Book Antiqua" w:cs="Book Antiqua"/>
          <w:b/>
          <w:color w:val="000000"/>
          <w:szCs w:val="22"/>
        </w:rPr>
        <w:t>aseline to Q1 and Baseline to Q4)</w:t>
      </w:r>
      <w:r w:rsidRPr="00C54E98">
        <w:rPr>
          <w:rFonts w:hint="eastAsia"/>
          <w:b/>
          <w:lang w:eastAsia="zh-CN"/>
        </w:rPr>
        <w:t>.</w:t>
      </w:r>
      <w:r>
        <w:rPr>
          <w:rFonts w:hint="eastAsia"/>
          <w:lang w:eastAsia="zh-CN"/>
        </w:rPr>
        <w:t xml:space="preserve"> </w:t>
      </w:r>
      <w:r w:rsidR="00C54E98">
        <w:rPr>
          <w:rFonts w:ascii="Book Antiqua" w:eastAsia="Book Antiqua" w:hAnsi="Book Antiqua" w:cs="Book Antiqua"/>
          <w:color w:val="000000"/>
          <w:szCs w:val="22"/>
        </w:rPr>
        <w:t xml:space="preserve">Hematocrit </w:t>
      </w:r>
      <w:r w:rsidR="00D13F39">
        <w:rPr>
          <w:rFonts w:ascii="Book Antiqua" w:eastAsia="Book Antiqua" w:hAnsi="Book Antiqua" w:cs="Book Antiqua"/>
          <w:color w:val="000000"/>
          <w:szCs w:val="22"/>
        </w:rPr>
        <w:t xml:space="preserve">and </w:t>
      </w:r>
      <w:r w:rsidR="00D13F39">
        <w:rPr>
          <w:rFonts w:ascii="Book Antiqua" w:hAnsi="Book Antiqua" w:cs="Book Antiqua" w:hint="eastAsia"/>
          <w:color w:val="000000"/>
          <w:szCs w:val="22"/>
          <w:lang w:eastAsia="zh-CN"/>
        </w:rPr>
        <w:t>e</w:t>
      </w:r>
      <w:r w:rsidR="00C54E98">
        <w:rPr>
          <w:rFonts w:ascii="Book Antiqua" w:eastAsia="Book Antiqua" w:hAnsi="Book Antiqua" w:cs="Book Antiqua"/>
          <w:color w:val="000000"/>
          <w:szCs w:val="22"/>
        </w:rPr>
        <w:t>rythrocyte sedimentation rate are scored on a 0-5-point scale, whereas all other items are scored on a 0-10 point scale.</w:t>
      </w:r>
    </w:p>
    <w:bookmarkEnd w:id="113"/>
    <w:bookmarkEnd w:id="114"/>
    <w:p w14:paraId="27F3FDD7" w14:textId="77777777" w:rsidR="00A77B3E" w:rsidRDefault="00C54E98">
      <w:pPr>
        <w:spacing w:line="360" w:lineRule="auto"/>
        <w:jc w:val="both"/>
      </w:pPr>
      <w:r>
        <w:br w:type="page"/>
      </w:r>
      <w:r>
        <w:rPr>
          <w:noProof/>
          <w:lang w:eastAsia="zh-CN"/>
        </w:rPr>
        <w:drawing>
          <wp:inline distT="0" distB="0" distL="0" distR="0" wp14:anchorId="6EA4F3EB" wp14:editId="492E7701">
            <wp:extent cx="5654425" cy="260500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6935" cy="2606158"/>
                    </a:xfrm>
                    <a:prstGeom prst="rect">
                      <a:avLst/>
                    </a:prstGeom>
                    <a:noFill/>
                  </pic:spPr>
                </pic:pic>
              </a:graphicData>
            </a:graphic>
          </wp:inline>
        </w:drawing>
      </w:r>
    </w:p>
    <w:p w14:paraId="565DD614" w14:textId="0FEA134D" w:rsidR="00C54E98" w:rsidRDefault="0024785E">
      <w:pPr>
        <w:spacing w:line="360" w:lineRule="auto"/>
        <w:jc w:val="both"/>
        <w:rPr>
          <w:rFonts w:ascii="Book Antiqua" w:hAnsi="Book Antiqua" w:cs="Book Antiqua"/>
          <w:color w:val="000000"/>
          <w:szCs w:val="22"/>
          <w:lang w:eastAsia="zh-CN"/>
        </w:rPr>
      </w:pPr>
      <w:bookmarkStart w:id="115" w:name="OLE_LINK138"/>
      <w:bookmarkStart w:id="116" w:name="OLE_LINK139"/>
      <w:bookmarkStart w:id="117" w:name="OLE_LINK140"/>
      <w:bookmarkStart w:id="118" w:name="OLE_LINK141"/>
      <w:r w:rsidRPr="00C54E98">
        <w:rPr>
          <w:rFonts w:ascii="Book Antiqua" w:eastAsia="Book Antiqua" w:hAnsi="Book Antiqua" w:cs="Book Antiqua"/>
          <w:b/>
          <w:color w:val="000000"/>
          <w:szCs w:val="22"/>
        </w:rPr>
        <w:t>Figure 2</w:t>
      </w:r>
      <w:r w:rsidR="00C54E98" w:rsidRPr="00C54E98">
        <w:rPr>
          <w:rFonts w:ascii="Book Antiqua" w:eastAsia="Book Antiqua" w:hAnsi="Book Antiqua" w:cs="Book Antiqua"/>
          <w:b/>
          <w:color w:val="000000"/>
          <w:szCs w:val="22"/>
        </w:rPr>
        <w:t xml:space="preserve"> Receiver operator characteristic curve to identify the equivalent</w:t>
      </w:r>
      <w:r w:rsidRPr="00C54E98">
        <w:rPr>
          <w:rFonts w:ascii="Book Antiqua" w:eastAsia="Book Antiqua" w:hAnsi="Book Antiqua" w:cs="Book Antiqua"/>
          <w:b/>
          <w:color w:val="000000"/>
          <w:szCs w:val="22"/>
        </w:rPr>
        <w:t xml:space="preserve"> remission cut point of the </w:t>
      </w:r>
      <w:r w:rsidRPr="00C54E98">
        <w:rPr>
          <w:rFonts w:ascii="Book Antiqua" w:hAnsi="Book Antiqua" w:cs="Book Antiqua" w:hint="eastAsia"/>
          <w:b/>
          <w:color w:val="000000"/>
          <w:szCs w:val="22"/>
          <w:lang w:eastAsia="zh-CN"/>
        </w:rPr>
        <w:t>s</w:t>
      </w:r>
      <w:r w:rsidRPr="00C54E98">
        <w:rPr>
          <w:rFonts w:ascii="Book Antiqua" w:eastAsia="Book Antiqua" w:hAnsi="Book Antiqua" w:cs="Book Antiqua"/>
          <w:b/>
          <w:color w:val="000000"/>
          <w:szCs w:val="22"/>
        </w:rPr>
        <w:t xml:space="preserve">ubjective and </w:t>
      </w:r>
      <w:r w:rsidRPr="00C54E98">
        <w:rPr>
          <w:rFonts w:ascii="Book Antiqua" w:hAnsi="Book Antiqua" w:cs="Book Antiqua" w:hint="eastAsia"/>
          <w:b/>
          <w:color w:val="000000"/>
          <w:szCs w:val="22"/>
          <w:lang w:eastAsia="zh-CN"/>
        </w:rPr>
        <w:t>o</w:t>
      </w:r>
      <w:r w:rsidRPr="00C54E98">
        <w:rPr>
          <w:rFonts w:ascii="Book Antiqua" w:eastAsia="Book Antiqua" w:hAnsi="Book Antiqua" w:cs="Book Antiqua"/>
          <w:b/>
          <w:color w:val="000000"/>
          <w:szCs w:val="22"/>
        </w:rPr>
        <w:t xml:space="preserve">bjective </w:t>
      </w:r>
      <w:r w:rsidRPr="00C54E98">
        <w:rPr>
          <w:rFonts w:ascii="Book Antiqua" w:hAnsi="Book Antiqua" w:cs="Book Antiqua" w:hint="eastAsia"/>
          <w:b/>
          <w:color w:val="000000"/>
          <w:szCs w:val="22"/>
          <w:lang w:eastAsia="zh-CN"/>
        </w:rPr>
        <w:t>s</w:t>
      </w:r>
      <w:r w:rsidR="00C54E98" w:rsidRPr="00C54E98">
        <w:rPr>
          <w:rFonts w:ascii="Book Antiqua" w:eastAsia="Book Antiqua" w:hAnsi="Book Antiqua" w:cs="Book Antiqua"/>
          <w:b/>
          <w:color w:val="000000"/>
          <w:szCs w:val="22"/>
        </w:rPr>
        <w:t>cales</w:t>
      </w:r>
      <w:r w:rsidRPr="00C54E98">
        <w:rPr>
          <w:rFonts w:ascii="Book Antiqua" w:hAnsi="Book Antiqua" w:cs="Book Antiqua" w:hint="eastAsia"/>
          <w:b/>
          <w:color w:val="000000"/>
          <w:szCs w:val="22"/>
          <w:lang w:eastAsia="zh-CN"/>
        </w:rPr>
        <w:t>.</w:t>
      </w:r>
      <w:r>
        <w:rPr>
          <w:rFonts w:ascii="Book Antiqua" w:hAnsi="Book Antiqua" w:cs="Book Antiqua" w:hint="eastAsia"/>
          <w:color w:val="000000"/>
          <w:szCs w:val="22"/>
          <w:lang w:eastAsia="zh-CN"/>
        </w:rPr>
        <w:t xml:space="preserve"> A:</w:t>
      </w:r>
      <w:r>
        <w:rPr>
          <w:rFonts w:ascii="Book Antiqua" w:eastAsia="Book Antiqua" w:hAnsi="Book Antiqua" w:cs="Book Antiqua"/>
          <w:color w:val="000000"/>
          <w:szCs w:val="22"/>
        </w:rPr>
        <w:t xml:space="preserve"> Subjective</w:t>
      </w:r>
      <w:r>
        <w:rPr>
          <w:rFonts w:ascii="Book Antiqua" w:hAnsi="Book Antiqua" w:cs="Book Antiqua" w:hint="eastAsia"/>
          <w:color w:val="000000"/>
          <w:szCs w:val="22"/>
          <w:lang w:eastAsia="zh-CN"/>
        </w:rPr>
        <w:t xml:space="preserve"> s</w:t>
      </w:r>
      <w:r>
        <w:rPr>
          <w:rFonts w:ascii="Book Antiqua" w:eastAsia="Book Antiqua" w:hAnsi="Book Antiqua" w:cs="Book Antiqua"/>
          <w:color w:val="000000"/>
          <w:szCs w:val="22"/>
        </w:rPr>
        <w:t>cale</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B:</w:t>
      </w:r>
      <w:r>
        <w:rPr>
          <w:rFonts w:ascii="Book Antiqua" w:eastAsia="Book Antiqua" w:hAnsi="Book Antiqua" w:cs="Book Antiqua"/>
          <w:color w:val="000000"/>
          <w:szCs w:val="22"/>
        </w:rPr>
        <w:t xml:space="preserve"> Objective </w:t>
      </w:r>
      <w:r>
        <w:rPr>
          <w:rFonts w:ascii="Book Antiqua" w:hAnsi="Book Antiqua" w:cs="Book Antiqua" w:hint="eastAsia"/>
          <w:color w:val="000000"/>
          <w:szCs w:val="22"/>
          <w:lang w:eastAsia="zh-CN"/>
        </w:rPr>
        <w:t>s</w:t>
      </w:r>
      <w:r>
        <w:rPr>
          <w:rFonts w:ascii="Book Antiqua" w:eastAsia="Book Antiqua" w:hAnsi="Book Antiqua" w:cs="Book Antiqua"/>
          <w:color w:val="000000"/>
          <w:szCs w:val="22"/>
        </w:rPr>
        <w:t>cale</w:t>
      </w:r>
      <w:r>
        <w:rPr>
          <w:rFonts w:ascii="Book Antiqua" w:hAnsi="Book Antiqua" w:cs="Book Antiqua" w:hint="eastAsia"/>
          <w:color w:val="000000"/>
          <w:szCs w:val="22"/>
          <w:lang w:eastAsia="zh-CN"/>
        </w:rPr>
        <w:t>.</w:t>
      </w:r>
      <w:r w:rsidR="00591669">
        <w:rPr>
          <w:rFonts w:ascii="Book Antiqua" w:hAnsi="Book Antiqua" w:cs="Book Antiqua"/>
          <w:color w:val="000000"/>
          <w:szCs w:val="22"/>
          <w:lang w:eastAsia="zh-CN"/>
        </w:rPr>
        <w:t xml:space="preserve"> ROC: </w:t>
      </w:r>
      <w:r w:rsidR="00591669" w:rsidRPr="00591669">
        <w:rPr>
          <w:rFonts w:ascii="Book Antiqua" w:eastAsia="Book Antiqua" w:hAnsi="Book Antiqua" w:cs="Book Antiqua"/>
          <w:bCs/>
          <w:color w:val="000000"/>
          <w:szCs w:val="22"/>
        </w:rPr>
        <w:t>Receiver operator characteristic.</w:t>
      </w:r>
    </w:p>
    <w:bookmarkEnd w:id="115"/>
    <w:bookmarkEnd w:id="116"/>
    <w:bookmarkEnd w:id="117"/>
    <w:bookmarkEnd w:id="118"/>
    <w:p w14:paraId="68EAA736" w14:textId="77777777" w:rsidR="00C54E98" w:rsidRPr="00C54E98" w:rsidRDefault="00C54E98" w:rsidP="00C54E98">
      <w:pPr>
        <w:autoSpaceDE w:val="0"/>
        <w:autoSpaceDN w:val="0"/>
        <w:adjustRightInd w:val="0"/>
        <w:snapToGrid w:val="0"/>
        <w:spacing w:line="360" w:lineRule="auto"/>
        <w:jc w:val="both"/>
        <w:rPr>
          <w:rFonts w:ascii="Book Antiqua" w:hAnsi="Book Antiqua" w:cs="Calibri"/>
          <w:b/>
        </w:rPr>
      </w:pPr>
      <w:r>
        <w:rPr>
          <w:rFonts w:ascii="Book Antiqua" w:hAnsi="Book Antiqua" w:cs="Book Antiqua"/>
          <w:color w:val="000000"/>
          <w:szCs w:val="22"/>
          <w:lang w:eastAsia="zh-CN"/>
        </w:rPr>
        <w:br w:type="page"/>
      </w:r>
      <w:r w:rsidRPr="00C54E98">
        <w:rPr>
          <w:rFonts w:ascii="Book Antiqua" w:hAnsi="Book Antiqua" w:cs="Calibri"/>
          <w:b/>
        </w:rPr>
        <w:t>Table 1</w:t>
      </w:r>
      <w:r>
        <w:rPr>
          <w:rFonts w:ascii="Book Antiqua" w:hAnsi="Book Antiqua" w:cs="Calibri"/>
          <w:b/>
        </w:rPr>
        <w:t xml:space="preserve"> Descriptive </w:t>
      </w:r>
      <w:r>
        <w:rPr>
          <w:rFonts w:ascii="Book Antiqua" w:hAnsi="Book Antiqua" w:cs="Calibri" w:hint="eastAsia"/>
          <w:b/>
          <w:lang w:eastAsia="zh-CN"/>
        </w:rPr>
        <w:t>s</w:t>
      </w:r>
      <w:r w:rsidRPr="00C54E98">
        <w:rPr>
          <w:rFonts w:ascii="Book Antiqua" w:hAnsi="Book Antiqua" w:cs="Calibri"/>
          <w:b/>
        </w:rPr>
        <w:t>tatistics</w:t>
      </w:r>
    </w:p>
    <w:tbl>
      <w:tblPr>
        <w:tblW w:w="0" w:type="auto"/>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379"/>
        <w:gridCol w:w="798"/>
        <w:gridCol w:w="1529"/>
        <w:gridCol w:w="798"/>
        <w:gridCol w:w="1529"/>
        <w:gridCol w:w="798"/>
        <w:gridCol w:w="1529"/>
      </w:tblGrid>
      <w:tr w:rsidR="006E4658" w:rsidRPr="00BF3EC3" w14:paraId="22BDDDE3" w14:textId="77777777" w:rsidTr="00F67A83">
        <w:trPr>
          <w:cantSplit/>
          <w:trHeight w:val="383"/>
        </w:trPr>
        <w:tc>
          <w:tcPr>
            <w:tcW w:w="0" w:type="auto"/>
            <w:tcBorders>
              <w:top w:val="single" w:sz="4" w:space="0" w:color="auto"/>
            </w:tcBorders>
            <w:shd w:val="clear" w:color="auto" w:fill="auto"/>
            <w:vAlign w:val="bottom"/>
          </w:tcPr>
          <w:p w14:paraId="0D1DBCAE" w14:textId="27AC11EC" w:rsidR="006E4658" w:rsidRPr="00BF3EC3" w:rsidRDefault="006E4658" w:rsidP="006E4658">
            <w:pPr>
              <w:adjustRightInd w:val="0"/>
              <w:snapToGrid w:val="0"/>
              <w:spacing w:line="360" w:lineRule="auto"/>
              <w:rPr>
                <w:rFonts w:ascii="Book Antiqua" w:hAnsi="Book Antiqua" w:cs="Calibri"/>
                <w:b/>
                <w:lang w:eastAsia="zh-CN"/>
              </w:rPr>
            </w:pPr>
          </w:p>
        </w:tc>
        <w:tc>
          <w:tcPr>
            <w:tcW w:w="0" w:type="auto"/>
            <w:gridSpan w:val="2"/>
            <w:tcBorders>
              <w:top w:val="single" w:sz="4" w:space="0" w:color="auto"/>
              <w:bottom w:val="single" w:sz="4" w:space="0" w:color="auto"/>
            </w:tcBorders>
            <w:shd w:val="clear" w:color="auto" w:fill="auto"/>
            <w:vAlign w:val="bottom"/>
          </w:tcPr>
          <w:p w14:paraId="48DC0E91" w14:textId="77777777" w:rsidR="006E4658" w:rsidRPr="00BF3EC3" w:rsidRDefault="006E465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Registry (</w:t>
            </w:r>
            <w:r w:rsidRPr="00BF3EC3">
              <w:rPr>
                <w:rFonts w:ascii="Book Antiqua" w:hAnsi="Book Antiqua" w:cs="Calibri"/>
                <w:b/>
                <w:i/>
              </w:rPr>
              <w:t>n</w:t>
            </w:r>
            <w:r w:rsidRPr="00BF3EC3">
              <w:rPr>
                <w:rFonts w:ascii="Book Antiqua" w:hAnsi="Book Antiqua" w:cs="Calibri"/>
                <w:b/>
              </w:rPr>
              <w:t xml:space="preserve"> = 414</w:t>
            </w:r>
            <w:r w:rsidRPr="00BF3EC3">
              <w:rPr>
                <w:rFonts w:ascii="Book Antiqua" w:hAnsi="Book Antiqua" w:cs="Calibri" w:hint="eastAsia"/>
                <w:b/>
                <w:vertAlign w:val="superscript"/>
                <w:lang w:eastAsia="zh-CN"/>
              </w:rPr>
              <w:t>1</w:t>
            </w:r>
            <w:r w:rsidRPr="00BF3EC3">
              <w:rPr>
                <w:rFonts w:ascii="Book Antiqua" w:hAnsi="Book Antiqua" w:cs="Calibri"/>
                <w:b/>
              </w:rPr>
              <w:t>)</w:t>
            </w:r>
          </w:p>
        </w:tc>
        <w:tc>
          <w:tcPr>
            <w:tcW w:w="0" w:type="auto"/>
            <w:gridSpan w:val="2"/>
            <w:tcBorders>
              <w:top w:val="single" w:sz="4" w:space="0" w:color="auto"/>
              <w:bottom w:val="single" w:sz="4" w:space="0" w:color="auto"/>
            </w:tcBorders>
            <w:shd w:val="clear" w:color="auto" w:fill="auto"/>
            <w:vAlign w:val="bottom"/>
          </w:tcPr>
          <w:p w14:paraId="3D27A2B9" w14:textId="77777777" w:rsidR="006E4658" w:rsidRPr="00BF3EC3" w:rsidRDefault="006E465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REACH (</w:t>
            </w:r>
            <w:r w:rsidRPr="00BF3EC3">
              <w:rPr>
                <w:rFonts w:ascii="Book Antiqua" w:hAnsi="Book Antiqua" w:cs="Calibri"/>
                <w:b/>
                <w:i/>
              </w:rPr>
              <w:t>n</w:t>
            </w:r>
            <w:r w:rsidRPr="00BF3EC3">
              <w:rPr>
                <w:rFonts w:ascii="Book Antiqua" w:hAnsi="Book Antiqua" w:cs="Calibri"/>
                <w:b/>
              </w:rPr>
              <w:t xml:space="preserve"> = 101</w:t>
            </w:r>
            <w:r w:rsidRPr="00BF3EC3">
              <w:rPr>
                <w:rFonts w:ascii="Book Antiqua" w:hAnsi="Book Antiqua" w:cs="Calibri" w:hint="eastAsia"/>
                <w:b/>
                <w:vertAlign w:val="superscript"/>
                <w:lang w:eastAsia="zh-CN"/>
              </w:rPr>
              <w:t>1</w:t>
            </w:r>
            <w:r w:rsidRPr="00BF3EC3">
              <w:rPr>
                <w:rFonts w:ascii="Book Antiqua" w:hAnsi="Book Antiqua" w:cs="Calibri"/>
                <w:b/>
              </w:rPr>
              <w:t>)</w:t>
            </w:r>
          </w:p>
        </w:tc>
        <w:tc>
          <w:tcPr>
            <w:tcW w:w="0" w:type="auto"/>
            <w:gridSpan w:val="2"/>
            <w:tcBorders>
              <w:top w:val="single" w:sz="4" w:space="0" w:color="auto"/>
              <w:bottom w:val="single" w:sz="4" w:space="0" w:color="auto"/>
            </w:tcBorders>
            <w:shd w:val="clear" w:color="auto" w:fill="auto"/>
            <w:vAlign w:val="bottom"/>
          </w:tcPr>
          <w:p w14:paraId="349A6913" w14:textId="77777777" w:rsidR="006E4658" w:rsidRPr="00BF3EC3" w:rsidRDefault="006E465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IMAgINE (</w:t>
            </w:r>
            <w:r w:rsidRPr="00BF3EC3">
              <w:rPr>
                <w:rFonts w:ascii="Book Antiqua" w:hAnsi="Book Antiqua" w:cs="Calibri"/>
                <w:b/>
                <w:i/>
              </w:rPr>
              <w:t>n</w:t>
            </w:r>
            <w:r w:rsidRPr="00BF3EC3">
              <w:rPr>
                <w:rFonts w:ascii="Book Antiqua" w:hAnsi="Book Antiqua" w:cs="Calibri"/>
                <w:b/>
              </w:rPr>
              <w:t xml:space="preserve"> = 188</w:t>
            </w:r>
            <w:r w:rsidRPr="00BF3EC3">
              <w:rPr>
                <w:rFonts w:ascii="Book Antiqua" w:hAnsi="Book Antiqua" w:cs="Calibri" w:hint="eastAsia"/>
                <w:b/>
                <w:vertAlign w:val="superscript"/>
                <w:lang w:eastAsia="zh-CN"/>
              </w:rPr>
              <w:t>1</w:t>
            </w:r>
            <w:r w:rsidRPr="00BF3EC3">
              <w:rPr>
                <w:rFonts w:ascii="Book Antiqua" w:hAnsi="Book Antiqua" w:cs="Calibri"/>
                <w:b/>
              </w:rPr>
              <w:t>)</w:t>
            </w:r>
          </w:p>
        </w:tc>
      </w:tr>
      <w:tr w:rsidR="00C54E98" w:rsidRPr="00BF3EC3" w14:paraId="46475E57" w14:textId="77777777" w:rsidTr="00BF3EC3">
        <w:trPr>
          <w:cantSplit/>
        </w:trPr>
        <w:tc>
          <w:tcPr>
            <w:tcW w:w="0" w:type="auto"/>
            <w:tcBorders>
              <w:top w:val="nil"/>
              <w:bottom w:val="single" w:sz="4" w:space="0" w:color="auto"/>
            </w:tcBorders>
            <w:shd w:val="clear" w:color="auto" w:fill="auto"/>
            <w:vAlign w:val="bottom"/>
          </w:tcPr>
          <w:p w14:paraId="68F61B17" w14:textId="77777777" w:rsidR="00C54E98" w:rsidRPr="00BF3EC3" w:rsidRDefault="00C54E98" w:rsidP="001B0BDF">
            <w:pPr>
              <w:adjustRightInd w:val="0"/>
              <w:snapToGrid w:val="0"/>
              <w:spacing w:line="360" w:lineRule="auto"/>
              <w:jc w:val="center"/>
              <w:rPr>
                <w:rFonts w:ascii="Book Antiqua" w:hAnsi="Book Antiqua" w:cs="Calibri"/>
                <w:b/>
              </w:rPr>
            </w:pPr>
          </w:p>
        </w:tc>
        <w:tc>
          <w:tcPr>
            <w:tcW w:w="0" w:type="auto"/>
            <w:tcBorders>
              <w:top w:val="nil"/>
              <w:bottom w:val="single" w:sz="4" w:space="0" w:color="auto"/>
            </w:tcBorders>
            <w:shd w:val="clear" w:color="auto" w:fill="auto"/>
            <w:vAlign w:val="bottom"/>
          </w:tcPr>
          <w:p w14:paraId="447A2217"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Range</w:t>
            </w:r>
          </w:p>
        </w:tc>
        <w:tc>
          <w:tcPr>
            <w:tcW w:w="0" w:type="auto"/>
            <w:tcBorders>
              <w:top w:val="nil"/>
              <w:bottom w:val="single" w:sz="4" w:space="0" w:color="auto"/>
            </w:tcBorders>
            <w:shd w:val="clear" w:color="auto" w:fill="auto"/>
            <w:vAlign w:val="bottom"/>
          </w:tcPr>
          <w:p w14:paraId="1C7A92F1"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Median</w:t>
            </w:r>
            <w:r w:rsidR="00743A7A" w:rsidRPr="00BF3EC3">
              <w:rPr>
                <w:rFonts w:ascii="Book Antiqua" w:hAnsi="Book Antiqua" w:cs="Calibri" w:hint="eastAsia"/>
                <w:b/>
                <w:lang w:eastAsia="zh-CN"/>
              </w:rPr>
              <w:t xml:space="preserve"> </w:t>
            </w:r>
            <w:r w:rsidRPr="00BF3EC3">
              <w:rPr>
                <w:rFonts w:ascii="Book Antiqua" w:hAnsi="Book Antiqua" w:cs="Calibri"/>
                <w:b/>
              </w:rPr>
              <w:t>(IQR)</w:t>
            </w:r>
          </w:p>
        </w:tc>
        <w:tc>
          <w:tcPr>
            <w:tcW w:w="0" w:type="auto"/>
            <w:tcBorders>
              <w:top w:val="nil"/>
              <w:bottom w:val="single" w:sz="4" w:space="0" w:color="auto"/>
            </w:tcBorders>
            <w:shd w:val="clear" w:color="auto" w:fill="auto"/>
            <w:vAlign w:val="bottom"/>
          </w:tcPr>
          <w:p w14:paraId="2563DF13"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Range</w:t>
            </w:r>
          </w:p>
        </w:tc>
        <w:tc>
          <w:tcPr>
            <w:tcW w:w="0" w:type="auto"/>
            <w:tcBorders>
              <w:top w:val="nil"/>
              <w:bottom w:val="single" w:sz="4" w:space="0" w:color="auto"/>
            </w:tcBorders>
            <w:shd w:val="clear" w:color="auto" w:fill="auto"/>
            <w:vAlign w:val="bottom"/>
          </w:tcPr>
          <w:p w14:paraId="0371A63C"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Median</w:t>
            </w:r>
            <w:r w:rsidR="00743A7A" w:rsidRPr="00BF3EC3">
              <w:rPr>
                <w:rFonts w:ascii="Book Antiqua" w:hAnsi="Book Antiqua" w:cs="Calibri" w:hint="eastAsia"/>
                <w:b/>
                <w:lang w:eastAsia="zh-CN"/>
              </w:rPr>
              <w:t xml:space="preserve"> </w:t>
            </w:r>
            <w:r w:rsidRPr="00BF3EC3">
              <w:rPr>
                <w:rFonts w:ascii="Book Antiqua" w:hAnsi="Book Antiqua" w:cs="Calibri"/>
                <w:b/>
              </w:rPr>
              <w:t>(IQR)</w:t>
            </w:r>
          </w:p>
        </w:tc>
        <w:tc>
          <w:tcPr>
            <w:tcW w:w="0" w:type="auto"/>
            <w:tcBorders>
              <w:top w:val="nil"/>
              <w:bottom w:val="single" w:sz="4" w:space="0" w:color="auto"/>
            </w:tcBorders>
            <w:shd w:val="clear" w:color="auto" w:fill="auto"/>
            <w:vAlign w:val="bottom"/>
          </w:tcPr>
          <w:p w14:paraId="3A030677"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Range</w:t>
            </w:r>
          </w:p>
        </w:tc>
        <w:tc>
          <w:tcPr>
            <w:tcW w:w="0" w:type="auto"/>
            <w:tcBorders>
              <w:top w:val="nil"/>
              <w:bottom w:val="single" w:sz="4" w:space="0" w:color="auto"/>
            </w:tcBorders>
            <w:shd w:val="clear" w:color="auto" w:fill="auto"/>
            <w:vAlign w:val="bottom"/>
          </w:tcPr>
          <w:p w14:paraId="211BE5B0"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Median</w:t>
            </w:r>
            <w:r w:rsidR="00743A7A" w:rsidRPr="00BF3EC3">
              <w:rPr>
                <w:rFonts w:ascii="Book Antiqua" w:hAnsi="Book Antiqua" w:cs="Calibri" w:hint="eastAsia"/>
                <w:b/>
                <w:lang w:eastAsia="zh-CN"/>
              </w:rPr>
              <w:t xml:space="preserve"> </w:t>
            </w:r>
            <w:r w:rsidRPr="00BF3EC3">
              <w:rPr>
                <w:rFonts w:ascii="Book Antiqua" w:hAnsi="Book Antiqua" w:cs="Calibri"/>
                <w:b/>
              </w:rPr>
              <w:t>(IQR)</w:t>
            </w:r>
          </w:p>
        </w:tc>
      </w:tr>
      <w:tr w:rsidR="00C54E98" w:rsidRPr="001D4300" w14:paraId="4EFED123" w14:textId="77777777" w:rsidTr="00BF3EC3">
        <w:trPr>
          <w:cantSplit/>
        </w:trPr>
        <w:tc>
          <w:tcPr>
            <w:tcW w:w="0" w:type="auto"/>
            <w:tcBorders>
              <w:top w:val="single" w:sz="4" w:space="0" w:color="auto"/>
            </w:tcBorders>
            <w:shd w:val="clear" w:color="auto" w:fill="auto"/>
          </w:tcPr>
          <w:p w14:paraId="3AFAFB6F"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r w:rsidRPr="001D4300">
              <w:rPr>
                <w:rFonts w:ascii="Book Antiqua" w:hAnsi="Book Antiqua" w:cs="Calibri"/>
              </w:rPr>
              <w:t>Age at baseline</w:t>
            </w:r>
          </w:p>
        </w:tc>
        <w:tc>
          <w:tcPr>
            <w:tcW w:w="0" w:type="auto"/>
            <w:tcBorders>
              <w:top w:val="single" w:sz="4" w:space="0" w:color="auto"/>
            </w:tcBorders>
            <w:shd w:val="clear" w:color="auto" w:fill="auto"/>
          </w:tcPr>
          <w:p w14:paraId="498CA445"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1.5-16.1</w:t>
            </w:r>
          </w:p>
        </w:tc>
        <w:tc>
          <w:tcPr>
            <w:tcW w:w="0" w:type="auto"/>
            <w:tcBorders>
              <w:top w:val="single" w:sz="4" w:space="0" w:color="auto"/>
            </w:tcBorders>
            <w:shd w:val="clear" w:color="auto" w:fill="auto"/>
          </w:tcPr>
          <w:p w14:paraId="3386C7D4"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12.2</w:t>
            </w:r>
            <w:r w:rsidR="00743A7A">
              <w:rPr>
                <w:rFonts w:ascii="Book Antiqua" w:hAnsi="Book Antiqua" w:cs="Calibri" w:hint="eastAsia"/>
                <w:lang w:eastAsia="zh-CN"/>
              </w:rPr>
              <w:t xml:space="preserve"> </w:t>
            </w:r>
            <w:r w:rsidRPr="001D4300">
              <w:rPr>
                <w:rFonts w:ascii="Book Antiqua" w:hAnsi="Book Antiqua" w:cs="Calibri"/>
              </w:rPr>
              <w:t>(3.6)</w:t>
            </w:r>
          </w:p>
        </w:tc>
        <w:tc>
          <w:tcPr>
            <w:tcW w:w="0" w:type="auto"/>
            <w:tcBorders>
              <w:top w:val="single" w:sz="4" w:space="0" w:color="auto"/>
            </w:tcBorders>
          </w:tcPr>
          <w:p w14:paraId="54ACE4E9"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6.0-17.8</w:t>
            </w:r>
          </w:p>
        </w:tc>
        <w:tc>
          <w:tcPr>
            <w:tcW w:w="0" w:type="auto"/>
            <w:tcBorders>
              <w:top w:val="single" w:sz="4" w:space="0" w:color="auto"/>
            </w:tcBorders>
          </w:tcPr>
          <w:p w14:paraId="07D690C5"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13.8</w:t>
            </w:r>
            <w:r w:rsidR="00743A7A">
              <w:rPr>
                <w:rFonts w:ascii="Book Antiqua" w:hAnsi="Book Antiqua" w:cs="Calibri" w:hint="eastAsia"/>
                <w:lang w:eastAsia="zh-CN"/>
              </w:rPr>
              <w:t xml:space="preserve"> </w:t>
            </w:r>
            <w:r w:rsidRPr="001D4300">
              <w:rPr>
                <w:rFonts w:ascii="Book Antiqua" w:hAnsi="Book Antiqua" w:cs="Calibri"/>
              </w:rPr>
              <w:t>(3.2)</w:t>
            </w:r>
          </w:p>
        </w:tc>
        <w:tc>
          <w:tcPr>
            <w:tcW w:w="0" w:type="auto"/>
            <w:tcBorders>
              <w:top w:val="single" w:sz="4" w:space="0" w:color="auto"/>
            </w:tcBorders>
          </w:tcPr>
          <w:p w14:paraId="4D7C8C0A"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6-17.0</w:t>
            </w:r>
          </w:p>
        </w:tc>
        <w:tc>
          <w:tcPr>
            <w:tcW w:w="0" w:type="auto"/>
            <w:tcBorders>
              <w:top w:val="single" w:sz="4" w:space="0" w:color="auto"/>
            </w:tcBorders>
          </w:tcPr>
          <w:p w14:paraId="3E15377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14.0</w:t>
            </w:r>
            <w:r w:rsidR="00743A7A">
              <w:rPr>
                <w:rFonts w:ascii="Book Antiqua" w:hAnsi="Book Antiqua" w:cs="Calibri" w:hint="eastAsia"/>
                <w:lang w:eastAsia="zh-CN"/>
              </w:rPr>
              <w:t xml:space="preserve"> </w:t>
            </w:r>
            <w:r w:rsidRPr="001D4300">
              <w:rPr>
                <w:rFonts w:ascii="Book Antiqua" w:hAnsi="Book Antiqua" w:cs="Calibri"/>
              </w:rPr>
              <w:t>(4.0)</w:t>
            </w:r>
          </w:p>
        </w:tc>
      </w:tr>
      <w:tr w:rsidR="00C54E98" w:rsidRPr="001D4300" w14:paraId="365AD998" w14:textId="77777777" w:rsidTr="00BF3EC3">
        <w:trPr>
          <w:cantSplit/>
        </w:trPr>
        <w:tc>
          <w:tcPr>
            <w:tcW w:w="0" w:type="auto"/>
            <w:shd w:val="clear" w:color="auto" w:fill="auto"/>
          </w:tcPr>
          <w:p w14:paraId="20AA08EE"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r w:rsidRPr="001D4300">
              <w:rPr>
                <w:rFonts w:ascii="Book Antiqua" w:hAnsi="Book Antiqua" w:cs="Calibri"/>
              </w:rPr>
              <w:t>Age at diagnosis</w:t>
            </w:r>
          </w:p>
        </w:tc>
        <w:tc>
          <w:tcPr>
            <w:tcW w:w="0" w:type="auto"/>
            <w:shd w:val="clear" w:color="auto" w:fill="auto"/>
          </w:tcPr>
          <w:p w14:paraId="36254470"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1.5-15.9</w:t>
            </w:r>
          </w:p>
        </w:tc>
        <w:tc>
          <w:tcPr>
            <w:tcW w:w="0" w:type="auto"/>
            <w:shd w:val="clear" w:color="auto" w:fill="auto"/>
          </w:tcPr>
          <w:p w14:paraId="4EBF5C72"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12.2</w:t>
            </w:r>
            <w:r w:rsidR="00743A7A">
              <w:rPr>
                <w:rFonts w:ascii="Book Antiqua" w:hAnsi="Book Antiqua" w:cs="Calibri" w:hint="eastAsia"/>
                <w:lang w:eastAsia="zh-CN"/>
              </w:rPr>
              <w:t xml:space="preserve"> </w:t>
            </w:r>
            <w:r w:rsidRPr="001D4300">
              <w:rPr>
                <w:rFonts w:ascii="Book Antiqua" w:hAnsi="Book Antiqua" w:cs="Calibri"/>
              </w:rPr>
              <w:t>(3.6)</w:t>
            </w:r>
          </w:p>
        </w:tc>
        <w:tc>
          <w:tcPr>
            <w:tcW w:w="0" w:type="auto"/>
          </w:tcPr>
          <w:p w14:paraId="1E4A6080"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4.8-16.6</w:t>
            </w:r>
          </w:p>
        </w:tc>
        <w:tc>
          <w:tcPr>
            <w:tcW w:w="0" w:type="auto"/>
          </w:tcPr>
          <w:p w14:paraId="2664D53C"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11.8</w:t>
            </w:r>
            <w:r w:rsidR="00743A7A">
              <w:rPr>
                <w:rFonts w:ascii="Book Antiqua" w:hAnsi="Book Antiqua" w:cs="Calibri" w:hint="eastAsia"/>
                <w:lang w:eastAsia="zh-CN"/>
              </w:rPr>
              <w:t xml:space="preserve"> </w:t>
            </w:r>
            <w:r w:rsidRPr="001D4300">
              <w:rPr>
                <w:rFonts w:ascii="Book Antiqua" w:hAnsi="Book Antiqua" w:cs="Calibri"/>
              </w:rPr>
              <w:t>(4.1)</w:t>
            </w:r>
          </w:p>
        </w:tc>
        <w:tc>
          <w:tcPr>
            <w:tcW w:w="0" w:type="auto"/>
          </w:tcPr>
          <w:p w14:paraId="05552442"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2.4-16.4</w:t>
            </w:r>
          </w:p>
        </w:tc>
        <w:tc>
          <w:tcPr>
            <w:tcW w:w="0" w:type="auto"/>
          </w:tcPr>
          <w:p w14:paraId="2E5CBA11"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10.6</w:t>
            </w:r>
            <w:r w:rsidR="00743A7A">
              <w:rPr>
                <w:rFonts w:ascii="Book Antiqua" w:hAnsi="Book Antiqua" w:cs="Calibri" w:hint="eastAsia"/>
                <w:lang w:eastAsia="zh-CN"/>
              </w:rPr>
              <w:t xml:space="preserve"> </w:t>
            </w:r>
            <w:r w:rsidRPr="001D4300">
              <w:rPr>
                <w:rFonts w:ascii="Book Antiqua" w:hAnsi="Book Antiqua" w:cs="Calibri"/>
              </w:rPr>
              <w:t>(3.2)</w:t>
            </w:r>
          </w:p>
        </w:tc>
      </w:tr>
      <w:tr w:rsidR="00C54E98" w:rsidRPr="001D4300" w14:paraId="424064B1" w14:textId="77777777" w:rsidTr="00BF3EC3">
        <w:trPr>
          <w:cantSplit/>
        </w:trPr>
        <w:tc>
          <w:tcPr>
            <w:tcW w:w="0" w:type="auto"/>
            <w:shd w:val="clear" w:color="auto" w:fill="auto"/>
          </w:tcPr>
          <w:p w14:paraId="565A77A1"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r w:rsidRPr="001D4300">
              <w:rPr>
                <w:rFonts w:ascii="Book Antiqua" w:hAnsi="Book Antiqua" w:cs="Calibri"/>
              </w:rPr>
              <w:t xml:space="preserve">Gender (female), </w:t>
            </w:r>
            <w:r w:rsidR="00743A7A" w:rsidRPr="00743A7A">
              <w:rPr>
                <w:rFonts w:ascii="Book Antiqua" w:hAnsi="Book Antiqua" w:cs="Calibri"/>
                <w:i/>
              </w:rPr>
              <w:t>n</w:t>
            </w:r>
            <w:r w:rsidR="00743A7A" w:rsidRPr="001D4300">
              <w:rPr>
                <w:rFonts w:ascii="Book Antiqua" w:hAnsi="Book Antiqua" w:cs="Calibri"/>
              </w:rPr>
              <w:t xml:space="preserve"> </w:t>
            </w:r>
            <w:r w:rsidRPr="001D4300">
              <w:rPr>
                <w:rFonts w:ascii="Book Antiqua" w:hAnsi="Book Antiqua" w:cs="Calibri"/>
              </w:rPr>
              <w:t>(%)</w:t>
            </w:r>
          </w:p>
        </w:tc>
        <w:tc>
          <w:tcPr>
            <w:tcW w:w="0" w:type="auto"/>
            <w:gridSpan w:val="2"/>
            <w:shd w:val="clear" w:color="auto" w:fill="auto"/>
          </w:tcPr>
          <w:p w14:paraId="67AC4C67"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180 (43.5)</w:t>
            </w:r>
          </w:p>
        </w:tc>
        <w:tc>
          <w:tcPr>
            <w:tcW w:w="0" w:type="auto"/>
            <w:gridSpan w:val="2"/>
          </w:tcPr>
          <w:p w14:paraId="57FC015B"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40 (39.6)</w:t>
            </w:r>
          </w:p>
        </w:tc>
        <w:tc>
          <w:tcPr>
            <w:tcW w:w="0" w:type="auto"/>
            <w:gridSpan w:val="2"/>
          </w:tcPr>
          <w:p w14:paraId="79CCD626"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82 (43.6)</w:t>
            </w:r>
          </w:p>
        </w:tc>
      </w:tr>
      <w:tr w:rsidR="00C54E98" w:rsidRPr="001D4300" w14:paraId="3F2FCB8B" w14:textId="77777777" w:rsidTr="00BF3EC3">
        <w:trPr>
          <w:cantSplit/>
        </w:trPr>
        <w:tc>
          <w:tcPr>
            <w:tcW w:w="0" w:type="auto"/>
            <w:shd w:val="clear" w:color="auto" w:fill="auto"/>
          </w:tcPr>
          <w:p w14:paraId="3B63C1ED"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p>
        </w:tc>
        <w:tc>
          <w:tcPr>
            <w:tcW w:w="0" w:type="auto"/>
            <w:shd w:val="clear" w:color="auto" w:fill="auto"/>
          </w:tcPr>
          <w:p w14:paraId="7D1382F3"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Range</w:t>
            </w:r>
          </w:p>
        </w:tc>
        <w:tc>
          <w:tcPr>
            <w:tcW w:w="0" w:type="auto"/>
            <w:shd w:val="clear" w:color="auto" w:fill="auto"/>
          </w:tcPr>
          <w:p w14:paraId="7093AD05"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mean</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SD</w:t>
            </w:r>
          </w:p>
        </w:tc>
        <w:tc>
          <w:tcPr>
            <w:tcW w:w="0" w:type="auto"/>
          </w:tcPr>
          <w:p w14:paraId="6C6185A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Range</w:t>
            </w:r>
          </w:p>
        </w:tc>
        <w:tc>
          <w:tcPr>
            <w:tcW w:w="0" w:type="auto"/>
          </w:tcPr>
          <w:p w14:paraId="745287ED"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mean</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SD</w:t>
            </w:r>
          </w:p>
        </w:tc>
        <w:tc>
          <w:tcPr>
            <w:tcW w:w="0" w:type="auto"/>
          </w:tcPr>
          <w:p w14:paraId="1D358AF5"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Range</w:t>
            </w:r>
          </w:p>
        </w:tc>
        <w:tc>
          <w:tcPr>
            <w:tcW w:w="0" w:type="auto"/>
          </w:tcPr>
          <w:p w14:paraId="2A209639"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mean</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SD</w:t>
            </w:r>
          </w:p>
        </w:tc>
      </w:tr>
      <w:tr w:rsidR="00C54E98" w:rsidRPr="001D4300" w14:paraId="1192CA8A" w14:textId="77777777" w:rsidTr="00BF3EC3">
        <w:trPr>
          <w:cantSplit/>
        </w:trPr>
        <w:tc>
          <w:tcPr>
            <w:tcW w:w="0" w:type="auto"/>
            <w:shd w:val="clear" w:color="auto" w:fill="auto"/>
          </w:tcPr>
          <w:p w14:paraId="27A06E3C"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r w:rsidRPr="001D4300">
              <w:rPr>
                <w:rFonts w:ascii="Book Antiqua" w:hAnsi="Book Antiqua" w:cs="Calibri"/>
              </w:rPr>
              <w:t>PCDAI BL</w:t>
            </w:r>
          </w:p>
        </w:tc>
        <w:tc>
          <w:tcPr>
            <w:tcW w:w="0" w:type="auto"/>
            <w:shd w:val="clear" w:color="auto" w:fill="auto"/>
          </w:tcPr>
          <w:p w14:paraId="50B1CC5D"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0-82.5</w:t>
            </w:r>
          </w:p>
        </w:tc>
        <w:tc>
          <w:tcPr>
            <w:tcW w:w="0" w:type="auto"/>
            <w:shd w:val="clear" w:color="auto" w:fill="auto"/>
          </w:tcPr>
          <w:p w14:paraId="4FF9DA16"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31.39</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15.34</w:t>
            </w:r>
          </w:p>
        </w:tc>
        <w:tc>
          <w:tcPr>
            <w:tcW w:w="0" w:type="auto"/>
          </w:tcPr>
          <w:p w14:paraId="3F3050B7"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25-62.5</w:t>
            </w:r>
          </w:p>
        </w:tc>
        <w:tc>
          <w:tcPr>
            <w:tcW w:w="0" w:type="auto"/>
          </w:tcPr>
          <w:p w14:paraId="3B954456"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41.14</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8.18</w:t>
            </w:r>
          </w:p>
        </w:tc>
        <w:tc>
          <w:tcPr>
            <w:tcW w:w="0" w:type="auto"/>
          </w:tcPr>
          <w:p w14:paraId="686B787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7.5-62.5</w:t>
            </w:r>
          </w:p>
        </w:tc>
        <w:tc>
          <w:tcPr>
            <w:tcW w:w="0" w:type="auto"/>
          </w:tcPr>
          <w:p w14:paraId="7DFA977E"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40.97</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7.48</w:t>
            </w:r>
          </w:p>
        </w:tc>
      </w:tr>
      <w:tr w:rsidR="00C54E98" w:rsidRPr="001D4300" w14:paraId="7D5F128E" w14:textId="77777777" w:rsidTr="00BF3EC3">
        <w:trPr>
          <w:cantSplit/>
        </w:trPr>
        <w:tc>
          <w:tcPr>
            <w:tcW w:w="0" w:type="auto"/>
            <w:shd w:val="clear" w:color="auto" w:fill="auto"/>
          </w:tcPr>
          <w:p w14:paraId="4770DD16"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r w:rsidRPr="001D4300">
              <w:rPr>
                <w:rFonts w:ascii="Book Antiqua" w:hAnsi="Book Antiqua" w:cs="Calibri"/>
              </w:rPr>
              <w:t>PCDAI Q1</w:t>
            </w:r>
          </w:p>
        </w:tc>
        <w:tc>
          <w:tcPr>
            <w:tcW w:w="0" w:type="auto"/>
            <w:shd w:val="clear" w:color="auto" w:fill="auto"/>
          </w:tcPr>
          <w:p w14:paraId="4FDE5D5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0-52.5</w:t>
            </w:r>
          </w:p>
        </w:tc>
        <w:tc>
          <w:tcPr>
            <w:tcW w:w="0" w:type="auto"/>
            <w:shd w:val="clear" w:color="auto" w:fill="auto"/>
          </w:tcPr>
          <w:p w14:paraId="20B0F130"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10.25</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9.75</w:t>
            </w:r>
          </w:p>
        </w:tc>
        <w:tc>
          <w:tcPr>
            <w:tcW w:w="0" w:type="auto"/>
          </w:tcPr>
          <w:p w14:paraId="3F217297"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0-40</w:t>
            </w:r>
          </w:p>
        </w:tc>
        <w:tc>
          <w:tcPr>
            <w:tcW w:w="0" w:type="auto"/>
          </w:tcPr>
          <w:p w14:paraId="0135CE85"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9.77</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8.55</w:t>
            </w:r>
          </w:p>
        </w:tc>
        <w:tc>
          <w:tcPr>
            <w:tcW w:w="0" w:type="auto"/>
          </w:tcPr>
          <w:p w14:paraId="0840789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0-57.5</w:t>
            </w:r>
          </w:p>
        </w:tc>
        <w:tc>
          <w:tcPr>
            <w:tcW w:w="0" w:type="auto"/>
          </w:tcPr>
          <w:p w14:paraId="2C6016F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16.78</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12.64</w:t>
            </w:r>
          </w:p>
        </w:tc>
      </w:tr>
      <w:tr w:rsidR="00C54E98" w:rsidRPr="001D4300" w14:paraId="31D9DB5E" w14:textId="77777777" w:rsidTr="00BF3EC3">
        <w:trPr>
          <w:cantSplit/>
        </w:trPr>
        <w:tc>
          <w:tcPr>
            <w:tcW w:w="0" w:type="auto"/>
            <w:shd w:val="clear" w:color="auto" w:fill="auto"/>
          </w:tcPr>
          <w:p w14:paraId="4357D8F2"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r w:rsidRPr="001D4300">
              <w:rPr>
                <w:rFonts w:ascii="Book Antiqua" w:hAnsi="Book Antiqua" w:cs="Calibri"/>
              </w:rPr>
              <w:t>PCDAI Q4</w:t>
            </w:r>
          </w:p>
        </w:tc>
        <w:tc>
          <w:tcPr>
            <w:tcW w:w="0" w:type="auto"/>
            <w:shd w:val="clear" w:color="auto" w:fill="auto"/>
          </w:tcPr>
          <w:p w14:paraId="1C2A87D2"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0-50.0</w:t>
            </w:r>
          </w:p>
        </w:tc>
        <w:tc>
          <w:tcPr>
            <w:tcW w:w="0" w:type="auto"/>
            <w:shd w:val="clear" w:color="auto" w:fill="auto"/>
          </w:tcPr>
          <w:p w14:paraId="26A936D7"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8.58</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9.21</w:t>
            </w:r>
          </w:p>
        </w:tc>
        <w:tc>
          <w:tcPr>
            <w:tcW w:w="0" w:type="auto"/>
          </w:tcPr>
          <w:p w14:paraId="44A9AEB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0-70</w:t>
            </w:r>
          </w:p>
        </w:tc>
        <w:tc>
          <w:tcPr>
            <w:tcW w:w="0" w:type="auto"/>
          </w:tcPr>
          <w:p w14:paraId="3CA1AAA8"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12.07</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14.10</w:t>
            </w:r>
          </w:p>
        </w:tc>
        <w:tc>
          <w:tcPr>
            <w:tcW w:w="0" w:type="auto"/>
          </w:tcPr>
          <w:p w14:paraId="211CBDA2"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0-70</w:t>
            </w:r>
          </w:p>
        </w:tc>
        <w:tc>
          <w:tcPr>
            <w:tcW w:w="0" w:type="auto"/>
          </w:tcPr>
          <w:p w14:paraId="66A3B815"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19.56</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16.34</w:t>
            </w:r>
          </w:p>
        </w:tc>
      </w:tr>
    </w:tbl>
    <w:p w14:paraId="0DC1618B" w14:textId="77777777" w:rsidR="00C54E98" w:rsidRPr="001A5AC1" w:rsidRDefault="007500EF" w:rsidP="00C54E98">
      <w:pPr>
        <w:adjustRightInd w:val="0"/>
        <w:snapToGrid w:val="0"/>
        <w:spacing w:line="360" w:lineRule="auto"/>
        <w:jc w:val="both"/>
        <w:rPr>
          <w:rFonts w:ascii="Book Antiqua" w:hAnsi="Book Antiqua" w:cs="Calibri"/>
          <w:lang w:eastAsia="zh-CN"/>
        </w:rPr>
      </w:pPr>
      <w:r>
        <w:rPr>
          <w:rFonts w:ascii="Book Antiqua" w:hAnsi="Book Antiqua" w:cs="Calibri" w:hint="eastAsia"/>
          <w:vertAlign w:val="superscript"/>
          <w:lang w:eastAsia="zh-CN"/>
        </w:rPr>
        <w:t>1</w:t>
      </w:r>
      <w:r w:rsidR="00C54E98" w:rsidRPr="001D4300">
        <w:rPr>
          <w:rFonts w:ascii="Book Antiqua" w:hAnsi="Book Antiqua" w:cs="Calibri"/>
        </w:rPr>
        <w:t xml:space="preserve">The baseline characteristics describe participants with full </w:t>
      </w:r>
      <w:r>
        <w:rPr>
          <w:rFonts w:ascii="Book Antiqua" w:eastAsia="Book Antiqua" w:hAnsi="Book Antiqua" w:cs="Book Antiqua"/>
          <w:color w:val="000000"/>
        </w:rPr>
        <w:t xml:space="preserve">pediatric Crohn’s disease activity index </w:t>
      </w:r>
      <w:r>
        <w:rPr>
          <w:rFonts w:ascii="Book Antiqua" w:hAnsi="Book Antiqua" w:cs="Book Antiqua" w:hint="eastAsia"/>
          <w:color w:val="000000"/>
          <w:lang w:eastAsia="zh-CN"/>
        </w:rPr>
        <w:t>(</w:t>
      </w:r>
      <w:r w:rsidR="00C54E98" w:rsidRPr="001D4300">
        <w:rPr>
          <w:rFonts w:ascii="Book Antiqua" w:hAnsi="Book Antiqua" w:cs="Calibri"/>
        </w:rPr>
        <w:t>PCDAI</w:t>
      </w:r>
      <w:r>
        <w:rPr>
          <w:rFonts w:ascii="Book Antiqua" w:hAnsi="Book Antiqua" w:cs="Calibri" w:hint="eastAsia"/>
          <w:lang w:eastAsia="zh-CN"/>
        </w:rPr>
        <w:t>)</w:t>
      </w:r>
      <w:r w:rsidR="00C54E98" w:rsidRPr="001D4300">
        <w:rPr>
          <w:rFonts w:ascii="Book Antiqua" w:hAnsi="Book Antiqua" w:cs="Calibri"/>
        </w:rPr>
        <w:t xml:space="preserve"> data (</w:t>
      </w:r>
      <w:r w:rsidR="00C54E98" w:rsidRPr="007500EF">
        <w:rPr>
          <w:rFonts w:ascii="Book Antiqua" w:hAnsi="Book Antiqua" w:cs="Calibri"/>
          <w:i/>
        </w:rPr>
        <w:t>i</w:t>
      </w:r>
      <w:r w:rsidRPr="007500EF">
        <w:rPr>
          <w:rFonts w:ascii="Book Antiqua" w:hAnsi="Book Antiqua" w:cs="Calibri" w:hint="eastAsia"/>
          <w:i/>
          <w:lang w:eastAsia="zh-CN"/>
        </w:rPr>
        <w:t>.</w:t>
      </w:r>
      <w:r w:rsidR="00C54E98" w:rsidRPr="007500EF">
        <w:rPr>
          <w:rFonts w:ascii="Book Antiqua" w:hAnsi="Book Antiqua" w:cs="Calibri"/>
          <w:i/>
        </w:rPr>
        <w:t>e.</w:t>
      </w:r>
      <w:r w:rsidR="00C54E98" w:rsidRPr="001D4300">
        <w:rPr>
          <w:rFonts w:ascii="Book Antiqua" w:hAnsi="Book Antiqua" w:cs="Calibri"/>
        </w:rPr>
        <w:t xml:space="preserve"> had individual PCDAI scores collected) at baseline. Q1 PCDAI scores describe participants with full baseline and Q1 PCDAI data available (</w:t>
      </w:r>
      <w:r w:rsidR="00C54E98" w:rsidRPr="007500EF">
        <w:rPr>
          <w:rFonts w:ascii="Book Antiqua" w:hAnsi="Book Antiqua" w:cs="Calibri"/>
          <w:i/>
        </w:rPr>
        <w:t>n</w:t>
      </w:r>
      <w:r w:rsidR="00C54E98" w:rsidRPr="001D4300">
        <w:rPr>
          <w:rFonts w:ascii="Book Antiqua" w:hAnsi="Book Antiqua" w:cs="Calibri"/>
        </w:rPr>
        <w:t xml:space="preserve"> = 414, 97, and 159 participants for the Registry, REACH, and IMAgINE datasets respectively). Q4 PCDAI scores describe participants with full baseline and Q1 PCDAI data available (</w:t>
      </w:r>
      <w:r w:rsidR="00C54E98" w:rsidRPr="007500EF">
        <w:rPr>
          <w:rFonts w:ascii="Book Antiqua" w:hAnsi="Book Antiqua" w:cs="Calibri"/>
          <w:i/>
        </w:rPr>
        <w:t>n</w:t>
      </w:r>
      <w:r w:rsidR="00C54E98" w:rsidRPr="001D4300">
        <w:rPr>
          <w:rFonts w:ascii="Book Antiqua" w:hAnsi="Book Antiqua" w:cs="Calibri"/>
        </w:rPr>
        <w:t xml:space="preserve"> = 216, 75, and 183 participants for the Registry, REACH, and IMAgINE datasets respectively).</w:t>
      </w:r>
      <w:r w:rsidR="001A5AC1">
        <w:rPr>
          <w:rFonts w:ascii="Book Antiqua" w:hAnsi="Book Antiqua" w:cs="Calibri" w:hint="eastAsia"/>
          <w:lang w:eastAsia="zh-CN"/>
        </w:rPr>
        <w:t xml:space="preserve"> </w:t>
      </w:r>
      <w:bookmarkStart w:id="119" w:name="OLE_LINK34"/>
      <w:bookmarkStart w:id="120" w:name="OLE_LINK35"/>
      <w:r w:rsidR="001A5AC1">
        <w:rPr>
          <w:rFonts w:ascii="Book Antiqua" w:hAnsi="Book Antiqua" w:cs="Calibri" w:hint="eastAsia"/>
          <w:lang w:eastAsia="zh-CN"/>
        </w:rPr>
        <w:t xml:space="preserve">PCDAI: </w:t>
      </w:r>
      <w:r w:rsidR="001A5AC1">
        <w:rPr>
          <w:rFonts w:ascii="Book Antiqua" w:hAnsi="Book Antiqua" w:cs="Book Antiqua" w:hint="eastAsia"/>
          <w:color w:val="000000"/>
          <w:lang w:eastAsia="zh-CN"/>
        </w:rPr>
        <w:t>P</w:t>
      </w:r>
      <w:r w:rsidR="001A5AC1">
        <w:rPr>
          <w:rFonts w:ascii="Book Antiqua" w:eastAsia="Book Antiqua" w:hAnsi="Book Antiqua" w:cs="Book Antiqua"/>
          <w:color w:val="000000"/>
        </w:rPr>
        <w:t>ediatric Crohn’s disease activity index</w:t>
      </w:r>
      <w:r w:rsidR="001A5AC1">
        <w:rPr>
          <w:rFonts w:ascii="Book Antiqua" w:hAnsi="Book Antiqua" w:cs="Book Antiqua" w:hint="eastAsia"/>
          <w:color w:val="000000"/>
          <w:lang w:eastAsia="zh-CN"/>
        </w:rPr>
        <w:t>.</w:t>
      </w:r>
      <w:bookmarkEnd w:id="119"/>
      <w:bookmarkEnd w:id="120"/>
    </w:p>
    <w:p w14:paraId="4EC7D468" w14:textId="77777777" w:rsidR="00C54E98" w:rsidRPr="001A5AC1" w:rsidRDefault="00C54E98" w:rsidP="00C54E98">
      <w:pPr>
        <w:adjustRightInd w:val="0"/>
        <w:snapToGrid w:val="0"/>
        <w:spacing w:line="360" w:lineRule="auto"/>
        <w:jc w:val="both"/>
        <w:rPr>
          <w:rFonts w:ascii="Book Antiqua" w:hAnsi="Book Antiqua"/>
          <w:b/>
        </w:rPr>
      </w:pPr>
      <w:r w:rsidRPr="001D4300">
        <w:rPr>
          <w:rFonts w:ascii="Book Antiqua" w:hAnsi="Book Antiqua" w:cs="Calibri"/>
          <w:b/>
          <w:bCs/>
        </w:rPr>
        <w:br w:type="page"/>
      </w:r>
      <w:r w:rsidRPr="001A5AC1">
        <w:rPr>
          <w:rFonts w:ascii="Book Antiqua" w:hAnsi="Book Antiqua"/>
          <w:b/>
        </w:rPr>
        <w:t xml:space="preserve">Table 2 Linear regression analysis examining the contribution of </w:t>
      </w:r>
      <w:r w:rsidR="001A5AC1" w:rsidRPr="001A5AC1">
        <w:rPr>
          <w:rFonts w:ascii="Book Antiqua" w:eastAsia="Book Antiqua" w:hAnsi="Book Antiqua" w:cs="Book Antiqua"/>
          <w:b/>
          <w:color w:val="000000"/>
        </w:rPr>
        <w:t xml:space="preserve">pediatric Crohn’s disease activity index </w:t>
      </w:r>
      <w:r w:rsidRPr="001A5AC1">
        <w:rPr>
          <w:rFonts w:ascii="Book Antiqua" w:hAnsi="Book Antiqua"/>
          <w:b/>
        </w:rPr>
        <w:t xml:space="preserve">change scores to Q1 and Q4 </w:t>
      </w:r>
      <w:r w:rsidR="001A5AC1" w:rsidRPr="001A5AC1">
        <w:rPr>
          <w:rFonts w:ascii="Book Antiqua" w:eastAsia="Book Antiqua" w:hAnsi="Book Antiqua" w:cs="Book Antiqua"/>
          <w:b/>
          <w:color w:val="000000"/>
        </w:rPr>
        <w:t xml:space="preserve">pediatric Crohn’s disease activity index </w:t>
      </w:r>
      <w:r w:rsidRPr="001A5AC1">
        <w:rPr>
          <w:rFonts w:ascii="Book Antiqua" w:hAnsi="Book Antiqua"/>
          <w:b/>
        </w:rPr>
        <w:t>disease activity</w:t>
      </w:r>
    </w:p>
    <w:tbl>
      <w:tblPr>
        <w:tblW w:w="0" w:type="auto"/>
        <w:tblBorders>
          <w:top w:val="single" w:sz="4" w:space="0" w:color="auto"/>
          <w:bottom w:val="single" w:sz="4" w:space="0" w:color="auto"/>
        </w:tblBorders>
        <w:tblLook w:val="04A0" w:firstRow="1" w:lastRow="0" w:firstColumn="1" w:lastColumn="0" w:noHBand="0" w:noVBand="1"/>
      </w:tblPr>
      <w:tblGrid>
        <w:gridCol w:w="1969"/>
        <w:gridCol w:w="1903"/>
        <w:gridCol w:w="1691"/>
        <w:gridCol w:w="2023"/>
        <w:gridCol w:w="1990"/>
      </w:tblGrid>
      <w:tr w:rsidR="00C54E98" w:rsidRPr="00DC3951" w14:paraId="1E9A263C" w14:textId="77777777" w:rsidTr="006E4658">
        <w:tc>
          <w:tcPr>
            <w:tcW w:w="1969" w:type="dxa"/>
            <w:tcBorders>
              <w:top w:val="single" w:sz="4" w:space="0" w:color="auto"/>
              <w:bottom w:val="single" w:sz="4" w:space="0" w:color="auto"/>
            </w:tcBorders>
          </w:tcPr>
          <w:p w14:paraId="632C7B7C" w14:textId="77777777" w:rsidR="00C54E98" w:rsidRPr="00DC3951" w:rsidRDefault="00C54E98" w:rsidP="001B0BDF">
            <w:pPr>
              <w:adjustRightInd w:val="0"/>
              <w:snapToGrid w:val="0"/>
              <w:spacing w:line="360" w:lineRule="auto"/>
              <w:jc w:val="center"/>
              <w:rPr>
                <w:rFonts w:ascii="Book Antiqua" w:hAnsi="Book Antiqua"/>
              </w:rPr>
            </w:pPr>
          </w:p>
        </w:tc>
        <w:tc>
          <w:tcPr>
            <w:tcW w:w="7607" w:type="dxa"/>
            <w:gridSpan w:val="4"/>
            <w:tcBorders>
              <w:top w:val="single" w:sz="4" w:space="0" w:color="auto"/>
              <w:bottom w:val="single" w:sz="4" w:space="0" w:color="auto"/>
            </w:tcBorders>
            <w:hideMark/>
          </w:tcPr>
          <w:p w14:paraId="3C8A3EDB" w14:textId="21F338D5" w:rsidR="00C54E98" w:rsidRPr="00DC3951" w:rsidRDefault="00C54E98" w:rsidP="001B0BDF">
            <w:pPr>
              <w:adjustRightInd w:val="0"/>
              <w:snapToGrid w:val="0"/>
              <w:spacing w:line="360" w:lineRule="auto"/>
              <w:jc w:val="center"/>
              <w:rPr>
                <w:rFonts w:ascii="Book Antiqua" w:eastAsia="Times New Roman" w:hAnsi="Book Antiqua"/>
                <w:b/>
                <w:color w:val="000000"/>
                <w:lang w:eastAsia="en-CA"/>
              </w:rPr>
            </w:pPr>
            <w:r w:rsidRPr="00DC3951">
              <w:rPr>
                <w:rFonts w:ascii="Book Antiqua" w:eastAsia="Times New Roman" w:hAnsi="Book Antiqua"/>
                <w:b/>
                <w:color w:val="000000"/>
                <w:lang w:eastAsia="en-CA"/>
              </w:rPr>
              <w:t>PCDAI∆ Q1</w:t>
            </w:r>
            <w:r w:rsidR="00591669">
              <w:rPr>
                <w:rFonts w:ascii="Book Antiqua" w:eastAsia="Times New Roman" w:hAnsi="Book Antiqua"/>
                <w:b/>
                <w:color w:val="000000"/>
                <w:lang w:eastAsia="en-CA"/>
              </w:rPr>
              <w:t xml:space="preserve"> </w:t>
            </w:r>
            <w:r w:rsidRPr="00DC3951">
              <w:rPr>
                <w:rFonts w:ascii="Book Antiqua" w:eastAsia="Times New Roman" w:hAnsi="Book Antiqua"/>
                <w:b/>
                <w:color w:val="000000"/>
                <w:lang w:eastAsia="en-CA"/>
              </w:rPr>
              <w:t>to BL (</w:t>
            </w:r>
            <w:r w:rsidRPr="00670554">
              <w:rPr>
                <w:rFonts w:ascii="Book Antiqua" w:eastAsia="Times New Roman" w:hAnsi="Book Antiqua"/>
                <w:b/>
                <w:i/>
                <w:color w:val="000000"/>
                <w:lang w:eastAsia="en-CA"/>
              </w:rPr>
              <w:t>n</w:t>
            </w:r>
            <w:r w:rsidRPr="00DC3951">
              <w:rPr>
                <w:rFonts w:ascii="Book Antiqua" w:eastAsia="Times New Roman" w:hAnsi="Book Antiqua"/>
                <w:b/>
                <w:color w:val="000000"/>
                <w:lang w:eastAsia="en-CA"/>
              </w:rPr>
              <w:t xml:space="preserve"> = 670)</w:t>
            </w:r>
          </w:p>
        </w:tc>
      </w:tr>
      <w:tr w:rsidR="00670554" w:rsidRPr="00DC3951" w14:paraId="3FF4A3EF" w14:textId="77777777" w:rsidTr="006E4658">
        <w:trPr>
          <w:trHeight w:val="435"/>
        </w:trPr>
        <w:tc>
          <w:tcPr>
            <w:tcW w:w="1969" w:type="dxa"/>
            <w:tcBorders>
              <w:top w:val="single" w:sz="4" w:space="0" w:color="auto"/>
              <w:bottom w:val="nil"/>
            </w:tcBorders>
          </w:tcPr>
          <w:p w14:paraId="1AB99B00" w14:textId="552216CC" w:rsidR="00670554" w:rsidRPr="00DC3951" w:rsidRDefault="00670554" w:rsidP="001B0BDF">
            <w:pPr>
              <w:adjustRightInd w:val="0"/>
              <w:snapToGrid w:val="0"/>
              <w:spacing w:line="360" w:lineRule="auto"/>
              <w:jc w:val="center"/>
              <w:rPr>
                <w:rFonts w:ascii="Book Antiqua" w:hAnsi="Book Antiqua"/>
                <w:lang w:eastAsia="zh-CN"/>
              </w:rPr>
            </w:pPr>
          </w:p>
        </w:tc>
        <w:tc>
          <w:tcPr>
            <w:tcW w:w="1903" w:type="dxa"/>
            <w:tcBorders>
              <w:top w:val="single" w:sz="4" w:space="0" w:color="auto"/>
              <w:bottom w:val="single" w:sz="4" w:space="0" w:color="auto"/>
            </w:tcBorders>
            <w:hideMark/>
          </w:tcPr>
          <w:p w14:paraId="5D7C0240" w14:textId="77777777" w:rsidR="00670554" w:rsidRPr="00670554" w:rsidRDefault="00670554" w:rsidP="001B0BDF">
            <w:pPr>
              <w:adjustRightInd w:val="0"/>
              <w:snapToGrid w:val="0"/>
              <w:spacing w:line="360" w:lineRule="auto"/>
              <w:jc w:val="center"/>
              <w:rPr>
                <w:rFonts w:ascii="Book Antiqua" w:hAnsi="Book Antiqua"/>
                <w:b/>
                <w:color w:val="000000"/>
                <w:lang w:eastAsia="zh-CN"/>
              </w:rPr>
            </w:pPr>
            <w:r w:rsidRPr="00DC3951">
              <w:rPr>
                <w:rFonts w:ascii="Book Antiqua" w:eastAsia="Times New Roman" w:hAnsi="Book Antiqua"/>
                <w:b/>
                <w:color w:val="000000"/>
                <w:lang w:eastAsia="en-CA"/>
              </w:rPr>
              <w:t>Full scale</w:t>
            </w:r>
          </w:p>
        </w:tc>
        <w:tc>
          <w:tcPr>
            <w:tcW w:w="1691" w:type="dxa"/>
            <w:tcBorders>
              <w:top w:val="single" w:sz="4" w:space="0" w:color="auto"/>
              <w:bottom w:val="single" w:sz="4" w:space="0" w:color="auto"/>
            </w:tcBorders>
            <w:hideMark/>
          </w:tcPr>
          <w:p w14:paraId="796F3460" w14:textId="77777777" w:rsidR="00670554" w:rsidRPr="00DC3951" w:rsidRDefault="00670554" w:rsidP="001B0BDF">
            <w:pPr>
              <w:adjustRightInd w:val="0"/>
              <w:snapToGrid w:val="0"/>
              <w:spacing w:line="360" w:lineRule="auto"/>
              <w:jc w:val="center"/>
              <w:rPr>
                <w:rFonts w:ascii="Book Antiqua" w:hAnsi="Book Antiqua"/>
                <w:b/>
                <w:lang w:eastAsia="zh-CN"/>
              </w:rPr>
            </w:pPr>
            <w:r w:rsidRPr="00DC3951">
              <w:rPr>
                <w:rFonts w:ascii="Book Antiqua" w:hAnsi="Book Antiqua"/>
                <w:b/>
              </w:rPr>
              <w:t>Subjective</w:t>
            </w:r>
          </w:p>
        </w:tc>
        <w:tc>
          <w:tcPr>
            <w:tcW w:w="2023" w:type="dxa"/>
            <w:tcBorders>
              <w:top w:val="single" w:sz="4" w:space="0" w:color="auto"/>
              <w:bottom w:val="single" w:sz="4" w:space="0" w:color="auto"/>
            </w:tcBorders>
            <w:hideMark/>
          </w:tcPr>
          <w:p w14:paraId="3A3952FE" w14:textId="77777777" w:rsidR="00670554" w:rsidRPr="00DC3951" w:rsidRDefault="00670554" w:rsidP="001B0BDF">
            <w:pPr>
              <w:adjustRightInd w:val="0"/>
              <w:snapToGrid w:val="0"/>
              <w:spacing w:line="360" w:lineRule="auto"/>
              <w:jc w:val="center"/>
              <w:rPr>
                <w:rFonts w:ascii="Book Antiqua" w:hAnsi="Book Antiqua"/>
                <w:b/>
                <w:lang w:eastAsia="zh-CN"/>
              </w:rPr>
            </w:pPr>
            <w:r w:rsidRPr="00DC3951">
              <w:rPr>
                <w:rFonts w:ascii="Book Antiqua" w:hAnsi="Book Antiqua"/>
                <w:b/>
              </w:rPr>
              <w:t>Objective</w:t>
            </w:r>
          </w:p>
        </w:tc>
        <w:tc>
          <w:tcPr>
            <w:tcW w:w="1990" w:type="dxa"/>
            <w:tcBorders>
              <w:top w:val="single" w:sz="4" w:space="0" w:color="auto"/>
              <w:bottom w:val="single" w:sz="4" w:space="0" w:color="auto"/>
            </w:tcBorders>
            <w:hideMark/>
          </w:tcPr>
          <w:p w14:paraId="4431A786" w14:textId="77777777" w:rsidR="00670554" w:rsidRPr="00DC3951" w:rsidRDefault="00670554" w:rsidP="001B0BDF">
            <w:pPr>
              <w:adjustRightInd w:val="0"/>
              <w:snapToGrid w:val="0"/>
              <w:spacing w:line="360" w:lineRule="auto"/>
              <w:jc w:val="center"/>
              <w:rPr>
                <w:rFonts w:ascii="Book Antiqua" w:hAnsi="Book Antiqua"/>
                <w:b/>
                <w:lang w:eastAsia="zh-CN"/>
              </w:rPr>
            </w:pPr>
            <w:r w:rsidRPr="00DC3951">
              <w:rPr>
                <w:rFonts w:ascii="Book Antiqua" w:hAnsi="Book Antiqua"/>
                <w:b/>
              </w:rPr>
              <w:t>Composite</w:t>
            </w:r>
          </w:p>
        </w:tc>
      </w:tr>
      <w:tr w:rsidR="00670554" w:rsidRPr="00DC3951" w14:paraId="39CF6BB4" w14:textId="77777777" w:rsidTr="006E4658">
        <w:trPr>
          <w:trHeight w:val="435"/>
        </w:trPr>
        <w:tc>
          <w:tcPr>
            <w:tcW w:w="1969" w:type="dxa"/>
            <w:tcBorders>
              <w:top w:val="nil"/>
              <w:bottom w:val="single" w:sz="4" w:space="0" w:color="auto"/>
            </w:tcBorders>
          </w:tcPr>
          <w:p w14:paraId="2741E304" w14:textId="77777777" w:rsidR="00670554" w:rsidRPr="00DC3951" w:rsidRDefault="00670554" w:rsidP="001B0BDF">
            <w:pPr>
              <w:adjustRightInd w:val="0"/>
              <w:snapToGrid w:val="0"/>
              <w:spacing w:line="360" w:lineRule="auto"/>
              <w:jc w:val="center"/>
              <w:rPr>
                <w:rFonts w:ascii="Book Antiqua" w:hAnsi="Book Antiqua"/>
              </w:rPr>
            </w:pPr>
          </w:p>
        </w:tc>
        <w:tc>
          <w:tcPr>
            <w:tcW w:w="1903" w:type="dxa"/>
            <w:tcBorders>
              <w:top w:val="single" w:sz="4" w:space="0" w:color="auto"/>
              <w:bottom w:val="single" w:sz="4" w:space="0" w:color="auto"/>
            </w:tcBorders>
          </w:tcPr>
          <w:p w14:paraId="25AEC61B" w14:textId="77777777" w:rsidR="00670554" w:rsidRPr="00DC3951" w:rsidRDefault="00670554" w:rsidP="001B0BDF">
            <w:pPr>
              <w:adjustRightInd w:val="0"/>
              <w:snapToGrid w:val="0"/>
              <w:spacing w:line="360" w:lineRule="auto"/>
              <w:jc w:val="center"/>
              <w:rPr>
                <w:rFonts w:ascii="Book Antiqua" w:eastAsia="Times New Roman" w:hAnsi="Book Antiqua"/>
                <w:b/>
                <w:color w:val="000000"/>
                <w:lang w:eastAsia="en-CA"/>
              </w:rPr>
            </w:pPr>
            <w:r w:rsidRPr="00DC3951">
              <w:rPr>
                <w:rFonts w:ascii="Book Antiqua" w:hAnsi="Book Antiqua"/>
                <w:b/>
              </w:rPr>
              <w:t>β values</w:t>
            </w:r>
          </w:p>
        </w:tc>
        <w:tc>
          <w:tcPr>
            <w:tcW w:w="1691" w:type="dxa"/>
            <w:tcBorders>
              <w:top w:val="single" w:sz="4" w:space="0" w:color="auto"/>
              <w:bottom w:val="single" w:sz="4" w:space="0" w:color="auto"/>
            </w:tcBorders>
          </w:tcPr>
          <w:p w14:paraId="3CF2AF62" w14:textId="77777777" w:rsidR="00670554" w:rsidRPr="00DC3951" w:rsidRDefault="00670554" w:rsidP="001B0BDF">
            <w:pPr>
              <w:adjustRightInd w:val="0"/>
              <w:snapToGrid w:val="0"/>
              <w:spacing w:line="360" w:lineRule="auto"/>
              <w:jc w:val="center"/>
              <w:rPr>
                <w:rFonts w:ascii="Book Antiqua" w:hAnsi="Book Antiqua"/>
                <w:b/>
              </w:rPr>
            </w:pPr>
            <w:r w:rsidRPr="00DC3951">
              <w:rPr>
                <w:rFonts w:ascii="Book Antiqua" w:hAnsi="Book Antiqua"/>
                <w:b/>
              </w:rPr>
              <w:t>β values</w:t>
            </w:r>
          </w:p>
        </w:tc>
        <w:tc>
          <w:tcPr>
            <w:tcW w:w="2023" w:type="dxa"/>
            <w:tcBorders>
              <w:top w:val="single" w:sz="4" w:space="0" w:color="auto"/>
              <w:bottom w:val="single" w:sz="4" w:space="0" w:color="auto"/>
            </w:tcBorders>
          </w:tcPr>
          <w:p w14:paraId="453F1792" w14:textId="77777777" w:rsidR="00670554" w:rsidRPr="00DC3951" w:rsidRDefault="00670554" w:rsidP="001B0BDF">
            <w:pPr>
              <w:adjustRightInd w:val="0"/>
              <w:snapToGrid w:val="0"/>
              <w:spacing w:line="360" w:lineRule="auto"/>
              <w:jc w:val="center"/>
              <w:rPr>
                <w:rFonts w:ascii="Book Antiqua" w:hAnsi="Book Antiqua"/>
                <w:b/>
              </w:rPr>
            </w:pPr>
            <w:r w:rsidRPr="00DC3951">
              <w:rPr>
                <w:rFonts w:ascii="Book Antiqua" w:hAnsi="Book Antiqua"/>
                <w:b/>
              </w:rPr>
              <w:t>β values</w:t>
            </w:r>
          </w:p>
        </w:tc>
        <w:tc>
          <w:tcPr>
            <w:tcW w:w="1990" w:type="dxa"/>
            <w:tcBorders>
              <w:top w:val="single" w:sz="4" w:space="0" w:color="auto"/>
              <w:bottom w:val="single" w:sz="4" w:space="0" w:color="auto"/>
            </w:tcBorders>
          </w:tcPr>
          <w:p w14:paraId="20781522" w14:textId="77777777" w:rsidR="00670554" w:rsidRPr="00DC3951" w:rsidRDefault="00670554" w:rsidP="001B0BDF">
            <w:pPr>
              <w:adjustRightInd w:val="0"/>
              <w:snapToGrid w:val="0"/>
              <w:spacing w:line="360" w:lineRule="auto"/>
              <w:jc w:val="center"/>
              <w:rPr>
                <w:rFonts w:ascii="Book Antiqua" w:hAnsi="Book Antiqua"/>
                <w:b/>
              </w:rPr>
            </w:pPr>
            <w:r w:rsidRPr="00DC3951">
              <w:rPr>
                <w:rFonts w:ascii="Book Antiqua" w:hAnsi="Book Antiqua"/>
                <w:b/>
              </w:rPr>
              <w:t>β values</w:t>
            </w:r>
          </w:p>
        </w:tc>
      </w:tr>
      <w:tr w:rsidR="00C54E98" w:rsidRPr="001D4300" w14:paraId="1D6DA6A2" w14:textId="77777777" w:rsidTr="00BF3EC3">
        <w:tc>
          <w:tcPr>
            <w:tcW w:w="1969" w:type="dxa"/>
            <w:tcBorders>
              <w:top w:val="single" w:sz="4" w:space="0" w:color="auto"/>
            </w:tcBorders>
            <w:hideMark/>
          </w:tcPr>
          <w:p w14:paraId="6563B4A0" w14:textId="77777777" w:rsidR="00C54E98" w:rsidRPr="00DC3951" w:rsidRDefault="00670554" w:rsidP="00BF3EC3">
            <w:pPr>
              <w:adjustRightInd w:val="0"/>
              <w:snapToGrid w:val="0"/>
              <w:spacing w:line="360" w:lineRule="auto"/>
              <w:rPr>
                <w:rFonts w:ascii="Book Antiqua" w:hAnsi="Book Antiqua"/>
              </w:rPr>
            </w:pPr>
            <w:r>
              <w:rPr>
                <w:rFonts w:ascii="Book Antiqua" w:hAnsi="Book Antiqua"/>
              </w:rPr>
              <w:t xml:space="preserve">1. Abdominal </w:t>
            </w:r>
            <w:r>
              <w:rPr>
                <w:rFonts w:ascii="Book Antiqua" w:hAnsi="Book Antiqua" w:hint="eastAsia"/>
                <w:lang w:eastAsia="zh-CN"/>
              </w:rPr>
              <w:t>p</w:t>
            </w:r>
            <w:r w:rsidR="00C54E98" w:rsidRPr="00DC3951">
              <w:rPr>
                <w:rFonts w:ascii="Book Antiqua" w:hAnsi="Book Antiqua"/>
              </w:rPr>
              <w:t>ain</w:t>
            </w:r>
          </w:p>
        </w:tc>
        <w:tc>
          <w:tcPr>
            <w:tcW w:w="1903" w:type="dxa"/>
            <w:tcBorders>
              <w:top w:val="single" w:sz="4" w:space="0" w:color="auto"/>
            </w:tcBorders>
            <w:hideMark/>
          </w:tcPr>
          <w:p w14:paraId="3D154EF8" w14:textId="77777777" w:rsidR="00C54E98" w:rsidRPr="001D4300" w:rsidRDefault="00670554"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.57</w:t>
            </w:r>
            <w:r w:rsidR="007D7651">
              <w:rPr>
                <w:rFonts w:ascii="Book Antiqua" w:hAnsi="Book Antiqua" w:hint="eastAsia"/>
                <w:vertAlign w:val="superscript"/>
                <w:lang w:eastAsia="zh-CN"/>
              </w:rPr>
              <w:t>b</w:t>
            </w:r>
          </w:p>
        </w:tc>
        <w:tc>
          <w:tcPr>
            <w:tcW w:w="1691" w:type="dxa"/>
            <w:tcBorders>
              <w:top w:val="single" w:sz="4" w:space="0" w:color="auto"/>
            </w:tcBorders>
            <w:hideMark/>
          </w:tcPr>
          <w:p w14:paraId="758348B2" w14:textId="77777777" w:rsidR="00C54E98" w:rsidRPr="001D4300" w:rsidRDefault="00670554"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.80</w:t>
            </w:r>
            <w:r w:rsidR="007D7651">
              <w:rPr>
                <w:rFonts w:ascii="Book Antiqua" w:hAnsi="Book Antiqua" w:hint="eastAsia"/>
                <w:vertAlign w:val="superscript"/>
                <w:lang w:eastAsia="zh-CN"/>
              </w:rPr>
              <w:t>b</w:t>
            </w:r>
          </w:p>
        </w:tc>
        <w:tc>
          <w:tcPr>
            <w:tcW w:w="2023" w:type="dxa"/>
            <w:tcBorders>
              <w:top w:val="single" w:sz="4" w:space="0" w:color="auto"/>
            </w:tcBorders>
          </w:tcPr>
          <w:p w14:paraId="4888D53E" w14:textId="77777777" w:rsidR="00C54E98" w:rsidRPr="001D4300" w:rsidRDefault="00C54E98" w:rsidP="00BF3EC3">
            <w:pPr>
              <w:adjustRightInd w:val="0"/>
              <w:snapToGrid w:val="0"/>
              <w:spacing w:line="360" w:lineRule="auto"/>
              <w:rPr>
                <w:rFonts w:ascii="Book Antiqua" w:hAnsi="Book Antiqua"/>
              </w:rPr>
            </w:pPr>
          </w:p>
        </w:tc>
        <w:tc>
          <w:tcPr>
            <w:tcW w:w="1990" w:type="dxa"/>
            <w:tcBorders>
              <w:top w:val="single" w:sz="4" w:space="0" w:color="auto"/>
            </w:tcBorders>
            <w:hideMark/>
          </w:tcPr>
          <w:p w14:paraId="446979AC" w14:textId="77777777" w:rsidR="00C54E98" w:rsidRPr="001D4300" w:rsidRDefault="00670554"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.65</w:t>
            </w:r>
            <w:r w:rsidR="007D7651">
              <w:rPr>
                <w:rFonts w:ascii="Book Antiqua" w:hAnsi="Book Antiqua" w:hint="eastAsia"/>
                <w:vertAlign w:val="superscript"/>
                <w:lang w:eastAsia="zh-CN"/>
              </w:rPr>
              <w:t>b</w:t>
            </w:r>
          </w:p>
        </w:tc>
      </w:tr>
      <w:tr w:rsidR="00C54E98" w:rsidRPr="001D4300" w14:paraId="5CB830C5" w14:textId="77777777" w:rsidTr="00BF3EC3">
        <w:tc>
          <w:tcPr>
            <w:tcW w:w="1969" w:type="dxa"/>
            <w:hideMark/>
          </w:tcPr>
          <w:p w14:paraId="129E64F4"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2. Stooling</w:t>
            </w:r>
          </w:p>
        </w:tc>
        <w:tc>
          <w:tcPr>
            <w:tcW w:w="1903" w:type="dxa"/>
            <w:hideMark/>
          </w:tcPr>
          <w:p w14:paraId="61939EC9"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.42</w:t>
            </w:r>
            <w:r>
              <w:rPr>
                <w:rFonts w:ascii="Book Antiqua" w:hAnsi="Book Antiqua" w:hint="eastAsia"/>
                <w:vertAlign w:val="superscript"/>
                <w:lang w:eastAsia="zh-CN"/>
              </w:rPr>
              <w:t>b</w:t>
            </w:r>
          </w:p>
        </w:tc>
        <w:tc>
          <w:tcPr>
            <w:tcW w:w="1691" w:type="dxa"/>
            <w:hideMark/>
          </w:tcPr>
          <w:p w14:paraId="773F5D0F"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.53</w:t>
            </w:r>
            <w:r>
              <w:rPr>
                <w:rFonts w:ascii="Book Antiqua" w:hAnsi="Book Antiqua" w:hint="eastAsia"/>
                <w:vertAlign w:val="superscript"/>
                <w:lang w:eastAsia="zh-CN"/>
              </w:rPr>
              <w:t>b</w:t>
            </w:r>
          </w:p>
        </w:tc>
        <w:tc>
          <w:tcPr>
            <w:tcW w:w="2023" w:type="dxa"/>
          </w:tcPr>
          <w:p w14:paraId="54E1F2B2" w14:textId="77777777" w:rsidR="00C54E98" w:rsidRPr="001D4300" w:rsidRDefault="00C54E98" w:rsidP="00BF3EC3">
            <w:pPr>
              <w:adjustRightInd w:val="0"/>
              <w:snapToGrid w:val="0"/>
              <w:spacing w:line="360" w:lineRule="auto"/>
              <w:rPr>
                <w:rFonts w:ascii="Book Antiqua" w:hAnsi="Book Antiqua"/>
              </w:rPr>
            </w:pPr>
          </w:p>
        </w:tc>
        <w:tc>
          <w:tcPr>
            <w:tcW w:w="1990" w:type="dxa"/>
            <w:hideMark/>
          </w:tcPr>
          <w:p w14:paraId="7B288661"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b</w:t>
            </w:r>
          </w:p>
        </w:tc>
      </w:tr>
      <w:tr w:rsidR="00C54E98" w:rsidRPr="001D4300" w14:paraId="0726FA5A" w14:textId="77777777" w:rsidTr="00BF3EC3">
        <w:tc>
          <w:tcPr>
            <w:tcW w:w="1969" w:type="dxa"/>
            <w:hideMark/>
          </w:tcPr>
          <w:p w14:paraId="2133E762"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3. Well-being</w:t>
            </w:r>
          </w:p>
        </w:tc>
        <w:tc>
          <w:tcPr>
            <w:tcW w:w="1903" w:type="dxa"/>
            <w:hideMark/>
          </w:tcPr>
          <w:p w14:paraId="5F407111" w14:textId="77777777" w:rsidR="00C54E98" w:rsidRPr="001D4300" w:rsidRDefault="007D7651"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.13</w:t>
            </w:r>
          </w:p>
        </w:tc>
        <w:tc>
          <w:tcPr>
            <w:tcW w:w="1691" w:type="dxa"/>
          </w:tcPr>
          <w:p w14:paraId="463E8A8B" w14:textId="77777777" w:rsidR="00C54E98" w:rsidRPr="001D4300" w:rsidRDefault="00C54E98" w:rsidP="00BF3EC3">
            <w:pPr>
              <w:adjustRightInd w:val="0"/>
              <w:snapToGrid w:val="0"/>
              <w:spacing w:line="360" w:lineRule="auto"/>
              <w:rPr>
                <w:rFonts w:ascii="Book Antiqua" w:hAnsi="Book Antiqua"/>
              </w:rPr>
            </w:pPr>
          </w:p>
        </w:tc>
        <w:tc>
          <w:tcPr>
            <w:tcW w:w="2023" w:type="dxa"/>
          </w:tcPr>
          <w:p w14:paraId="6855C984" w14:textId="77777777" w:rsidR="00C54E98" w:rsidRPr="001D4300" w:rsidRDefault="00C54E98" w:rsidP="00BF3EC3">
            <w:pPr>
              <w:adjustRightInd w:val="0"/>
              <w:snapToGrid w:val="0"/>
              <w:spacing w:line="360" w:lineRule="auto"/>
              <w:rPr>
                <w:rFonts w:ascii="Book Antiqua" w:hAnsi="Book Antiqua"/>
              </w:rPr>
            </w:pPr>
          </w:p>
        </w:tc>
        <w:tc>
          <w:tcPr>
            <w:tcW w:w="1990" w:type="dxa"/>
          </w:tcPr>
          <w:p w14:paraId="3E20B0AF" w14:textId="77777777" w:rsidR="00C54E98" w:rsidRPr="001D4300" w:rsidRDefault="00C54E98" w:rsidP="00BF3EC3">
            <w:pPr>
              <w:adjustRightInd w:val="0"/>
              <w:snapToGrid w:val="0"/>
              <w:spacing w:line="360" w:lineRule="auto"/>
              <w:rPr>
                <w:rFonts w:ascii="Book Antiqua" w:hAnsi="Book Antiqua"/>
              </w:rPr>
            </w:pPr>
          </w:p>
        </w:tc>
      </w:tr>
      <w:tr w:rsidR="00C54E98" w:rsidRPr="001D4300" w14:paraId="22ABAAE9" w14:textId="77777777" w:rsidTr="00BF3EC3">
        <w:tc>
          <w:tcPr>
            <w:tcW w:w="1969" w:type="dxa"/>
            <w:hideMark/>
          </w:tcPr>
          <w:p w14:paraId="7D5EFAD3"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4. HCT</w:t>
            </w:r>
          </w:p>
        </w:tc>
        <w:tc>
          <w:tcPr>
            <w:tcW w:w="1903" w:type="dxa"/>
            <w:hideMark/>
          </w:tcPr>
          <w:p w14:paraId="3FC97055" w14:textId="77777777" w:rsidR="00C54E98" w:rsidRPr="001D4300" w:rsidRDefault="00C54E98" w:rsidP="00BF3EC3">
            <w:pPr>
              <w:adjustRightInd w:val="0"/>
              <w:snapToGrid w:val="0"/>
              <w:spacing w:line="360" w:lineRule="auto"/>
              <w:rPr>
                <w:rFonts w:ascii="Book Antiqua" w:hAnsi="Book Antiqua"/>
              </w:rPr>
            </w:pPr>
            <w:r w:rsidRPr="001D4300">
              <w:rPr>
                <w:rFonts w:ascii="Book Antiqua" w:hAnsi="Book Antiqua"/>
              </w:rPr>
              <w:t>-</w:t>
            </w:r>
            <w:r w:rsidR="007D7651">
              <w:rPr>
                <w:rFonts w:ascii="Book Antiqua" w:hAnsi="Book Antiqua" w:hint="eastAsia"/>
                <w:lang w:eastAsia="zh-CN"/>
              </w:rPr>
              <w:t>0</w:t>
            </w:r>
            <w:r w:rsidRPr="001D4300">
              <w:rPr>
                <w:rFonts w:ascii="Book Antiqua" w:hAnsi="Book Antiqua"/>
              </w:rPr>
              <w:t>.09</w:t>
            </w:r>
          </w:p>
        </w:tc>
        <w:tc>
          <w:tcPr>
            <w:tcW w:w="1691" w:type="dxa"/>
          </w:tcPr>
          <w:p w14:paraId="2DE73423" w14:textId="77777777" w:rsidR="00C54E98" w:rsidRPr="001D4300" w:rsidRDefault="00C54E98" w:rsidP="00BF3EC3">
            <w:pPr>
              <w:adjustRightInd w:val="0"/>
              <w:snapToGrid w:val="0"/>
              <w:spacing w:line="360" w:lineRule="auto"/>
              <w:rPr>
                <w:rFonts w:ascii="Book Antiqua" w:hAnsi="Book Antiqua"/>
              </w:rPr>
            </w:pPr>
          </w:p>
        </w:tc>
        <w:tc>
          <w:tcPr>
            <w:tcW w:w="2023" w:type="dxa"/>
          </w:tcPr>
          <w:p w14:paraId="19C7F297" w14:textId="77777777" w:rsidR="00C54E98" w:rsidRPr="001D4300" w:rsidRDefault="00C54E98" w:rsidP="00BF3EC3">
            <w:pPr>
              <w:adjustRightInd w:val="0"/>
              <w:snapToGrid w:val="0"/>
              <w:spacing w:line="360" w:lineRule="auto"/>
              <w:rPr>
                <w:rFonts w:ascii="Book Antiqua" w:hAnsi="Book Antiqua"/>
              </w:rPr>
            </w:pPr>
          </w:p>
        </w:tc>
        <w:tc>
          <w:tcPr>
            <w:tcW w:w="1990" w:type="dxa"/>
          </w:tcPr>
          <w:p w14:paraId="26B25676" w14:textId="77777777" w:rsidR="00C54E98" w:rsidRPr="001D4300" w:rsidRDefault="00C54E98" w:rsidP="00BF3EC3">
            <w:pPr>
              <w:adjustRightInd w:val="0"/>
              <w:snapToGrid w:val="0"/>
              <w:spacing w:line="360" w:lineRule="auto"/>
              <w:rPr>
                <w:rFonts w:ascii="Book Antiqua" w:hAnsi="Book Antiqua"/>
              </w:rPr>
            </w:pPr>
          </w:p>
        </w:tc>
      </w:tr>
      <w:tr w:rsidR="00C54E98" w:rsidRPr="001D4300" w14:paraId="3903069E" w14:textId="77777777" w:rsidTr="00BF3EC3">
        <w:trPr>
          <w:trHeight w:val="243"/>
        </w:trPr>
        <w:tc>
          <w:tcPr>
            <w:tcW w:w="1969" w:type="dxa"/>
            <w:hideMark/>
          </w:tcPr>
          <w:p w14:paraId="2EC86F68"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5. ESR</w:t>
            </w:r>
          </w:p>
        </w:tc>
        <w:tc>
          <w:tcPr>
            <w:tcW w:w="1903" w:type="dxa"/>
            <w:hideMark/>
          </w:tcPr>
          <w:p w14:paraId="5A66BC8D"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.94</w:t>
            </w:r>
            <w:r>
              <w:rPr>
                <w:rFonts w:ascii="Book Antiqua" w:hAnsi="Book Antiqua" w:hint="eastAsia"/>
                <w:vertAlign w:val="superscript"/>
                <w:lang w:eastAsia="zh-CN"/>
              </w:rPr>
              <w:t>b</w:t>
            </w:r>
          </w:p>
        </w:tc>
        <w:tc>
          <w:tcPr>
            <w:tcW w:w="1691" w:type="dxa"/>
          </w:tcPr>
          <w:p w14:paraId="325C49E9"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198C3D93" w14:textId="77777777" w:rsidR="00C54E98" w:rsidRPr="001D4300" w:rsidRDefault="00C54E98" w:rsidP="00BF3EC3">
            <w:pPr>
              <w:adjustRightInd w:val="0"/>
              <w:snapToGrid w:val="0"/>
              <w:spacing w:line="360" w:lineRule="auto"/>
              <w:rPr>
                <w:rFonts w:ascii="Book Antiqua" w:hAnsi="Book Antiqua"/>
                <w:lang w:eastAsia="zh-CN"/>
              </w:rPr>
            </w:pPr>
            <w:r w:rsidRPr="001D4300">
              <w:rPr>
                <w:rFonts w:ascii="Book Antiqua" w:hAnsi="Book Antiqua"/>
              </w:rPr>
              <w:t>1.27</w:t>
            </w:r>
            <w:r w:rsidR="007D7651">
              <w:rPr>
                <w:rFonts w:ascii="Book Antiqua" w:hAnsi="Book Antiqua" w:hint="eastAsia"/>
                <w:vertAlign w:val="superscript"/>
                <w:lang w:eastAsia="zh-CN"/>
              </w:rPr>
              <w:t>b</w:t>
            </w:r>
          </w:p>
        </w:tc>
        <w:tc>
          <w:tcPr>
            <w:tcW w:w="1990" w:type="dxa"/>
            <w:hideMark/>
          </w:tcPr>
          <w:p w14:paraId="3422E048"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.96</w:t>
            </w:r>
            <w:r>
              <w:rPr>
                <w:rFonts w:ascii="Book Antiqua" w:hAnsi="Book Antiqua" w:hint="eastAsia"/>
                <w:vertAlign w:val="superscript"/>
                <w:lang w:eastAsia="zh-CN"/>
              </w:rPr>
              <w:t>b</w:t>
            </w:r>
          </w:p>
        </w:tc>
      </w:tr>
      <w:tr w:rsidR="00C54E98" w:rsidRPr="001D4300" w14:paraId="4BAEED0E" w14:textId="77777777" w:rsidTr="00BF3EC3">
        <w:tc>
          <w:tcPr>
            <w:tcW w:w="1969" w:type="dxa"/>
            <w:hideMark/>
          </w:tcPr>
          <w:p w14:paraId="4421BAC8"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6. Albumin</w:t>
            </w:r>
          </w:p>
        </w:tc>
        <w:tc>
          <w:tcPr>
            <w:tcW w:w="1903" w:type="dxa"/>
            <w:hideMark/>
          </w:tcPr>
          <w:p w14:paraId="5D076D43"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.46</w:t>
            </w:r>
            <w:r>
              <w:rPr>
                <w:rFonts w:ascii="Book Antiqua" w:hAnsi="Book Antiqua" w:hint="eastAsia"/>
                <w:vertAlign w:val="superscript"/>
                <w:lang w:eastAsia="zh-CN"/>
              </w:rPr>
              <w:t>b</w:t>
            </w:r>
          </w:p>
        </w:tc>
        <w:tc>
          <w:tcPr>
            <w:tcW w:w="1691" w:type="dxa"/>
          </w:tcPr>
          <w:p w14:paraId="00F77EAE"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31C39CCC"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.41</w:t>
            </w:r>
            <w:r>
              <w:rPr>
                <w:rFonts w:ascii="Book Antiqua" w:hAnsi="Book Antiqua" w:hint="eastAsia"/>
                <w:vertAlign w:val="superscript"/>
                <w:lang w:eastAsia="zh-CN"/>
              </w:rPr>
              <w:t>b</w:t>
            </w:r>
          </w:p>
        </w:tc>
        <w:tc>
          <w:tcPr>
            <w:tcW w:w="1990" w:type="dxa"/>
            <w:hideMark/>
          </w:tcPr>
          <w:p w14:paraId="386311CE"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b</w:t>
            </w:r>
          </w:p>
        </w:tc>
      </w:tr>
      <w:tr w:rsidR="00C54E98" w:rsidRPr="001D4300" w14:paraId="10ADD3E7" w14:textId="77777777" w:rsidTr="00BF3EC3">
        <w:tc>
          <w:tcPr>
            <w:tcW w:w="1969" w:type="dxa"/>
            <w:hideMark/>
          </w:tcPr>
          <w:p w14:paraId="10C912BF"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7. Weight</w:t>
            </w:r>
          </w:p>
        </w:tc>
        <w:tc>
          <w:tcPr>
            <w:tcW w:w="1903" w:type="dxa"/>
            <w:hideMark/>
          </w:tcPr>
          <w:p w14:paraId="0CE0E901"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.30</w:t>
            </w:r>
            <w:r>
              <w:rPr>
                <w:rFonts w:ascii="Book Antiqua" w:hAnsi="Book Antiqua" w:hint="eastAsia"/>
                <w:vertAlign w:val="superscript"/>
                <w:lang w:eastAsia="zh-CN"/>
              </w:rPr>
              <w:t>b</w:t>
            </w:r>
          </w:p>
        </w:tc>
        <w:tc>
          <w:tcPr>
            <w:tcW w:w="1691" w:type="dxa"/>
          </w:tcPr>
          <w:p w14:paraId="2B578702"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57E321AE" w14:textId="77777777" w:rsidR="00C54E98" w:rsidRPr="00D713E5" w:rsidRDefault="00D713E5" w:rsidP="00BF3EC3">
            <w:pPr>
              <w:adjustRightInd w:val="0"/>
              <w:snapToGrid w:val="0"/>
              <w:spacing w:line="360" w:lineRule="auto"/>
              <w:rPr>
                <w:rFonts w:ascii="Book Antiqua" w:hAnsi="Book Antiqua"/>
                <w:vertAlign w:val="superscript"/>
                <w:lang w:eastAsia="zh-CN"/>
              </w:rPr>
            </w:pPr>
            <w:r>
              <w:rPr>
                <w:rFonts w:ascii="Book Antiqua" w:hAnsi="Book Antiqua" w:hint="eastAsia"/>
                <w:lang w:eastAsia="zh-CN"/>
              </w:rPr>
              <w:t>0</w:t>
            </w:r>
            <w:r w:rsidR="00C54E98" w:rsidRPr="001D4300">
              <w:rPr>
                <w:rFonts w:ascii="Book Antiqua" w:hAnsi="Book Antiqua"/>
              </w:rPr>
              <w:t>.52</w:t>
            </w:r>
            <w:r>
              <w:rPr>
                <w:rFonts w:ascii="Book Antiqua" w:hAnsi="Book Antiqua" w:hint="eastAsia"/>
                <w:vertAlign w:val="superscript"/>
                <w:lang w:eastAsia="zh-CN"/>
              </w:rPr>
              <w:t>b</w:t>
            </w:r>
          </w:p>
        </w:tc>
        <w:tc>
          <w:tcPr>
            <w:tcW w:w="1990" w:type="dxa"/>
            <w:hideMark/>
          </w:tcPr>
          <w:p w14:paraId="3F8FF4C4"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.32</w:t>
            </w:r>
            <w:r>
              <w:rPr>
                <w:rFonts w:ascii="Book Antiqua" w:hAnsi="Book Antiqua" w:hint="eastAsia"/>
                <w:vertAlign w:val="superscript"/>
                <w:lang w:eastAsia="zh-CN"/>
              </w:rPr>
              <w:t>b</w:t>
            </w:r>
          </w:p>
        </w:tc>
      </w:tr>
      <w:tr w:rsidR="00C54E98" w:rsidRPr="001D4300" w14:paraId="06864BAF" w14:textId="77777777" w:rsidTr="00BF3EC3">
        <w:tc>
          <w:tcPr>
            <w:tcW w:w="1969" w:type="dxa"/>
            <w:hideMark/>
          </w:tcPr>
          <w:p w14:paraId="77A71071"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8. Height Velocity</w:t>
            </w:r>
          </w:p>
        </w:tc>
        <w:tc>
          <w:tcPr>
            <w:tcW w:w="1903" w:type="dxa"/>
            <w:hideMark/>
          </w:tcPr>
          <w:p w14:paraId="5F2EC2D9"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.50</w:t>
            </w:r>
            <w:r>
              <w:rPr>
                <w:rFonts w:ascii="Book Antiqua" w:hAnsi="Book Antiqua" w:hint="eastAsia"/>
                <w:vertAlign w:val="superscript"/>
                <w:lang w:eastAsia="zh-CN"/>
              </w:rPr>
              <w:t>b</w:t>
            </w:r>
          </w:p>
        </w:tc>
        <w:tc>
          <w:tcPr>
            <w:tcW w:w="1691" w:type="dxa"/>
          </w:tcPr>
          <w:p w14:paraId="1FF5EC28"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38716E88" w14:textId="77777777" w:rsidR="00C54E98" w:rsidRPr="00D713E5" w:rsidRDefault="00D713E5" w:rsidP="00BF3EC3">
            <w:pPr>
              <w:adjustRightInd w:val="0"/>
              <w:snapToGrid w:val="0"/>
              <w:spacing w:line="360" w:lineRule="auto"/>
              <w:rPr>
                <w:rFonts w:ascii="Book Antiqua" w:hAnsi="Book Antiqua"/>
                <w:vertAlign w:val="superscript"/>
                <w:lang w:eastAsia="zh-CN"/>
              </w:rPr>
            </w:pPr>
            <w:r>
              <w:rPr>
                <w:rFonts w:ascii="Book Antiqua" w:hAnsi="Book Antiqua" w:hint="eastAsia"/>
                <w:lang w:eastAsia="zh-CN"/>
              </w:rPr>
              <w:t>0</w:t>
            </w:r>
            <w:r w:rsidR="00C54E98" w:rsidRPr="001D4300">
              <w:rPr>
                <w:rFonts w:ascii="Book Antiqua" w:hAnsi="Book Antiqua"/>
              </w:rPr>
              <w:t>.56</w:t>
            </w:r>
            <w:r>
              <w:rPr>
                <w:rFonts w:ascii="Book Antiqua" w:hAnsi="Book Antiqua" w:hint="eastAsia"/>
                <w:vertAlign w:val="superscript"/>
                <w:lang w:eastAsia="zh-CN"/>
              </w:rPr>
              <w:t>b</w:t>
            </w:r>
          </w:p>
        </w:tc>
        <w:tc>
          <w:tcPr>
            <w:tcW w:w="1990" w:type="dxa"/>
            <w:hideMark/>
          </w:tcPr>
          <w:p w14:paraId="72AA337E"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.48</w:t>
            </w:r>
            <w:r>
              <w:rPr>
                <w:rFonts w:ascii="Book Antiqua" w:hAnsi="Book Antiqua" w:hint="eastAsia"/>
                <w:vertAlign w:val="superscript"/>
                <w:lang w:eastAsia="zh-CN"/>
              </w:rPr>
              <w:t>b</w:t>
            </w:r>
          </w:p>
        </w:tc>
      </w:tr>
      <w:tr w:rsidR="00C54E98" w:rsidRPr="001D4300" w14:paraId="37B55629" w14:textId="77777777" w:rsidTr="00BF3EC3">
        <w:tc>
          <w:tcPr>
            <w:tcW w:w="1969" w:type="dxa"/>
            <w:hideMark/>
          </w:tcPr>
          <w:p w14:paraId="6912230E"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9. Abdominal exam</w:t>
            </w:r>
          </w:p>
        </w:tc>
        <w:tc>
          <w:tcPr>
            <w:tcW w:w="1903" w:type="dxa"/>
            <w:hideMark/>
          </w:tcPr>
          <w:p w14:paraId="77D7CFE9" w14:textId="77777777" w:rsidR="00C54E98" w:rsidRPr="001D4300" w:rsidRDefault="00D713E5"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.08</w:t>
            </w:r>
          </w:p>
        </w:tc>
        <w:tc>
          <w:tcPr>
            <w:tcW w:w="1691" w:type="dxa"/>
          </w:tcPr>
          <w:p w14:paraId="2D501934" w14:textId="77777777" w:rsidR="00C54E98" w:rsidRPr="001D4300" w:rsidRDefault="00C54E98" w:rsidP="00BF3EC3">
            <w:pPr>
              <w:adjustRightInd w:val="0"/>
              <w:snapToGrid w:val="0"/>
              <w:spacing w:line="360" w:lineRule="auto"/>
              <w:rPr>
                <w:rFonts w:ascii="Book Antiqua" w:hAnsi="Book Antiqua"/>
              </w:rPr>
            </w:pPr>
          </w:p>
        </w:tc>
        <w:tc>
          <w:tcPr>
            <w:tcW w:w="2023" w:type="dxa"/>
          </w:tcPr>
          <w:p w14:paraId="74E3A798" w14:textId="77777777" w:rsidR="00C54E98" w:rsidRPr="001D4300" w:rsidRDefault="00C54E98" w:rsidP="00BF3EC3">
            <w:pPr>
              <w:adjustRightInd w:val="0"/>
              <w:snapToGrid w:val="0"/>
              <w:spacing w:line="360" w:lineRule="auto"/>
              <w:rPr>
                <w:rFonts w:ascii="Book Antiqua" w:hAnsi="Book Antiqua"/>
              </w:rPr>
            </w:pPr>
          </w:p>
        </w:tc>
        <w:tc>
          <w:tcPr>
            <w:tcW w:w="1990" w:type="dxa"/>
          </w:tcPr>
          <w:p w14:paraId="5CA16BE7" w14:textId="77777777" w:rsidR="00C54E98" w:rsidRPr="001D4300" w:rsidRDefault="00C54E98" w:rsidP="00BF3EC3">
            <w:pPr>
              <w:adjustRightInd w:val="0"/>
              <w:snapToGrid w:val="0"/>
              <w:spacing w:line="360" w:lineRule="auto"/>
              <w:rPr>
                <w:rFonts w:ascii="Book Antiqua" w:hAnsi="Book Antiqua"/>
              </w:rPr>
            </w:pPr>
          </w:p>
        </w:tc>
      </w:tr>
      <w:tr w:rsidR="00C54E98" w:rsidRPr="001D4300" w14:paraId="452A1FF5" w14:textId="77777777" w:rsidTr="00BF3EC3">
        <w:trPr>
          <w:trHeight w:val="80"/>
        </w:trPr>
        <w:tc>
          <w:tcPr>
            <w:tcW w:w="1969" w:type="dxa"/>
            <w:hideMark/>
          </w:tcPr>
          <w:p w14:paraId="42B7232F"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10. Perirectal exam</w:t>
            </w:r>
          </w:p>
        </w:tc>
        <w:tc>
          <w:tcPr>
            <w:tcW w:w="1903" w:type="dxa"/>
            <w:hideMark/>
          </w:tcPr>
          <w:p w14:paraId="06CD9613"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.47</w:t>
            </w:r>
            <w:r>
              <w:rPr>
                <w:rFonts w:ascii="Book Antiqua" w:hAnsi="Book Antiqua" w:hint="eastAsia"/>
                <w:vertAlign w:val="superscript"/>
                <w:lang w:eastAsia="zh-CN"/>
              </w:rPr>
              <w:t>b</w:t>
            </w:r>
          </w:p>
        </w:tc>
        <w:tc>
          <w:tcPr>
            <w:tcW w:w="1691" w:type="dxa"/>
          </w:tcPr>
          <w:p w14:paraId="1802FBC5"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45817621"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a</w:t>
            </w:r>
          </w:p>
        </w:tc>
        <w:tc>
          <w:tcPr>
            <w:tcW w:w="1990" w:type="dxa"/>
            <w:hideMark/>
          </w:tcPr>
          <w:p w14:paraId="129DA75C"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.48</w:t>
            </w:r>
            <w:r>
              <w:rPr>
                <w:rFonts w:ascii="Book Antiqua" w:hAnsi="Book Antiqua" w:hint="eastAsia"/>
                <w:vertAlign w:val="superscript"/>
                <w:lang w:eastAsia="zh-CN"/>
              </w:rPr>
              <w:t>b</w:t>
            </w:r>
          </w:p>
        </w:tc>
      </w:tr>
      <w:tr w:rsidR="00C54E98" w:rsidRPr="001D4300" w14:paraId="3C944D47" w14:textId="77777777" w:rsidTr="00BF3EC3">
        <w:tc>
          <w:tcPr>
            <w:tcW w:w="1969" w:type="dxa"/>
            <w:hideMark/>
          </w:tcPr>
          <w:p w14:paraId="7C18C1EF"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11. Extraintestinal</w:t>
            </w:r>
          </w:p>
        </w:tc>
        <w:tc>
          <w:tcPr>
            <w:tcW w:w="1903" w:type="dxa"/>
            <w:hideMark/>
          </w:tcPr>
          <w:p w14:paraId="5CD4D60C" w14:textId="77777777" w:rsidR="00C54E98" w:rsidRPr="001D4300" w:rsidRDefault="00D713E5"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.13</w:t>
            </w:r>
          </w:p>
        </w:tc>
        <w:tc>
          <w:tcPr>
            <w:tcW w:w="1691" w:type="dxa"/>
          </w:tcPr>
          <w:p w14:paraId="6C247DAC" w14:textId="77777777" w:rsidR="00C54E98" w:rsidRPr="001D4300" w:rsidRDefault="00C54E98" w:rsidP="00BF3EC3">
            <w:pPr>
              <w:adjustRightInd w:val="0"/>
              <w:snapToGrid w:val="0"/>
              <w:spacing w:line="360" w:lineRule="auto"/>
              <w:rPr>
                <w:rFonts w:ascii="Book Antiqua" w:hAnsi="Book Antiqua"/>
              </w:rPr>
            </w:pPr>
          </w:p>
        </w:tc>
        <w:tc>
          <w:tcPr>
            <w:tcW w:w="2023" w:type="dxa"/>
          </w:tcPr>
          <w:p w14:paraId="4EF61E3A" w14:textId="77777777" w:rsidR="00C54E98" w:rsidRPr="001D4300" w:rsidRDefault="00C54E98" w:rsidP="00BF3EC3">
            <w:pPr>
              <w:adjustRightInd w:val="0"/>
              <w:snapToGrid w:val="0"/>
              <w:spacing w:line="360" w:lineRule="auto"/>
              <w:rPr>
                <w:rFonts w:ascii="Book Antiqua" w:hAnsi="Book Antiqua"/>
              </w:rPr>
            </w:pPr>
          </w:p>
        </w:tc>
        <w:tc>
          <w:tcPr>
            <w:tcW w:w="1990" w:type="dxa"/>
          </w:tcPr>
          <w:p w14:paraId="52F282E4" w14:textId="77777777" w:rsidR="00C54E98" w:rsidRPr="001D4300" w:rsidRDefault="00C54E98" w:rsidP="00BF3EC3">
            <w:pPr>
              <w:adjustRightInd w:val="0"/>
              <w:snapToGrid w:val="0"/>
              <w:spacing w:line="360" w:lineRule="auto"/>
              <w:rPr>
                <w:rFonts w:ascii="Book Antiqua" w:hAnsi="Book Antiqua"/>
              </w:rPr>
            </w:pPr>
          </w:p>
        </w:tc>
      </w:tr>
      <w:tr w:rsidR="00C54E98" w:rsidRPr="001D4300" w14:paraId="0B23DF1C" w14:textId="77777777" w:rsidTr="00BF3EC3">
        <w:trPr>
          <w:trHeight w:val="70"/>
        </w:trPr>
        <w:tc>
          <w:tcPr>
            <w:tcW w:w="1969" w:type="dxa"/>
            <w:hideMark/>
          </w:tcPr>
          <w:p w14:paraId="20657E94" w14:textId="77777777" w:rsidR="00C54E98" w:rsidRPr="00DC3951" w:rsidRDefault="00C54E98" w:rsidP="00C54E98">
            <w:pPr>
              <w:adjustRightInd w:val="0"/>
              <w:snapToGrid w:val="0"/>
              <w:spacing w:line="360" w:lineRule="auto"/>
              <w:jc w:val="both"/>
              <w:rPr>
                <w:rFonts w:ascii="Book Antiqua" w:hAnsi="Book Antiqua"/>
                <w:i/>
                <w:iCs/>
              </w:rPr>
            </w:pPr>
            <w:r w:rsidRPr="00DC3951">
              <w:rPr>
                <w:rFonts w:ascii="Book Antiqua" w:hAnsi="Book Antiqua"/>
                <w:i/>
                <w:iCs/>
              </w:rPr>
              <w:t>R</w:t>
            </w:r>
            <w:r w:rsidRPr="00DC3951">
              <w:rPr>
                <w:rFonts w:ascii="Book Antiqua" w:hAnsi="Book Antiqua"/>
                <w:i/>
                <w:iCs/>
                <w:vertAlign w:val="superscript"/>
              </w:rPr>
              <w:t>2</w:t>
            </w:r>
          </w:p>
        </w:tc>
        <w:tc>
          <w:tcPr>
            <w:tcW w:w="1903" w:type="dxa"/>
            <w:hideMark/>
          </w:tcPr>
          <w:p w14:paraId="70B5A8D0" w14:textId="77777777" w:rsidR="00C54E98" w:rsidRPr="001D4300" w:rsidRDefault="00D713E5"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.32</w:t>
            </w:r>
          </w:p>
        </w:tc>
        <w:tc>
          <w:tcPr>
            <w:tcW w:w="1691" w:type="dxa"/>
            <w:hideMark/>
          </w:tcPr>
          <w:p w14:paraId="041A247C" w14:textId="77777777" w:rsidR="00C54E98" w:rsidRPr="001D4300" w:rsidRDefault="00D713E5"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.18</w:t>
            </w:r>
          </w:p>
        </w:tc>
        <w:tc>
          <w:tcPr>
            <w:tcW w:w="2023" w:type="dxa"/>
            <w:hideMark/>
          </w:tcPr>
          <w:p w14:paraId="79F65254" w14:textId="77777777" w:rsidR="00C54E98" w:rsidRPr="001D4300" w:rsidRDefault="00D713E5"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.21</w:t>
            </w:r>
          </w:p>
        </w:tc>
        <w:tc>
          <w:tcPr>
            <w:tcW w:w="1990" w:type="dxa"/>
            <w:hideMark/>
          </w:tcPr>
          <w:p w14:paraId="79C163F0" w14:textId="77777777" w:rsidR="00C54E98" w:rsidRPr="001D4300" w:rsidRDefault="00D713E5"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.32</w:t>
            </w:r>
          </w:p>
        </w:tc>
      </w:tr>
      <w:tr w:rsidR="00C54E98" w:rsidRPr="001D4300" w14:paraId="1A01843B" w14:textId="77777777" w:rsidTr="00BF3EC3">
        <w:trPr>
          <w:trHeight w:val="70"/>
        </w:trPr>
        <w:tc>
          <w:tcPr>
            <w:tcW w:w="1969" w:type="dxa"/>
          </w:tcPr>
          <w:p w14:paraId="7A32DE74" w14:textId="77777777" w:rsidR="00C54E98" w:rsidRPr="00DC3951" w:rsidRDefault="00C54E98" w:rsidP="00C54E98">
            <w:pPr>
              <w:adjustRightInd w:val="0"/>
              <w:snapToGrid w:val="0"/>
              <w:spacing w:line="360" w:lineRule="auto"/>
              <w:jc w:val="both"/>
              <w:rPr>
                <w:rFonts w:ascii="Book Antiqua" w:hAnsi="Book Antiqua"/>
              </w:rPr>
            </w:pPr>
          </w:p>
        </w:tc>
        <w:tc>
          <w:tcPr>
            <w:tcW w:w="7607" w:type="dxa"/>
            <w:gridSpan w:val="4"/>
            <w:hideMark/>
          </w:tcPr>
          <w:p w14:paraId="0C8D0B91" w14:textId="6A64E1C1" w:rsidR="00C54E98" w:rsidRPr="001D4300" w:rsidRDefault="00C54E98" w:rsidP="00BF3EC3">
            <w:pPr>
              <w:adjustRightInd w:val="0"/>
              <w:snapToGrid w:val="0"/>
              <w:spacing w:line="360" w:lineRule="auto"/>
              <w:rPr>
                <w:rFonts w:ascii="Book Antiqua" w:eastAsia="Times New Roman" w:hAnsi="Book Antiqua"/>
                <w:color w:val="000000"/>
                <w:lang w:eastAsia="en-CA"/>
              </w:rPr>
            </w:pPr>
            <w:r w:rsidRPr="001D4300">
              <w:rPr>
                <w:rFonts w:ascii="Book Antiqua" w:eastAsia="Times New Roman" w:hAnsi="Book Antiqua"/>
                <w:color w:val="000000"/>
                <w:lang w:eastAsia="en-CA"/>
              </w:rPr>
              <w:t>PCDAI∆ Q4</w:t>
            </w:r>
            <w:r w:rsidR="00591669">
              <w:rPr>
                <w:rFonts w:ascii="Book Antiqua" w:eastAsia="Times New Roman" w:hAnsi="Book Antiqua"/>
                <w:color w:val="000000"/>
                <w:lang w:eastAsia="en-CA"/>
              </w:rPr>
              <w:t xml:space="preserve"> </w:t>
            </w:r>
            <w:r w:rsidRPr="001D4300">
              <w:rPr>
                <w:rFonts w:ascii="Book Antiqua" w:eastAsia="Times New Roman" w:hAnsi="Book Antiqua"/>
                <w:color w:val="000000"/>
                <w:lang w:eastAsia="en-CA"/>
              </w:rPr>
              <w:t>to BL (</w:t>
            </w:r>
            <w:r w:rsidRPr="00D713E5">
              <w:rPr>
                <w:rFonts w:ascii="Book Antiqua" w:eastAsia="Times New Roman" w:hAnsi="Book Antiqua"/>
                <w:i/>
                <w:color w:val="000000"/>
                <w:lang w:eastAsia="en-CA"/>
              </w:rPr>
              <w:t>n</w:t>
            </w:r>
            <w:r w:rsidRPr="001D4300">
              <w:rPr>
                <w:rFonts w:ascii="Book Antiqua" w:eastAsia="Times New Roman" w:hAnsi="Book Antiqua"/>
                <w:color w:val="000000"/>
                <w:lang w:eastAsia="en-CA"/>
              </w:rPr>
              <w:t xml:space="preserve"> = 474)</w:t>
            </w:r>
          </w:p>
        </w:tc>
      </w:tr>
      <w:tr w:rsidR="00C54E98" w:rsidRPr="001D4300" w14:paraId="3CE090A1" w14:textId="77777777" w:rsidTr="00BF3EC3">
        <w:trPr>
          <w:trHeight w:val="70"/>
        </w:trPr>
        <w:tc>
          <w:tcPr>
            <w:tcW w:w="1969" w:type="dxa"/>
            <w:hideMark/>
          </w:tcPr>
          <w:p w14:paraId="473A9B02"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1. Abdominal Pain</w:t>
            </w:r>
          </w:p>
        </w:tc>
        <w:tc>
          <w:tcPr>
            <w:tcW w:w="1903" w:type="dxa"/>
            <w:hideMark/>
          </w:tcPr>
          <w:p w14:paraId="2E5971D2"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b</w:t>
            </w:r>
          </w:p>
        </w:tc>
        <w:tc>
          <w:tcPr>
            <w:tcW w:w="1691" w:type="dxa"/>
            <w:hideMark/>
          </w:tcPr>
          <w:p w14:paraId="387053D1"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.65</w:t>
            </w:r>
            <w:r>
              <w:rPr>
                <w:rFonts w:ascii="Book Antiqua" w:hAnsi="Book Antiqua" w:hint="eastAsia"/>
                <w:vertAlign w:val="superscript"/>
                <w:lang w:eastAsia="zh-CN"/>
              </w:rPr>
              <w:t>b</w:t>
            </w:r>
          </w:p>
        </w:tc>
        <w:tc>
          <w:tcPr>
            <w:tcW w:w="2023" w:type="dxa"/>
          </w:tcPr>
          <w:p w14:paraId="484C3A30" w14:textId="77777777" w:rsidR="00C54E98" w:rsidRPr="001D4300" w:rsidRDefault="00C54E98" w:rsidP="00BF3EC3">
            <w:pPr>
              <w:adjustRightInd w:val="0"/>
              <w:snapToGrid w:val="0"/>
              <w:spacing w:line="360" w:lineRule="auto"/>
              <w:rPr>
                <w:rFonts w:ascii="Book Antiqua" w:hAnsi="Book Antiqua"/>
              </w:rPr>
            </w:pPr>
          </w:p>
        </w:tc>
        <w:tc>
          <w:tcPr>
            <w:tcW w:w="1990" w:type="dxa"/>
            <w:hideMark/>
          </w:tcPr>
          <w:p w14:paraId="2F61254C"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b</w:t>
            </w:r>
          </w:p>
        </w:tc>
      </w:tr>
      <w:tr w:rsidR="00C54E98" w:rsidRPr="001D4300" w14:paraId="738A97C8" w14:textId="77777777" w:rsidTr="00BF3EC3">
        <w:trPr>
          <w:trHeight w:val="70"/>
        </w:trPr>
        <w:tc>
          <w:tcPr>
            <w:tcW w:w="1969" w:type="dxa"/>
            <w:hideMark/>
          </w:tcPr>
          <w:p w14:paraId="0E1936ED"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2. Stooling</w:t>
            </w:r>
          </w:p>
        </w:tc>
        <w:tc>
          <w:tcPr>
            <w:tcW w:w="1903" w:type="dxa"/>
            <w:hideMark/>
          </w:tcPr>
          <w:p w14:paraId="785CCBAE"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.42</w:t>
            </w:r>
            <w:r>
              <w:rPr>
                <w:rFonts w:ascii="Book Antiqua" w:hAnsi="Book Antiqua" w:hint="eastAsia"/>
                <w:vertAlign w:val="superscript"/>
                <w:lang w:eastAsia="zh-CN"/>
              </w:rPr>
              <w:t>a</w:t>
            </w:r>
          </w:p>
        </w:tc>
        <w:tc>
          <w:tcPr>
            <w:tcW w:w="1691" w:type="dxa"/>
            <w:hideMark/>
          </w:tcPr>
          <w:p w14:paraId="1AFECB26"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.52</w:t>
            </w:r>
            <w:r>
              <w:rPr>
                <w:rFonts w:ascii="Book Antiqua" w:hAnsi="Book Antiqua" w:hint="eastAsia"/>
                <w:vertAlign w:val="superscript"/>
                <w:lang w:eastAsia="zh-CN"/>
              </w:rPr>
              <w:t>b</w:t>
            </w:r>
          </w:p>
        </w:tc>
        <w:tc>
          <w:tcPr>
            <w:tcW w:w="2023" w:type="dxa"/>
          </w:tcPr>
          <w:p w14:paraId="3BC42AE0" w14:textId="77777777" w:rsidR="00C54E98" w:rsidRPr="001D4300" w:rsidRDefault="00C54E98" w:rsidP="00BF3EC3">
            <w:pPr>
              <w:adjustRightInd w:val="0"/>
              <w:snapToGrid w:val="0"/>
              <w:spacing w:line="360" w:lineRule="auto"/>
              <w:rPr>
                <w:rFonts w:ascii="Book Antiqua" w:hAnsi="Book Antiqua"/>
              </w:rPr>
            </w:pPr>
          </w:p>
        </w:tc>
        <w:tc>
          <w:tcPr>
            <w:tcW w:w="1990" w:type="dxa"/>
            <w:hideMark/>
          </w:tcPr>
          <w:p w14:paraId="6FADA472"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.42</w:t>
            </w:r>
            <w:r>
              <w:rPr>
                <w:rFonts w:ascii="Book Antiqua" w:hAnsi="Book Antiqua" w:hint="eastAsia"/>
                <w:vertAlign w:val="superscript"/>
                <w:lang w:eastAsia="zh-CN"/>
              </w:rPr>
              <w:t>a</w:t>
            </w:r>
          </w:p>
        </w:tc>
      </w:tr>
      <w:tr w:rsidR="00C54E98" w:rsidRPr="001D4300" w14:paraId="07034E10" w14:textId="77777777" w:rsidTr="00BF3EC3">
        <w:trPr>
          <w:trHeight w:val="70"/>
        </w:trPr>
        <w:tc>
          <w:tcPr>
            <w:tcW w:w="1969" w:type="dxa"/>
            <w:hideMark/>
          </w:tcPr>
          <w:p w14:paraId="26EDC2ED"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3. Well-being</w:t>
            </w:r>
          </w:p>
        </w:tc>
        <w:tc>
          <w:tcPr>
            <w:tcW w:w="1903" w:type="dxa"/>
            <w:hideMark/>
          </w:tcPr>
          <w:p w14:paraId="0A5BCDE6"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.58</w:t>
            </w:r>
            <w:r w:rsidR="002260D2">
              <w:rPr>
                <w:rFonts w:ascii="Book Antiqua" w:hAnsi="Book Antiqua" w:hint="eastAsia"/>
                <w:vertAlign w:val="superscript"/>
                <w:lang w:eastAsia="zh-CN"/>
              </w:rPr>
              <w:t>b</w:t>
            </w:r>
          </w:p>
        </w:tc>
        <w:tc>
          <w:tcPr>
            <w:tcW w:w="1691" w:type="dxa"/>
            <w:hideMark/>
          </w:tcPr>
          <w:p w14:paraId="7EF6B52F"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.87</w:t>
            </w:r>
            <w:r>
              <w:rPr>
                <w:rFonts w:ascii="Book Antiqua" w:hAnsi="Book Antiqua" w:hint="eastAsia"/>
                <w:vertAlign w:val="superscript"/>
                <w:lang w:eastAsia="zh-CN"/>
              </w:rPr>
              <w:t>b</w:t>
            </w:r>
          </w:p>
        </w:tc>
        <w:tc>
          <w:tcPr>
            <w:tcW w:w="2023" w:type="dxa"/>
          </w:tcPr>
          <w:p w14:paraId="5991DAF6" w14:textId="77777777" w:rsidR="00C54E98" w:rsidRPr="001D4300" w:rsidRDefault="00C54E98" w:rsidP="00BF3EC3">
            <w:pPr>
              <w:adjustRightInd w:val="0"/>
              <w:snapToGrid w:val="0"/>
              <w:spacing w:line="360" w:lineRule="auto"/>
              <w:rPr>
                <w:rFonts w:ascii="Book Antiqua" w:hAnsi="Book Antiqua"/>
              </w:rPr>
            </w:pPr>
          </w:p>
        </w:tc>
        <w:tc>
          <w:tcPr>
            <w:tcW w:w="1990" w:type="dxa"/>
            <w:hideMark/>
          </w:tcPr>
          <w:p w14:paraId="4B89F831"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.58</w:t>
            </w:r>
            <w:r>
              <w:rPr>
                <w:rFonts w:ascii="Book Antiqua" w:hAnsi="Book Antiqua" w:hint="eastAsia"/>
                <w:vertAlign w:val="superscript"/>
                <w:lang w:eastAsia="zh-CN"/>
              </w:rPr>
              <w:t>b</w:t>
            </w:r>
          </w:p>
        </w:tc>
      </w:tr>
      <w:tr w:rsidR="00C54E98" w:rsidRPr="001D4300" w14:paraId="56F6C260" w14:textId="77777777" w:rsidTr="00BF3EC3">
        <w:trPr>
          <w:trHeight w:val="70"/>
        </w:trPr>
        <w:tc>
          <w:tcPr>
            <w:tcW w:w="1969" w:type="dxa"/>
            <w:hideMark/>
          </w:tcPr>
          <w:p w14:paraId="24D6829F"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4. HCT</w:t>
            </w:r>
          </w:p>
        </w:tc>
        <w:tc>
          <w:tcPr>
            <w:tcW w:w="1903" w:type="dxa"/>
            <w:hideMark/>
          </w:tcPr>
          <w:p w14:paraId="545DDA30" w14:textId="77777777" w:rsidR="00C54E98" w:rsidRPr="001D4300" w:rsidRDefault="00C54E98" w:rsidP="00BF3EC3">
            <w:pPr>
              <w:adjustRightInd w:val="0"/>
              <w:snapToGrid w:val="0"/>
              <w:spacing w:line="360" w:lineRule="auto"/>
              <w:rPr>
                <w:rFonts w:ascii="Book Antiqua" w:hAnsi="Book Antiqua"/>
              </w:rPr>
            </w:pPr>
            <w:r w:rsidRPr="001D4300">
              <w:rPr>
                <w:rFonts w:ascii="Book Antiqua" w:hAnsi="Book Antiqua"/>
              </w:rPr>
              <w:t>-</w:t>
            </w:r>
            <w:r w:rsidR="002260D2">
              <w:rPr>
                <w:rFonts w:ascii="Book Antiqua" w:hAnsi="Book Antiqua" w:hint="eastAsia"/>
                <w:lang w:eastAsia="zh-CN"/>
              </w:rPr>
              <w:t>0</w:t>
            </w:r>
            <w:r w:rsidRPr="001D4300">
              <w:rPr>
                <w:rFonts w:ascii="Book Antiqua" w:hAnsi="Book Antiqua"/>
              </w:rPr>
              <w:t>.01</w:t>
            </w:r>
          </w:p>
        </w:tc>
        <w:tc>
          <w:tcPr>
            <w:tcW w:w="1691" w:type="dxa"/>
          </w:tcPr>
          <w:p w14:paraId="2F8847C5" w14:textId="77777777" w:rsidR="00C54E98" w:rsidRPr="001D4300" w:rsidRDefault="00C54E98" w:rsidP="00BF3EC3">
            <w:pPr>
              <w:adjustRightInd w:val="0"/>
              <w:snapToGrid w:val="0"/>
              <w:spacing w:line="360" w:lineRule="auto"/>
              <w:rPr>
                <w:rFonts w:ascii="Book Antiqua" w:hAnsi="Book Antiqua"/>
              </w:rPr>
            </w:pPr>
          </w:p>
        </w:tc>
        <w:tc>
          <w:tcPr>
            <w:tcW w:w="2023" w:type="dxa"/>
          </w:tcPr>
          <w:p w14:paraId="1A360C5D" w14:textId="77777777" w:rsidR="00C54E98" w:rsidRPr="001D4300" w:rsidRDefault="00C54E98" w:rsidP="00BF3EC3">
            <w:pPr>
              <w:adjustRightInd w:val="0"/>
              <w:snapToGrid w:val="0"/>
              <w:spacing w:line="360" w:lineRule="auto"/>
              <w:rPr>
                <w:rFonts w:ascii="Book Antiqua" w:hAnsi="Book Antiqua"/>
              </w:rPr>
            </w:pPr>
          </w:p>
        </w:tc>
        <w:tc>
          <w:tcPr>
            <w:tcW w:w="1990" w:type="dxa"/>
          </w:tcPr>
          <w:p w14:paraId="2684FD51" w14:textId="77777777" w:rsidR="00C54E98" w:rsidRPr="001D4300" w:rsidRDefault="00C54E98" w:rsidP="00BF3EC3">
            <w:pPr>
              <w:adjustRightInd w:val="0"/>
              <w:snapToGrid w:val="0"/>
              <w:spacing w:line="360" w:lineRule="auto"/>
              <w:rPr>
                <w:rFonts w:ascii="Book Antiqua" w:hAnsi="Book Antiqua"/>
              </w:rPr>
            </w:pPr>
          </w:p>
        </w:tc>
      </w:tr>
      <w:tr w:rsidR="00C54E98" w:rsidRPr="001D4300" w14:paraId="4A873AE7" w14:textId="77777777" w:rsidTr="00BF3EC3">
        <w:trPr>
          <w:trHeight w:val="70"/>
        </w:trPr>
        <w:tc>
          <w:tcPr>
            <w:tcW w:w="1969" w:type="dxa"/>
            <w:hideMark/>
          </w:tcPr>
          <w:p w14:paraId="538BAE52"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5. ESR</w:t>
            </w:r>
          </w:p>
        </w:tc>
        <w:tc>
          <w:tcPr>
            <w:tcW w:w="1903" w:type="dxa"/>
            <w:hideMark/>
          </w:tcPr>
          <w:p w14:paraId="30AB6AA3" w14:textId="77777777" w:rsidR="00C54E98" w:rsidRPr="001D4300" w:rsidRDefault="00C54E98" w:rsidP="00BF3EC3">
            <w:pPr>
              <w:adjustRightInd w:val="0"/>
              <w:snapToGrid w:val="0"/>
              <w:spacing w:line="360" w:lineRule="auto"/>
              <w:rPr>
                <w:rFonts w:ascii="Book Antiqua" w:hAnsi="Book Antiqua"/>
                <w:lang w:eastAsia="zh-CN"/>
              </w:rPr>
            </w:pPr>
            <w:r w:rsidRPr="001D4300">
              <w:rPr>
                <w:rFonts w:ascii="Book Antiqua" w:hAnsi="Book Antiqua"/>
              </w:rPr>
              <w:t>1.32</w:t>
            </w:r>
            <w:r w:rsidR="002260D2">
              <w:rPr>
                <w:rFonts w:ascii="Book Antiqua" w:hAnsi="Book Antiqua" w:hint="eastAsia"/>
                <w:vertAlign w:val="superscript"/>
                <w:lang w:eastAsia="zh-CN"/>
              </w:rPr>
              <w:t>b</w:t>
            </w:r>
          </w:p>
        </w:tc>
        <w:tc>
          <w:tcPr>
            <w:tcW w:w="1691" w:type="dxa"/>
          </w:tcPr>
          <w:p w14:paraId="3B26C9CE"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5A18AE77" w14:textId="77777777" w:rsidR="00C54E98" w:rsidRPr="001D4300" w:rsidRDefault="00C54E98" w:rsidP="00BF3EC3">
            <w:pPr>
              <w:adjustRightInd w:val="0"/>
              <w:snapToGrid w:val="0"/>
              <w:spacing w:line="360" w:lineRule="auto"/>
              <w:rPr>
                <w:rFonts w:ascii="Book Antiqua" w:hAnsi="Book Antiqua"/>
                <w:lang w:eastAsia="zh-CN"/>
              </w:rPr>
            </w:pPr>
            <w:r w:rsidRPr="001D4300">
              <w:rPr>
                <w:rFonts w:ascii="Book Antiqua" w:hAnsi="Book Antiqua"/>
              </w:rPr>
              <w:t>1.56</w:t>
            </w:r>
            <w:r w:rsidR="002260D2">
              <w:rPr>
                <w:rFonts w:ascii="Book Antiqua" w:hAnsi="Book Antiqua" w:hint="eastAsia"/>
                <w:vertAlign w:val="superscript"/>
                <w:lang w:eastAsia="zh-CN"/>
              </w:rPr>
              <w:t>b</w:t>
            </w:r>
          </w:p>
        </w:tc>
        <w:tc>
          <w:tcPr>
            <w:tcW w:w="1990" w:type="dxa"/>
            <w:hideMark/>
          </w:tcPr>
          <w:p w14:paraId="7FE9E1C5" w14:textId="77777777" w:rsidR="00C54E98" w:rsidRPr="001D4300" w:rsidRDefault="00C54E98" w:rsidP="00BF3EC3">
            <w:pPr>
              <w:adjustRightInd w:val="0"/>
              <w:snapToGrid w:val="0"/>
              <w:spacing w:line="360" w:lineRule="auto"/>
              <w:rPr>
                <w:rFonts w:ascii="Book Antiqua" w:hAnsi="Book Antiqua"/>
                <w:lang w:eastAsia="zh-CN"/>
              </w:rPr>
            </w:pPr>
            <w:r w:rsidRPr="001D4300">
              <w:rPr>
                <w:rFonts w:ascii="Book Antiqua" w:hAnsi="Book Antiqua"/>
              </w:rPr>
              <w:t>1.32</w:t>
            </w:r>
            <w:r w:rsidR="002260D2">
              <w:rPr>
                <w:rFonts w:ascii="Book Antiqua" w:hAnsi="Book Antiqua" w:hint="eastAsia"/>
                <w:vertAlign w:val="superscript"/>
                <w:lang w:eastAsia="zh-CN"/>
              </w:rPr>
              <w:t>b</w:t>
            </w:r>
          </w:p>
        </w:tc>
      </w:tr>
      <w:tr w:rsidR="00C54E98" w:rsidRPr="001D4300" w14:paraId="1AEB5315" w14:textId="77777777" w:rsidTr="00BF3EC3">
        <w:trPr>
          <w:trHeight w:val="70"/>
        </w:trPr>
        <w:tc>
          <w:tcPr>
            <w:tcW w:w="1969" w:type="dxa"/>
            <w:hideMark/>
          </w:tcPr>
          <w:p w14:paraId="40EB7EF8"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6. Albumin</w:t>
            </w:r>
          </w:p>
        </w:tc>
        <w:tc>
          <w:tcPr>
            <w:tcW w:w="1903" w:type="dxa"/>
            <w:hideMark/>
          </w:tcPr>
          <w:p w14:paraId="2572BBC6"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.81</w:t>
            </w:r>
            <w:r>
              <w:rPr>
                <w:rFonts w:ascii="Book Antiqua" w:hAnsi="Book Antiqua" w:hint="eastAsia"/>
                <w:vertAlign w:val="superscript"/>
                <w:lang w:eastAsia="zh-CN"/>
              </w:rPr>
              <w:t>b</w:t>
            </w:r>
          </w:p>
        </w:tc>
        <w:tc>
          <w:tcPr>
            <w:tcW w:w="1691" w:type="dxa"/>
          </w:tcPr>
          <w:p w14:paraId="3D9A5FF0"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665F5F30"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.84</w:t>
            </w:r>
            <w:r>
              <w:rPr>
                <w:rFonts w:ascii="Book Antiqua" w:hAnsi="Book Antiqua" w:hint="eastAsia"/>
                <w:vertAlign w:val="superscript"/>
                <w:lang w:eastAsia="zh-CN"/>
              </w:rPr>
              <w:t>b</w:t>
            </w:r>
          </w:p>
        </w:tc>
        <w:tc>
          <w:tcPr>
            <w:tcW w:w="1990" w:type="dxa"/>
            <w:hideMark/>
          </w:tcPr>
          <w:p w14:paraId="73D3AEF1"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.81</w:t>
            </w:r>
            <w:r>
              <w:rPr>
                <w:rFonts w:ascii="Book Antiqua" w:hAnsi="Book Antiqua" w:hint="eastAsia"/>
                <w:vertAlign w:val="superscript"/>
                <w:lang w:eastAsia="zh-CN"/>
              </w:rPr>
              <w:t>b</w:t>
            </w:r>
          </w:p>
        </w:tc>
      </w:tr>
      <w:tr w:rsidR="00C54E98" w:rsidRPr="001D4300" w14:paraId="0D31CA85" w14:textId="77777777" w:rsidTr="00BF3EC3">
        <w:trPr>
          <w:trHeight w:val="70"/>
        </w:trPr>
        <w:tc>
          <w:tcPr>
            <w:tcW w:w="1969" w:type="dxa"/>
            <w:hideMark/>
          </w:tcPr>
          <w:p w14:paraId="50DF0619"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7. Weight</w:t>
            </w:r>
          </w:p>
        </w:tc>
        <w:tc>
          <w:tcPr>
            <w:tcW w:w="1903" w:type="dxa"/>
            <w:hideMark/>
          </w:tcPr>
          <w:p w14:paraId="16F9D323"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.49</w:t>
            </w:r>
            <w:r>
              <w:rPr>
                <w:rFonts w:ascii="Book Antiqua" w:hAnsi="Book Antiqua" w:hint="eastAsia"/>
                <w:vertAlign w:val="superscript"/>
                <w:lang w:eastAsia="zh-CN"/>
              </w:rPr>
              <w:t>b</w:t>
            </w:r>
          </w:p>
        </w:tc>
        <w:tc>
          <w:tcPr>
            <w:tcW w:w="1691" w:type="dxa"/>
          </w:tcPr>
          <w:p w14:paraId="0925A854"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04B7645A"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.63</w:t>
            </w:r>
            <w:r>
              <w:rPr>
                <w:rFonts w:ascii="Book Antiqua" w:hAnsi="Book Antiqua" w:hint="eastAsia"/>
                <w:vertAlign w:val="superscript"/>
                <w:lang w:eastAsia="zh-CN"/>
              </w:rPr>
              <w:t>b</w:t>
            </w:r>
          </w:p>
        </w:tc>
        <w:tc>
          <w:tcPr>
            <w:tcW w:w="1990" w:type="dxa"/>
            <w:hideMark/>
          </w:tcPr>
          <w:p w14:paraId="0A918F44"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.49</w:t>
            </w:r>
            <w:r>
              <w:rPr>
                <w:rFonts w:ascii="Book Antiqua" w:hAnsi="Book Antiqua" w:hint="eastAsia"/>
                <w:vertAlign w:val="superscript"/>
                <w:lang w:eastAsia="zh-CN"/>
              </w:rPr>
              <w:t>b</w:t>
            </w:r>
          </w:p>
        </w:tc>
      </w:tr>
      <w:tr w:rsidR="00C54E98" w:rsidRPr="001D4300" w14:paraId="26B991A3" w14:textId="77777777" w:rsidTr="00BF3EC3">
        <w:trPr>
          <w:trHeight w:val="70"/>
        </w:trPr>
        <w:tc>
          <w:tcPr>
            <w:tcW w:w="1969" w:type="dxa"/>
            <w:hideMark/>
          </w:tcPr>
          <w:p w14:paraId="4A33073D" w14:textId="77777777" w:rsidR="00C54E98" w:rsidRPr="00DC3951" w:rsidRDefault="002260D2" w:rsidP="00BF3EC3">
            <w:pPr>
              <w:adjustRightInd w:val="0"/>
              <w:snapToGrid w:val="0"/>
              <w:spacing w:line="360" w:lineRule="auto"/>
              <w:rPr>
                <w:rFonts w:ascii="Book Antiqua" w:hAnsi="Book Antiqua"/>
              </w:rPr>
            </w:pPr>
            <w:r>
              <w:rPr>
                <w:rFonts w:ascii="Book Antiqua" w:hAnsi="Book Antiqua"/>
              </w:rPr>
              <w:t xml:space="preserve">8. Height </w:t>
            </w:r>
            <w:r>
              <w:rPr>
                <w:rFonts w:ascii="Book Antiqua" w:hAnsi="Book Antiqua" w:hint="eastAsia"/>
                <w:lang w:eastAsia="zh-CN"/>
              </w:rPr>
              <w:t>v</w:t>
            </w:r>
            <w:r w:rsidR="00C54E98" w:rsidRPr="00DC3951">
              <w:rPr>
                <w:rFonts w:ascii="Book Antiqua" w:hAnsi="Book Antiqua"/>
              </w:rPr>
              <w:t>elocity</w:t>
            </w:r>
          </w:p>
        </w:tc>
        <w:tc>
          <w:tcPr>
            <w:tcW w:w="1903" w:type="dxa"/>
            <w:hideMark/>
          </w:tcPr>
          <w:p w14:paraId="22A98E79"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b</w:t>
            </w:r>
          </w:p>
        </w:tc>
        <w:tc>
          <w:tcPr>
            <w:tcW w:w="1691" w:type="dxa"/>
          </w:tcPr>
          <w:p w14:paraId="5DCB6D3B"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602A4FE4"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.48</w:t>
            </w:r>
            <w:r>
              <w:rPr>
                <w:rFonts w:ascii="Book Antiqua" w:hAnsi="Book Antiqua" w:hint="eastAsia"/>
                <w:vertAlign w:val="superscript"/>
                <w:lang w:eastAsia="zh-CN"/>
              </w:rPr>
              <w:t>b</w:t>
            </w:r>
          </w:p>
        </w:tc>
        <w:tc>
          <w:tcPr>
            <w:tcW w:w="1990" w:type="dxa"/>
            <w:hideMark/>
          </w:tcPr>
          <w:p w14:paraId="5247C767"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b</w:t>
            </w:r>
          </w:p>
        </w:tc>
      </w:tr>
      <w:tr w:rsidR="00C54E98" w:rsidRPr="001D4300" w14:paraId="06DBDD4A" w14:textId="77777777" w:rsidTr="00BF3EC3">
        <w:trPr>
          <w:trHeight w:val="70"/>
        </w:trPr>
        <w:tc>
          <w:tcPr>
            <w:tcW w:w="1969" w:type="dxa"/>
            <w:hideMark/>
          </w:tcPr>
          <w:p w14:paraId="3814DE2D"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9. Abdominal exam</w:t>
            </w:r>
          </w:p>
        </w:tc>
        <w:tc>
          <w:tcPr>
            <w:tcW w:w="1903" w:type="dxa"/>
            <w:hideMark/>
          </w:tcPr>
          <w:p w14:paraId="139C3486"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.35</w:t>
            </w:r>
            <w:r>
              <w:rPr>
                <w:rFonts w:ascii="Book Antiqua" w:hAnsi="Book Antiqua" w:hint="eastAsia"/>
                <w:vertAlign w:val="superscript"/>
                <w:lang w:eastAsia="zh-CN"/>
              </w:rPr>
              <w:t>a</w:t>
            </w:r>
          </w:p>
        </w:tc>
        <w:tc>
          <w:tcPr>
            <w:tcW w:w="1691" w:type="dxa"/>
          </w:tcPr>
          <w:p w14:paraId="6A97B9CA"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59BF74AA"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.83</w:t>
            </w:r>
            <w:r>
              <w:rPr>
                <w:rFonts w:ascii="Book Antiqua" w:hAnsi="Book Antiqua" w:hint="eastAsia"/>
                <w:vertAlign w:val="superscript"/>
                <w:lang w:eastAsia="zh-CN"/>
              </w:rPr>
              <w:t>b</w:t>
            </w:r>
          </w:p>
        </w:tc>
        <w:tc>
          <w:tcPr>
            <w:tcW w:w="1990" w:type="dxa"/>
            <w:hideMark/>
          </w:tcPr>
          <w:p w14:paraId="20EB8862" w14:textId="77777777" w:rsidR="00C54E98" w:rsidRPr="002260D2" w:rsidRDefault="002260D2" w:rsidP="00BF3EC3">
            <w:pPr>
              <w:adjustRightInd w:val="0"/>
              <w:snapToGrid w:val="0"/>
              <w:spacing w:line="360" w:lineRule="auto"/>
              <w:rPr>
                <w:rFonts w:ascii="Book Antiqua" w:hAnsi="Book Antiqua"/>
                <w:vertAlign w:val="superscript"/>
                <w:lang w:eastAsia="zh-CN"/>
              </w:rPr>
            </w:pPr>
            <w:r>
              <w:rPr>
                <w:rFonts w:ascii="Book Antiqua" w:hAnsi="Book Antiqua" w:hint="eastAsia"/>
                <w:lang w:eastAsia="zh-CN"/>
              </w:rPr>
              <w:t>0</w:t>
            </w:r>
            <w:r w:rsidR="00C54E98" w:rsidRPr="001D4300">
              <w:rPr>
                <w:rFonts w:ascii="Book Antiqua" w:hAnsi="Book Antiqua"/>
              </w:rPr>
              <w:t>.35</w:t>
            </w:r>
            <w:r>
              <w:rPr>
                <w:rFonts w:ascii="Book Antiqua" w:hAnsi="Book Antiqua" w:hint="eastAsia"/>
                <w:vertAlign w:val="superscript"/>
                <w:lang w:eastAsia="zh-CN"/>
              </w:rPr>
              <w:t>a</w:t>
            </w:r>
          </w:p>
        </w:tc>
      </w:tr>
      <w:tr w:rsidR="00C54E98" w:rsidRPr="001D4300" w14:paraId="326082BC" w14:textId="77777777" w:rsidTr="00BF3EC3">
        <w:trPr>
          <w:trHeight w:val="70"/>
        </w:trPr>
        <w:tc>
          <w:tcPr>
            <w:tcW w:w="1969" w:type="dxa"/>
            <w:hideMark/>
          </w:tcPr>
          <w:p w14:paraId="3BC51083"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10. Perirectal exam</w:t>
            </w:r>
          </w:p>
        </w:tc>
        <w:tc>
          <w:tcPr>
            <w:tcW w:w="1903" w:type="dxa"/>
            <w:hideMark/>
          </w:tcPr>
          <w:p w14:paraId="12174703"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.78</w:t>
            </w:r>
            <w:r>
              <w:rPr>
                <w:rFonts w:ascii="Book Antiqua" w:hAnsi="Book Antiqua" w:hint="eastAsia"/>
                <w:vertAlign w:val="superscript"/>
                <w:lang w:eastAsia="zh-CN"/>
              </w:rPr>
              <w:t>b</w:t>
            </w:r>
          </w:p>
        </w:tc>
        <w:tc>
          <w:tcPr>
            <w:tcW w:w="1691" w:type="dxa"/>
          </w:tcPr>
          <w:p w14:paraId="220BF444"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3FA694B1"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.90</w:t>
            </w:r>
            <w:r>
              <w:rPr>
                <w:rFonts w:ascii="Book Antiqua" w:hAnsi="Book Antiqua" w:hint="eastAsia"/>
                <w:vertAlign w:val="superscript"/>
                <w:lang w:eastAsia="zh-CN"/>
              </w:rPr>
              <w:t>b</w:t>
            </w:r>
          </w:p>
        </w:tc>
        <w:tc>
          <w:tcPr>
            <w:tcW w:w="1990" w:type="dxa"/>
            <w:hideMark/>
          </w:tcPr>
          <w:p w14:paraId="74A328C8"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.78</w:t>
            </w:r>
            <w:r>
              <w:rPr>
                <w:rFonts w:ascii="Book Antiqua" w:hAnsi="Book Antiqua" w:hint="eastAsia"/>
                <w:vertAlign w:val="superscript"/>
                <w:lang w:eastAsia="zh-CN"/>
              </w:rPr>
              <w:t>b</w:t>
            </w:r>
          </w:p>
        </w:tc>
      </w:tr>
      <w:tr w:rsidR="00C54E98" w:rsidRPr="001D4300" w14:paraId="47452197" w14:textId="77777777" w:rsidTr="00BF3EC3">
        <w:trPr>
          <w:trHeight w:val="70"/>
        </w:trPr>
        <w:tc>
          <w:tcPr>
            <w:tcW w:w="1969" w:type="dxa"/>
            <w:hideMark/>
          </w:tcPr>
          <w:p w14:paraId="3B84265C"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11. Extraintestinal</w:t>
            </w:r>
          </w:p>
        </w:tc>
        <w:tc>
          <w:tcPr>
            <w:tcW w:w="1903" w:type="dxa"/>
            <w:hideMark/>
          </w:tcPr>
          <w:p w14:paraId="57C07CE0"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.42</w:t>
            </w:r>
            <w:r>
              <w:rPr>
                <w:rFonts w:ascii="Book Antiqua" w:hAnsi="Book Antiqua" w:hint="eastAsia"/>
                <w:vertAlign w:val="superscript"/>
                <w:lang w:eastAsia="zh-CN"/>
              </w:rPr>
              <w:t>a</w:t>
            </w:r>
          </w:p>
        </w:tc>
        <w:tc>
          <w:tcPr>
            <w:tcW w:w="1691" w:type="dxa"/>
          </w:tcPr>
          <w:p w14:paraId="0E8374F8"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642B0E88"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.67</w:t>
            </w:r>
            <w:r>
              <w:rPr>
                <w:rFonts w:ascii="Book Antiqua" w:hAnsi="Book Antiqua" w:hint="eastAsia"/>
                <w:vertAlign w:val="superscript"/>
                <w:lang w:eastAsia="zh-CN"/>
              </w:rPr>
              <w:t>a</w:t>
            </w:r>
          </w:p>
        </w:tc>
        <w:tc>
          <w:tcPr>
            <w:tcW w:w="1990" w:type="dxa"/>
            <w:hideMark/>
          </w:tcPr>
          <w:p w14:paraId="62D95956"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.42</w:t>
            </w:r>
            <w:r>
              <w:rPr>
                <w:rFonts w:ascii="Book Antiqua" w:hAnsi="Book Antiqua" w:hint="eastAsia"/>
                <w:vertAlign w:val="superscript"/>
                <w:lang w:eastAsia="zh-CN"/>
              </w:rPr>
              <w:t>b</w:t>
            </w:r>
          </w:p>
        </w:tc>
      </w:tr>
      <w:tr w:rsidR="00C54E98" w:rsidRPr="001D4300" w14:paraId="66F33C44" w14:textId="77777777" w:rsidTr="00BF3EC3">
        <w:trPr>
          <w:trHeight w:val="70"/>
        </w:trPr>
        <w:tc>
          <w:tcPr>
            <w:tcW w:w="1969" w:type="dxa"/>
            <w:hideMark/>
          </w:tcPr>
          <w:p w14:paraId="42268688" w14:textId="77777777" w:rsidR="00C54E98" w:rsidRPr="00DC3951" w:rsidRDefault="00C54E98" w:rsidP="00C54E98">
            <w:pPr>
              <w:adjustRightInd w:val="0"/>
              <w:snapToGrid w:val="0"/>
              <w:spacing w:line="360" w:lineRule="auto"/>
              <w:jc w:val="both"/>
              <w:rPr>
                <w:rFonts w:ascii="Book Antiqua" w:hAnsi="Book Antiqua"/>
                <w:i/>
                <w:iCs/>
              </w:rPr>
            </w:pPr>
            <w:r w:rsidRPr="00DC3951">
              <w:rPr>
                <w:rFonts w:ascii="Book Antiqua" w:hAnsi="Book Antiqua"/>
                <w:i/>
                <w:iCs/>
              </w:rPr>
              <w:t>R</w:t>
            </w:r>
            <w:r w:rsidRPr="00DC3951">
              <w:rPr>
                <w:rFonts w:ascii="Book Antiqua" w:hAnsi="Book Antiqua"/>
                <w:i/>
                <w:iCs/>
                <w:vertAlign w:val="superscript"/>
              </w:rPr>
              <w:t>2</w:t>
            </w:r>
          </w:p>
        </w:tc>
        <w:tc>
          <w:tcPr>
            <w:tcW w:w="1903" w:type="dxa"/>
            <w:hideMark/>
          </w:tcPr>
          <w:p w14:paraId="5B03DFBA" w14:textId="77777777" w:rsidR="00C54E98" w:rsidRPr="001D4300" w:rsidRDefault="002260D2"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.45</w:t>
            </w:r>
          </w:p>
        </w:tc>
        <w:tc>
          <w:tcPr>
            <w:tcW w:w="1691" w:type="dxa"/>
            <w:hideMark/>
          </w:tcPr>
          <w:p w14:paraId="3EAAD7FC" w14:textId="77777777" w:rsidR="00C54E98" w:rsidRPr="001D4300" w:rsidRDefault="002260D2"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.22</w:t>
            </w:r>
          </w:p>
        </w:tc>
        <w:tc>
          <w:tcPr>
            <w:tcW w:w="2023" w:type="dxa"/>
            <w:hideMark/>
          </w:tcPr>
          <w:p w14:paraId="3B2CAA3A" w14:textId="77777777" w:rsidR="00C54E98" w:rsidRPr="001D4300" w:rsidRDefault="002260D2"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.36</w:t>
            </w:r>
          </w:p>
        </w:tc>
        <w:tc>
          <w:tcPr>
            <w:tcW w:w="1990" w:type="dxa"/>
            <w:hideMark/>
          </w:tcPr>
          <w:p w14:paraId="3B8B3814" w14:textId="77777777" w:rsidR="00C54E98" w:rsidRPr="001D4300" w:rsidRDefault="002260D2"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.45</w:t>
            </w:r>
          </w:p>
        </w:tc>
      </w:tr>
    </w:tbl>
    <w:p w14:paraId="24767192" w14:textId="77777777" w:rsidR="006E4658" w:rsidRDefault="00591669" w:rsidP="00C54E98">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a</w:t>
      </w:r>
      <w:r w:rsidRPr="002260D2">
        <w:rPr>
          <w:rFonts w:ascii="Book Antiqua" w:hAnsi="Book Antiqua"/>
          <w:i/>
        </w:rPr>
        <w:t>P</w:t>
      </w:r>
      <w:r w:rsidRPr="001D4300">
        <w:rPr>
          <w:rFonts w:ascii="Book Antiqua" w:hAnsi="Book Antiqua"/>
        </w:rPr>
        <w:t xml:space="preserve"> &lt; </w:t>
      </w:r>
      <w:r>
        <w:rPr>
          <w:rFonts w:ascii="Book Antiqua" w:hAnsi="Book Antiqua" w:hint="eastAsia"/>
          <w:lang w:eastAsia="zh-CN"/>
        </w:rPr>
        <w:t>0</w:t>
      </w:r>
      <w:r w:rsidRPr="001D4300">
        <w:rPr>
          <w:rFonts w:ascii="Book Antiqua" w:hAnsi="Book Antiqua"/>
        </w:rPr>
        <w:t>.05</w:t>
      </w:r>
      <w:r w:rsidR="006E4658">
        <w:rPr>
          <w:rFonts w:ascii="Book Antiqua" w:hAnsi="Book Antiqua" w:hint="eastAsia"/>
          <w:lang w:eastAsia="zh-CN"/>
        </w:rPr>
        <w:t>.</w:t>
      </w:r>
    </w:p>
    <w:p w14:paraId="1C5BF737" w14:textId="7B44C8EA" w:rsidR="00C54E98" w:rsidRPr="001D4300" w:rsidRDefault="002260D2" w:rsidP="00C54E98">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b</w:t>
      </w:r>
      <w:r w:rsidRPr="002260D2">
        <w:rPr>
          <w:rFonts w:ascii="Book Antiqua" w:hAnsi="Book Antiqua"/>
          <w:i/>
        </w:rPr>
        <w:t>P</w:t>
      </w:r>
      <w:r w:rsidR="00C54E98" w:rsidRPr="001D4300">
        <w:rPr>
          <w:rFonts w:ascii="Book Antiqua" w:hAnsi="Book Antiqua"/>
        </w:rPr>
        <w:t xml:space="preserve"> ≤ </w:t>
      </w:r>
      <w:r>
        <w:rPr>
          <w:rFonts w:ascii="Book Antiqua" w:hAnsi="Book Antiqua" w:hint="eastAsia"/>
          <w:lang w:eastAsia="zh-CN"/>
        </w:rPr>
        <w:t>0</w:t>
      </w:r>
      <w:r w:rsidR="00C54E98" w:rsidRPr="001D4300">
        <w:rPr>
          <w:rFonts w:ascii="Book Antiqua" w:hAnsi="Book Antiqua"/>
        </w:rPr>
        <w:t>.001. Bolded items highlight items that are significant.</w:t>
      </w:r>
      <w:r w:rsidR="00F04B75">
        <w:rPr>
          <w:rFonts w:ascii="Book Antiqua" w:hAnsi="Book Antiqua" w:hint="eastAsia"/>
          <w:lang w:eastAsia="zh-CN"/>
        </w:rPr>
        <w:t xml:space="preserve"> </w:t>
      </w:r>
      <w:r w:rsidR="00F04B75">
        <w:rPr>
          <w:rFonts w:ascii="Book Antiqua" w:hAnsi="Book Antiqua" w:cs="Calibri" w:hint="eastAsia"/>
          <w:lang w:eastAsia="zh-CN"/>
        </w:rPr>
        <w:t xml:space="preserve">PCDAI: </w:t>
      </w:r>
      <w:r w:rsidR="00F04B75">
        <w:rPr>
          <w:rFonts w:ascii="Book Antiqua" w:hAnsi="Book Antiqua" w:cs="Book Antiqua" w:hint="eastAsia"/>
          <w:color w:val="000000"/>
          <w:lang w:eastAsia="zh-CN"/>
        </w:rPr>
        <w:t>P</w:t>
      </w:r>
      <w:r w:rsidR="00F04B75">
        <w:rPr>
          <w:rFonts w:ascii="Book Antiqua" w:eastAsia="Book Antiqua" w:hAnsi="Book Antiqua" w:cs="Book Antiqua"/>
          <w:color w:val="000000"/>
        </w:rPr>
        <w:t>ediatric Crohn’s disease activity index</w:t>
      </w:r>
      <w:r w:rsidR="00F04B75">
        <w:rPr>
          <w:rFonts w:ascii="Book Antiqua" w:hAnsi="Book Antiqua" w:cs="Book Antiqua" w:hint="eastAsia"/>
          <w:color w:val="000000"/>
          <w:lang w:eastAsia="zh-CN"/>
        </w:rPr>
        <w:t xml:space="preserve">; </w:t>
      </w:r>
      <w:bookmarkStart w:id="121" w:name="OLE_LINK36"/>
      <w:bookmarkStart w:id="122" w:name="OLE_LINK37"/>
      <w:r w:rsidR="00F04B75">
        <w:rPr>
          <w:rFonts w:ascii="Book Antiqua" w:hAnsi="Book Antiqua" w:cs="Book Antiqua" w:hint="eastAsia"/>
          <w:color w:val="000000"/>
          <w:lang w:eastAsia="zh-CN"/>
        </w:rPr>
        <w:t>HCT</w:t>
      </w:r>
      <w:bookmarkEnd w:id="121"/>
      <w:bookmarkEnd w:id="122"/>
      <w:r w:rsidR="00F04B75">
        <w:rPr>
          <w:rFonts w:ascii="Book Antiqua" w:hAnsi="Book Antiqua" w:cs="Book Antiqua" w:hint="eastAsia"/>
          <w:color w:val="000000"/>
          <w:lang w:eastAsia="zh-CN"/>
        </w:rPr>
        <w:t>: H</w:t>
      </w:r>
      <w:r w:rsidR="00F04B75" w:rsidRPr="00F04B75">
        <w:rPr>
          <w:rFonts w:ascii="Book Antiqua" w:hAnsi="Book Antiqua" w:cs="Book Antiqua"/>
          <w:color w:val="000000"/>
          <w:lang w:eastAsia="zh-CN"/>
        </w:rPr>
        <w:t>ematopoietic cell transplantation</w:t>
      </w:r>
      <w:r w:rsidR="00F04B75">
        <w:rPr>
          <w:rFonts w:ascii="Book Antiqua" w:hAnsi="Book Antiqua" w:cs="Book Antiqua" w:hint="eastAsia"/>
          <w:color w:val="000000"/>
          <w:lang w:eastAsia="zh-CN"/>
        </w:rPr>
        <w:t>; ESR: E</w:t>
      </w:r>
      <w:r w:rsidR="00F04B75">
        <w:rPr>
          <w:rFonts w:ascii="Book Antiqua" w:eastAsia="Book Antiqua" w:hAnsi="Book Antiqua" w:cs="Book Antiqua"/>
          <w:color w:val="000000"/>
        </w:rPr>
        <w:t>rythrocyte sedimentation rate</w:t>
      </w:r>
      <w:r w:rsidR="00F04B75">
        <w:rPr>
          <w:rFonts w:ascii="Book Antiqua" w:hAnsi="Book Antiqua" w:cs="Book Antiqua" w:hint="eastAsia"/>
          <w:color w:val="000000"/>
          <w:lang w:eastAsia="zh-CN"/>
        </w:rPr>
        <w:t>.</w:t>
      </w:r>
    </w:p>
    <w:p w14:paraId="0F27ABC9" w14:textId="77777777" w:rsidR="00C54E98" w:rsidRPr="00740447" w:rsidRDefault="00C54E98" w:rsidP="00C54E98">
      <w:pPr>
        <w:autoSpaceDE w:val="0"/>
        <w:autoSpaceDN w:val="0"/>
        <w:adjustRightInd w:val="0"/>
        <w:snapToGrid w:val="0"/>
        <w:spacing w:line="360" w:lineRule="auto"/>
        <w:jc w:val="both"/>
        <w:rPr>
          <w:rFonts w:ascii="Book Antiqua" w:hAnsi="Book Antiqua" w:cs="Calibri"/>
          <w:b/>
          <w:lang w:eastAsia="zh-CN"/>
        </w:rPr>
      </w:pPr>
      <w:r w:rsidRPr="001D4300">
        <w:rPr>
          <w:rFonts w:ascii="Book Antiqua" w:hAnsi="Book Antiqua" w:cs="Calibri"/>
          <w:b/>
          <w:bCs/>
        </w:rPr>
        <w:br w:type="page"/>
      </w:r>
      <w:r w:rsidRPr="00740447">
        <w:rPr>
          <w:rFonts w:ascii="Book Antiqua" w:hAnsi="Book Antiqua" w:cs="Calibri"/>
          <w:b/>
        </w:rPr>
        <w:t>Table 3 Correct and incorre</w:t>
      </w:r>
      <w:r w:rsidR="00740447" w:rsidRPr="00740447">
        <w:rPr>
          <w:rFonts w:ascii="Book Antiqua" w:hAnsi="Book Antiqua" w:cs="Calibri"/>
          <w:b/>
        </w:rPr>
        <w:t>ct identification of remitters and non-remitte</w:t>
      </w:r>
      <w:r w:rsidRPr="00740447">
        <w:rPr>
          <w:rFonts w:ascii="Book Antiqua" w:hAnsi="Book Antiqua" w:cs="Calibri"/>
          <w:b/>
        </w:rPr>
        <w:t>rs</w:t>
      </w:r>
    </w:p>
    <w:tbl>
      <w:tblPr>
        <w:tblW w:w="5000" w:type="pct"/>
        <w:tblBorders>
          <w:top w:val="single" w:sz="4" w:space="0" w:color="auto"/>
          <w:bottom w:val="single" w:sz="4" w:space="0" w:color="auto"/>
        </w:tblBorders>
        <w:tblLook w:val="04A0" w:firstRow="1" w:lastRow="0" w:firstColumn="1" w:lastColumn="0" w:noHBand="0" w:noVBand="1"/>
      </w:tblPr>
      <w:tblGrid>
        <w:gridCol w:w="3117"/>
        <w:gridCol w:w="1614"/>
        <w:gridCol w:w="1615"/>
        <w:gridCol w:w="1615"/>
        <w:gridCol w:w="1615"/>
      </w:tblGrid>
      <w:tr w:rsidR="00C54E98" w:rsidRPr="00547A45" w14:paraId="68AA2F29" w14:textId="77777777" w:rsidTr="006E4658">
        <w:tc>
          <w:tcPr>
            <w:tcW w:w="1628" w:type="pct"/>
            <w:tcBorders>
              <w:top w:val="single" w:sz="4" w:space="0" w:color="auto"/>
              <w:bottom w:val="nil"/>
            </w:tcBorders>
          </w:tcPr>
          <w:p w14:paraId="7FF5F756" w14:textId="77777777" w:rsidR="00C54E98" w:rsidRPr="00547A45" w:rsidRDefault="00C54E98" w:rsidP="00C54E98">
            <w:pPr>
              <w:autoSpaceDE w:val="0"/>
              <w:autoSpaceDN w:val="0"/>
              <w:adjustRightInd w:val="0"/>
              <w:snapToGrid w:val="0"/>
              <w:spacing w:line="360" w:lineRule="auto"/>
              <w:jc w:val="both"/>
              <w:rPr>
                <w:rFonts w:ascii="Book Antiqua" w:hAnsi="Book Antiqua"/>
                <w:b/>
              </w:rPr>
            </w:pPr>
            <w:bookmarkStart w:id="123" w:name="_Hlk77844490"/>
          </w:p>
        </w:tc>
        <w:tc>
          <w:tcPr>
            <w:tcW w:w="1686" w:type="pct"/>
            <w:gridSpan w:val="2"/>
            <w:tcBorders>
              <w:top w:val="single" w:sz="4" w:space="0" w:color="auto"/>
              <w:bottom w:val="single" w:sz="4" w:space="0" w:color="auto"/>
            </w:tcBorders>
            <w:hideMark/>
          </w:tcPr>
          <w:p w14:paraId="1A1E9CB9" w14:textId="77777777" w:rsidR="00C54E98" w:rsidRPr="00547A45" w:rsidRDefault="00C54E98" w:rsidP="00BF3EC3">
            <w:pPr>
              <w:autoSpaceDE w:val="0"/>
              <w:autoSpaceDN w:val="0"/>
              <w:adjustRightInd w:val="0"/>
              <w:snapToGrid w:val="0"/>
              <w:spacing w:line="360" w:lineRule="auto"/>
              <w:jc w:val="center"/>
              <w:rPr>
                <w:rFonts w:ascii="Book Antiqua" w:hAnsi="Book Antiqua"/>
                <w:b/>
              </w:rPr>
            </w:pPr>
            <w:r w:rsidRPr="00547A45">
              <w:rPr>
                <w:rFonts w:ascii="Book Antiqua" w:hAnsi="Book Antiqua"/>
                <w:b/>
              </w:rPr>
              <w:t>Subjective-remission status</w:t>
            </w:r>
          </w:p>
        </w:tc>
        <w:tc>
          <w:tcPr>
            <w:tcW w:w="1687" w:type="pct"/>
            <w:gridSpan w:val="2"/>
            <w:tcBorders>
              <w:top w:val="single" w:sz="4" w:space="0" w:color="auto"/>
              <w:bottom w:val="single" w:sz="4" w:space="0" w:color="auto"/>
            </w:tcBorders>
            <w:hideMark/>
          </w:tcPr>
          <w:p w14:paraId="7B939AE5" w14:textId="3B35AA24" w:rsidR="00C54E98" w:rsidRPr="00547A45" w:rsidRDefault="00C54E98" w:rsidP="00591669">
            <w:pPr>
              <w:autoSpaceDE w:val="0"/>
              <w:autoSpaceDN w:val="0"/>
              <w:adjustRightInd w:val="0"/>
              <w:snapToGrid w:val="0"/>
              <w:spacing w:line="360" w:lineRule="auto"/>
              <w:jc w:val="center"/>
              <w:rPr>
                <w:rFonts w:ascii="Book Antiqua" w:hAnsi="Book Antiqua"/>
                <w:b/>
              </w:rPr>
            </w:pPr>
            <w:r w:rsidRPr="00547A45">
              <w:rPr>
                <w:rFonts w:ascii="Book Antiqua" w:hAnsi="Book Antiqua"/>
                <w:b/>
              </w:rPr>
              <w:t>Objective-remission status</w:t>
            </w:r>
          </w:p>
        </w:tc>
      </w:tr>
      <w:tr w:rsidR="006E4658" w:rsidRPr="00547A45" w14:paraId="33324650" w14:textId="77777777" w:rsidTr="002F4591">
        <w:trPr>
          <w:trHeight w:val="772"/>
        </w:trPr>
        <w:tc>
          <w:tcPr>
            <w:tcW w:w="1628" w:type="pct"/>
            <w:tcBorders>
              <w:top w:val="nil"/>
            </w:tcBorders>
            <w:hideMark/>
          </w:tcPr>
          <w:p w14:paraId="63E02E5B" w14:textId="77777777" w:rsidR="006E4658" w:rsidRPr="00547A45" w:rsidRDefault="006E4658" w:rsidP="00BF3EC3">
            <w:pPr>
              <w:autoSpaceDE w:val="0"/>
              <w:autoSpaceDN w:val="0"/>
              <w:adjustRightInd w:val="0"/>
              <w:snapToGrid w:val="0"/>
              <w:spacing w:line="360" w:lineRule="auto"/>
              <w:rPr>
                <w:rFonts w:ascii="Book Antiqua" w:hAnsi="Book Antiqua"/>
                <w:b/>
              </w:rPr>
            </w:pPr>
            <w:r w:rsidRPr="00547A45">
              <w:rPr>
                <w:rFonts w:ascii="Book Antiqua" w:hAnsi="Book Antiqua"/>
                <w:b/>
              </w:rPr>
              <w:t>Full PCDAI-</w:t>
            </w:r>
            <w:r w:rsidRPr="00547A45">
              <w:rPr>
                <w:rFonts w:ascii="Book Antiqua" w:hAnsi="Book Antiqua" w:hint="eastAsia"/>
                <w:b/>
                <w:lang w:eastAsia="zh-CN"/>
              </w:rPr>
              <w:t>r</w:t>
            </w:r>
            <w:r w:rsidRPr="00547A45">
              <w:rPr>
                <w:rFonts w:ascii="Book Antiqua" w:hAnsi="Book Antiqua"/>
                <w:b/>
              </w:rPr>
              <w:t>emission status</w:t>
            </w:r>
          </w:p>
        </w:tc>
        <w:tc>
          <w:tcPr>
            <w:tcW w:w="843" w:type="pct"/>
            <w:tcBorders>
              <w:top w:val="single" w:sz="4" w:space="0" w:color="auto"/>
              <w:bottom w:val="single" w:sz="4" w:space="0" w:color="auto"/>
            </w:tcBorders>
            <w:hideMark/>
          </w:tcPr>
          <w:p w14:paraId="2A5F3991" w14:textId="77777777" w:rsidR="006E4658" w:rsidRPr="00547A45" w:rsidRDefault="006E4658" w:rsidP="00C54E98">
            <w:pPr>
              <w:autoSpaceDE w:val="0"/>
              <w:autoSpaceDN w:val="0"/>
              <w:adjustRightInd w:val="0"/>
              <w:snapToGrid w:val="0"/>
              <w:spacing w:line="360" w:lineRule="auto"/>
              <w:jc w:val="both"/>
              <w:rPr>
                <w:rFonts w:ascii="Book Antiqua" w:hAnsi="Book Antiqua"/>
                <w:b/>
              </w:rPr>
            </w:pPr>
            <w:r w:rsidRPr="00547A45">
              <w:rPr>
                <w:rFonts w:ascii="Book Antiqua" w:hAnsi="Book Antiqua"/>
                <w:b/>
              </w:rPr>
              <w:t>Remitters</w:t>
            </w:r>
          </w:p>
        </w:tc>
        <w:tc>
          <w:tcPr>
            <w:tcW w:w="843" w:type="pct"/>
            <w:tcBorders>
              <w:top w:val="single" w:sz="4" w:space="0" w:color="auto"/>
              <w:bottom w:val="single" w:sz="4" w:space="0" w:color="auto"/>
            </w:tcBorders>
            <w:hideMark/>
          </w:tcPr>
          <w:p w14:paraId="223047B8" w14:textId="77777777" w:rsidR="006E4658" w:rsidRPr="00547A45" w:rsidRDefault="006E4658" w:rsidP="00C54E98">
            <w:pPr>
              <w:autoSpaceDE w:val="0"/>
              <w:autoSpaceDN w:val="0"/>
              <w:adjustRightInd w:val="0"/>
              <w:snapToGrid w:val="0"/>
              <w:spacing w:line="360" w:lineRule="auto"/>
              <w:jc w:val="both"/>
              <w:rPr>
                <w:rFonts w:ascii="Book Antiqua" w:hAnsi="Book Antiqua"/>
                <w:b/>
              </w:rPr>
            </w:pPr>
            <w:r w:rsidRPr="00547A45">
              <w:rPr>
                <w:rFonts w:ascii="Book Antiqua" w:hAnsi="Book Antiqua"/>
                <w:b/>
              </w:rPr>
              <w:t>Non-remitters</w:t>
            </w:r>
          </w:p>
        </w:tc>
        <w:tc>
          <w:tcPr>
            <w:tcW w:w="843" w:type="pct"/>
            <w:tcBorders>
              <w:top w:val="single" w:sz="4" w:space="0" w:color="auto"/>
              <w:bottom w:val="single" w:sz="4" w:space="0" w:color="auto"/>
            </w:tcBorders>
            <w:hideMark/>
          </w:tcPr>
          <w:p w14:paraId="313C21BB" w14:textId="77777777" w:rsidR="006E4658" w:rsidRPr="00547A45" w:rsidRDefault="006E4658" w:rsidP="00C54E98">
            <w:pPr>
              <w:autoSpaceDE w:val="0"/>
              <w:autoSpaceDN w:val="0"/>
              <w:adjustRightInd w:val="0"/>
              <w:snapToGrid w:val="0"/>
              <w:spacing w:line="360" w:lineRule="auto"/>
              <w:jc w:val="both"/>
              <w:rPr>
                <w:rFonts w:ascii="Book Antiqua" w:hAnsi="Book Antiqua"/>
                <w:b/>
              </w:rPr>
            </w:pPr>
            <w:r w:rsidRPr="00547A45">
              <w:rPr>
                <w:rFonts w:ascii="Book Antiqua" w:hAnsi="Book Antiqua"/>
                <w:b/>
              </w:rPr>
              <w:t>Remitters</w:t>
            </w:r>
          </w:p>
        </w:tc>
        <w:tc>
          <w:tcPr>
            <w:tcW w:w="843" w:type="pct"/>
            <w:tcBorders>
              <w:top w:val="single" w:sz="4" w:space="0" w:color="auto"/>
              <w:bottom w:val="single" w:sz="4" w:space="0" w:color="auto"/>
            </w:tcBorders>
            <w:hideMark/>
          </w:tcPr>
          <w:p w14:paraId="6AE6CC23" w14:textId="77777777" w:rsidR="006E4658" w:rsidRPr="00547A45" w:rsidRDefault="006E4658" w:rsidP="00C54E98">
            <w:pPr>
              <w:autoSpaceDE w:val="0"/>
              <w:autoSpaceDN w:val="0"/>
              <w:adjustRightInd w:val="0"/>
              <w:snapToGrid w:val="0"/>
              <w:spacing w:line="360" w:lineRule="auto"/>
              <w:jc w:val="both"/>
              <w:rPr>
                <w:rFonts w:ascii="Book Antiqua" w:hAnsi="Book Antiqua"/>
                <w:b/>
              </w:rPr>
            </w:pPr>
            <w:r w:rsidRPr="00547A45">
              <w:rPr>
                <w:rFonts w:ascii="Book Antiqua" w:hAnsi="Book Antiqua"/>
                <w:b/>
              </w:rPr>
              <w:t>Non-remitters</w:t>
            </w:r>
          </w:p>
        </w:tc>
      </w:tr>
      <w:tr w:rsidR="00BF3EC3" w:rsidRPr="00BF3EC3" w14:paraId="5E696ECB" w14:textId="77777777" w:rsidTr="00411BE5">
        <w:tblPrEx>
          <w:tblBorders>
            <w:left w:val="single" w:sz="4" w:space="0" w:color="auto"/>
            <w:right w:val="single" w:sz="4" w:space="0" w:color="auto"/>
            <w:insideH w:val="single" w:sz="4" w:space="0" w:color="auto"/>
            <w:insideV w:val="single" w:sz="4" w:space="0" w:color="auto"/>
          </w:tblBorders>
        </w:tblPrEx>
        <w:tc>
          <w:tcPr>
            <w:tcW w:w="1628" w:type="pct"/>
            <w:tcBorders>
              <w:top w:val="nil"/>
              <w:left w:val="nil"/>
              <w:bottom w:val="single" w:sz="4" w:space="0" w:color="auto"/>
              <w:right w:val="nil"/>
            </w:tcBorders>
          </w:tcPr>
          <w:p w14:paraId="2AC03E9C" w14:textId="77777777" w:rsidR="00411BE5" w:rsidRPr="00BF3EC3" w:rsidRDefault="00411BE5" w:rsidP="00C54E98">
            <w:pPr>
              <w:autoSpaceDE w:val="0"/>
              <w:autoSpaceDN w:val="0"/>
              <w:adjustRightInd w:val="0"/>
              <w:snapToGrid w:val="0"/>
              <w:spacing w:line="360" w:lineRule="auto"/>
              <w:jc w:val="both"/>
              <w:rPr>
                <w:rFonts w:ascii="Book Antiqua" w:hAnsi="Book Antiqua"/>
                <w:b/>
              </w:rPr>
            </w:pPr>
          </w:p>
        </w:tc>
        <w:tc>
          <w:tcPr>
            <w:tcW w:w="843" w:type="pct"/>
            <w:tcBorders>
              <w:top w:val="nil"/>
              <w:left w:val="nil"/>
              <w:bottom w:val="single" w:sz="4" w:space="0" w:color="auto"/>
              <w:right w:val="nil"/>
            </w:tcBorders>
          </w:tcPr>
          <w:p w14:paraId="2C2EAE74" w14:textId="77777777" w:rsidR="00411BE5" w:rsidRPr="00BF3EC3" w:rsidRDefault="00411BE5" w:rsidP="00C54E98">
            <w:pPr>
              <w:autoSpaceDE w:val="0"/>
              <w:autoSpaceDN w:val="0"/>
              <w:adjustRightInd w:val="0"/>
              <w:snapToGrid w:val="0"/>
              <w:spacing w:line="360" w:lineRule="auto"/>
              <w:jc w:val="both"/>
              <w:rPr>
                <w:rFonts w:ascii="Book Antiqua" w:hAnsi="Book Antiqua"/>
                <w:b/>
              </w:rPr>
            </w:pPr>
            <w:r w:rsidRPr="00BF3EC3">
              <w:rPr>
                <w:rFonts w:ascii="Book Antiqua" w:hAnsi="Book Antiqua"/>
                <w:b/>
                <w:i/>
              </w:rPr>
              <w:t>n</w:t>
            </w:r>
            <w:r w:rsidRPr="00BF3EC3">
              <w:rPr>
                <w:rFonts w:ascii="Book Antiqua" w:hAnsi="Book Antiqua"/>
                <w:b/>
              </w:rPr>
              <w:t xml:space="preserve"> (%)</w:t>
            </w:r>
          </w:p>
        </w:tc>
        <w:tc>
          <w:tcPr>
            <w:tcW w:w="843" w:type="pct"/>
            <w:tcBorders>
              <w:top w:val="nil"/>
              <w:left w:val="nil"/>
              <w:bottom w:val="single" w:sz="4" w:space="0" w:color="auto"/>
              <w:right w:val="nil"/>
            </w:tcBorders>
          </w:tcPr>
          <w:p w14:paraId="15E7726F" w14:textId="77777777" w:rsidR="00411BE5" w:rsidRPr="00BF3EC3" w:rsidRDefault="00411BE5" w:rsidP="00C54E98">
            <w:pPr>
              <w:autoSpaceDE w:val="0"/>
              <w:autoSpaceDN w:val="0"/>
              <w:adjustRightInd w:val="0"/>
              <w:snapToGrid w:val="0"/>
              <w:spacing w:line="360" w:lineRule="auto"/>
              <w:jc w:val="both"/>
              <w:rPr>
                <w:rFonts w:ascii="Book Antiqua" w:hAnsi="Book Antiqua"/>
                <w:b/>
              </w:rPr>
            </w:pPr>
            <w:r w:rsidRPr="00BF3EC3">
              <w:rPr>
                <w:rFonts w:ascii="Book Antiqua" w:hAnsi="Book Antiqua"/>
                <w:b/>
                <w:i/>
              </w:rPr>
              <w:t>n</w:t>
            </w:r>
            <w:r w:rsidRPr="00BF3EC3">
              <w:rPr>
                <w:rFonts w:ascii="Book Antiqua" w:hAnsi="Book Antiqua"/>
                <w:b/>
              </w:rPr>
              <w:t xml:space="preserve"> (%)</w:t>
            </w:r>
          </w:p>
        </w:tc>
        <w:tc>
          <w:tcPr>
            <w:tcW w:w="843" w:type="pct"/>
            <w:tcBorders>
              <w:top w:val="nil"/>
              <w:left w:val="nil"/>
              <w:bottom w:val="single" w:sz="4" w:space="0" w:color="auto"/>
              <w:right w:val="nil"/>
            </w:tcBorders>
          </w:tcPr>
          <w:p w14:paraId="6B1DBB14" w14:textId="77777777" w:rsidR="00411BE5" w:rsidRPr="00BF3EC3" w:rsidRDefault="00411BE5" w:rsidP="00C54E98">
            <w:pPr>
              <w:autoSpaceDE w:val="0"/>
              <w:autoSpaceDN w:val="0"/>
              <w:adjustRightInd w:val="0"/>
              <w:snapToGrid w:val="0"/>
              <w:spacing w:line="360" w:lineRule="auto"/>
              <w:jc w:val="both"/>
              <w:rPr>
                <w:rFonts w:ascii="Book Antiqua" w:hAnsi="Book Antiqua"/>
                <w:b/>
              </w:rPr>
            </w:pPr>
            <w:r w:rsidRPr="00BF3EC3">
              <w:rPr>
                <w:rFonts w:ascii="Book Antiqua" w:hAnsi="Book Antiqua"/>
                <w:b/>
                <w:i/>
              </w:rPr>
              <w:t>n</w:t>
            </w:r>
            <w:r w:rsidRPr="00BF3EC3">
              <w:rPr>
                <w:rFonts w:ascii="Book Antiqua" w:hAnsi="Book Antiqua"/>
                <w:b/>
              </w:rPr>
              <w:t xml:space="preserve"> (%)</w:t>
            </w:r>
          </w:p>
        </w:tc>
        <w:tc>
          <w:tcPr>
            <w:tcW w:w="843" w:type="pct"/>
            <w:tcBorders>
              <w:top w:val="nil"/>
              <w:left w:val="nil"/>
              <w:bottom w:val="single" w:sz="4" w:space="0" w:color="auto"/>
              <w:right w:val="nil"/>
            </w:tcBorders>
          </w:tcPr>
          <w:p w14:paraId="6E9ED54A" w14:textId="77777777" w:rsidR="00411BE5" w:rsidRPr="00BF3EC3" w:rsidRDefault="00411BE5" w:rsidP="00C54E98">
            <w:pPr>
              <w:autoSpaceDE w:val="0"/>
              <w:autoSpaceDN w:val="0"/>
              <w:adjustRightInd w:val="0"/>
              <w:snapToGrid w:val="0"/>
              <w:spacing w:line="360" w:lineRule="auto"/>
              <w:jc w:val="both"/>
              <w:rPr>
                <w:rFonts w:ascii="Book Antiqua" w:hAnsi="Book Antiqua"/>
                <w:b/>
              </w:rPr>
            </w:pPr>
            <w:r w:rsidRPr="00BF3EC3">
              <w:rPr>
                <w:rFonts w:ascii="Book Antiqua" w:hAnsi="Book Antiqua"/>
                <w:b/>
                <w:i/>
              </w:rPr>
              <w:t>n</w:t>
            </w:r>
            <w:r w:rsidRPr="00BF3EC3">
              <w:rPr>
                <w:rFonts w:ascii="Book Antiqua" w:hAnsi="Book Antiqua"/>
                <w:b/>
              </w:rPr>
              <w:t xml:space="preserve"> (%)</w:t>
            </w:r>
          </w:p>
        </w:tc>
      </w:tr>
      <w:tr w:rsidR="00C54E98" w:rsidRPr="001D4300" w14:paraId="46B588FE" w14:textId="77777777" w:rsidTr="00411BE5">
        <w:tc>
          <w:tcPr>
            <w:tcW w:w="1628" w:type="pct"/>
            <w:tcBorders>
              <w:top w:val="single" w:sz="4" w:space="0" w:color="auto"/>
            </w:tcBorders>
            <w:shd w:val="clear" w:color="auto" w:fill="auto"/>
            <w:hideMark/>
          </w:tcPr>
          <w:p w14:paraId="0DCC45C7" w14:textId="77777777" w:rsidR="00411BE5"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 xml:space="preserve">Remitters at Q1 </w:t>
            </w:r>
          </w:p>
          <w:p w14:paraId="709DA993"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w:t>
            </w:r>
            <w:r w:rsidRPr="00F217C4">
              <w:rPr>
                <w:rFonts w:ascii="Book Antiqua" w:hAnsi="Book Antiqua"/>
                <w:i/>
              </w:rPr>
              <w:t>n</w:t>
            </w:r>
            <w:r w:rsidRPr="001D4300">
              <w:rPr>
                <w:rFonts w:ascii="Book Antiqua" w:hAnsi="Book Antiqua"/>
              </w:rPr>
              <w:t xml:space="preserve"> = 397)</w:t>
            </w:r>
          </w:p>
        </w:tc>
        <w:tc>
          <w:tcPr>
            <w:tcW w:w="843" w:type="pct"/>
            <w:tcBorders>
              <w:top w:val="single" w:sz="4" w:space="0" w:color="auto"/>
            </w:tcBorders>
            <w:shd w:val="clear" w:color="auto" w:fill="auto"/>
            <w:hideMark/>
          </w:tcPr>
          <w:p w14:paraId="6B7F54C6"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292 (73.8)</w:t>
            </w:r>
          </w:p>
        </w:tc>
        <w:tc>
          <w:tcPr>
            <w:tcW w:w="843" w:type="pct"/>
            <w:tcBorders>
              <w:top w:val="single" w:sz="4" w:space="0" w:color="auto"/>
            </w:tcBorders>
            <w:shd w:val="clear" w:color="auto" w:fill="auto"/>
            <w:hideMark/>
          </w:tcPr>
          <w:p w14:paraId="0EE4312F"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105 (26.2)</w:t>
            </w:r>
          </w:p>
        </w:tc>
        <w:tc>
          <w:tcPr>
            <w:tcW w:w="843" w:type="pct"/>
            <w:tcBorders>
              <w:top w:val="single" w:sz="4" w:space="0" w:color="auto"/>
            </w:tcBorders>
            <w:shd w:val="clear" w:color="auto" w:fill="auto"/>
            <w:hideMark/>
          </w:tcPr>
          <w:p w14:paraId="633F9849"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284 (71.5)</w:t>
            </w:r>
          </w:p>
        </w:tc>
        <w:tc>
          <w:tcPr>
            <w:tcW w:w="843" w:type="pct"/>
            <w:tcBorders>
              <w:top w:val="single" w:sz="4" w:space="0" w:color="auto"/>
            </w:tcBorders>
            <w:shd w:val="clear" w:color="auto" w:fill="auto"/>
            <w:hideMark/>
          </w:tcPr>
          <w:p w14:paraId="19C21BE9"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113 (28.5)</w:t>
            </w:r>
          </w:p>
        </w:tc>
      </w:tr>
      <w:tr w:rsidR="00C54E98" w:rsidRPr="001D4300" w14:paraId="3CC5F958" w14:textId="77777777" w:rsidTr="00411BE5">
        <w:tc>
          <w:tcPr>
            <w:tcW w:w="1628" w:type="pct"/>
            <w:shd w:val="clear" w:color="auto" w:fill="auto"/>
            <w:hideMark/>
          </w:tcPr>
          <w:p w14:paraId="3D555FD3" w14:textId="77777777" w:rsidR="00411BE5" w:rsidRDefault="00C54E98" w:rsidP="00411BE5">
            <w:pPr>
              <w:autoSpaceDE w:val="0"/>
              <w:autoSpaceDN w:val="0"/>
              <w:adjustRightInd w:val="0"/>
              <w:snapToGrid w:val="0"/>
              <w:spacing w:line="360" w:lineRule="auto"/>
              <w:jc w:val="both"/>
              <w:rPr>
                <w:rFonts w:ascii="Book Antiqua" w:hAnsi="Book Antiqua"/>
              </w:rPr>
            </w:pPr>
            <w:r w:rsidRPr="001D4300">
              <w:rPr>
                <w:rFonts w:ascii="Book Antiqua" w:hAnsi="Book Antiqua"/>
              </w:rPr>
              <w:t xml:space="preserve">Non-remitters at Q1 </w:t>
            </w:r>
          </w:p>
          <w:p w14:paraId="0F49FC8B" w14:textId="77777777" w:rsidR="00C54E98" w:rsidRPr="001D4300" w:rsidRDefault="00C54E98" w:rsidP="00411BE5">
            <w:pPr>
              <w:autoSpaceDE w:val="0"/>
              <w:autoSpaceDN w:val="0"/>
              <w:adjustRightInd w:val="0"/>
              <w:snapToGrid w:val="0"/>
              <w:spacing w:line="360" w:lineRule="auto"/>
              <w:jc w:val="both"/>
              <w:rPr>
                <w:rFonts w:ascii="Book Antiqua" w:hAnsi="Book Antiqua"/>
              </w:rPr>
            </w:pPr>
            <w:r w:rsidRPr="001D4300">
              <w:rPr>
                <w:rFonts w:ascii="Book Antiqua" w:hAnsi="Book Antiqua"/>
              </w:rPr>
              <w:t>(</w:t>
            </w:r>
            <w:r w:rsidRPr="00F217C4">
              <w:rPr>
                <w:rFonts w:ascii="Book Antiqua" w:hAnsi="Book Antiqua"/>
                <w:i/>
              </w:rPr>
              <w:t>n</w:t>
            </w:r>
            <w:r w:rsidRPr="001D4300">
              <w:rPr>
                <w:rFonts w:ascii="Book Antiqua" w:hAnsi="Book Antiqua"/>
              </w:rPr>
              <w:t xml:space="preserve"> = 273)</w:t>
            </w:r>
          </w:p>
        </w:tc>
        <w:tc>
          <w:tcPr>
            <w:tcW w:w="843" w:type="pct"/>
            <w:shd w:val="clear" w:color="auto" w:fill="auto"/>
            <w:hideMark/>
          </w:tcPr>
          <w:p w14:paraId="246A20A3"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46 (16.7)</w:t>
            </w:r>
          </w:p>
        </w:tc>
        <w:tc>
          <w:tcPr>
            <w:tcW w:w="843" w:type="pct"/>
            <w:shd w:val="clear" w:color="auto" w:fill="auto"/>
            <w:hideMark/>
          </w:tcPr>
          <w:p w14:paraId="1672D347"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227 (83.3)</w:t>
            </w:r>
          </w:p>
        </w:tc>
        <w:tc>
          <w:tcPr>
            <w:tcW w:w="843" w:type="pct"/>
            <w:shd w:val="clear" w:color="auto" w:fill="auto"/>
            <w:hideMark/>
          </w:tcPr>
          <w:p w14:paraId="4E1FF7E6"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58 (21.2)</w:t>
            </w:r>
          </w:p>
        </w:tc>
        <w:tc>
          <w:tcPr>
            <w:tcW w:w="843" w:type="pct"/>
            <w:shd w:val="clear" w:color="auto" w:fill="auto"/>
            <w:hideMark/>
          </w:tcPr>
          <w:p w14:paraId="3B7619BB"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215 (78.8)</w:t>
            </w:r>
          </w:p>
        </w:tc>
      </w:tr>
      <w:tr w:rsidR="00C54E98" w:rsidRPr="001D4300" w14:paraId="5A054A0D" w14:textId="77777777" w:rsidTr="00411BE5">
        <w:tc>
          <w:tcPr>
            <w:tcW w:w="1628" w:type="pct"/>
            <w:shd w:val="clear" w:color="auto" w:fill="auto"/>
            <w:hideMark/>
          </w:tcPr>
          <w:p w14:paraId="11FB79B7" w14:textId="166CD746" w:rsidR="00411BE5" w:rsidRDefault="00C54E98" w:rsidP="00411BE5">
            <w:pPr>
              <w:autoSpaceDE w:val="0"/>
              <w:autoSpaceDN w:val="0"/>
              <w:adjustRightInd w:val="0"/>
              <w:snapToGrid w:val="0"/>
              <w:spacing w:line="360" w:lineRule="auto"/>
              <w:jc w:val="both"/>
              <w:rPr>
                <w:rFonts w:ascii="Book Antiqua" w:hAnsi="Book Antiqua"/>
                <w:lang w:eastAsia="zh-CN"/>
              </w:rPr>
            </w:pPr>
            <w:r w:rsidRPr="001D4300">
              <w:rPr>
                <w:rFonts w:ascii="Book Antiqua" w:hAnsi="Book Antiqua"/>
              </w:rPr>
              <w:t>Remitters at 1 yr</w:t>
            </w:r>
            <w:r w:rsidR="00F217C4">
              <w:rPr>
                <w:rFonts w:ascii="Book Antiqua" w:hAnsi="Book Antiqua" w:hint="eastAsia"/>
                <w:lang w:eastAsia="zh-CN"/>
              </w:rPr>
              <w:t xml:space="preserve"> </w:t>
            </w:r>
          </w:p>
          <w:p w14:paraId="777925AA" w14:textId="77777777" w:rsidR="00C54E98" w:rsidRPr="001D4300" w:rsidRDefault="00C54E98" w:rsidP="00411BE5">
            <w:pPr>
              <w:autoSpaceDE w:val="0"/>
              <w:autoSpaceDN w:val="0"/>
              <w:adjustRightInd w:val="0"/>
              <w:snapToGrid w:val="0"/>
              <w:spacing w:line="360" w:lineRule="auto"/>
              <w:jc w:val="both"/>
              <w:rPr>
                <w:rFonts w:ascii="Book Antiqua" w:hAnsi="Book Antiqua"/>
              </w:rPr>
            </w:pPr>
            <w:r w:rsidRPr="001D4300">
              <w:rPr>
                <w:rFonts w:ascii="Book Antiqua" w:hAnsi="Book Antiqua"/>
              </w:rPr>
              <w:t>(</w:t>
            </w:r>
            <w:r w:rsidRPr="00F217C4">
              <w:rPr>
                <w:rFonts w:ascii="Book Antiqua" w:hAnsi="Book Antiqua"/>
                <w:i/>
              </w:rPr>
              <w:t>n</w:t>
            </w:r>
            <w:r w:rsidRPr="001D4300">
              <w:rPr>
                <w:rFonts w:ascii="Book Antiqua" w:hAnsi="Book Antiqua"/>
              </w:rPr>
              <w:t xml:space="preserve"> = 274)</w:t>
            </w:r>
          </w:p>
        </w:tc>
        <w:tc>
          <w:tcPr>
            <w:tcW w:w="843" w:type="pct"/>
            <w:shd w:val="clear" w:color="auto" w:fill="auto"/>
            <w:hideMark/>
          </w:tcPr>
          <w:p w14:paraId="7DA6CFD5"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202 (73.7)</w:t>
            </w:r>
          </w:p>
        </w:tc>
        <w:tc>
          <w:tcPr>
            <w:tcW w:w="843" w:type="pct"/>
            <w:shd w:val="clear" w:color="auto" w:fill="auto"/>
            <w:hideMark/>
          </w:tcPr>
          <w:p w14:paraId="03801FEF"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72 (26.3)</w:t>
            </w:r>
          </w:p>
        </w:tc>
        <w:tc>
          <w:tcPr>
            <w:tcW w:w="843" w:type="pct"/>
            <w:shd w:val="clear" w:color="auto" w:fill="auto"/>
            <w:hideMark/>
          </w:tcPr>
          <w:p w14:paraId="6555C98C"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204 (74.5)</w:t>
            </w:r>
          </w:p>
        </w:tc>
        <w:tc>
          <w:tcPr>
            <w:tcW w:w="843" w:type="pct"/>
            <w:shd w:val="clear" w:color="auto" w:fill="auto"/>
            <w:hideMark/>
          </w:tcPr>
          <w:p w14:paraId="2721E2C4"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70 (25.3)</w:t>
            </w:r>
          </w:p>
        </w:tc>
      </w:tr>
      <w:tr w:rsidR="00C54E98" w:rsidRPr="001D4300" w14:paraId="7A275388" w14:textId="77777777" w:rsidTr="00411BE5">
        <w:tc>
          <w:tcPr>
            <w:tcW w:w="1628" w:type="pct"/>
            <w:shd w:val="clear" w:color="auto" w:fill="auto"/>
            <w:hideMark/>
          </w:tcPr>
          <w:p w14:paraId="17F6AE31" w14:textId="41CC61E3" w:rsidR="00411BE5" w:rsidRDefault="00C54E98" w:rsidP="00411BE5">
            <w:pPr>
              <w:autoSpaceDE w:val="0"/>
              <w:autoSpaceDN w:val="0"/>
              <w:adjustRightInd w:val="0"/>
              <w:snapToGrid w:val="0"/>
              <w:spacing w:line="360" w:lineRule="auto"/>
              <w:jc w:val="both"/>
              <w:rPr>
                <w:rFonts w:ascii="Book Antiqua" w:hAnsi="Book Antiqua"/>
                <w:lang w:eastAsia="zh-CN"/>
              </w:rPr>
            </w:pPr>
            <w:r w:rsidRPr="001D4300">
              <w:rPr>
                <w:rFonts w:ascii="Book Antiqua" w:hAnsi="Book Antiqua"/>
              </w:rPr>
              <w:t>Non-remitters at 1 yr</w:t>
            </w:r>
            <w:r w:rsidR="00F217C4">
              <w:rPr>
                <w:rFonts w:ascii="Book Antiqua" w:hAnsi="Book Antiqua" w:hint="eastAsia"/>
                <w:lang w:eastAsia="zh-CN"/>
              </w:rPr>
              <w:t xml:space="preserve"> </w:t>
            </w:r>
          </w:p>
          <w:p w14:paraId="6D853CA1" w14:textId="77777777" w:rsidR="00C54E98" w:rsidRPr="001D4300" w:rsidRDefault="00C54E98" w:rsidP="00411BE5">
            <w:pPr>
              <w:autoSpaceDE w:val="0"/>
              <w:autoSpaceDN w:val="0"/>
              <w:adjustRightInd w:val="0"/>
              <w:snapToGrid w:val="0"/>
              <w:spacing w:line="360" w:lineRule="auto"/>
              <w:jc w:val="both"/>
              <w:rPr>
                <w:rFonts w:ascii="Book Antiqua" w:hAnsi="Book Antiqua"/>
              </w:rPr>
            </w:pPr>
            <w:r w:rsidRPr="001D4300">
              <w:rPr>
                <w:rFonts w:ascii="Book Antiqua" w:hAnsi="Book Antiqua"/>
              </w:rPr>
              <w:t>(</w:t>
            </w:r>
            <w:r w:rsidRPr="00F217C4">
              <w:rPr>
                <w:rFonts w:ascii="Book Antiqua" w:hAnsi="Book Antiqua"/>
                <w:i/>
              </w:rPr>
              <w:t>n</w:t>
            </w:r>
            <w:r w:rsidRPr="001D4300">
              <w:rPr>
                <w:rFonts w:ascii="Book Antiqua" w:hAnsi="Book Antiqua"/>
              </w:rPr>
              <w:t xml:space="preserve"> = 200)</w:t>
            </w:r>
          </w:p>
        </w:tc>
        <w:tc>
          <w:tcPr>
            <w:tcW w:w="843" w:type="pct"/>
            <w:shd w:val="clear" w:color="auto" w:fill="auto"/>
            <w:hideMark/>
          </w:tcPr>
          <w:p w14:paraId="2B73DA7C"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45 (22.5)</w:t>
            </w:r>
          </w:p>
        </w:tc>
        <w:tc>
          <w:tcPr>
            <w:tcW w:w="843" w:type="pct"/>
            <w:shd w:val="clear" w:color="auto" w:fill="auto"/>
            <w:hideMark/>
          </w:tcPr>
          <w:p w14:paraId="16919367"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155 (77.5)</w:t>
            </w:r>
          </w:p>
        </w:tc>
        <w:tc>
          <w:tcPr>
            <w:tcW w:w="843" w:type="pct"/>
            <w:shd w:val="clear" w:color="auto" w:fill="auto"/>
            <w:hideMark/>
          </w:tcPr>
          <w:p w14:paraId="69D08D6A"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56 (28.0)</w:t>
            </w:r>
          </w:p>
        </w:tc>
        <w:tc>
          <w:tcPr>
            <w:tcW w:w="843" w:type="pct"/>
            <w:shd w:val="clear" w:color="auto" w:fill="auto"/>
            <w:hideMark/>
          </w:tcPr>
          <w:p w14:paraId="00CE01CA"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144 (72.0)</w:t>
            </w:r>
          </w:p>
        </w:tc>
      </w:tr>
    </w:tbl>
    <w:bookmarkEnd w:id="123"/>
    <w:p w14:paraId="51BC8E9A" w14:textId="557D56FB" w:rsidR="003C5FAF" w:rsidRDefault="00C54E98" w:rsidP="00C54E98">
      <w:pPr>
        <w:adjustRightInd w:val="0"/>
        <w:snapToGrid w:val="0"/>
        <w:spacing w:line="360" w:lineRule="auto"/>
        <w:jc w:val="both"/>
        <w:rPr>
          <w:rFonts w:ascii="Book Antiqua" w:hAnsi="Book Antiqua" w:cs="Book Antiqua"/>
          <w:color w:val="000000"/>
          <w:lang w:eastAsia="zh-CN"/>
        </w:rPr>
      </w:pPr>
      <w:r w:rsidRPr="001D4300">
        <w:rPr>
          <w:rFonts w:ascii="Book Antiqua" w:hAnsi="Book Antiqua" w:cs="Calibri"/>
          <w:bCs/>
          <w:color w:val="000000"/>
        </w:rPr>
        <w:t xml:space="preserve">Subjective subscale is composed of abdominal pain and stooling; Objective subscale is composed of </w:t>
      </w:r>
      <w:r w:rsidR="002A6F09" w:rsidRPr="002A6F09">
        <w:rPr>
          <w:rFonts w:ascii="Book Antiqua" w:hAnsi="Book Antiqua" w:cs="Calibri"/>
          <w:bCs/>
          <w:color w:val="000000"/>
        </w:rPr>
        <w:t>erythrocyte sedimentation rate</w:t>
      </w:r>
      <w:r w:rsidRPr="001D4300">
        <w:rPr>
          <w:rFonts w:ascii="Book Antiqua" w:hAnsi="Book Antiqua" w:cs="Calibri"/>
          <w:bCs/>
          <w:color w:val="000000"/>
        </w:rPr>
        <w:t>, albumin, weight, height velocity, and perirectal examination. Shaded cells = number of patients that would be incorrectly (or differently) classified as having active or inactive disease based on the subjective components alone (</w:t>
      </w:r>
      <w:r w:rsidRPr="00CF4251">
        <w:rPr>
          <w:rFonts w:ascii="Book Antiqua" w:hAnsi="Book Antiqua" w:cs="Calibri"/>
          <w:bCs/>
          <w:i/>
          <w:color w:val="000000"/>
        </w:rPr>
        <w:t>e.g.</w:t>
      </w:r>
      <w:r w:rsidRPr="001D4300">
        <w:rPr>
          <w:rFonts w:ascii="Book Antiqua" w:hAnsi="Book Antiqua" w:cs="Calibri"/>
          <w:bCs/>
          <w:color w:val="000000"/>
        </w:rPr>
        <w:t>, At the Q1 time point, 397 patients were classified as being in remission, but based on the subjective only scoring, 292 (73.8%) of those patients would be classified as being in remission, while the other 26% would be classified as having active disease).</w:t>
      </w:r>
      <w:r w:rsidR="00F04B75">
        <w:rPr>
          <w:rFonts w:ascii="Book Antiqua" w:hAnsi="Book Antiqua" w:cs="Calibri" w:hint="eastAsia"/>
          <w:bCs/>
          <w:color w:val="000000"/>
          <w:lang w:eastAsia="zh-CN"/>
        </w:rPr>
        <w:t xml:space="preserve"> </w:t>
      </w:r>
      <w:r w:rsidR="00F04B75">
        <w:rPr>
          <w:rFonts w:ascii="Book Antiqua" w:hAnsi="Book Antiqua" w:cs="Calibri" w:hint="eastAsia"/>
          <w:lang w:eastAsia="zh-CN"/>
        </w:rPr>
        <w:t xml:space="preserve">PCDAI: </w:t>
      </w:r>
      <w:r w:rsidR="00F04B75">
        <w:rPr>
          <w:rFonts w:ascii="Book Antiqua" w:hAnsi="Book Antiqua" w:cs="Book Antiqua" w:hint="eastAsia"/>
          <w:color w:val="000000"/>
          <w:lang w:eastAsia="zh-CN"/>
        </w:rPr>
        <w:t>P</w:t>
      </w:r>
      <w:r w:rsidR="00F04B75">
        <w:rPr>
          <w:rFonts w:ascii="Book Antiqua" w:eastAsia="Book Antiqua" w:hAnsi="Book Antiqua" w:cs="Book Antiqua"/>
          <w:color w:val="000000"/>
        </w:rPr>
        <w:t>ediatric Crohn’s disease activity index</w:t>
      </w:r>
      <w:r w:rsidR="00F04B75">
        <w:rPr>
          <w:rFonts w:ascii="Book Antiqua" w:hAnsi="Book Antiqua" w:cs="Book Antiqua" w:hint="eastAsia"/>
          <w:color w:val="000000"/>
          <w:lang w:eastAsia="zh-CN"/>
        </w:rPr>
        <w:t>.</w:t>
      </w:r>
    </w:p>
    <w:p w14:paraId="72268590" w14:textId="77777777" w:rsidR="003C5FAF" w:rsidRDefault="003C5FAF" w:rsidP="003C5FAF">
      <w:pPr>
        <w:jc w:val="center"/>
        <w:rPr>
          <w:rFonts w:ascii="Book Antiqua" w:hAnsi="Book Antiqua"/>
          <w:lang w:eastAsia="zh-CN"/>
        </w:rPr>
      </w:pPr>
      <w:r>
        <w:rPr>
          <w:rFonts w:ascii="Book Antiqua" w:hAnsi="Book Antiqua" w:cs="Book Antiqua"/>
          <w:color w:val="000000"/>
          <w:lang w:eastAsia="zh-CN"/>
        </w:rPr>
        <w:br w:type="page"/>
      </w:r>
    </w:p>
    <w:p w14:paraId="4ADEE6B7" w14:textId="77777777" w:rsidR="003C5FAF" w:rsidRDefault="003C5FAF" w:rsidP="003C5FAF">
      <w:pPr>
        <w:jc w:val="center"/>
        <w:rPr>
          <w:rFonts w:ascii="Book Antiqua" w:hAnsi="Book Antiqua"/>
          <w:lang w:eastAsia="zh-CN"/>
        </w:rPr>
      </w:pPr>
    </w:p>
    <w:p w14:paraId="6445C8A1" w14:textId="77777777" w:rsidR="003C5FAF" w:rsidRDefault="003C5FAF" w:rsidP="003C5FAF">
      <w:pPr>
        <w:jc w:val="center"/>
        <w:rPr>
          <w:rFonts w:ascii="Book Antiqua" w:hAnsi="Book Antiqua"/>
          <w:lang w:eastAsia="zh-CN"/>
        </w:rPr>
      </w:pPr>
    </w:p>
    <w:p w14:paraId="642EB3A2" w14:textId="77777777" w:rsidR="003C5FAF" w:rsidRDefault="003C5FAF" w:rsidP="003C5FAF">
      <w:pPr>
        <w:jc w:val="center"/>
        <w:rPr>
          <w:rFonts w:ascii="Book Antiqua" w:hAnsi="Book Antiqua"/>
          <w:lang w:eastAsia="zh-CN"/>
        </w:rPr>
      </w:pPr>
    </w:p>
    <w:p w14:paraId="6EAE4450" w14:textId="77777777" w:rsidR="003C5FAF" w:rsidRDefault="003C5FAF" w:rsidP="003C5FAF">
      <w:pPr>
        <w:jc w:val="center"/>
        <w:rPr>
          <w:rFonts w:ascii="Book Antiqua" w:hAnsi="Book Antiqua"/>
          <w:lang w:eastAsia="zh-CN"/>
        </w:rPr>
      </w:pPr>
    </w:p>
    <w:p w14:paraId="2E7F9192" w14:textId="77777777" w:rsidR="003C5FAF" w:rsidRDefault="003C5FAF" w:rsidP="003C5FAF">
      <w:pPr>
        <w:jc w:val="center"/>
        <w:rPr>
          <w:rFonts w:ascii="Book Antiqua" w:hAnsi="Book Antiqua"/>
          <w:lang w:eastAsia="zh-CN"/>
        </w:rPr>
      </w:pPr>
      <w:r>
        <w:rPr>
          <w:rFonts w:ascii="Book Antiqua" w:hAnsi="Book Antiqua"/>
          <w:noProof/>
          <w:lang w:eastAsia="zh-CN"/>
        </w:rPr>
        <w:drawing>
          <wp:inline distT="0" distB="0" distL="0" distR="0" wp14:anchorId="7102C60E" wp14:editId="1275013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006614" w14:textId="77777777" w:rsidR="003C5FAF" w:rsidRDefault="003C5FAF" w:rsidP="003C5FAF">
      <w:pPr>
        <w:jc w:val="center"/>
        <w:rPr>
          <w:rFonts w:ascii="Book Antiqua" w:hAnsi="Book Antiqua"/>
          <w:lang w:eastAsia="zh-CN"/>
        </w:rPr>
      </w:pPr>
    </w:p>
    <w:p w14:paraId="7D58F783" w14:textId="77777777" w:rsidR="003C5FAF" w:rsidRPr="00763D22" w:rsidRDefault="003C5FAF" w:rsidP="003C5FA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91C4C28" w14:textId="77777777" w:rsidR="003C5FAF" w:rsidRPr="00763D22" w:rsidRDefault="003C5FAF" w:rsidP="003C5FA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DA28634" w14:textId="77777777" w:rsidR="003C5FAF" w:rsidRPr="00763D22" w:rsidRDefault="003C5FAF" w:rsidP="003C5FA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F035367" w14:textId="77777777" w:rsidR="003C5FAF" w:rsidRPr="00763D22" w:rsidRDefault="003C5FAF" w:rsidP="003C5FA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DA38071" w14:textId="77777777" w:rsidR="003C5FAF" w:rsidRPr="00763D22" w:rsidRDefault="003C5FAF" w:rsidP="003C5FA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8349B8" w14:textId="77777777" w:rsidR="003C5FAF" w:rsidRPr="00763D22" w:rsidRDefault="003C5FAF" w:rsidP="003C5FA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BAFC315" w14:textId="77777777" w:rsidR="003C5FAF" w:rsidRDefault="003C5FAF" w:rsidP="003C5FAF">
      <w:pPr>
        <w:jc w:val="center"/>
        <w:rPr>
          <w:rFonts w:ascii="Book Antiqua" w:hAnsi="Book Antiqua"/>
          <w:lang w:eastAsia="zh-CN"/>
        </w:rPr>
      </w:pPr>
    </w:p>
    <w:p w14:paraId="70DBA8AF" w14:textId="77777777" w:rsidR="003C5FAF" w:rsidRDefault="003C5FAF" w:rsidP="003C5FAF">
      <w:pPr>
        <w:jc w:val="center"/>
        <w:rPr>
          <w:rFonts w:ascii="Book Antiqua" w:hAnsi="Book Antiqua"/>
          <w:lang w:eastAsia="zh-CN"/>
        </w:rPr>
      </w:pPr>
    </w:p>
    <w:p w14:paraId="35E33A49" w14:textId="77777777" w:rsidR="003C5FAF" w:rsidRDefault="003C5FAF" w:rsidP="003C5FAF">
      <w:pPr>
        <w:jc w:val="center"/>
        <w:rPr>
          <w:rFonts w:ascii="Book Antiqua" w:hAnsi="Book Antiqua"/>
          <w:lang w:eastAsia="zh-CN"/>
        </w:rPr>
      </w:pPr>
    </w:p>
    <w:p w14:paraId="693FCDF8" w14:textId="77777777" w:rsidR="003C5FAF" w:rsidRDefault="003C5FAF" w:rsidP="003C5FAF">
      <w:pPr>
        <w:jc w:val="center"/>
        <w:rPr>
          <w:rFonts w:ascii="Book Antiqua" w:hAnsi="Book Antiqua"/>
          <w:lang w:eastAsia="zh-CN"/>
        </w:rPr>
      </w:pPr>
      <w:r>
        <w:rPr>
          <w:rFonts w:ascii="Book Antiqua" w:hAnsi="Book Antiqua"/>
          <w:noProof/>
          <w:lang w:eastAsia="zh-CN"/>
        </w:rPr>
        <w:drawing>
          <wp:inline distT="0" distB="0" distL="0" distR="0" wp14:anchorId="2DBC9E08" wp14:editId="380766D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CD9FEC" w14:textId="77777777" w:rsidR="003C5FAF" w:rsidRDefault="003C5FAF" w:rsidP="003C5FAF">
      <w:pPr>
        <w:jc w:val="center"/>
        <w:rPr>
          <w:rFonts w:ascii="Book Antiqua" w:hAnsi="Book Antiqua"/>
          <w:lang w:eastAsia="zh-CN"/>
        </w:rPr>
      </w:pPr>
    </w:p>
    <w:p w14:paraId="1E7D121A" w14:textId="77777777" w:rsidR="003C5FAF" w:rsidRDefault="003C5FAF" w:rsidP="003C5FAF">
      <w:pPr>
        <w:jc w:val="center"/>
        <w:rPr>
          <w:rFonts w:ascii="Book Antiqua" w:hAnsi="Book Antiqua"/>
          <w:lang w:eastAsia="zh-CN"/>
        </w:rPr>
      </w:pPr>
    </w:p>
    <w:p w14:paraId="3F2C4277" w14:textId="77777777" w:rsidR="003C5FAF" w:rsidRDefault="003C5FAF" w:rsidP="003C5FAF">
      <w:pPr>
        <w:jc w:val="center"/>
        <w:rPr>
          <w:rFonts w:ascii="Book Antiqua" w:hAnsi="Book Antiqua"/>
          <w:lang w:eastAsia="zh-CN"/>
        </w:rPr>
      </w:pPr>
    </w:p>
    <w:p w14:paraId="1FFEB2F6" w14:textId="77777777" w:rsidR="003C5FAF" w:rsidRDefault="003C5FAF" w:rsidP="003C5FAF">
      <w:pPr>
        <w:jc w:val="center"/>
        <w:rPr>
          <w:rFonts w:ascii="Book Antiqua" w:hAnsi="Book Antiqua"/>
          <w:lang w:eastAsia="zh-CN"/>
        </w:rPr>
      </w:pPr>
    </w:p>
    <w:p w14:paraId="09245825" w14:textId="77777777" w:rsidR="003C5FAF" w:rsidRDefault="003C5FAF" w:rsidP="003C5FAF">
      <w:pPr>
        <w:jc w:val="center"/>
        <w:rPr>
          <w:rFonts w:ascii="Book Antiqua" w:hAnsi="Book Antiqua"/>
          <w:lang w:eastAsia="zh-CN"/>
        </w:rPr>
      </w:pPr>
    </w:p>
    <w:p w14:paraId="52562F93" w14:textId="77777777" w:rsidR="003C5FAF" w:rsidRDefault="003C5FAF" w:rsidP="003C5FAF">
      <w:pPr>
        <w:jc w:val="center"/>
        <w:rPr>
          <w:rFonts w:ascii="Book Antiqua" w:hAnsi="Book Antiqua"/>
          <w:lang w:eastAsia="zh-CN"/>
        </w:rPr>
      </w:pPr>
    </w:p>
    <w:p w14:paraId="4F6BF3B7" w14:textId="77777777" w:rsidR="003C5FAF" w:rsidRDefault="003C5FAF" w:rsidP="003C5FAF">
      <w:pPr>
        <w:jc w:val="center"/>
        <w:rPr>
          <w:rFonts w:ascii="Book Antiqua" w:hAnsi="Book Antiqua"/>
          <w:lang w:eastAsia="zh-CN"/>
        </w:rPr>
      </w:pPr>
    </w:p>
    <w:p w14:paraId="7B71A119" w14:textId="77777777" w:rsidR="003C5FAF" w:rsidRDefault="003C5FAF" w:rsidP="003C5FAF">
      <w:pPr>
        <w:jc w:val="center"/>
        <w:rPr>
          <w:rFonts w:ascii="Book Antiqua" w:hAnsi="Book Antiqua"/>
          <w:lang w:eastAsia="zh-CN"/>
        </w:rPr>
      </w:pPr>
    </w:p>
    <w:p w14:paraId="513E3251" w14:textId="77777777" w:rsidR="003C5FAF" w:rsidRDefault="003C5FAF" w:rsidP="003C5FAF">
      <w:pPr>
        <w:jc w:val="center"/>
        <w:rPr>
          <w:rFonts w:ascii="Book Antiqua" w:hAnsi="Book Antiqua"/>
          <w:lang w:eastAsia="zh-CN"/>
        </w:rPr>
      </w:pPr>
    </w:p>
    <w:p w14:paraId="5A1D3F64" w14:textId="77777777" w:rsidR="003C5FAF" w:rsidRPr="00763D22" w:rsidRDefault="003C5FAF" w:rsidP="003C5FAF">
      <w:pPr>
        <w:jc w:val="right"/>
        <w:rPr>
          <w:rFonts w:ascii="Book Antiqua" w:hAnsi="Book Antiqua"/>
          <w:color w:val="000000" w:themeColor="text1"/>
          <w:lang w:eastAsia="zh-CN"/>
        </w:rPr>
      </w:pPr>
    </w:p>
    <w:p w14:paraId="2F15C3BC" w14:textId="77777777" w:rsidR="003C5FAF" w:rsidRPr="00763D22" w:rsidRDefault="003C5FAF" w:rsidP="003C5FA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C5C8C41" w14:textId="77777777" w:rsidR="00A77B3E" w:rsidRPr="003C5FAF" w:rsidRDefault="00A77B3E" w:rsidP="00C54E98">
      <w:pPr>
        <w:adjustRightInd w:val="0"/>
        <w:snapToGrid w:val="0"/>
        <w:spacing w:line="360" w:lineRule="auto"/>
        <w:jc w:val="both"/>
        <w:rPr>
          <w:rFonts w:ascii="Book Antiqua" w:hAnsi="Book Antiqua" w:cs="Calibri"/>
          <w:bCs/>
          <w:color w:val="000000"/>
          <w:lang w:eastAsia="zh-CN"/>
        </w:rPr>
      </w:pPr>
      <w:bookmarkStart w:id="124" w:name="_GoBack"/>
      <w:bookmarkEnd w:id="124"/>
    </w:p>
    <w:sectPr w:rsidR="00A77B3E" w:rsidRPr="003C5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76482" w14:textId="77777777" w:rsidR="00D3111F" w:rsidRDefault="00D3111F" w:rsidP="00593CFF">
      <w:r>
        <w:separator/>
      </w:r>
    </w:p>
  </w:endnote>
  <w:endnote w:type="continuationSeparator" w:id="0">
    <w:p w14:paraId="3D88F5B7" w14:textId="77777777" w:rsidR="00D3111F" w:rsidRDefault="00D3111F" w:rsidP="005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664973"/>
      <w:docPartObj>
        <w:docPartGallery w:val="Page Numbers (Bottom of Page)"/>
        <w:docPartUnique/>
      </w:docPartObj>
    </w:sdtPr>
    <w:sdtEndPr/>
    <w:sdtContent>
      <w:sdt>
        <w:sdtPr>
          <w:id w:val="860082579"/>
          <w:docPartObj>
            <w:docPartGallery w:val="Page Numbers (Top of Page)"/>
            <w:docPartUnique/>
          </w:docPartObj>
        </w:sdtPr>
        <w:sdtEndPr/>
        <w:sdtContent>
          <w:p w14:paraId="71F88CAD" w14:textId="77777777" w:rsidR="00593CFF" w:rsidRDefault="00593CFF">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3111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3111F">
              <w:rPr>
                <w:b/>
                <w:bCs/>
                <w:noProof/>
              </w:rPr>
              <w:t>1</w:t>
            </w:r>
            <w:r>
              <w:rPr>
                <w:b/>
                <w:bCs/>
                <w:sz w:val="24"/>
                <w:szCs w:val="24"/>
              </w:rPr>
              <w:fldChar w:fldCharType="end"/>
            </w:r>
          </w:p>
        </w:sdtContent>
      </w:sdt>
    </w:sdtContent>
  </w:sdt>
  <w:p w14:paraId="6739CD8B" w14:textId="77777777" w:rsidR="00593CFF" w:rsidRDefault="00593C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9214E" w14:textId="77777777" w:rsidR="00D3111F" w:rsidRDefault="00D3111F" w:rsidP="00593CFF">
      <w:r>
        <w:separator/>
      </w:r>
    </w:p>
  </w:footnote>
  <w:footnote w:type="continuationSeparator" w:id="0">
    <w:p w14:paraId="34D3C459" w14:textId="77777777" w:rsidR="00D3111F" w:rsidRDefault="00D3111F" w:rsidP="00593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4467"/>
    <w:rsid w:val="00050D47"/>
    <w:rsid w:val="00095043"/>
    <w:rsid w:val="000A0187"/>
    <w:rsid w:val="000F5C7A"/>
    <w:rsid w:val="001A5AC1"/>
    <w:rsid w:val="001B0BDF"/>
    <w:rsid w:val="001C7E73"/>
    <w:rsid w:val="001F6C1E"/>
    <w:rsid w:val="002260D2"/>
    <w:rsid w:val="0024785E"/>
    <w:rsid w:val="00287810"/>
    <w:rsid w:val="002A6F09"/>
    <w:rsid w:val="002E1EA9"/>
    <w:rsid w:val="00312916"/>
    <w:rsid w:val="0036176C"/>
    <w:rsid w:val="003B31C0"/>
    <w:rsid w:val="003B49E2"/>
    <w:rsid w:val="003C5FAF"/>
    <w:rsid w:val="003E3E93"/>
    <w:rsid w:val="003F23A6"/>
    <w:rsid w:val="003F35DD"/>
    <w:rsid w:val="00411BE5"/>
    <w:rsid w:val="0042623B"/>
    <w:rsid w:val="0042768F"/>
    <w:rsid w:val="004B5BC7"/>
    <w:rsid w:val="004D74CC"/>
    <w:rsid w:val="004E6C22"/>
    <w:rsid w:val="00547A45"/>
    <w:rsid w:val="00591669"/>
    <w:rsid w:val="00593CFF"/>
    <w:rsid w:val="005B2659"/>
    <w:rsid w:val="005E0961"/>
    <w:rsid w:val="00613B81"/>
    <w:rsid w:val="00670554"/>
    <w:rsid w:val="006B5CA6"/>
    <w:rsid w:val="006E4658"/>
    <w:rsid w:val="00740447"/>
    <w:rsid w:val="00743A7A"/>
    <w:rsid w:val="007500EF"/>
    <w:rsid w:val="007B5DB8"/>
    <w:rsid w:val="007D5041"/>
    <w:rsid w:val="007D7651"/>
    <w:rsid w:val="00893C0B"/>
    <w:rsid w:val="008E6399"/>
    <w:rsid w:val="00971E33"/>
    <w:rsid w:val="009947EA"/>
    <w:rsid w:val="00A77B3E"/>
    <w:rsid w:val="00A959BA"/>
    <w:rsid w:val="00AE0615"/>
    <w:rsid w:val="00AF5A40"/>
    <w:rsid w:val="00B23E72"/>
    <w:rsid w:val="00B354B6"/>
    <w:rsid w:val="00B903A6"/>
    <w:rsid w:val="00BB463F"/>
    <w:rsid w:val="00BB792F"/>
    <w:rsid w:val="00BF3EC3"/>
    <w:rsid w:val="00BF46A3"/>
    <w:rsid w:val="00C037B2"/>
    <w:rsid w:val="00C10068"/>
    <w:rsid w:val="00C5387C"/>
    <w:rsid w:val="00C54E98"/>
    <w:rsid w:val="00CA2A55"/>
    <w:rsid w:val="00CD2AAF"/>
    <w:rsid w:val="00CF4251"/>
    <w:rsid w:val="00D05497"/>
    <w:rsid w:val="00D13F39"/>
    <w:rsid w:val="00D15AA1"/>
    <w:rsid w:val="00D2621D"/>
    <w:rsid w:val="00D3111F"/>
    <w:rsid w:val="00D5140A"/>
    <w:rsid w:val="00D713E5"/>
    <w:rsid w:val="00D77E3B"/>
    <w:rsid w:val="00DA540A"/>
    <w:rsid w:val="00DB2D06"/>
    <w:rsid w:val="00DC3951"/>
    <w:rsid w:val="00DD22C5"/>
    <w:rsid w:val="00E13DCA"/>
    <w:rsid w:val="00E17DFF"/>
    <w:rsid w:val="00E5278F"/>
    <w:rsid w:val="00EA0D35"/>
    <w:rsid w:val="00EA17DE"/>
    <w:rsid w:val="00EF3D0E"/>
    <w:rsid w:val="00F04B75"/>
    <w:rsid w:val="00F217C4"/>
    <w:rsid w:val="00F21D6E"/>
    <w:rsid w:val="00F30315"/>
    <w:rsid w:val="00FE0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4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EA9"/>
    <w:pPr>
      <w:spacing w:before="100" w:beforeAutospacing="1" w:after="100" w:afterAutospacing="1"/>
    </w:pPr>
    <w:rPr>
      <w:rFonts w:ascii="宋体" w:eastAsia="宋体" w:hAnsi="宋体" w:cs="宋体"/>
      <w:lang w:eastAsia="zh-CN"/>
    </w:rPr>
  </w:style>
  <w:style w:type="character" w:styleId="a4">
    <w:name w:val="Hyperlink"/>
    <w:basedOn w:val="a0"/>
    <w:rsid w:val="001F6C1E"/>
    <w:rPr>
      <w:color w:val="0000FF" w:themeColor="hyperlink"/>
      <w:u w:val="single"/>
    </w:rPr>
  </w:style>
  <w:style w:type="paragraph" w:styleId="a5">
    <w:name w:val="Balloon Text"/>
    <w:basedOn w:val="a"/>
    <w:link w:val="Char"/>
    <w:rsid w:val="00C54E98"/>
    <w:rPr>
      <w:sz w:val="18"/>
      <w:szCs w:val="18"/>
    </w:rPr>
  </w:style>
  <w:style w:type="character" w:customStyle="1" w:styleId="Char">
    <w:name w:val="批注框文本 Char"/>
    <w:basedOn w:val="a0"/>
    <w:link w:val="a5"/>
    <w:rsid w:val="00C54E98"/>
    <w:rPr>
      <w:sz w:val="18"/>
      <w:szCs w:val="18"/>
    </w:rPr>
  </w:style>
  <w:style w:type="paragraph" w:styleId="a6">
    <w:name w:val="header"/>
    <w:basedOn w:val="a"/>
    <w:link w:val="Char0"/>
    <w:rsid w:val="00593C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93CFF"/>
    <w:rPr>
      <w:sz w:val="18"/>
      <w:szCs w:val="18"/>
    </w:rPr>
  </w:style>
  <w:style w:type="paragraph" w:styleId="a7">
    <w:name w:val="footer"/>
    <w:basedOn w:val="a"/>
    <w:link w:val="Char1"/>
    <w:uiPriority w:val="99"/>
    <w:rsid w:val="00593CFF"/>
    <w:pPr>
      <w:tabs>
        <w:tab w:val="center" w:pos="4153"/>
        <w:tab w:val="right" w:pos="8306"/>
      </w:tabs>
      <w:snapToGrid w:val="0"/>
    </w:pPr>
    <w:rPr>
      <w:sz w:val="18"/>
      <w:szCs w:val="18"/>
    </w:rPr>
  </w:style>
  <w:style w:type="character" w:customStyle="1" w:styleId="Char1">
    <w:name w:val="页脚 Char"/>
    <w:basedOn w:val="a0"/>
    <w:link w:val="a7"/>
    <w:uiPriority w:val="99"/>
    <w:rsid w:val="00593CFF"/>
    <w:rPr>
      <w:sz w:val="18"/>
      <w:szCs w:val="18"/>
    </w:rPr>
  </w:style>
  <w:style w:type="character" w:styleId="a8">
    <w:name w:val="annotation reference"/>
    <w:basedOn w:val="a0"/>
    <w:semiHidden/>
    <w:unhideWhenUsed/>
    <w:rsid w:val="004E6C22"/>
    <w:rPr>
      <w:sz w:val="16"/>
      <w:szCs w:val="16"/>
    </w:rPr>
  </w:style>
  <w:style w:type="paragraph" w:styleId="a9">
    <w:name w:val="annotation text"/>
    <w:basedOn w:val="a"/>
    <w:link w:val="Char2"/>
    <w:semiHidden/>
    <w:unhideWhenUsed/>
    <w:rsid w:val="004E6C22"/>
    <w:rPr>
      <w:sz w:val="20"/>
      <w:szCs w:val="20"/>
    </w:rPr>
  </w:style>
  <w:style w:type="character" w:customStyle="1" w:styleId="Char2">
    <w:name w:val="批注文字 Char"/>
    <w:basedOn w:val="a0"/>
    <w:link w:val="a9"/>
    <w:semiHidden/>
    <w:rsid w:val="004E6C22"/>
  </w:style>
  <w:style w:type="paragraph" w:styleId="aa">
    <w:name w:val="annotation subject"/>
    <w:basedOn w:val="a9"/>
    <w:next w:val="a9"/>
    <w:link w:val="Char3"/>
    <w:semiHidden/>
    <w:unhideWhenUsed/>
    <w:rsid w:val="004E6C22"/>
    <w:rPr>
      <w:b/>
      <w:bCs/>
    </w:rPr>
  </w:style>
  <w:style w:type="character" w:customStyle="1" w:styleId="Char3">
    <w:name w:val="批注主题 Char"/>
    <w:basedOn w:val="Char2"/>
    <w:link w:val="aa"/>
    <w:semiHidden/>
    <w:rsid w:val="004E6C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23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32</Pages>
  <Words>7565</Words>
  <Characters>43124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18</cp:revision>
  <dcterms:created xsi:type="dcterms:W3CDTF">2021-07-22T11:51:00Z</dcterms:created>
  <dcterms:modified xsi:type="dcterms:W3CDTF">2021-08-09T07:58:00Z</dcterms:modified>
</cp:coreProperties>
</file>