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9435" w14:textId="77777777" w:rsidR="00A77B3E" w:rsidRDefault="00E33DE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25B97EF" w14:textId="77777777" w:rsidR="00A77B3E" w:rsidRDefault="00E33DE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64637</w:t>
      </w:r>
    </w:p>
    <w:p w14:paraId="4EE08E34" w14:textId="77777777" w:rsidR="00A77B3E" w:rsidRDefault="00E33DE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BC4DB0" w14:textId="77777777" w:rsidR="00A77B3E" w:rsidRDefault="00A77B3E">
      <w:pPr>
        <w:spacing w:line="360" w:lineRule="auto"/>
        <w:jc w:val="both"/>
      </w:pPr>
    </w:p>
    <w:p w14:paraId="2DFD28E3" w14:textId="77777777" w:rsidR="00A77B3E" w:rsidRDefault="00E33DE9">
      <w:pPr>
        <w:spacing w:line="360" w:lineRule="auto"/>
        <w:jc w:val="both"/>
      </w:pPr>
      <w:r>
        <w:rPr>
          <w:rFonts w:ascii="Book Antiqua" w:eastAsia="Book Antiqua" w:hAnsi="Book Antiqua" w:cs="Book Antiqua"/>
          <w:b/>
          <w:bCs/>
          <w:color w:val="000000"/>
        </w:rPr>
        <w:t xml:space="preserve">Molecular testing for colorectal cancer: </w:t>
      </w:r>
      <w:r>
        <w:rPr>
          <w:rFonts w:ascii="Book Antiqua" w:eastAsia="Book Antiqua" w:hAnsi="Book Antiqua" w:cs="Book Antiqua"/>
          <w:b/>
          <w:bCs/>
          <w:caps/>
          <w:color w:val="000000"/>
        </w:rPr>
        <w:t>c</w:t>
      </w:r>
      <w:r>
        <w:rPr>
          <w:rFonts w:ascii="Book Antiqua" w:eastAsia="Book Antiqua" w:hAnsi="Book Antiqua" w:cs="Book Antiqua"/>
          <w:b/>
          <w:bCs/>
          <w:color w:val="000000"/>
        </w:rPr>
        <w:t>linical applications</w:t>
      </w:r>
    </w:p>
    <w:p w14:paraId="64165F09" w14:textId="77777777" w:rsidR="00A77B3E" w:rsidRDefault="00A77B3E">
      <w:pPr>
        <w:spacing w:line="360" w:lineRule="auto"/>
        <w:jc w:val="both"/>
      </w:pPr>
    </w:p>
    <w:p w14:paraId="4948BC8D" w14:textId="77777777" w:rsidR="00A77B3E" w:rsidRDefault="00AD6356">
      <w:pPr>
        <w:spacing w:line="360" w:lineRule="auto"/>
        <w:jc w:val="both"/>
      </w:pPr>
      <w:r>
        <w:rPr>
          <w:rFonts w:ascii="Book Antiqua" w:eastAsia="Book Antiqua" w:hAnsi="Book Antiqua" w:cs="Book Antiqua"/>
          <w:color w:val="000000"/>
        </w:rPr>
        <w:t xml:space="preserve">Imyanitov </w:t>
      </w:r>
      <w:r>
        <w:rPr>
          <w:rFonts w:ascii="Book Antiqua" w:hAnsi="Book Antiqua" w:cs="Book Antiqua" w:hint="eastAsia"/>
          <w:color w:val="000000"/>
          <w:lang w:eastAsia="zh-CN"/>
        </w:rPr>
        <w:t xml:space="preserve">E </w:t>
      </w:r>
      <w:r w:rsidRPr="00AD635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33DE9">
        <w:rPr>
          <w:rFonts w:ascii="Book Antiqua" w:eastAsia="Book Antiqua" w:hAnsi="Book Antiqua" w:cs="Book Antiqua"/>
          <w:color w:val="000000"/>
        </w:rPr>
        <w:t>Molecular testing for colorectal cancer</w:t>
      </w:r>
    </w:p>
    <w:p w14:paraId="067656BA" w14:textId="77777777" w:rsidR="00A77B3E" w:rsidRDefault="00A77B3E">
      <w:pPr>
        <w:spacing w:line="360" w:lineRule="auto"/>
        <w:jc w:val="both"/>
      </w:pPr>
    </w:p>
    <w:p w14:paraId="04E9C776" w14:textId="77777777" w:rsidR="00A77B3E" w:rsidRDefault="00E33DE9">
      <w:pPr>
        <w:spacing w:line="360" w:lineRule="auto"/>
        <w:jc w:val="both"/>
      </w:pPr>
      <w:r>
        <w:rPr>
          <w:rFonts w:ascii="Book Antiqua" w:eastAsia="Book Antiqua" w:hAnsi="Book Antiqua" w:cs="Book Antiqua"/>
          <w:color w:val="000000"/>
        </w:rPr>
        <w:t>Evgeny Imyanitov, Ekaterina Kuligina</w:t>
      </w:r>
    </w:p>
    <w:p w14:paraId="17959B96" w14:textId="77777777" w:rsidR="00A77B3E" w:rsidRDefault="00A77B3E">
      <w:pPr>
        <w:spacing w:line="360" w:lineRule="auto"/>
        <w:jc w:val="both"/>
      </w:pPr>
    </w:p>
    <w:p w14:paraId="617E994A" w14:textId="2A5DEDF6" w:rsidR="00A77B3E" w:rsidRDefault="00E33DE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Evgeny Imyanitov, Ekaterina Kuligina, </w:t>
      </w:r>
      <w:r>
        <w:rPr>
          <w:rFonts w:ascii="Book Antiqua" w:eastAsia="Book Antiqua" w:hAnsi="Book Antiqua" w:cs="Book Antiqua"/>
          <w:color w:val="000000"/>
        </w:rPr>
        <w:t>Department of Tumor Biology, N.N. Petrov Institute of Oncology, St.-Petersburg 197758, Russia</w:t>
      </w:r>
    </w:p>
    <w:p w14:paraId="707EAEEF" w14:textId="11EC3818" w:rsidR="005D651B" w:rsidRDefault="005D651B">
      <w:pPr>
        <w:spacing w:line="360" w:lineRule="auto"/>
        <w:jc w:val="both"/>
        <w:rPr>
          <w:rFonts w:ascii="Book Antiqua" w:eastAsia="Book Antiqua" w:hAnsi="Book Antiqua" w:cs="Book Antiqua"/>
          <w:color w:val="000000"/>
        </w:rPr>
      </w:pPr>
    </w:p>
    <w:p w14:paraId="168643C0" w14:textId="715BB1E1" w:rsidR="005D651B" w:rsidRPr="00E33160" w:rsidRDefault="005D651B" w:rsidP="005D651B">
      <w:pPr>
        <w:adjustRightInd w:val="0"/>
        <w:snapToGrid w:val="0"/>
        <w:spacing w:line="360" w:lineRule="auto"/>
        <w:jc w:val="both"/>
        <w:rPr>
          <w:rFonts w:ascii="Book Antiqua" w:hAnsi="Book Antiqua"/>
        </w:rPr>
      </w:pPr>
      <w:r w:rsidRPr="00E33160">
        <w:rPr>
          <w:rFonts w:ascii="Book Antiqua" w:eastAsia="Book Antiqua" w:hAnsi="Book Antiqua" w:cs="Book Antiqua"/>
          <w:b/>
          <w:bCs/>
          <w:color w:val="000000"/>
        </w:rPr>
        <w:t xml:space="preserve">Evgeny Imyanitov, </w:t>
      </w:r>
      <w:r w:rsidRPr="00E33160">
        <w:rPr>
          <w:rFonts w:ascii="Book Antiqua" w:eastAsia="Book Antiqua" w:hAnsi="Book Antiqua" w:cs="Book Antiqua"/>
          <w:color w:val="000000"/>
        </w:rPr>
        <w:t>Department of Medical Genetics, St.-Petersburg Pediatric Medical University, Saint-Petersburg 194100, Russia</w:t>
      </w:r>
    </w:p>
    <w:p w14:paraId="37E1CCEE" w14:textId="77777777" w:rsidR="005D651B" w:rsidRPr="00E33160" w:rsidRDefault="005D651B" w:rsidP="005D651B">
      <w:pPr>
        <w:adjustRightInd w:val="0"/>
        <w:snapToGrid w:val="0"/>
        <w:spacing w:line="360" w:lineRule="auto"/>
        <w:jc w:val="both"/>
        <w:rPr>
          <w:rFonts w:ascii="Book Antiqua" w:hAnsi="Book Antiqua"/>
        </w:rPr>
      </w:pPr>
    </w:p>
    <w:p w14:paraId="6C7F986E" w14:textId="77777777" w:rsidR="005D651B" w:rsidRPr="00E33160" w:rsidRDefault="005D651B" w:rsidP="005D651B">
      <w:pPr>
        <w:adjustRightInd w:val="0"/>
        <w:snapToGrid w:val="0"/>
        <w:spacing w:line="360" w:lineRule="auto"/>
        <w:jc w:val="both"/>
        <w:rPr>
          <w:rFonts w:ascii="Book Antiqua" w:hAnsi="Book Antiqua"/>
        </w:rPr>
      </w:pPr>
      <w:r w:rsidRPr="00E33160">
        <w:rPr>
          <w:rFonts w:ascii="Book Antiqua" w:eastAsia="Book Antiqua" w:hAnsi="Book Antiqua" w:cs="Book Antiqua"/>
          <w:b/>
          <w:bCs/>
          <w:color w:val="000000"/>
        </w:rPr>
        <w:t xml:space="preserve">Evgeny Imyanitov, </w:t>
      </w:r>
      <w:r w:rsidRPr="00E33160">
        <w:rPr>
          <w:rFonts w:ascii="Book Antiqua" w:eastAsia="Book Antiqua" w:hAnsi="Book Antiqua" w:cs="Book Antiqua"/>
          <w:color w:val="000000"/>
        </w:rPr>
        <w:t>Department of Oncology, I.I. Mechnikov North-Western Medical University, Saint-Petersburg 191015, Russia</w:t>
      </w:r>
    </w:p>
    <w:p w14:paraId="50CB96E1" w14:textId="77777777" w:rsidR="00A77B3E" w:rsidRDefault="00A77B3E">
      <w:pPr>
        <w:spacing w:line="360" w:lineRule="auto"/>
        <w:jc w:val="both"/>
      </w:pPr>
    </w:p>
    <w:p w14:paraId="2D681E44" w14:textId="77777777" w:rsidR="00A77B3E" w:rsidRDefault="00E33DE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Imyanitov E wrote the article draft; Kuligina E prepared the illustration; </w:t>
      </w:r>
      <w:r>
        <w:rPr>
          <w:rFonts w:ascii="Book Antiqua" w:eastAsia="Book Antiqua" w:hAnsi="Book Antiqua" w:cs="Book Antiqua"/>
          <w:caps/>
          <w:color w:val="000000"/>
        </w:rPr>
        <w:t>b</w:t>
      </w:r>
      <w:r>
        <w:rPr>
          <w:rFonts w:ascii="Book Antiqua" w:eastAsia="Book Antiqua" w:hAnsi="Book Antiqua" w:cs="Book Antiqua"/>
          <w:color w:val="000000"/>
        </w:rPr>
        <w:t>oth authors reviewed the literature data, edited and approved the final version of the manuscript.</w:t>
      </w:r>
    </w:p>
    <w:p w14:paraId="0E5DD918" w14:textId="77777777" w:rsidR="00A77B3E" w:rsidRDefault="00A77B3E">
      <w:pPr>
        <w:spacing w:line="360" w:lineRule="auto"/>
        <w:jc w:val="both"/>
      </w:pPr>
    </w:p>
    <w:p w14:paraId="415E1EA6" w14:textId="77777777" w:rsidR="00A77B3E" w:rsidRDefault="00E33DE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Ministry of Science and Higher Education of the Russian Federation, No. 075-15-2020-789. </w:t>
      </w:r>
    </w:p>
    <w:p w14:paraId="52CA913B" w14:textId="77777777" w:rsidR="00A77B3E" w:rsidRDefault="00A77B3E">
      <w:pPr>
        <w:spacing w:line="360" w:lineRule="auto"/>
        <w:jc w:val="both"/>
      </w:pPr>
    </w:p>
    <w:p w14:paraId="403276D9" w14:textId="77777777" w:rsidR="00A77B3E" w:rsidRDefault="00E33DE9">
      <w:pPr>
        <w:spacing w:line="360" w:lineRule="auto"/>
        <w:jc w:val="both"/>
      </w:pPr>
      <w:r>
        <w:rPr>
          <w:rFonts w:ascii="Book Antiqua" w:eastAsia="Book Antiqua" w:hAnsi="Book Antiqua" w:cs="Book Antiqua"/>
          <w:b/>
          <w:bCs/>
          <w:color w:val="000000"/>
        </w:rPr>
        <w:t xml:space="preserve">Corresponding author: Evgeny Imyanitov, DSc, Professor, </w:t>
      </w:r>
      <w:r>
        <w:rPr>
          <w:rFonts w:ascii="Book Antiqua" w:eastAsia="Book Antiqua" w:hAnsi="Book Antiqua" w:cs="Book Antiqua"/>
          <w:color w:val="000000"/>
        </w:rPr>
        <w:t>Department of Tumor Biology, N.N. Petrov Institute of Oncology, Pesochny, St.-Petersburg 197758, Russia. evgeny@imyanitov.spb.ru</w:t>
      </w:r>
    </w:p>
    <w:p w14:paraId="6B064AAE" w14:textId="77777777" w:rsidR="00A77B3E" w:rsidRDefault="00A77B3E">
      <w:pPr>
        <w:spacing w:line="360" w:lineRule="auto"/>
        <w:jc w:val="both"/>
      </w:pPr>
    </w:p>
    <w:p w14:paraId="6B6BEBF8" w14:textId="77777777" w:rsidR="00A77B3E" w:rsidRDefault="00E33DE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2648858D" w14:textId="77777777" w:rsidR="00A77B3E" w:rsidRDefault="00E33DE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19, 2021</w:t>
      </w:r>
    </w:p>
    <w:p w14:paraId="473840D3" w14:textId="523AEA9E" w:rsidR="00A77B3E" w:rsidRPr="006C4D4E" w:rsidRDefault="00E33DE9">
      <w:pPr>
        <w:spacing w:line="360" w:lineRule="auto"/>
        <w:jc w:val="both"/>
      </w:pPr>
      <w:r>
        <w:rPr>
          <w:rFonts w:ascii="Book Antiqua" w:eastAsia="Book Antiqua" w:hAnsi="Book Antiqua" w:cs="Book Antiqua"/>
          <w:b/>
          <w:bCs/>
          <w:color w:val="000000"/>
        </w:rPr>
        <w:t xml:space="preserve">Accepted: </w:t>
      </w:r>
      <w:r w:rsidR="006C4D4E" w:rsidRPr="006C4D4E">
        <w:rPr>
          <w:rFonts w:ascii="Book Antiqua" w:eastAsia="Book Antiqua" w:hAnsi="Book Antiqua" w:cs="Book Antiqua"/>
          <w:color w:val="000000"/>
        </w:rPr>
        <w:t>August 24, 2021</w:t>
      </w:r>
    </w:p>
    <w:p w14:paraId="541BA6E2" w14:textId="77777777" w:rsidR="00A77B3E" w:rsidRDefault="00E33DE9">
      <w:pPr>
        <w:spacing w:line="360" w:lineRule="auto"/>
        <w:jc w:val="both"/>
      </w:pPr>
      <w:r>
        <w:rPr>
          <w:rFonts w:ascii="Book Antiqua" w:eastAsia="Book Antiqua" w:hAnsi="Book Antiqua" w:cs="Book Antiqua"/>
          <w:b/>
          <w:bCs/>
          <w:color w:val="000000"/>
        </w:rPr>
        <w:t xml:space="preserve">Published online: </w:t>
      </w:r>
    </w:p>
    <w:p w14:paraId="43DE09D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2C3980" w14:textId="77777777" w:rsidR="00A77B3E" w:rsidRDefault="00E33DE9">
      <w:pPr>
        <w:spacing w:line="360" w:lineRule="auto"/>
        <w:jc w:val="both"/>
      </w:pPr>
      <w:r>
        <w:rPr>
          <w:rFonts w:ascii="Book Antiqua" w:eastAsia="Book Antiqua" w:hAnsi="Book Antiqua" w:cs="Book Antiqua"/>
          <w:b/>
          <w:color w:val="000000"/>
        </w:rPr>
        <w:t>Abstract</w:t>
      </w:r>
    </w:p>
    <w:p w14:paraId="13A6A66A" w14:textId="6EF95465" w:rsidR="00A77B3E" w:rsidRDefault="00E33DE9">
      <w:pPr>
        <w:spacing w:line="360" w:lineRule="auto"/>
        <w:jc w:val="both"/>
      </w:pPr>
      <w:r>
        <w:rPr>
          <w:rFonts w:ascii="Book Antiqua" w:eastAsia="Book Antiqua" w:hAnsi="Book Antiqua" w:cs="Book Antiqua"/>
          <w:color w:val="000000"/>
        </w:rPr>
        <w:t xml:space="preserve">Molecular genetic analysis is an integral part of colorectal cancer (CRC) management. The choice of systemic therapy </w:t>
      </w:r>
      <w:r w:rsidR="005D651B">
        <w:rPr>
          <w:rFonts w:ascii="Book Antiqua" w:eastAsia="Book Antiqua" w:hAnsi="Book Antiqua" w:cs="Book Antiqua"/>
          <w:color w:val="000000"/>
        </w:rPr>
        <w:t xml:space="preserve">for CRC </w:t>
      </w:r>
      <w:r>
        <w:rPr>
          <w:rFonts w:ascii="Book Antiqua" w:eastAsia="Book Antiqua" w:hAnsi="Book Antiqua" w:cs="Book Antiqua"/>
          <w:color w:val="000000"/>
        </w:rPr>
        <w:t xml:space="preserve">is largely based on the results of </w:t>
      </w:r>
      <w:r w:rsidR="005D651B">
        <w:rPr>
          <w:rFonts w:ascii="Book Antiqua" w:eastAsia="Book Antiqua" w:hAnsi="Book Antiqua" w:cs="Book Antiqua"/>
          <w:color w:val="000000"/>
        </w:rPr>
        <w:t xml:space="preserve">tumor </w:t>
      </w:r>
      <w:r>
        <w:rPr>
          <w:rFonts w:ascii="Book Antiqua" w:eastAsia="Book Antiqua" w:hAnsi="Book Antiqua" w:cs="Book Antiqua"/>
          <w:color w:val="000000"/>
        </w:rPr>
        <w:t xml:space="preserve">molecular testing. Evaluation of the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NRAS</w:t>
      </w:r>
      <w:r>
        <w:rPr>
          <w:rFonts w:ascii="Book Antiqua" w:eastAsia="Book Antiqua" w:hAnsi="Book Antiqua" w:cs="Book Antiqua"/>
          <w:color w:val="000000"/>
        </w:rPr>
        <w:t xml:space="preserve"> gene status is mandatory for consideration of anti-epidermal growth factor receptor (EGFR) therapy. Tumors with the </w:t>
      </w:r>
      <w:bookmarkStart w:id="0" w:name="OLE_LINK162"/>
      <w:bookmarkStart w:id="1" w:name="OLE_LINK163"/>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w:t>
      </w:r>
      <w:bookmarkEnd w:id="0"/>
      <w:bookmarkEnd w:id="1"/>
      <w:r>
        <w:rPr>
          <w:rFonts w:ascii="Book Antiqua" w:eastAsia="Book Antiqua" w:hAnsi="Book Antiqua" w:cs="Book Antiqua"/>
          <w:color w:val="000000"/>
        </w:rPr>
        <w:t xml:space="preserve">V600E substitution are characterized by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may require intensified cytotoxic regimens and benefit from combined BRAF and EGFR inhibition. The inactivation of DNA mismatch repair (</w:t>
      </w:r>
      <w:r w:rsidRPr="00FE5C67">
        <w:rPr>
          <w:rFonts w:ascii="Book Antiqua" w:eastAsia="Book Antiqua" w:hAnsi="Book Antiqua" w:cs="Book Antiqua"/>
          <w:iCs/>
          <w:color w:val="000000"/>
        </w:rPr>
        <w:t>MMR</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xml:space="preserve"> gene, or DNA polymerase epsilon results in excessive tumor mutational burden; these CRCs are highly antigenic and therefore sensitive to immune checkpoint inhibitors. Some CRCs are characterized by overexpression of the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 oncogene and respond to the appropriate targeted therapy. There are CRC</w:t>
      </w:r>
      <w:r w:rsidR="005D651B">
        <w:rPr>
          <w:rFonts w:ascii="Book Antiqua" w:eastAsia="Book Antiqua" w:hAnsi="Book Antiqua" w:cs="Book Antiqua"/>
          <w:color w:val="000000"/>
        </w:rPr>
        <w:t>s</w:t>
      </w:r>
      <w:r>
        <w:rPr>
          <w:rFonts w:ascii="Book Antiqua" w:eastAsia="Book Antiqua" w:hAnsi="Book Antiqua" w:cs="Book Antiqua"/>
          <w:color w:val="000000"/>
        </w:rPr>
        <w:t xml:space="preserve"> </w:t>
      </w:r>
      <w:r w:rsidR="005D651B">
        <w:rPr>
          <w:rFonts w:ascii="Book Antiqua" w:eastAsia="Book Antiqua" w:hAnsi="Book Antiqua" w:cs="Book Antiqua"/>
          <w:color w:val="000000"/>
        </w:rPr>
        <w:t xml:space="preserve">with clinical signs of </w:t>
      </w:r>
      <w:r>
        <w:rPr>
          <w:rFonts w:ascii="Book Antiqua" w:eastAsia="Book Antiqua" w:hAnsi="Book Antiqua" w:cs="Book Antiqua"/>
          <w:color w:val="000000"/>
        </w:rPr>
        <w:t>hereditary predisposition to this disease, which require germline genetic testing. Liquid biopsy is an emerging technology that has the potential to assist CRC screening, control the efficacy of surgical intervention and guide disease monitoring. The landscape of CRC molecular diagnosis is currently undergoing profound changes due to the increasing use of next generation sequencing.</w:t>
      </w:r>
    </w:p>
    <w:p w14:paraId="7B4AEBD9" w14:textId="77777777" w:rsidR="00A77B3E" w:rsidRDefault="00A77B3E">
      <w:pPr>
        <w:spacing w:line="360" w:lineRule="auto"/>
        <w:jc w:val="both"/>
      </w:pPr>
    </w:p>
    <w:p w14:paraId="0446DEA5" w14:textId="0C2378FF" w:rsidR="00A77B3E" w:rsidRDefault="00E33DE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w:t>
      </w:r>
      <w:r w:rsidR="00A032C2">
        <w:rPr>
          <w:rFonts w:ascii="Book Antiqua" w:eastAsia="Book Antiqua" w:hAnsi="Book Antiqua" w:cs="Book Antiqua"/>
          <w:color w:val="000000"/>
        </w:rPr>
        <w:t>Anti</w:t>
      </w:r>
      <w:r w:rsidR="00A032C2">
        <w:rPr>
          <w:rFonts w:ascii="Book Antiqua" w:eastAsia="Book Antiqua" w:hAnsi="Book Antiqua" w:cs="Book Antiqua"/>
          <w:color w:val="000000"/>
        </w:rPr>
        <w:t>-epidermal growth factor receptor</w:t>
      </w:r>
      <w:r>
        <w:rPr>
          <w:rFonts w:ascii="Book Antiqua" w:eastAsia="Book Antiqua" w:hAnsi="Book Antiqua" w:cs="Book Antiqua"/>
          <w:color w:val="000000"/>
        </w:rPr>
        <w:t xml:space="preserve"> therapy; </w:t>
      </w:r>
      <w:r w:rsidRPr="00A032C2">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A032C2">
        <w:rPr>
          <w:rFonts w:ascii="Book Antiqua" w:eastAsia="Book Antiqua" w:hAnsi="Book Antiqua" w:cs="Book Antiqua"/>
          <w:i/>
          <w:iCs/>
          <w:color w:val="000000"/>
        </w:rPr>
        <w:t>NRAS</w:t>
      </w:r>
      <w:r>
        <w:rPr>
          <w:rFonts w:ascii="Book Antiqua" w:eastAsia="Book Antiqua" w:hAnsi="Book Antiqua" w:cs="Book Antiqua"/>
          <w:color w:val="000000"/>
        </w:rPr>
        <w:t xml:space="preserve">; </w:t>
      </w:r>
      <w:r w:rsidRPr="00A032C2">
        <w:rPr>
          <w:rFonts w:ascii="Book Antiqua" w:eastAsia="Book Antiqua" w:hAnsi="Book Antiqua" w:cs="Book Antiqua"/>
          <w:i/>
          <w:iCs/>
          <w:color w:val="000000"/>
        </w:rPr>
        <w:t>BRAF</w:t>
      </w:r>
      <w:r>
        <w:rPr>
          <w:rFonts w:ascii="Book Antiqua" w:eastAsia="Book Antiqua" w:hAnsi="Book Antiqua" w:cs="Book Antiqua"/>
          <w:color w:val="000000"/>
        </w:rPr>
        <w:t xml:space="preserve">; </w:t>
      </w:r>
      <w:r w:rsidRPr="00A032C2">
        <w:rPr>
          <w:rFonts w:ascii="Book Antiqua" w:eastAsia="Book Antiqua" w:hAnsi="Book Antiqua" w:cs="Book Antiqua"/>
          <w:i/>
          <w:iCs/>
          <w:color w:val="000000"/>
        </w:rPr>
        <w:t>HER2</w:t>
      </w:r>
      <w:r>
        <w:rPr>
          <w:rFonts w:ascii="Book Antiqua" w:eastAsia="Book Antiqua" w:hAnsi="Book Antiqua" w:cs="Book Antiqua"/>
          <w:color w:val="000000"/>
        </w:rPr>
        <w:t xml:space="preserve">; Microsatellite instability; </w:t>
      </w:r>
      <w:r w:rsidRPr="00A032C2">
        <w:rPr>
          <w:rFonts w:ascii="Book Antiqua" w:eastAsia="Book Antiqua" w:hAnsi="Book Antiqua" w:cs="Book Antiqua"/>
          <w:i/>
          <w:iCs/>
          <w:color w:val="000000"/>
        </w:rPr>
        <w:t>MUTYH</w:t>
      </w:r>
      <w:r>
        <w:rPr>
          <w:rFonts w:ascii="Book Antiqua" w:eastAsia="Book Antiqua" w:hAnsi="Book Antiqua" w:cs="Book Antiqua"/>
          <w:color w:val="000000"/>
        </w:rPr>
        <w:t>; Hereditary cancer</w:t>
      </w:r>
    </w:p>
    <w:p w14:paraId="2DD80854" w14:textId="77777777" w:rsidR="00A77B3E" w:rsidRDefault="00A77B3E">
      <w:pPr>
        <w:spacing w:line="360" w:lineRule="auto"/>
        <w:jc w:val="both"/>
      </w:pPr>
    </w:p>
    <w:p w14:paraId="53C454AF" w14:textId="77777777" w:rsidR="00A77B3E" w:rsidRDefault="00E33DE9">
      <w:pPr>
        <w:spacing w:line="360" w:lineRule="auto"/>
        <w:jc w:val="both"/>
      </w:pPr>
      <w:r>
        <w:rPr>
          <w:rFonts w:ascii="Book Antiqua" w:eastAsia="Book Antiqua" w:hAnsi="Book Antiqua" w:cs="Book Antiqua"/>
          <w:color w:val="000000"/>
        </w:rPr>
        <w:t xml:space="preserve">Imyanitov E, Kuligina E. Molecular testing for colorectal cancer: Clinical applications.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2DF19312" w14:textId="77777777" w:rsidR="00A77B3E" w:rsidRDefault="00A77B3E">
      <w:pPr>
        <w:spacing w:line="360" w:lineRule="auto"/>
        <w:jc w:val="both"/>
      </w:pPr>
    </w:p>
    <w:p w14:paraId="27A3D6AF" w14:textId="77777777" w:rsidR="00A77B3E" w:rsidRDefault="00E33DE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Molecular genetic analysis is an integral component of colorectal cancer (CRC) management. Comprehensive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FE5C67">
        <w:rPr>
          <w:rFonts w:ascii="Book Antiqua" w:eastAsia="Book Antiqua" w:hAnsi="Book Antiqua" w:cs="Book Antiqua"/>
          <w:i/>
          <w:color w:val="000000"/>
        </w:rPr>
        <w:t>NRAS</w:t>
      </w:r>
      <w:r>
        <w:rPr>
          <w:rFonts w:ascii="Book Antiqua" w:eastAsia="Book Antiqua" w:hAnsi="Book Antiqua" w:cs="Book Antiqua"/>
          <w:color w:val="000000"/>
        </w:rPr>
        <w:t xml:space="preserve"> testing is mandatory for selection of patients for anti-epidermal growth factor receptor (EGFR) therapy.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V600E mutated cancers are responsive to combination of BRAF and EGFR inhibitors. CRCs with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 amplification and overexpression can be controlled by the down-regulation of this receptor. Immune therapy is highly effective in CRCs with exceptionally high tumor mutation burden, </w:t>
      </w:r>
      <w:r>
        <w:rPr>
          <w:rFonts w:ascii="Book Antiqua" w:eastAsia="Book Antiqua" w:hAnsi="Book Antiqua" w:cs="Book Antiqua"/>
          <w:i/>
          <w:iCs/>
          <w:color w:val="000000"/>
        </w:rPr>
        <w:t>e.g.</w:t>
      </w:r>
      <w:r>
        <w:rPr>
          <w:rFonts w:ascii="Book Antiqua" w:eastAsia="Book Antiqua" w:hAnsi="Book Antiqua" w:cs="Book Antiqua"/>
          <w:color w:val="000000"/>
        </w:rPr>
        <w:t xml:space="preserve">, in cancers with microsatellite instability, </w:t>
      </w:r>
      <w:r>
        <w:rPr>
          <w:rFonts w:ascii="Book Antiqua" w:eastAsia="Book Antiqua" w:hAnsi="Book Antiqua" w:cs="Book Antiqua"/>
          <w:i/>
          <w:iCs/>
          <w:color w:val="000000"/>
        </w:rPr>
        <w:t>MUTYH</w:t>
      </w:r>
      <w:r>
        <w:rPr>
          <w:rFonts w:ascii="Book Antiqua" w:eastAsia="Book Antiqua" w:hAnsi="Book Antiqua" w:cs="Book Antiqua"/>
          <w:color w:val="000000"/>
        </w:rPr>
        <w:t xml:space="preserve"> gene inactivation or mutations in the </w:t>
      </w:r>
      <w:r>
        <w:rPr>
          <w:rFonts w:ascii="Book Antiqua" w:eastAsia="Book Antiqua" w:hAnsi="Book Antiqua" w:cs="Book Antiqua"/>
          <w:i/>
          <w:iCs/>
          <w:color w:val="000000"/>
        </w:rPr>
        <w:t>POLE</w:t>
      </w:r>
      <w:r>
        <w:rPr>
          <w:rFonts w:ascii="Book Antiqua" w:eastAsia="Book Antiqua" w:hAnsi="Book Antiqua" w:cs="Book Antiqua"/>
          <w:color w:val="000000"/>
        </w:rPr>
        <w:t xml:space="preserve"> gene. CRC patients with early disease onset, specific tumor features or family history of the disease require germ-line DNA testing.</w:t>
      </w:r>
    </w:p>
    <w:p w14:paraId="536FB371" w14:textId="77777777" w:rsidR="00A77B3E" w:rsidRDefault="00A77B3E">
      <w:pPr>
        <w:spacing w:line="360" w:lineRule="auto"/>
        <w:jc w:val="both"/>
      </w:pPr>
    </w:p>
    <w:p w14:paraId="7F43D4E8" w14:textId="77777777" w:rsidR="00A77B3E" w:rsidRDefault="00E33DE9">
      <w:pPr>
        <w:spacing w:line="360" w:lineRule="auto"/>
        <w:jc w:val="both"/>
      </w:pPr>
      <w:r>
        <w:rPr>
          <w:rFonts w:ascii="Book Antiqua" w:eastAsia="Book Antiqua" w:hAnsi="Book Antiqua" w:cs="Book Antiqua"/>
          <w:b/>
          <w:caps/>
          <w:color w:val="000000"/>
          <w:u w:val="single"/>
        </w:rPr>
        <w:t>INTRODUCTION</w:t>
      </w:r>
    </w:p>
    <w:p w14:paraId="684BC6D5" w14:textId="77777777" w:rsidR="00A77B3E" w:rsidRDefault="00E33DE9">
      <w:pPr>
        <w:spacing w:line="360" w:lineRule="auto"/>
        <w:jc w:val="both"/>
      </w:pPr>
      <w:r>
        <w:rPr>
          <w:rFonts w:ascii="Book Antiqua" w:eastAsia="Book Antiqua" w:hAnsi="Book Antiqua" w:cs="Book Antiqua"/>
          <w:color w:val="000000"/>
        </w:rPr>
        <w:t>Colorectal cancer (CRC) holds the third position for cancer morbidity and accounts for approximately 1.8 million new cases per year worldwide. Approximately half of the patients with CRC diagnosis die from this disease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CRC is commonly classified as right-sided (proximal) cancers affecting </w:t>
      </w:r>
      <w:r>
        <w:rPr>
          <w:rFonts w:ascii="Book Antiqua" w:eastAsia="Book Antiqua" w:hAnsi="Book Antiqua" w:cs="Book Antiqua"/>
          <w:color w:val="000000"/>
          <w:shd w:val="clear" w:color="auto" w:fill="FFFFFF"/>
        </w:rPr>
        <w:t>cecum, ascending colon, hepatic flexure and transverse colon</w:t>
      </w:r>
      <w:r>
        <w:rPr>
          <w:rFonts w:ascii="Book Antiqua" w:eastAsia="Book Antiqua" w:hAnsi="Book Antiqua" w:cs="Book Antiqua"/>
          <w:color w:val="000000"/>
        </w:rPr>
        <w:t>, and left-sided (distal) tumors, which include CRCs located at the splenic flexure, descending colon, sigmoid colon and rectum. Right-sided and left-sided CRCs have a distinct embryological origin, being developed from midgut and hindgut, respectively. Right-sided CRCs are more characteristic for females and often demonstrate peritoneal metastatic spread. Left-sided tumors are more frequent among men and tend to metastasize to the liver and lungs. The distinct biologic behavior of left- and right-sided tumors is at least in part attributed to the difference in the spectrum of cancer-associated mutations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E17D1A4" w14:textId="77777777" w:rsidR="00A77B3E" w:rsidRDefault="00E33DE9">
      <w:pPr>
        <w:spacing w:line="360" w:lineRule="auto"/>
        <w:ind w:firstLine="567"/>
        <w:jc w:val="both"/>
      </w:pPr>
      <w:r>
        <w:rPr>
          <w:rFonts w:ascii="Book Antiqua" w:eastAsia="Book Antiqua" w:hAnsi="Book Antiqua" w:cs="Book Antiqua"/>
          <w:color w:val="000000"/>
          <w:shd w:val="clear" w:color="auto" w:fill="FFFFFF"/>
        </w:rPr>
        <w:t>CRCs can be broadly divided into microsatellite stable tumors, which account for the vast majority of CRC cases, and carcinomas with so-called high-level microsatellite instability (MSI-H). A subset of CRCs is characterized by wide-spread methylation of cytosine residues, defined as CpG island methylator phenotype (CIMP).</w:t>
      </w:r>
      <w:r>
        <w:rPr>
          <w:rFonts w:ascii="Book Antiqua" w:eastAsia="Book Antiqua" w:hAnsi="Book Antiqua" w:cs="Book Antiqua"/>
          <w:color w:val="000000"/>
        </w:rPr>
        <w:t xml:space="preserve"> There are also classifications of CRCs based on tumor transcriptional profiles. The most characteristic molecular features of CRCs include dysregulation of MAPK and WNT signalling pathways, chromosomal imbalances at chromosomal loci 1p, 5q, 17p, 18p, 18q, 20p and 22q, mutations in </w:t>
      </w:r>
      <w:r w:rsidRPr="00AD6356">
        <w:rPr>
          <w:rFonts w:ascii="Book Antiqua" w:eastAsia="Book Antiqua" w:hAnsi="Book Antiqua" w:cs="Book Antiqua"/>
          <w:i/>
          <w:color w:val="000000"/>
        </w:rPr>
        <w:t>KRAS</w:t>
      </w:r>
      <w:r>
        <w:rPr>
          <w:rFonts w:ascii="Book Antiqua" w:eastAsia="Book Antiqua" w:hAnsi="Book Antiqua" w:cs="Book Antiqua"/>
          <w:color w:val="000000"/>
        </w:rPr>
        <w:t xml:space="preserve">, </w:t>
      </w:r>
      <w:r w:rsidRPr="00AD6356">
        <w:rPr>
          <w:rFonts w:ascii="Book Antiqua" w:eastAsia="Book Antiqua" w:hAnsi="Book Antiqua" w:cs="Book Antiqua"/>
          <w:i/>
          <w:color w:val="000000"/>
        </w:rPr>
        <w:t>NRAS</w:t>
      </w:r>
      <w:r>
        <w:rPr>
          <w:rFonts w:ascii="Book Antiqua" w:eastAsia="Book Antiqua" w:hAnsi="Book Antiqua" w:cs="Book Antiqua"/>
          <w:color w:val="000000"/>
        </w:rPr>
        <w:t xml:space="preserve"> or </w:t>
      </w:r>
      <w:r w:rsidRPr="00AD6356">
        <w:rPr>
          <w:rFonts w:ascii="Book Antiqua" w:eastAsia="Book Antiqua" w:hAnsi="Book Antiqua" w:cs="Book Antiqua"/>
          <w:i/>
          <w:color w:val="000000"/>
        </w:rPr>
        <w:t>BRAF</w:t>
      </w:r>
      <w:r>
        <w:rPr>
          <w:rFonts w:ascii="Book Antiqua" w:eastAsia="Book Antiqua" w:hAnsi="Book Antiqua" w:cs="Book Antiqua"/>
          <w:color w:val="000000"/>
        </w:rPr>
        <w:t xml:space="preserve"> oncogenes, activation of PI3 kinase, and </w:t>
      </w:r>
      <w:r w:rsidRPr="00AD6356">
        <w:rPr>
          <w:rFonts w:ascii="Book Antiqua" w:eastAsia="Book Antiqua" w:hAnsi="Book Antiqua" w:cs="Book Antiqua"/>
          <w:i/>
          <w:color w:val="000000"/>
        </w:rPr>
        <w:t>TP53</w:t>
      </w:r>
      <w:r>
        <w:rPr>
          <w:rFonts w:ascii="Book Antiqua" w:eastAsia="Book Antiqua" w:hAnsi="Book Antiqua" w:cs="Book Antiqua"/>
          <w:color w:val="000000"/>
        </w:rPr>
        <w:t xml:space="preserve"> gene </w:t>
      </w:r>
      <w:proofErr w:type="gramStart"/>
      <w:r>
        <w:rPr>
          <w:rFonts w:ascii="Book Antiqua" w:eastAsia="Book Antiqua" w:hAnsi="Book Antiqua" w:cs="Book Antiqua"/>
          <w:color w:val="000000"/>
        </w:rPr>
        <w:t>inactivation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Recent data suggest that the gut microbiome at least partially contributes to molecular pathogenesis of CRC</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While many deaths from </w:t>
      </w:r>
      <w:r w:rsidR="00AD6356">
        <w:rPr>
          <w:rFonts w:ascii="Book Antiqua" w:eastAsia="Book Antiqua" w:hAnsi="Book Antiqua" w:cs="Book Antiqua"/>
          <w:color w:val="000000"/>
        </w:rPr>
        <w:t>CRC</w:t>
      </w:r>
      <w:r>
        <w:rPr>
          <w:rFonts w:ascii="Book Antiqua" w:eastAsia="Book Antiqua" w:hAnsi="Book Antiqua" w:cs="Book Antiqua"/>
          <w:color w:val="000000"/>
        </w:rPr>
        <w:t xml:space="preserve"> may be prevented by early tumor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some CRCs generate metastases in the very early phases of their development when the primary tumor is invisible by available diagnostic tools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32D24883" w14:textId="77777777" w:rsidR="00A77B3E" w:rsidRDefault="00A77B3E">
      <w:pPr>
        <w:spacing w:line="360" w:lineRule="auto"/>
        <w:ind w:firstLine="567"/>
        <w:jc w:val="both"/>
      </w:pPr>
    </w:p>
    <w:p w14:paraId="48348B74" w14:textId="77777777" w:rsidR="00A77B3E" w:rsidRDefault="00E33DE9">
      <w:pPr>
        <w:spacing w:line="360" w:lineRule="auto"/>
        <w:jc w:val="both"/>
      </w:pPr>
      <w:r>
        <w:rPr>
          <w:rFonts w:ascii="Book Antiqua" w:eastAsia="Book Antiqua" w:hAnsi="Book Antiqua" w:cs="Book Antiqua"/>
          <w:b/>
          <w:caps/>
          <w:color w:val="000000"/>
          <w:u w:val="single"/>
          <w:shd w:val="clear" w:color="auto" w:fill="FFFFFF"/>
        </w:rPr>
        <w:t>MARKERS FOR THE CHOICE OF SYSTEMIC THERAPY</w:t>
      </w:r>
    </w:p>
    <w:p w14:paraId="22D6AE05" w14:textId="77777777" w:rsidR="00A77B3E" w:rsidRDefault="00E33DE9">
      <w:pPr>
        <w:spacing w:line="360" w:lineRule="auto"/>
        <w:jc w:val="both"/>
      </w:pPr>
      <w:r>
        <w:rPr>
          <w:rFonts w:ascii="Book Antiqua" w:eastAsia="Book Antiqua" w:hAnsi="Book Antiqua" w:cs="Book Antiqua"/>
          <w:b/>
          <w:bCs/>
          <w:i/>
          <w:iCs/>
          <w:color w:val="000000"/>
          <w:shd w:val="clear" w:color="auto" w:fill="FFFFFF"/>
        </w:rPr>
        <w:t>Analysis of mutations in RAS genes for the administration of anti-EGFR therapy</w:t>
      </w:r>
    </w:p>
    <w:p w14:paraId="20DEB73B" w14:textId="4F625121" w:rsidR="00A77B3E" w:rsidRDefault="00E33DE9">
      <w:pPr>
        <w:spacing w:line="360" w:lineRule="auto"/>
        <w:jc w:val="both"/>
      </w:pPr>
      <w:r>
        <w:rPr>
          <w:rFonts w:ascii="Book Antiqua" w:eastAsia="Book Antiqua" w:hAnsi="Book Antiqua" w:cs="Book Antiqua"/>
          <w:color w:val="000000"/>
        </w:rPr>
        <w:t xml:space="preserve">The majority of CRCs are characterized by the activation of MAPK signalling cascade. Some CRCs demonstrate activation of receptor tyrosine kinases (RTKs), mainly the epidermal growth factor receptor (EGFR). Up-regulation of the MAPK pathway can also be achieved by mutations in the downstream targets of RTKs,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Pr="00AD6356">
        <w:rPr>
          <w:rFonts w:ascii="Book Antiqua" w:eastAsia="Book Antiqua" w:hAnsi="Book Antiqua" w:cs="Book Antiqua"/>
          <w:i/>
          <w:color w:val="000000"/>
        </w:rPr>
        <w:t>RAS</w:t>
      </w:r>
      <w:r>
        <w:rPr>
          <w:rFonts w:ascii="Book Antiqua" w:eastAsia="Book Antiqua" w:hAnsi="Book Antiqua" w:cs="Book Antiqua"/>
          <w:color w:val="000000"/>
        </w:rPr>
        <w:t xml:space="preserve"> or </w:t>
      </w:r>
      <w:r w:rsidRPr="00AD6356">
        <w:rPr>
          <w:rFonts w:ascii="Book Antiqua" w:eastAsia="Book Antiqua" w:hAnsi="Book Antiqua" w:cs="Book Antiqua"/>
          <w:i/>
          <w:color w:val="000000"/>
        </w:rPr>
        <w:t>RAF</w:t>
      </w:r>
      <w:r>
        <w:rPr>
          <w:rFonts w:ascii="Book Antiqua" w:eastAsia="Book Antiqua" w:hAnsi="Book Antiqua" w:cs="Book Antiqua"/>
          <w:color w:val="000000"/>
        </w:rPr>
        <w:t xml:space="preserve"> oncogenes. Consequently, CRCs can be broadly divided into two categories: approximately a third of colorectal tumors appear to be EGFR-dependent, while the remaining cases are triggered either by the activation of collateral cascades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-amplified cancers; approximately 2%-5% of CRCs) or genetic events affecting </w:t>
      </w:r>
      <w:r w:rsidRPr="00AD6356">
        <w:rPr>
          <w:rFonts w:ascii="Book Antiqua" w:eastAsia="Book Antiqua" w:hAnsi="Book Antiqua" w:cs="Book Antiqua"/>
          <w:i/>
          <w:color w:val="000000"/>
        </w:rPr>
        <w:t>RAS</w:t>
      </w:r>
      <w:r>
        <w:rPr>
          <w:rFonts w:ascii="Book Antiqua" w:eastAsia="Book Antiqua" w:hAnsi="Book Antiqua" w:cs="Book Antiqua"/>
          <w:color w:val="000000"/>
        </w:rPr>
        <w:t xml:space="preserve"> or </w:t>
      </w:r>
      <w:r w:rsidRPr="00AD6356">
        <w:rPr>
          <w:rFonts w:ascii="Book Antiqua" w:eastAsia="Book Antiqua" w:hAnsi="Book Antiqua" w:cs="Book Antiqua"/>
          <w:i/>
          <w:color w:val="000000"/>
        </w:rPr>
        <w:t>RAF</w:t>
      </w:r>
      <w:r>
        <w:rPr>
          <w:rFonts w:ascii="Book Antiqua" w:eastAsia="Book Antiqua" w:hAnsi="Book Antiqua" w:cs="Book Antiqua"/>
          <w:color w:val="000000"/>
        </w:rPr>
        <w:t xml:space="preserve"> genes (&gt; 60% of CRC cases). EGFR-driven CRCs are likely to be responsive to anti-EGFR antibodies, panitumumab or cetuximab, while patients with EGFR-independent tumors usually do not benefit from EGFR-targeted therapy</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(Figure 1). Although this statement is an oversimplification, with many nuances requiring detailed clarification, it generally reflects the framework for the administration of anti-EGFR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3,11-13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1B281BDE" w14:textId="6BCCE551" w:rsidR="00A77B3E" w:rsidRDefault="00E33DE9">
      <w:pPr>
        <w:spacing w:line="360" w:lineRule="auto"/>
        <w:ind w:firstLine="567"/>
        <w:jc w:val="both"/>
      </w:pPr>
      <w:r>
        <w:rPr>
          <w:rFonts w:ascii="Book Antiqua" w:eastAsia="Book Antiqua" w:hAnsi="Book Antiqua" w:cs="Book Antiqua"/>
          <w:color w:val="000000"/>
        </w:rPr>
        <w:t xml:space="preserve">Cetuximab and panitumumab may render a significant improvement in the disease outcomes when applied to </w:t>
      </w:r>
      <w:r w:rsidRPr="00FE5C67">
        <w:rPr>
          <w:rFonts w:ascii="Book Antiqua" w:eastAsia="Book Antiqua" w:hAnsi="Book Antiqua" w:cs="Book Antiqua"/>
          <w:i/>
          <w:color w:val="000000"/>
        </w:rPr>
        <w:t>RAS/RAF</w:t>
      </w:r>
      <w:r>
        <w:rPr>
          <w:rFonts w:ascii="Book Antiqua" w:eastAsia="Book Antiqua" w:hAnsi="Book Antiqua" w:cs="Book Antiqua"/>
          <w:color w:val="000000"/>
        </w:rPr>
        <w:t xml:space="preserve"> wild-type patients in combination with the standard cytotoxic regimens. This is particularly true for left-sided tumors, while right-sided CRCs appear to derive less benefit from EGFR down-regulation</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Panitumumab and cetuximab may also be utilized as single agents after the failure of chemotherapy. There were attempts to use monotherapy by anti-EGFR antibodies as an upfront treatment to delay the administration of cytotoxic drugs, however, these trials failed to generate promising clinical data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Consequently, the combined use of anti-EGFR and chemotherapy in </w:t>
      </w:r>
      <w:r w:rsidRPr="00FE5C67">
        <w:rPr>
          <w:rFonts w:ascii="Book Antiqua" w:eastAsia="Book Antiqua" w:hAnsi="Book Antiqua" w:cs="Book Antiqua"/>
          <w:i/>
          <w:color w:val="000000"/>
        </w:rPr>
        <w:t>RAS/RAF</w:t>
      </w:r>
      <w:r>
        <w:rPr>
          <w:rFonts w:ascii="Book Antiqua" w:eastAsia="Book Antiqua" w:hAnsi="Book Antiqua" w:cs="Book Antiqua"/>
          <w:color w:val="000000"/>
        </w:rPr>
        <w:t xml:space="preserve"> wild-type patients at the very beginning of systemic intervention is a preferable option. This approach also leaves room for the re-challenge of cetuximab or panitumumab for CRC patients in the third-line treatment, </w:t>
      </w:r>
      <w:r>
        <w:rPr>
          <w:rFonts w:ascii="Book Antiqua" w:eastAsia="Book Antiqua" w:hAnsi="Book Antiqua" w:cs="Book Antiqua"/>
          <w:i/>
          <w:iCs/>
          <w:color w:val="000000"/>
        </w:rPr>
        <w:t>i.e.,</w:t>
      </w:r>
      <w:r>
        <w:rPr>
          <w:rFonts w:ascii="Book Antiqua" w:eastAsia="Book Antiqua" w:hAnsi="Book Antiqua" w:cs="Book Antiqua"/>
          <w:color w:val="000000"/>
        </w:rPr>
        <w:t xml:space="preserve"> after the failure of the first-line therapy and subsequent cessation of EGFR down-regulation during the second-line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p>
    <w:p w14:paraId="6CC1C76C" w14:textId="77777777" w:rsidR="00A77B3E" w:rsidRDefault="00E33DE9">
      <w:pPr>
        <w:spacing w:line="360" w:lineRule="auto"/>
        <w:ind w:firstLine="567"/>
        <w:jc w:val="both"/>
      </w:pPr>
      <w:r>
        <w:rPr>
          <w:rFonts w:ascii="Book Antiqua" w:eastAsia="Book Antiqua" w:hAnsi="Book Antiqua" w:cs="Book Antiqua"/>
          <w:color w:val="000000"/>
        </w:rPr>
        <w:t xml:space="preserve">Technical nuances concerning testing for mutations in </w:t>
      </w:r>
      <w:r w:rsidRPr="00AD6356">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AD6356">
        <w:rPr>
          <w:rFonts w:ascii="Book Antiqua" w:eastAsia="Book Antiqua" w:hAnsi="Book Antiqua" w:cs="Book Antiqua"/>
          <w:i/>
          <w:color w:val="000000"/>
        </w:rPr>
        <w:t>NRAS</w:t>
      </w:r>
      <w:r>
        <w:rPr>
          <w:rFonts w:ascii="Book Antiqua" w:eastAsia="Book Antiqua" w:hAnsi="Book Antiqua" w:cs="Book Antiqua"/>
          <w:color w:val="000000"/>
        </w:rPr>
        <w:t xml:space="preserve"> oncogenes deserve some discussion. Proper analysis of </w:t>
      </w:r>
      <w:r w:rsidRPr="00AD6356">
        <w:rPr>
          <w:rFonts w:ascii="Book Antiqua" w:eastAsia="Book Antiqua" w:hAnsi="Book Antiqua" w:cs="Book Antiqua"/>
          <w:i/>
          <w:color w:val="000000"/>
        </w:rPr>
        <w:t>RAS</w:t>
      </w:r>
      <w:r>
        <w:rPr>
          <w:rFonts w:ascii="Book Antiqua" w:eastAsia="Book Antiqua" w:hAnsi="Book Antiqua" w:cs="Book Antiqua"/>
          <w:color w:val="000000"/>
        </w:rPr>
        <w:t xml:space="preserve"> gene status is critical for the fate of the patients: some data indicate that erroneous administration of anti-EGFR antibodies to CRC patients with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mutations, which are present in tumor tissue but were missed due to deficiency in the laboratory procedures, may lead to the acceleration of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Both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FE5C67">
        <w:rPr>
          <w:rFonts w:ascii="Book Antiqua" w:eastAsia="Book Antiqua" w:hAnsi="Book Antiqua" w:cs="Book Antiqua"/>
          <w:i/>
          <w:color w:val="000000"/>
        </w:rPr>
        <w:t>NRAS</w:t>
      </w:r>
      <w:r>
        <w:rPr>
          <w:rFonts w:ascii="Book Antiqua" w:eastAsia="Book Antiqua" w:hAnsi="Book Antiqua" w:cs="Book Antiqua"/>
          <w:color w:val="000000"/>
        </w:rPr>
        <w:t xml:space="preserve"> need to be screened at least for the presence of mutations in codons 12, 13, 59, 61, 117 and 146</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Given that each mentioned codon can be affected by a multitude of various mutations, there is almost an indefinite diversity of substitutions, with some rare variants not detectable by allele-specific PCR kits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Some early clinical trials utilized conventional DNA sequencing for the analysis of exons 2, 3 and 4; however, this method cannot reliably detect mutations when the tumor specimen has a high admixture of normal cells. These drawbacks can be easily overcome by next generation sequencing (NGS), which applies multiple reads to each analyzed genomic fragment and, therefore, can detect mutated gene copies even in the presence of a high amount of normal DNA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NGS remains expensive for the time being and this method is still not easily accessible in all hospitals around the world. NGS usually requires an accumulation of several samples for a single run that may affect turn-around-time for a given assay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Anti-EGFR therapy provides remarkable improvement of the overall survival when given to left-sided </w:t>
      </w:r>
      <w:r w:rsidRPr="00FE5C67">
        <w:rPr>
          <w:rFonts w:ascii="Book Antiqua" w:eastAsia="Book Antiqua" w:hAnsi="Book Antiqua" w:cs="Book Antiqua"/>
          <w:i/>
          <w:color w:val="000000"/>
        </w:rPr>
        <w:t>KRAS/NRAS</w:t>
      </w:r>
      <w:r>
        <w:rPr>
          <w:rFonts w:ascii="Book Antiqua" w:eastAsia="Book Antiqua" w:hAnsi="Book Antiqua" w:cs="Book Antiqua"/>
          <w:color w:val="000000"/>
        </w:rPr>
        <w:t xml:space="preserve"> wild-type cancers as first-line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therefore it is important to know the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status of CRC patients already at the time of initial treatment planning. </w:t>
      </w:r>
    </w:p>
    <w:p w14:paraId="610C67C7" w14:textId="12908FED" w:rsidR="00A77B3E" w:rsidRDefault="00E33DE9">
      <w:pPr>
        <w:spacing w:line="360" w:lineRule="auto"/>
        <w:ind w:firstLine="567"/>
        <w:jc w:val="both"/>
      </w:pPr>
      <w:r>
        <w:rPr>
          <w:rFonts w:ascii="Book Antiqua" w:eastAsia="Book Antiqua" w:hAnsi="Book Antiqua" w:cs="Book Antiqua"/>
          <w:color w:val="000000"/>
        </w:rPr>
        <w:t xml:space="preserve">The “classical” model of CRC development, which was described by Fearon and Vogelstein, suggested that the emergence of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mutations provides an advantage to the evolving tumor clone, so the newly appeared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-mutated tumor subclones, in theory, should rapidly outperform their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-wild-type predecessors and entirely repopulate the tumor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molecular genetic portrait of the majority </w:t>
      </w:r>
      <w:r w:rsidR="005D651B">
        <w:rPr>
          <w:rFonts w:ascii="Book Antiqua" w:eastAsia="Book Antiqua" w:hAnsi="Book Antiqua" w:cs="Book Antiqua"/>
          <w:color w:val="000000"/>
        </w:rPr>
        <w:t xml:space="preserve">of </w:t>
      </w:r>
      <w:r>
        <w:rPr>
          <w:rFonts w:ascii="Book Antiqua" w:eastAsia="Book Antiqua" w:hAnsi="Book Antiqua" w:cs="Book Antiqua"/>
          <w:color w:val="000000"/>
        </w:rPr>
        <w:t xml:space="preserve">CRCs appears to support this concept. However, there are notable exceptions. Some CRCs have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wild-type status when analyzed as a gross tumor mass, however, the use of ultrasensitive methods often allows to reveal a minor fraction of </w:t>
      </w:r>
      <w:r w:rsidRPr="00FE5C67">
        <w:rPr>
          <w:rFonts w:ascii="Book Antiqua" w:eastAsia="Book Antiqua" w:hAnsi="Book Antiqua" w:cs="Book Antiqua"/>
          <w:i/>
          <w:color w:val="000000"/>
        </w:rPr>
        <w:t>RAS</w:t>
      </w:r>
      <w:r>
        <w:rPr>
          <w:rFonts w:ascii="Book Antiqua" w:eastAsia="Book Antiqua" w:hAnsi="Book Antiqua" w:cs="Book Antiqua"/>
          <w:color w:val="000000"/>
        </w:rPr>
        <w:t>-mutated cells in these carcinomas. These tumors appear to benefit from anti-EGFR therapy, as the majority of malignant cells forming the cancer lump remain vulnerable to EGFR inhibition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the mere detection of mutated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clones, as achieved by allele-specific PCR, may not be sufficient to guide the choice of CRC therapy; indeed, the quantitation of the proportion of mutated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clones is likely to be essential for proper therapeutic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Furthermore, when presumably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wild-type tumors undergo ant</w:t>
      </w:r>
      <w:r w:rsidR="00CE786D">
        <w:rPr>
          <w:rFonts w:ascii="Book Antiqua" w:eastAsia="Book Antiqua" w:hAnsi="Book Antiqua" w:cs="Book Antiqua"/>
          <w:color w:val="000000"/>
        </w:rPr>
        <w:t>i</w:t>
      </w:r>
      <w:r>
        <w:rPr>
          <w:rFonts w:ascii="Book Antiqua" w:eastAsia="Book Antiqua" w:hAnsi="Book Antiqua" w:cs="Book Antiqua"/>
          <w:color w:val="000000"/>
        </w:rPr>
        <w:t xml:space="preserve">-EGFR therapy, the acquired resistance to EGFR down-regulation is often attributed to the emergence of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mutations. Interestingly, tumors exposed to anti-EGFR therapy demonstrate inhibition of DNA repair pathways, which results in the accelerated accumulation of mutations, and, consequently, increased probability of acquiring activating substitutions in </w:t>
      </w:r>
      <w:r w:rsidRPr="00CE786D">
        <w:rPr>
          <w:rFonts w:ascii="Book Antiqua" w:eastAsia="Book Antiqua" w:hAnsi="Book Antiqua" w:cs="Book Antiqua"/>
          <w:i/>
          <w:color w:val="000000"/>
        </w:rPr>
        <w:t>RAS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oncogenes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proportion of newly developed </w:t>
      </w:r>
      <w:r w:rsidRPr="00FE5C67">
        <w:rPr>
          <w:rFonts w:ascii="Book Antiqua" w:eastAsia="Book Antiqua" w:hAnsi="Book Antiqua" w:cs="Book Antiqua"/>
          <w:i/>
          <w:color w:val="000000"/>
        </w:rPr>
        <w:t>RAS</w:t>
      </w:r>
      <w:r>
        <w:rPr>
          <w:rFonts w:ascii="Book Antiqua" w:eastAsia="Book Antiqua" w:hAnsi="Book Antiqua" w:cs="Book Antiqua"/>
          <w:color w:val="000000"/>
        </w:rPr>
        <w:t>-mutated clones often decreases after cessation of the anti-EGFR therapy, thus explaining the efficacy of cetuximab or panitumumab re-</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In aggregate, these data suggest that the concept of the “evolutionary” advantage of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mutations is an oversimplification of the natural history of CRC development. Instead, some tumors demonstrate an example of an “ecosystem”, where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-mutated clones co-exist with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-wild-type malignant cells. The co-existence of cells with different status of driver mutations has been demonstrated for other tumor types; there are sound arguments suggesting that this intratumoral heterogeneity is not a result of the random expansion of distinct malignant clones, but a built-in biological property warranting tumor plasticity and adaptation to external </w:t>
      </w:r>
      <w:proofErr w:type="gramStart"/>
      <w:r>
        <w:rPr>
          <w:rFonts w:ascii="Book Antiqua" w:eastAsia="Book Antiqua" w:hAnsi="Book Antiqua" w:cs="Book Antiqua"/>
          <w:color w:val="000000"/>
        </w:rPr>
        <w:t>hazards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33F62CB6" w14:textId="77777777" w:rsidR="00A77B3E" w:rsidRDefault="00A77B3E">
      <w:pPr>
        <w:spacing w:line="360" w:lineRule="auto"/>
        <w:ind w:firstLine="567"/>
        <w:jc w:val="both"/>
      </w:pPr>
    </w:p>
    <w:p w14:paraId="061E1FC8" w14:textId="77777777" w:rsidR="00A77B3E" w:rsidRDefault="00E33DE9">
      <w:pPr>
        <w:spacing w:line="360" w:lineRule="auto"/>
        <w:jc w:val="both"/>
      </w:pPr>
      <w:r>
        <w:rPr>
          <w:rFonts w:ascii="Book Antiqua" w:eastAsia="Book Antiqua" w:hAnsi="Book Antiqua" w:cs="Book Antiqua"/>
          <w:b/>
          <w:bCs/>
          <w:i/>
          <w:iCs/>
          <w:color w:val="000000"/>
          <w:shd w:val="clear" w:color="auto" w:fill="FFFFFF"/>
        </w:rPr>
        <w:t>BRAF mutations</w:t>
      </w:r>
    </w:p>
    <w:p w14:paraId="4CB5F114" w14:textId="77777777" w:rsidR="00A77B3E" w:rsidRDefault="00E33DE9">
      <w:pPr>
        <w:spacing w:line="360" w:lineRule="auto"/>
        <w:jc w:val="both"/>
      </w:pPr>
      <w:r>
        <w:rPr>
          <w:rFonts w:ascii="Book Antiqua" w:eastAsia="Book Antiqua" w:hAnsi="Book Antiqua" w:cs="Book Antiqua"/>
          <w:color w:val="000000"/>
        </w:rPr>
        <w:t xml:space="preserve">Approximately 5%-10% of CRCs contain activating V600E mutation in the </w:t>
      </w:r>
      <w:r w:rsidRPr="00AD6356">
        <w:rPr>
          <w:rFonts w:ascii="Book Antiqua" w:eastAsia="Book Antiqua" w:hAnsi="Book Antiqua" w:cs="Book Antiqua"/>
          <w:i/>
          <w:color w:val="000000"/>
        </w:rPr>
        <w:t>BRAF</w:t>
      </w:r>
      <w:r>
        <w:rPr>
          <w:rFonts w:ascii="Book Antiqua" w:eastAsia="Book Antiqua" w:hAnsi="Book Antiqua" w:cs="Book Antiqua"/>
          <w:color w:val="000000"/>
        </w:rPr>
        <w:t xml:space="preserve"> oncogene. BRAF kinase is located within the MAPK signalling cascade; therefore, its mutation-driven up-regulation is very likely to render tumor independence from EGFR inhibition, similar to the role of </w:t>
      </w:r>
      <w:r w:rsidRPr="00FE5C67">
        <w:rPr>
          <w:rFonts w:ascii="Book Antiqua" w:eastAsia="Book Antiqua" w:hAnsi="Book Antiqua" w:cs="Book Antiqua"/>
          <w:i/>
          <w:color w:val="000000"/>
        </w:rPr>
        <w:t>RAS</w:t>
      </w:r>
      <w:r>
        <w:rPr>
          <w:rFonts w:ascii="Book Antiqua" w:eastAsia="Book Antiqua" w:hAnsi="Book Antiqua" w:cs="Book Antiqua"/>
          <w:color w:val="000000"/>
        </w:rPr>
        <w:t xml:space="preserve"> mutations. The combined analysis of available clinical trials generally supports this concept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However, there are some clinical observations, which suggest that a subset of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-mutated patients may still derive benefit from the addition of EGFR antibodies to some chemotherapy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mechanistic basis for these observations is unclear. It has to be commented that clinical trials involving CRCs with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mutations are prone to biases due to the rarity of this genetic event, and, consequently, a small number of recruited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w:t>
      </w:r>
    </w:p>
    <w:p w14:paraId="7AEE79A8" w14:textId="77777777" w:rsidR="00A77B3E" w:rsidRDefault="00E33DE9">
      <w:pPr>
        <w:spacing w:line="360" w:lineRule="auto"/>
        <w:ind w:firstLine="567"/>
        <w:jc w:val="both"/>
      </w:pP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V600E-mutated tumors have aggressive behavior and poor prognosis. It is advised to start the therapy of these CRCs with intensive chemotherapy in combination with bevacizumab</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Second-line treatment of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V600E-driven </w:t>
      </w:r>
      <w:r w:rsidR="00AD6356">
        <w:rPr>
          <w:rFonts w:ascii="Book Antiqua" w:eastAsia="Book Antiqua" w:hAnsi="Book Antiqua" w:cs="Book Antiqua"/>
          <w:color w:val="000000"/>
        </w:rPr>
        <w:t>CRC</w:t>
      </w:r>
      <w:r>
        <w:rPr>
          <w:rFonts w:ascii="Book Antiqua" w:eastAsia="Book Antiqua" w:hAnsi="Book Antiqua" w:cs="Book Antiqua"/>
          <w:color w:val="000000"/>
        </w:rPr>
        <w:t xml:space="preserve">s by single-agent BRAF inhibitors turned out to be non-successful, as CRCs adapt to this therapy by activation of EGFR-MAPK bypass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Several studies confirmed the efficacy of the combined use of EGFR and BRAF V600E inhibitors. The addition of a MEK-targeted drug to the above combination did not result in medically relevant improvement of treatment outcomes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The doublet therapy composed of cetuximab and encorafenib has recently received FDA approval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29BE29BA" w14:textId="77777777" w:rsidR="00A77B3E" w:rsidRDefault="00E33DE9">
      <w:pPr>
        <w:spacing w:line="360" w:lineRule="auto"/>
        <w:ind w:firstLine="567"/>
        <w:jc w:val="both"/>
      </w:pPr>
      <w:r>
        <w:rPr>
          <w:rFonts w:ascii="Book Antiqua" w:eastAsia="Book Antiqua" w:hAnsi="Book Antiqua" w:cs="Book Antiqua"/>
          <w:color w:val="000000"/>
        </w:rPr>
        <w:t xml:space="preserve">Some CRCs carry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mutations in codons 594, 596, 597 or 601</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Mutations in positions 594 and 596 are not kinase-activating. Substitutions affecting codons 597 or 601 result in BRAF kinase activation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There are instances of clinical responses to vemurafenib in tumors carrying substitutions in the codon 597</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Cancers with mutations in position 601 cannot be targeted by BRAF V600E-specific inhibitors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14:paraId="7F539C9C" w14:textId="77777777" w:rsidR="00A77B3E" w:rsidRDefault="00E33DE9">
      <w:pPr>
        <w:spacing w:line="360" w:lineRule="auto"/>
        <w:ind w:firstLine="567"/>
        <w:jc w:val="both"/>
      </w:pPr>
      <w:r>
        <w:rPr>
          <w:rFonts w:ascii="Book Antiqua" w:eastAsia="Book Antiqua" w:hAnsi="Book Antiqua" w:cs="Book Antiqua"/>
          <w:color w:val="000000"/>
          <w:shd w:val="clear" w:color="auto" w:fill="FFFFFF"/>
        </w:rPr>
        <w:t xml:space="preserve">The analysis of </w:t>
      </w:r>
      <w:r w:rsidRPr="00FE5C67">
        <w:rPr>
          <w:rFonts w:ascii="Book Antiqua" w:eastAsia="Book Antiqua" w:hAnsi="Book Antiqua" w:cs="Book Antiqua"/>
          <w:i/>
          <w:color w:val="000000"/>
          <w:shd w:val="clear" w:color="auto" w:fill="FFFFFF"/>
        </w:rPr>
        <w:t>BRAF</w:t>
      </w:r>
      <w:r>
        <w:rPr>
          <w:rFonts w:ascii="Book Antiqua" w:eastAsia="Book Antiqua" w:hAnsi="Book Antiqua" w:cs="Book Antiqua"/>
          <w:color w:val="000000"/>
          <w:shd w:val="clear" w:color="auto" w:fill="FFFFFF"/>
        </w:rPr>
        <w:t xml:space="preserve"> actionable mutations is not complicated. It can be done by various commercial allele-specific PCR kits or by DNA sequencing. </w:t>
      </w:r>
    </w:p>
    <w:p w14:paraId="45ABF6EC" w14:textId="77777777" w:rsidR="00A77B3E" w:rsidRDefault="00A77B3E">
      <w:pPr>
        <w:spacing w:line="360" w:lineRule="auto"/>
        <w:ind w:firstLine="567"/>
        <w:jc w:val="both"/>
      </w:pPr>
    </w:p>
    <w:p w14:paraId="712C8516" w14:textId="77777777" w:rsidR="00A77B3E" w:rsidRDefault="00E33DE9">
      <w:pPr>
        <w:spacing w:line="360" w:lineRule="auto"/>
        <w:jc w:val="both"/>
      </w:pPr>
      <w:r>
        <w:rPr>
          <w:rFonts w:ascii="Book Antiqua" w:eastAsia="Book Antiqua" w:hAnsi="Book Antiqua" w:cs="Book Antiqua"/>
          <w:b/>
          <w:bCs/>
          <w:i/>
          <w:iCs/>
          <w:color w:val="000000"/>
          <w:shd w:val="clear" w:color="auto" w:fill="FFFFFF"/>
        </w:rPr>
        <w:t>Microsatellite instability</w:t>
      </w:r>
    </w:p>
    <w:p w14:paraId="53FA9686" w14:textId="77777777" w:rsidR="00A77B3E" w:rsidRDefault="00E33DE9">
      <w:pPr>
        <w:spacing w:line="360" w:lineRule="auto"/>
        <w:jc w:val="both"/>
      </w:pPr>
      <w:r>
        <w:rPr>
          <w:rFonts w:ascii="Book Antiqua" w:eastAsia="Book Antiqua" w:hAnsi="Book Antiqua" w:cs="Book Antiqua"/>
          <w:color w:val="000000"/>
          <w:shd w:val="clear" w:color="auto" w:fill="FFFFFF"/>
        </w:rPr>
        <w:t xml:space="preserve">Some CRCs accumulate an excessive number of small mutations due to deficiency in DNA mismatch repair (MMR). These tumors contain multiple genetic alterations in the repetitive nucleotide sequences (for example, …AAAAAAAAAAAAAA…, or …CACACACACACACACACA…,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which are called microsatellites. Consequently, MMR deficiency results in so-called high-level microsatellite instability (MSI-H).</w:t>
      </w:r>
    </w:p>
    <w:p w14:paraId="4F6D847F" w14:textId="77777777" w:rsidR="00A77B3E" w:rsidRDefault="00E33DE9">
      <w:pPr>
        <w:spacing w:line="360" w:lineRule="auto"/>
        <w:ind w:firstLine="567"/>
        <w:jc w:val="both"/>
      </w:pPr>
      <w:r>
        <w:rPr>
          <w:rFonts w:ascii="Book Antiqua" w:eastAsia="Book Antiqua" w:hAnsi="Book Antiqua" w:cs="Book Antiqua"/>
          <w:color w:val="000000"/>
          <w:shd w:val="clear" w:color="auto" w:fill="FFFFFF"/>
        </w:rPr>
        <w:t>Historically, microsatellite instability was simultaneously reported by several research groups, which applied different criteria for describing this phenotype. Dr. Manuel Perucho, whose group was apparently the first to submit for publication an article describing MSI phenotype, proposed to focus on length alterations in mononucleotide markers, which provided clear-cut discrimination between microsatellite “stable” and “unstable” tumors. Some other reports suggested to include dinucleotide repeats in PCR panels, and these efforts resulted in the development of the so-called consensus “Bethesda panel” consisting of two mono- and three dinucleotide markers (BAT-25, BAT-26, D2S123, D5S346, D17S250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use of combinations of mononucleotide and dinucleotide markers led to 3-tier classification of CRCs, </w:t>
      </w:r>
      <w:r>
        <w:rPr>
          <w:rFonts w:ascii="Book Antiqua" w:eastAsia="Book Antiqua" w:hAnsi="Book Antiqua" w:cs="Book Antiqua"/>
          <w:i/>
          <w:iCs/>
          <w:color w:val="000000"/>
        </w:rPr>
        <w:t>i.e.,</w:t>
      </w:r>
      <w:r>
        <w:rPr>
          <w:rFonts w:ascii="Book Antiqua" w:eastAsia="Book Antiqua" w:hAnsi="Book Antiqua" w:cs="Book Antiqua"/>
          <w:color w:val="000000"/>
        </w:rPr>
        <w:t xml:space="preserve"> microsatellite-stable (MSS), MSI-H (</w:t>
      </w:r>
      <w:r>
        <w:rPr>
          <w:rFonts w:ascii="Book Antiqua" w:eastAsia="Book Antiqua" w:hAnsi="Book Antiqua" w:cs="Book Antiqua"/>
          <w:i/>
          <w:iCs/>
          <w:color w:val="000000"/>
        </w:rPr>
        <w:t>i.e.</w:t>
      </w:r>
      <w:r>
        <w:rPr>
          <w:rFonts w:ascii="Book Antiqua" w:eastAsia="Book Antiqua" w:hAnsi="Book Antiqua" w:cs="Book Antiqua"/>
          <w:color w:val="000000"/>
        </w:rPr>
        <w:t xml:space="preserve">, CRCs containing alterations in the majority of markers analyzed), and MSI-L (MSI-low; </w:t>
      </w:r>
      <w:r>
        <w:rPr>
          <w:rFonts w:ascii="Book Antiqua" w:eastAsia="Book Antiqua" w:hAnsi="Book Antiqua" w:cs="Book Antiqua"/>
          <w:i/>
          <w:iCs/>
          <w:color w:val="000000"/>
        </w:rPr>
        <w:t>i.e.</w:t>
      </w:r>
      <w:r>
        <w:rPr>
          <w:rFonts w:ascii="Book Antiqua" w:eastAsia="Book Antiqua" w:hAnsi="Book Antiqua" w:cs="Book Antiqua"/>
          <w:color w:val="000000"/>
        </w:rPr>
        <w:t>, the condition, when only a few analyzed markers are altered)</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Some contemporary reports still refer to the “Bethesda panel”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although subsequent research revealed, that only the MSI-H but not MSI-L condition has an established clinical significance and that the use of mononucleotide but not dinucleotide markers is strongly preferable for reliable discrimination between MSI-H and MSS tumors. Furthermore, while dinucleotide markers are highly polymorphic and thus require the analysis of normal DNA obtained from the same patient, some quasi-monomorphic mononucleotide microsatellites can be analyzed without comparison to the control DNA sample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w:t>
      </w:r>
    </w:p>
    <w:p w14:paraId="3780D29B" w14:textId="77777777" w:rsidR="00A77B3E" w:rsidRDefault="00E33DE9">
      <w:pPr>
        <w:spacing w:line="360" w:lineRule="auto"/>
        <w:ind w:firstLine="567"/>
        <w:jc w:val="both"/>
      </w:pPr>
      <w:r>
        <w:rPr>
          <w:rFonts w:ascii="Book Antiqua" w:eastAsia="Book Antiqua" w:hAnsi="Book Antiqua" w:cs="Book Antiqua"/>
          <w:color w:val="000000"/>
        </w:rPr>
        <w:t xml:space="preserve">PCR analysis for MSI-H includes electrophoretic evaluation of the length of analyzed markers, </w:t>
      </w:r>
      <w:r>
        <w:rPr>
          <w:rFonts w:ascii="Book Antiqua" w:eastAsia="Book Antiqua" w:hAnsi="Book Antiqua" w:cs="Book Antiqua"/>
          <w:i/>
          <w:iCs/>
          <w:color w:val="000000"/>
        </w:rPr>
        <w:t>i.e.,</w:t>
      </w:r>
      <w:r>
        <w:rPr>
          <w:rFonts w:ascii="Book Antiqua" w:eastAsia="Book Antiqua" w:hAnsi="Book Antiqua" w:cs="Book Antiqua"/>
          <w:color w:val="000000"/>
        </w:rPr>
        <w:t xml:space="preserve"> an additional relatively sophisticated manipulation carried out after PCR amplification. While many other PCR mutation tests only require a PCR machine and commercially available reaction kits, MSI-H testing is not fully compatible with the establishment of a conventional morphological laboratory. Fortunately, this phenotype can also be detected by immunohistochemical (IHC) staining for key proteins involved in mismatch repair. MMR-D phenotype is manifested by the lack of expression of MMR proteins (MLH1, MSH2, MSH6, PMS2). MLH1 forms heterodimers with PMS2, while MSH2 heterodimerizes with MSH6. Inactivation of the </w:t>
      </w:r>
      <w:r w:rsidRPr="00AD6356">
        <w:rPr>
          <w:rFonts w:ascii="Book Antiqua" w:eastAsia="Book Antiqua" w:hAnsi="Book Antiqua" w:cs="Book Antiqua"/>
          <w:i/>
          <w:color w:val="000000"/>
        </w:rPr>
        <w:t>MLH1</w:t>
      </w:r>
      <w:r>
        <w:rPr>
          <w:rFonts w:ascii="Book Antiqua" w:eastAsia="Book Antiqua" w:hAnsi="Book Antiqua" w:cs="Book Antiqua"/>
          <w:color w:val="000000"/>
        </w:rPr>
        <w:t xml:space="preserve"> gene usually results in concomitant loss of expression of both MLH1 and PMS2; similarly, inactivation of the </w:t>
      </w:r>
      <w:r w:rsidRPr="00FE5C67">
        <w:rPr>
          <w:rFonts w:ascii="Book Antiqua" w:eastAsia="Book Antiqua" w:hAnsi="Book Antiqua" w:cs="Book Antiqua"/>
          <w:i/>
          <w:color w:val="000000"/>
        </w:rPr>
        <w:t>MSH2</w:t>
      </w:r>
      <w:r>
        <w:rPr>
          <w:rFonts w:ascii="Book Antiqua" w:eastAsia="Book Antiqua" w:hAnsi="Book Antiqua" w:cs="Book Antiqua"/>
          <w:color w:val="000000"/>
        </w:rPr>
        <w:t xml:space="preserve"> is accompanied by the lack of staining for both MSH2 and MSH6 proteins. Isolated loss of expression of either MSH6 or PMS2 indicates alterations in the </w:t>
      </w:r>
      <w:r w:rsidRPr="00AD6356">
        <w:rPr>
          <w:rFonts w:ascii="Book Antiqua" w:eastAsia="Book Antiqua" w:hAnsi="Book Antiqua" w:cs="Book Antiqua"/>
          <w:i/>
          <w:color w:val="000000"/>
        </w:rPr>
        <w:t>MSH6</w:t>
      </w:r>
      <w:r>
        <w:rPr>
          <w:rFonts w:ascii="Book Antiqua" w:eastAsia="Book Antiqua" w:hAnsi="Book Antiqua" w:cs="Book Antiqua"/>
          <w:color w:val="000000"/>
        </w:rPr>
        <w:t xml:space="preserve"> or </w:t>
      </w:r>
      <w:r w:rsidRPr="00AD6356">
        <w:rPr>
          <w:rFonts w:ascii="Book Antiqua" w:eastAsia="Book Antiqua" w:hAnsi="Book Antiqua" w:cs="Book Antiqua"/>
          <w:i/>
          <w:color w:val="000000"/>
        </w:rPr>
        <w:t>PMS2</w:t>
      </w:r>
      <w:r>
        <w:rPr>
          <w:rFonts w:ascii="Book Antiqua" w:eastAsia="Book Antiqua" w:hAnsi="Book Antiqua" w:cs="Book Antiqua"/>
          <w:color w:val="000000"/>
        </w:rPr>
        <w:t xml:space="preserve"> genes,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terms “MSI-H” and “MMR-D” are often used interchangeably, although it is more appropriate to utilize “MSI-H” for the analysis of the length of mononucleotide repeats, and “MMR-D” for IHC. It is frequently stated that PCR-driven and IHC analyses for MSI-H/MMR-D usually produce highly concordant results, although it is necessary to keep in mind that both procedures are relatively error-prone and, therefore, require rigorous quality assessment</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In addition to PCR or IHC, an MSI-H/MMR-D phenotype can be reliably detected by NGS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41C4F4F" w14:textId="77777777" w:rsidR="00A77B3E" w:rsidRDefault="00E33DE9">
      <w:pPr>
        <w:spacing w:line="360" w:lineRule="auto"/>
        <w:ind w:firstLine="567"/>
        <w:jc w:val="both"/>
      </w:pPr>
      <w:r>
        <w:rPr>
          <w:rFonts w:ascii="Book Antiqua" w:eastAsia="Book Antiqua" w:hAnsi="Book Antiqua" w:cs="Book Antiqua"/>
          <w:color w:val="000000"/>
        </w:rPr>
        <w:t>The discovery of MSI-H was initially viewed mainly as an advance in the fundamental understanding of cancer pathogenesis and clinical application of MSI-H testing was limited to the identification of patients requiring genetic testing for the Lynch syndrome. It was subsequently revealed that MSI-H/MMR-D phenotype is associated with decreased risk of CRC relapse after surgery, the sensitivity of the tumor to the therapy by immune checkpoint inhibitors (ICIs), and, perhaps, a distinct pattern of tumor sensitivity to various cytotoxic drugs. Consequently, MSI-H/MMR-D has nowadays an utmost medical value, therefore, proper utilization of this test is a critical component of CRC management</w:t>
      </w:r>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 xml:space="preserve">. </w:t>
      </w:r>
    </w:p>
    <w:p w14:paraId="2D1B8316" w14:textId="4EEE3117" w:rsidR="00A77B3E" w:rsidRDefault="00E33DE9">
      <w:pPr>
        <w:spacing w:line="360" w:lineRule="auto"/>
        <w:ind w:firstLine="567"/>
        <w:jc w:val="both"/>
      </w:pPr>
      <w:r>
        <w:rPr>
          <w:rFonts w:ascii="Book Antiqua" w:eastAsia="Book Antiqua" w:hAnsi="Book Antiqua" w:cs="Book Antiqua"/>
          <w:color w:val="000000"/>
        </w:rPr>
        <w:t xml:space="preserve">MSI-H/MMR-D status is characteristic of two clinically distinct categories of CRC patients. Wide-spread microsatellite instability is an obligatory feature of hereditary CRCs arising in subjects affected by Lynch syndrome. These patients tend to have an extensive family history of colorectal, endometrial and some other cancers and often present with the malignant disease at a relatively young age (&lt; 50 years). MSI-H/MMR-D may also arise due to hypermethylation of the </w:t>
      </w:r>
      <w:r w:rsidRPr="00AD6356">
        <w:rPr>
          <w:rFonts w:ascii="Book Antiqua" w:eastAsia="Book Antiqua" w:hAnsi="Book Antiqua" w:cs="Book Antiqua"/>
          <w:i/>
          <w:color w:val="000000"/>
        </w:rPr>
        <w:t>MLH1</w:t>
      </w:r>
      <w:r>
        <w:rPr>
          <w:rFonts w:ascii="Book Antiqua" w:eastAsia="Book Antiqua" w:hAnsi="Book Antiqua" w:cs="Book Antiqua"/>
          <w:color w:val="000000"/>
        </w:rPr>
        <w:t xml:space="preserve"> gene promoter; these patients with sporadic (</w:t>
      </w:r>
      <w:r>
        <w:rPr>
          <w:rFonts w:ascii="Book Antiqua" w:eastAsia="Book Antiqua" w:hAnsi="Book Antiqua" w:cs="Book Antiqua"/>
          <w:i/>
          <w:iCs/>
          <w:color w:val="000000"/>
        </w:rPr>
        <w:t>i.e.</w:t>
      </w:r>
      <w:r>
        <w:rPr>
          <w:rFonts w:ascii="Book Antiqua" w:eastAsia="Book Antiqua" w:hAnsi="Book Antiqua" w:cs="Book Antiqua"/>
          <w:color w:val="000000"/>
        </w:rPr>
        <w:t xml:space="preserve">, non-hereditary) CRCs </w:t>
      </w:r>
      <w:proofErr w:type="spellStart"/>
      <w:r>
        <w:rPr>
          <w:rFonts w:ascii="Book Antiqua" w:eastAsia="Book Antiqua" w:hAnsi="Book Antiqua" w:cs="Book Antiqua"/>
          <w:color w:val="000000"/>
        </w:rPr>
        <w:t>dislaying</w:t>
      </w:r>
      <w:proofErr w:type="spellEnd"/>
      <w:r>
        <w:rPr>
          <w:rFonts w:ascii="Book Antiqua" w:eastAsia="Book Antiqua" w:hAnsi="Book Antiqua" w:cs="Book Antiqua"/>
          <w:color w:val="000000"/>
        </w:rPr>
        <w:t xml:space="preserve"> MSI-H/MMR-D are usually of elderly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 xml:space="preserve">. Hence, the frequency of MSI-H depends on two factors, </w:t>
      </w:r>
      <w:r>
        <w:rPr>
          <w:rFonts w:ascii="Book Antiqua" w:eastAsia="Book Antiqua" w:hAnsi="Book Antiqua" w:cs="Book Antiqua"/>
          <w:i/>
          <w:iCs/>
          <w:color w:val="000000"/>
        </w:rPr>
        <w:t>i.e.,</w:t>
      </w:r>
      <w:r>
        <w:rPr>
          <w:rFonts w:ascii="Book Antiqua" w:eastAsia="Book Antiqua" w:hAnsi="Book Antiqua" w:cs="Book Antiqua"/>
          <w:color w:val="000000"/>
        </w:rPr>
        <w:t xml:space="preserve"> the population-specific contribution of Lynch syndrome-related germ-line mutations in CRC incidence and the average age of CRC patients; the latter parameter is highly influenced by life expectancy observed in a given country. Studies performed in the countries of the Western world usually claim that up to 10%-15% of CRCs are characterized by MSI-H/MMR-D phenotype; these estimates may be substantially lower in some other patient series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Mode of the recruitment of the CRC cases also plays an essential role, as MSI-H/MMR-D is observed at a higher frequency in patients with localized vs. metastatic cancers</w:t>
      </w:r>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 xml:space="preserve">. </w:t>
      </w:r>
    </w:p>
    <w:p w14:paraId="1380A05D" w14:textId="77777777" w:rsidR="00A77B3E" w:rsidRDefault="00E33DE9">
      <w:pPr>
        <w:spacing w:line="360" w:lineRule="auto"/>
        <w:ind w:firstLine="567"/>
        <w:jc w:val="both"/>
      </w:pPr>
      <w:r>
        <w:rPr>
          <w:rFonts w:ascii="Book Antiqua" w:eastAsia="Book Antiqua" w:hAnsi="Book Antiqua" w:cs="Book Antiqua"/>
          <w:color w:val="000000"/>
        </w:rPr>
        <w:t>MSI-H/MMR-D phenotype is generally associated with a lower risk of relapse in surgically treated patients. Systematic analysis of multiple studies suggested that stage II MSI-H/MMR-D CRCs do not benefit from adjuvant chemotherapy, therefore, abstinence from postoperative systemic treatment in this category of patients is suggested by CRC clinical guidelines</w:t>
      </w:r>
      <w:r>
        <w:rPr>
          <w:rFonts w:ascii="Book Antiqua" w:eastAsia="Book Antiqua" w:hAnsi="Book Antiqua" w:cs="Book Antiqua"/>
          <w:color w:val="000000"/>
          <w:szCs w:val="30"/>
          <w:vertAlign w:val="superscript"/>
        </w:rPr>
        <w:t>[43,47,50]</w:t>
      </w:r>
      <w:r>
        <w:rPr>
          <w:rFonts w:ascii="Book Antiqua" w:eastAsia="Book Antiqua" w:hAnsi="Book Antiqua" w:cs="Book Antiqua"/>
          <w:color w:val="000000"/>
        </w:rPr>
        <w:t>.</w:t>
      </w:r>
    </w:p>
    <w:p w14:paraId="4894BA32" w14:textId="77777777" w:rsidR="00A77B3E" w:rsidRDefault="00E33DE9">
      <w:pPr>
        <w:spacing w:line="360" w:lineRule="auto"/>
        <w:ind w:firstLine="567"/>
        <w:jc w:val="both"/>
      </w:pPr>
      <w:r>
        <w:rPr>
          <w:rFonts w:ascii="Book Antiqua" w:eastAsia="Book Antiqua" w:hAnsi="Book Antiqua" w:cs="Book Antiqua"/>
          <w:color w:val="000000"/>
        </w:rPr>
        <w:t>MMR-D results in an extensive accumulation of various mutations: tumor mutational burden (TMB) in these CRCs may exceed the number of mutations observed in MSS tumors by two orders of magnitude. High TMB is associated with an increased amount of tumor antigens thus rendering the responsiveness of MSI-H/MMR-D CRCs to immune therapy. There are several clinical trials, which demonstrated the remarkable efficacy of immune therapy for microsatellite unstable CRCs. In particular, pembrolizumab has been approved for the treatment of MSI-H/MMR-D CRC both in a first-line setting and for tumors with prior exposure to cytotoxic agents</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In addition, treatment of mismatch repair-deficient CRCs after the failure of chemotherapy may rely on nivolumab given alone or in combination with ipilimumab</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0CB7E2AA" w14:textId="77777777" w:rsidR="00A77B3E" w:rsidRDefault="00A77B3E">
      <w:pPr>
        <w:spacing w:line="360" w:lineRule="auto"/>
        <w:ind w:firstLine="567"/>
        <w:jc w:val="both"/>
      </w:pPr>
    </w:p>
    <w:p w14:paraId="057F46B7" w14:textId="77777777" w:rsidR="00A77B3E" w:rsidRDefault="00E33DE9">
      <w:pPr>
        <w:spacing w:line="360" w:lineRule="auto"/>
        <w:jc w:val="both"/>
      </w:pPr>
      <w:r>
        <w:rPr>
          <w:rFonts w:ascii="Book Antiqua" w:eastAsia="Book Antiqua" w:hAnsi="Book Antiqua" w:cs="Book Antiqua"/>
          <w:b/>
          <w:bCs/>
          <w:i/>
          <w:iCs/>
          <w:color w:val="000000"/>
          <w:shd w:val="clear" w:color="auto" w:fill="FFFFFF"/>
        </w:rPr>
        <w:t>Combination of BRAF V600E mutation and microsatellite instability</w:t>
      </w:r>
    </w:p>
    <w:p w14:paraId="7EC87B5F" w14:textId="34C80FF5" w:rsidR="00A77B3E" w:rsidRDefault="00E33DE9">
      <w:pPr>
        <w:spacing w:line="360" w:lineRule="auto"/>
        <w:jc w:val="both"/>
      </w:pPr>
      <w:r>
        <w:rPr>
          <w:rFonts w:ascii="Book Antiqua" w:eastAsia="Book Antiqua" w:hAnsi="Book Antiqua" w:cs="Book Antiqua"/>
          <w:color w:val="000000"/>
        </w:rPr>
        <w:t xml:space="preserve">Almost half of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V600E-mutated tumors observed in elderly patients have a microsatellite unstable phenotype. Similarly, up to half of sporadic late-onset CRCs, which render the MSI-H phenotype, carry the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V600E </w:t>
      </w:r>
      <w:proofErr w:type="gramStart"/>
      <w:r>
        <w:rPr>
          <w:rFonts w:ascii="Book Antiqua" w:eastAsia="Book Antiqua" w:hAnsi="Book Antiqua" w:cs="Book Antiqua"/>
          <w:color w:val="000000"/>
        </w:rPr>
        <w:t>mutation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if we consider CRC patients, who were diagnosed with this disease in the second half of their life, especially in their seventies or eighties, there will be a significant enrichment for tumors carrying both the above targets. These tumors are potentially sensitive both to BRAF V600E inhibition and </w:t>
      </w:r>
      <w:r w:rsidR="00CE786D">
        <w:rPr>
          <w:rFonts w:ascii="Book Antiqua" w:eastAsia="Book Antiqua" w:hAnsi="Book Antiqua" w:cs="Book Antiqua"/>
          <w:color w:val="000000"/>
        </w:rPr>
        <w:t xml:space="preserve">to </w:t>
      </w:r>
      <w:r>
        <w:rPr>
          <w:rFonts w:ascii="Book Antiqua" w:eastAsia="Book Antiqua" w:hAnsi="Book Antiqua" w:cs="Book Antiqua"/>
          <w:color w:val="000000"/>
        </w:rPr>
        <w:t>the immune checkpoint blockade. For the time being, the experience of treating these tumors is limited to applying either of these options</w:t>
      </w:r>
      <w:r>
        <w:rPr>
          <w:rFonts w:ascii="Book Antiqua" w:eastAsia="Book Antiqua" w:hAnsi="Book Antiqua" w:cs="Book Antiqua"/>
          <w:color w:val="000000"/>
          <w:szCs w:val="30"/>
          <w:vertAlign w:val="superscript"/>
        </w:rPr>
        <w:t>[34,52]</w:t>
      </w:r>
      <w:r>
        <w:rPr>
          <w:rFonts w:ascii="Book Antiqua" w:eastAsia="Book Antiqua" w:hAnsi="Book Antiqua" w:cs="Book Antiqua"/>
          <w:color w:val="000000"/>
        </w:rPr>
        <w:t>. There are several lines of evidence suggesting a cross-talk between EGFR-BRAF-MAPK pathways and immune signalling cascades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Consequently, it is tempting to expect that the combination of EGFR/BRAF and immune checkpoint inhibition will result in a dramatic improvement of the disease outcomes. A trial combining cetuximab, encorafenib and nivolumab in CRCs carrying a combination of </w:t>
      </w:r>
      <w:r w:rsidRPr="00FE5C67">
        <w:rPr>
          <w:rFonts w:ascii="Book Antiqua" w:eastAsia="Book Antiqua" w:hAnsi="Book Antiqua" w:cs="Book Antiqua"/>
          <w:i/>
          <w:color w:val="000000"/>
        </w:rPr>
        <w:t>BRAF</w:t>
      </w:r>
      <w:r>
        <w:rPr>
          <w:rFonts w:ascii="Book Antiqua" w:eastAsia="Book Antiqua" w:hAnsi="Book Antiqua" w:cs="Book Antiqua"/>
          <w:color w:val="000000"/>
        </w:rPr>
        <w:t xml:space="preserve"> V600E and MSI-H is currently underway (</w:t>
      </w:r>
      <w:r>
        <w:rPr>
          <w:rFonts w:ascii="Book Antiqua" w:eastAsia="Book Antiqua" w:hAnsi="Book Antiqua" w:cs="Book Antiqua"/>
          <w:color w:val="000000"/>
          <w:shd w:val="clear" w:color="auto" w:fill="FFFFFF"/>
        </w:rPr>
        <w:t>NCT04017650).</w:t>
      </w:r>
    </w:p>
    <w:p w14:paraId="6C31E1BF" w14:textId="77777777" w:rsidR="00A77B3E" w:rsidRDefault="00A77B3E">
      <w:pPr>
        <w:spacing w:line="360" w:lineRule="auto"/>
        <w:jc w:val="both"/>
      </w:pPr>
    </w:p>
    <w:p w14:paraId="50AE4E80" w14:textId="77777777" w:rsidR="00A77B3E" w:rsidRDefault="00E33DE9">
      <w:pPr>
        <w:spacing w:line="360" w:lineRule="auto"/>
        <w:jc w:val="both"/>
      </w:pPr>
      <w:r>
        <w:rPr>
          <w:rFonts w:ascii="Book Antiqua" w:eastAsia="Book Antiqua" w:hAnsi="Book Antiqua" w:cs="Book Antiqua"/>
          <w:b/>
          <w:bCs/>
          <w:i/>
          <w:iCs/>
          <w:color w:val="000000"/>
          <w:shd w:val="clear" w:color="auto" w:fill="FFFFFF"/>
        </w:rPr>
        <w:t>HER2 overexpression</w:t>
      </w:r>
    </w:p>
    <w:p w14:paraId="4A0676EA" w14:textId="77777777" w:rsidR="00A77B3E" w:rsidRDefault="00E33DE9">
      <w:pPr>
        <w:spacing w:line="360" w:lineRule="auto"/>
        <w:jc w:val="both"/>
      </w:pPr>
      <w:r>
        <w:rPr>
          <w:rFonts w:ascii="Book Antiqua" w:eastAsia="Book Antiqua" w:hAnsi="Book Antiqua" w:cs="Book Antiqua"/>
          <w:color w:val="000000"/>
        </w:rPr>
        <w:t xml:space="preserve">Up to 5% of </w:t>
      </w:r>
      <w:r w:rsidRPr="00FE5C67">
        <w:rPr>
          <w:rFonts w:ascii="Book Antiqua" w:eastAsia="Book Antiqua" w:hAnsi="Book Antiqua" w:cs="Book Antiqua"/>
          <w:i/>
          <w:color w:val="000000"/>
        </w:rPr>
        <w:t>RAS/RAF</w:t>
      </w:r>
      <w:r>
        <w:rPr>
          <w:rFonts w:ascii="Book Antiqua" w:eastAsia="Book Antiqua" w:hAnsi="Book Antiqua" w:cs="Book Antiqua"/>
          <w:color w:val="000000"/>
        </w:rPr>
        <w:t xml:space="preserve"> mutation-negative CRCs are driven by the activation of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 It is essential to emphasize that the definition of HER2 up-regulation deserves particular attention.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 was initially studied as a breast cancer gene. In breast cancer, </w:t>
      </w:r>
      <w:r w:rsidRPr="00FE5C67">
        <w:rPr>
          <w:rFonts w:ascii="Book Antiqua" w:eastAsia="Book Antiqua" w:hAnsi="Book Antiqua" w:cs="Book Antiqua"/>
          <w:i/>
          <w:color w:val="000000"/>
        </w:rPr>
        <w:t xml:space="preserve">HER2 </w:t>
      </w:r>
      <w:r>
        <w:rPr>
          <w:rFonts w:ascii="Book Antiqua" w:eastAsia="Book Antiqua" w:hAnsi="Book Antiqua" w:cs="Book Antiqua"/>
          <w:color w:val="000000"/>
        </w:rPr>
        <w:t xml:space="preserve">amplification is almost always accompanied by gene overexpression; consequently, it was suggested that FISH and IHC tests can be used interchangeably for the management of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biology of CRC has some differences as compared to breast cancer. It appears that a subset of CRCs carries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 extra copies, which do not result in the increased production of the HER2 protein. This “non-productive” </w:t>
      </w:r>
      <w:r w:rsidRPr="00FE5C67">
        <w:rPr>
          <w:rFonts w:ascii="Book Antiqua" w:eastAsia="Book Antiqua" w:hAnsi="Book Antiqua" w:cs="Book Antiqua"/>
          <w:i/>
          <w:color w:val="000000"/>
        </w:rPr>
        <w:t>HER2</w:t>
      </w:r>
      <w:r>
        <w:rPr>
          <w:rFonts w:ascii="Book Antiqua" w:eastAsia="Book Antiqua" w:hAnsi="Book Antiqua" w:cs="Book Antiqua"/>
          <w:color w:val="000000"/>
        </w:rPr>
        <w:t xml:space="preserve"> amplification is not mutually exclusive with other activating genetic events in the MAPK pathway and is not associated with clinical benefit from HER2 down-</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750CD6DB" w14:textId="77777777" w:rsidR="00A77B3E" w:rsidRDefault="00E33DE9">
      <w:pPr>
        <w:spacing w:line="360" w:lineRule="auto"/>
        <w:ind w:firstLine="567"/>
        <w:jc w:val="both"/>
      </w:pPr>
      <w:r>
        <w:rPr>
          <w:rFonts w:ascii="Book Antiqua" w:eastAsia="Book Antiqua" w:hAnsi="Book Antiqua" w:cs="Book Antiqua"/>
          <w:color w:val="000000"/>
          <w:shd w:val="clear" w:color="auto" w:fill="FFFFFF"/>
        </w:rPr>
        <w:t xml:space="preserve">“Genuine” </w:t>
      </w:r>
      <w:r w:rsidRPr="00FE5C67">
        <w:rPr>
          <w:rFonts w:ascii="Book Antiqua" w:eastAsia="Book Antiqua" w:hAnsi="Book Antiqua" w:cs="Book Antiqua"/>
          <w:i/>
          <w:color w:val="000000"/>
          <w:shd w:val="clear" w:color="auto" w:fill="FFFFFF"/>
        </w:rPr>
        <w:t>HER2</w:t>
      </w:r>
      <w:r>
        <w:rPr>
          <w:rFonts w:ascii="Book Antiqua" w:eastAsia="Book Antiqua" w:hAnsi="Book Antiqua" w:cs="Book Antiqua"/>
          <w:color w:val="000000"/>
          <w:shd w:val="clear" w:color="auto" w:fill="FFFFFF"/>
        </w:rPr>
        <w:t xml:space="preserve"> activation, which is usually manifested by a combination of </w:t>
      </w:r>
      <w:r w:rsidRPr="00FE5C67">
        <w:rPr>
          <w:rFonts w:ascii="Book Antiqua" w:eastAsia="Book Antiqua" w:hAnsi="Book Antiqua" w:cs="Book Antiqua"/>
          <w:i/>
          <w:color w:val="000000"/>
          <w:shd w:val="clear" w:color="auto" w:fill="FFFFFF"/>
        </w:rPr>
        <w:t>HER2</w:t>
      </w:r>
      <w:r>
        <w:rPr>
          <w:rFonts w:ascii="Book Antiqua" w:eastAsia="Book Antiqua" w:hAnsi="Book Antiqua" w:cs="Book Antiqua"/>
          <w:color w:val="000000"/>
          <w:shd w:val="clear" w:color="auto" w:fill="FFFFFF"/>
        </w:rPr>
        <w:t xml:space="preserve"> amplification and overexpression, is associated with the lack of tumor responsiveness to anti-EGFR therapy. There are several successful clinical studies utilizing rigorous HER2 inhibition achieved by the combination of two HER2-targeted agents. For example, Sartore-Bianchi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demonstrated high efficacy of the combination of trastuzumab and lapatinib in </w:t>
      </w:r>
      <w:r w:rsidRPr="00FE5C67">
        <w:rPr>
          <w:rFonts w:ascii="Book Antiqua" w:eastAsia="Book Antiqua" w:hAnsi="Book Antiqua" w:cs="Book Antiqua"/>
          <w:i/>
          <w:color w:val="000000"/>
        </w:rPr>
        <w:t>HER2</w:t>
      </w:r>
      <w:r>
        <w:rPr>
          <w:rFonts w:ascii="Book Antiqua" w:eastAsia="Book Antiqua" w:hAnsi="Book Antiqua" w:cs="Book Antiqua"/>
          <w:color w:val="000000"/>
        </w:rPr>
        <w:t>-driven cancers. Similarly, Meric-Bernstam</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showed the utility of pertuzumab plus trastuzumab combination. There are a number of ongoing clinical trials involving various HER2-targeted therapeutic regimens</w:t>
      </w:r>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xml:space="preserve">. </w:t>
      </w:r>
    </w:p>
    <w:p w14:paraId="089B8653" w14:textId="77777777" w:rsidR="00A77B3E" w:rsidRDefault="00A77B3E">
      <w:pPr>
        <w:spacing w:line="360" w:lineRule="auto"/>
        <w:ind w:firstLine="567"/>
        <w:jc w:val="both"/>
      </w:pPr>
    </w:p>
    <w:p w14:paraId="517CCDE2" w14:textId="77777777" w:rsidR="00A77B3E" w:rsidRDefault="00E33DE9">
      <w:pPr>
        <w:spacing w:line="360" w:lineRule="auto"/>
        <w:jc w:val="both"/>
      </w:pPr>
      <w:r>
        <w:rPr>
          <w:rFonts w:ascii="Book Antiqua" w:eastAsia="Book Antiqua" w:hAnsi="Book Antiqua" w:cs="Book Antiqua"/>
          <w:b/>
          <w:bCs/>
          <w:i/>
          <w:iCs/>
          <w:color w:val="000000"/>
          <w:shd w:val="clear" w:color="auto" w:fill="FFFFFF"/>
        </w:rPr>
        <w:t>Emerging predictive markers and therapeutic approaches</w:t>
      </w:r>
    </w:p>
    <w:p w14:paraId="3BF325A1" w14:textId="77777777" w:rsidR="00A77B3E" w:rsidRDefault="00E33DE9">
      <w:pPr>
        <w:spacing w:line="360" w:lineRule="auto"/>
        <w:jc w:val="both"/>
      </w:pPr>
      <w:r>
        <w:rPr>
          <w:rFonts w:ascii="Book Antiqua" w:eastAsia="Book Antiqua" w:hAnsi="Book Antiqua" w:cs="Book Antiqua"/>
          <w:color w:val="000000"/>
        </w:rPr>
        <w:t xml:space="preserve">More than half of CRCs carry mutations in </w:t>
      </w:r>
      <w:r w:rsidRPr="00AD6356">
        <w:rPr>
          <w:rFonts w:ascii="Book Antiqua" w:eastAsia="Book Antiqua" w:hAnsi="Book Antiqua" w:cs="Book Antiqua"/>
          <w:i/>
          <w:color w:val="000000"/>
        </w:rPr>
        <w:t>KRAS</w:t>
      </w:r>
      <w:r>
        <w:rPr>
          <w:rFonts w:ascii="Book Antiqua" w:eastAsia="Book Antiqua" w:hAnsi="Book Antiqua" w:cs="Book Antiqua"/>
          <w:color w:val="000000"/>
        </w:rPr>
        <w:t xml:space="preserve"> or </w:t>
      </w:r>
      <w:r w:rsidRPr="00AD6356">
        <w:rPr>
          <w:rFonts w:ascii="Book Antiqua" w:eastAsia="Book Antiqua" w:hAnsi="Book Antiqua" w:cs="Book Antiqua"/>
          <w:i/>
          <w:color w:val="000000"/>
        </w:rPr>
        <w:t>NRAS</w:t>
      </w:r>
      <w:r>
        <w:rPr>
          <w:rFonts w:ascii="Book Antiqua" w:eastAsia="Book Antiqua" w:hAnsi="Book Antiqua" w:cs="Book Antiqua"/>
          <w:color w:val="000000"/>
        </w:rPr>
        <w:t xml:space="preserve"> oncogenes. These patients are excluded from the anti-EGFR treatment and therefore have limited treatment options. The development of specific inhibitors of mutated RAS proteins is highly complicated due to their small size, limited conformational change upon mutational activation and high affinity to their enzymatic substrate, </w:t>
      </w:r>
      <w:r>
        <w:rPr>
          <w:rFonts w:ascii="Book Antiqua" w:eastAsia="Book Antiqua" w:hAnsi="Book Antiqua" w:cs="Book Antiqua"/>
          <w:i/>
          <w:iCs/>
          <w:color w:val="000000"/>
        </w:rPr>
        <w:t>i.e.,</w:t>
      </w:r>
      <w:r>
        <w:rPr>
          <w:rFonts w:ascii="Book Antiqua" w:eastAsia="Book Antiqua" w:hAnsi="Book Antiqua" w:cs="Book Antiqua"/>
          <w:color w:val="000000"/>
        </w:rPr>
        <w:t xml:space="preserve"> GTP. For the time being, only the inhibitors of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carrying glycine-to-cysteine substitution in codon 12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G12C) succeeded to enter late phases of clinical development. A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G12C mutation occurs in approximately 15% of non-small cell lung cancers, mainly in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but is relatively rare in CRCs: it accounts for approximately 1 out of 12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mutations, and its frequency in unselected metastatic CRCs is about 4%</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 recent phase I trial involving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G12C inhibitor sotorasib (AMG 510) included 42 CRC patients; 3 (7%) subjects experienced partial response and 28 (67%) cases demonstrated the disease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Preclinical studies suggest that combined inactivation of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G12C and EGFR may prevent CRC escape from a single-agent KRAS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t>
      </w:r>
    </w:p>
    <w:p w14:paraId="79F752BF" w14:textId="77777777" w:rsidR="00A77B3E" w:rsidRDefault="00E33DE9">
      <w:pPr>
        <w:spacing w:line="360" w:lineRule="auto"/>
        <w:ind w:firstLine="567"/>
        <w:jc w:val="both"/>
      </w:pPr>
      <w:r>
        <w:rPr>
          <w:rFonts w:ascii="Book Antiqua" w:eastAsia="Book Antiqua" w:hAnsi="Book Antiqua" w:cs="Book Antiqua"/>
          <w:color w:val="000000"/>
          <w:shd w:val="clear" w:color="auto" w:fill="FFFFFF"/>
        </w:rPr>
        <w:t>Mutation-driven activation of RAS results in the upregulation of MEK kinase. However, MEK kinase inhibitors do not show significant clinical efficacy in RAS-driven tumors. Some data indicate that tumor escape for MEK down-regulation may be attributed to autophagy. Preclinical experiments and some case reports involving KRAS-mutated pancreatic cancer patients suggest that the addition of an autophagy inhibitor, hydroxychloroquine (Plaquenil</w:t>
      </w:r>
      <w:r>
        <w:rPr>
          <w:rFonts w:ascii="Book Antiqua" w:eastAsia="Book Antiqua" w:hAnsi="Book Antiqua" w:cs="Book Antiqua"/>
          <w:color w:val="000000"/>
        </w:rPr>
        <w:t>), may augment the efficacy of MEK antagonists</w:t>
      </w:r>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There is a report describing the response of CRC carrying the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G12D mutation to the combination of binimetinib, hydroxychloroquine, and </w:t>
      </w:r>
      <w:proofErr w:type="gramStart"/>
      <w:r>
        <w:rPr>
          <w:rFonts w:ascii="Book Antiqua" w:eastAsia="Book Antiqua" w:hAnsi="Book Antiqua" w:cs="Book Antiqua"/>
          <w:color w:val="000000"/>
        </w:rPr>
        <w:t>bevacizumab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This approach may have significant implications, given that almost a million people worldwide develop RAS-mutated CRC every year. </w:t>
      </w:r>
    </w:p>
    <w:p w14:paraId="202E719C" w14:textId="77777777" w:rsidR="00A77B3E" w:rsidRDefault="00E33DE9">
      <w:pPr>
        <w:spacing w:line="360" w:lineRule="auto"/>
        <w:ind w:firstLine="567"/>
        <w:jc w:val="both"/>
      </w:pPr>
      <w:r>
        <w:rPr>
          <w:rFonts w:ascii="Book Antiqua" w:eastAsia="Book Antiqua" w:hAnsi="Book Antiqua" w:cs="Book Antiqua"/>
          <w:color w:val="000000"/>
          <w:shd w:val="clear" w:color="auto" w:fill="FFFFFF"/>
        </w:rPr>
        <w:t xml:space="preserve">Microsatellite instability caused by the inactivation of mismatch repair genes is the most frequent cause of excessive tumor mutation burden, and, consequently, sensitivity to immune therapy. There are other varieties of CRC driven by the inactivation of DNA repair. For example, </w:t>
      </w:r>
      <w:r w:rsidRPr="00FE5C67">
        <w:rPr>
          <w:rFonts w:ascii="Book Antiqua" w:eastAsia="Book Antiqua" w:hAnsi="Book Antiqua" w:cs="Book Antiqua"/>
          <w:i/>
          <w:color w:val="000000"/>
          <w:shd w:val="clear" w:color="auto" w:fill="FFFFFF"/>
        </w:rPr>
        <w:t>MUTYH</w:t>
      </w:r>
      <w:r>
        <w:rPr>
          <w:rFonts w:ascii="Book Antiqua" w:eastAsia="Book Antiqua" w:hAnsi="Book Antiqua" w:cs="Book Antiqua"/>
          <w:color w:val="000000"/>
          <w:shd w:val="clear" w:color="auto" w:fill="FFFFFF"/>
        </w:rPr>
        <w:t xml:space="preserve">-associated CRC is a rare example of a recessive hereditary cancer syndrome, which is characterized by a deficiency in base excision repair. CRCs with biallelic inactivation of the </w:t>
      </w:r>
      <w:r w:rsidRPr="00AD6356">
        <w:rPr>
          <w:rFonts w:ascii="Book Antiqua" w:eastAsia="Book Antiqua" w:hAnsi="Book Antiqua" w:cs="Book Antiqua"/>
          <w:i/>
          <w:color w:val="000000"/>
          <w:shd w:val="clear" w:color="auto" w:fill="FFFFFF"/>
        </w:rPr>
        <w:t>MUTYH</w:t>
      </w:r>
      <w:r>
        <w:rPr>
          <w:rFonts w:ascii="Book Antiqua" w:eastAsia="Book Antiqua" w:hAnsi="Book Antiqua" w:cs="Book Antiqua"/>
          <w:color w:val="000000"/>
          <w:shd w:val="clear" w:color="auto" w:fill="FFFFFF"/>
        </w:rPr>
        <w:t xml:space="preserve"> gene accumulate a huge amount of </w:t>
      </w:r>
      <w:r>
        <w:rPr>
          <w:rFonts w:ascii="Book Antiqua" w:eastAsia="Book Antiqua" w:hAnsi="Book Antiqua" w:cs="Book Antiqua"/>
          <w:color w:val="000000"/>
        </w:rPr>
        <w:t xml:space="preserve">G:C &gt; </w:t>
      </w:r>
      <w:proofErr w:type="gramStart"/>
      <w:r>
        <w:rPr>
          <w:rFonts w:ascii="Book Antiqua" w:eastAsia="Book Antiqua" w:hAnsi="Book Antiqua" w:cs="Book Antiqua"/>
          <w:color w:val="000000"/>
        </w:rPr>
        <w:t>T:A</w:t>
      </w:r>
      <w:proofErr w:type="gramEnd"/>
      <w:r>
        <w:rPr>
          <w:rFonts w:ascii="Book Antiqua" w:eastAsia="Book Antiqua" w:hAnsi="Book Antiqua" w:cs="Book Antiqua"/>
          <w:color w:val="000000"/>
        </w:rPr>
        <w:t xml:space="preserve"> transversions. These tumors are responsive to immune checkpoint blockade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Biallelic carriers of pathogenic </w:t>
      </w:r>
      <w:r w:rsidRPr="00FE5C67">
        <w:rPr>
          <w:rFonts w:ascii="Book Antiqua" w:eastAsia="Book Antiqua" w:hAnsi="Book Antiqua" w:cs="Book Antiqua"/>
          <w:i/>
          <w:color w:val="000000"/>
          <w:shd w:val="clear" w:color="auto" w:fill="FFFFFF"/>
        </w:rPr>
        <w:t>MUTYH</w:t>
      </w:r>
      <w:r>
        <w:rPr>
          <w:rFonts w:ascii="Book Antiqua" w:eastAsia="Book Antiqua" w:hAnsi="Book Antiqua" w:cs="Book Antiqua"/>
          <w:color w:val="000000"/>
          <w:shd w:val="clear" w:color="auto" w:fill="FFFFFF"/>
        </w:rPr>
        <w:t xml:space="preserve"> alleles often develop CRC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the acquisition of the KRAS G12C substitution. Given the existence of recurrent </w:t>
      </w:r>
      <w:r w:rsidRPr="00FE5C67">
        <w:rPr>
          <w:rFonts w:ascii="Book Antiqua" w:eastAsia="Book Antiqua" w:hAnsi="Book Antiqua" w:cs="Book Antiqua"/>
          <w:i/>
          <w:color w:val="000000"/>
        </w:rPr>
        <w:t>MUTYH</w:t>
      </w:r>
      <w:r>
        <w:rPr>
          <w:rFonts w:ascii="Book Antiqua" w:eastAsia="Book Antiqua" w:hAnsi="Book Antiqua" w:cs="Book Antiqua"/>
          <w:color w:val="000000"/>
        </w:rPr>
        <w:t xml:space="preserve"> variants, it is advisable to screen individuals with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G12C mutated CRC for the presence of </w:t>
      </w:r>
      <w:r w:rsidRPr="00FE5C67">
        <w:rPr>
          <w:rFonts w:ascii="Book Antiqua" w:eastAsia="Book Antiqua" w:hAnsi="Book Antiqua" w:cs="Book Antiqua"/>
          <w:i/>
          <w:color w:val="000000"/>
        </w:rPr>
        <w:t>MUTYH</w:t>
      </w:r>
      <w:r>
        <w:rPr>
          <w:rFonts w:ascii="Book Antiqua" w:eastAsia="Book Antiqua" w:hAnsi="Book Antiqua" w:cs="Book Antiqua"/>
          <w:color w:val="000000"/>
        </w:rPr>
        <w:t xml:space="preserve"> germ-line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64,70</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t>
      </w:r>
    </w:p>
    <w:p w14:paraId="30C929D7" w14:textId="77777777" w:rsidR="00A77B3E" w:rsidRDefault="00E33DE9">
      <w:pPr>
        <w:spacing w:line="360" w:lineRule="auto"/>
        <w:ind w:firstLine="567"/>
        <w:jc w:val="both"/>
      </w:pPr>
      <w:r w:rsidRPr="00FE5C67">
        <w:rPr>
          <w:rFonts w:ascii="Book Antiqua" w:eastAsia="Book Antiqua" w:hAnsi="Book Antiqua" w:cs="Book Antiqua"/>
          <w:i/>
          <w:color w:val="000000"/>
        </w:rPr>
        <w:t>POLE</w:t>
      </w:r>
      <w:r>
        <w:rPr>
          <w:rFonts w:ascii="Book Antiqua" w:eastAsia="Book Antiqua" w:hAnsi="Book Antiqua" w:cs="Book Antiqua"/>
          <w:color w:val="000000"/>
        </w:rPr>
        <w:t xml:space="preserve">-associated CRC is another example of rare CRC variety with ultra-high mutational load. POLE (polymerase epsilon) is a DNA polymerase with proofreading activity. Mutations in the exonuclease domain of the </w:t>
      </w:r>
      <w:r w:rsidRPr="00AD6356">
        <w:rPr>
          <w:rFonts w:ascii="Book Antiqua" w:eastAsia="Book Antiqua" w:hAnsi="Book Antiqua" w:cs="Book Antiqua"/>
          <w:i/>
          <w:color w:val="000000"/>
        </w:rPr>
        <w:t>POLE</w:t>
      </w:r>
      <w:r>
        <w:rPr>
          <w:rFonts w:ascii="Book Antiqua" w:eastAsia="Book Antiqua" w:hAnsi="Book Antiqua" w:cs="Book Antiqua"/>
          <w:color w:val="000000"/>
        </w:rPr>
        <w:t xml:space="preserve"> gene result in an excessive number of errors occurring during DNA replication. There are cancers arising due to inheritance of a </w:t>
      </w:r>
      <w:r w:rsidRPr="00FE5C67">
        <w:rPr>
          <w:rFonts w:ascii="Book Antiqua" w:eastAsia="Book Antiqua" w:hAnsi="Book Antiqua" w:cs="Book Antiqua"/>
          <w:i/>
          <w:color w:val="000000"/>
        </w:rPr>
        <w:t>POLE</w:t>
      </w:r>
      <w:r>
        <w:rPr>
          <w:rFonts w:ascii="Book Antiqua" w:eastAsia="Book Antiqua" w:hAnsi="Book Antiqua" w:cs="Book Antiqua"/>
          <w:color w:val="000000"/>
        </w:rPr>
        <w:t xml:space="preserve"> pathogenic allele as well as instances of somatic inactivation of the </w:t>
      </w:r>
      <w:r w:rsidRPr="00AD6356">
        <w:rPr>
          <w:rFonts w:ascii="Book Antiqua" w:eastAsia="Book Antiqua" w:hAnsi="Book Antiqua" w:cs="Book Antiqua"/>
          <w:i/>
          <w:color w:val="000000"/>
        </w:rPr>
        <w:t>POLE</w:t>
      </w:r>
      <w:r>
        <w:rPr>
          <w:rFonts w:ascii="Book Antiqua" w:eastAsia="Book Antiqua" w:hAnsi="Book Antiqua" w:cs="Book Antiqua"/>
          <w:color w:val="000000"/>
        </w:rPr>
        <w:t xml:space="preserve"> gene in sporadic CRCs and other tumor types. POLE deficiency is associated with tumor response to inhibitors of immune checkpoints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hd w:val="clear" w:color="auto" w:fill="FFFFFF"/>
        </w:rPr>
        <w:t xml:space="preserve">. </w:t>
      </w:r>
    </w:p>
    <w:p w14:paraId="3056F17A" w14:textId="77777777" w:rsidR="00A77B3E" w:rsidRDefault="00E33DE9">
      <w:pPr>
        <w:spacing w:line="360" w:lineRule="auto"/>
        <w:ind w:firstLine="567"/>
        <w:jc w:val="both"/>
      </w:pPr>
      <w:r>
        <w:rPr>
          <w:rFonts w:ascii="Book Antiqua" w:eastAsia="Book Antiqua" w:hAnsi="Book Antiqua" w:cs="Book Antiqua"/>
          <w:color w:val="000000"/>
        </w:rPr>
        <w:t>Actionable rearrangements involving receptor tyrosine kinases are characteristic mainly for non-small cell lung carcinomas and some pediatric tumors</w:t>
      </w:r>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xml:space="preserve">. Somewhat unexpectedly, instances of gene fusions resulting in the activation of involved kinases have been repeatedly demonstrated in microsatellite-unstable cancers arising due to somatic methylation of the </w:t>
      </w:r>
      <w:r w:rsidRPr="00AD6356">
        <w:rPr>
          <w:rFonts w:ascii="Book Antiqua" w:eastAsia="Book Antiqua" w:hAnsi="Book Antiqua" w:cs="Book Antiqua"/>
          <w:i/>
          <w:color w:val="000000"/>
        </w:rPr>
        <w:t>MLH1</w:t>
      </w:r>
      <w:r>
        <w:rPr>
          <w:rFonts w:ascii="Book Antiqua" w:eastAsia="Book Antiqua" w:hAnsi="Book Antiqua" w:cs="Book Antiqua"/>
          <w:color w:val="000000"/>
        </w:rPr>
        <w:t xml:space="preserve"> gene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There are also rare instances of druggable gene rearrangements in microsatellite stable cancers</w:t>
      </w:r>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CRCs carrying activating gene fusions are responsive to the administration of appropriate tyrosine kinase inhibitors</w:t>
      </w:r>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w:t>
      </w:r>
    </w:p>
    <w:p w14:paraId="127A9D08" w14:textId="77777777" w:rsidR="00A77B3E" w:rsidRDefault="00A77B3E">
      <w:pPr>
        <w:spacing w:line="360" w:lineRule="auto"/>
        <w:ind w:firstLine="567"/>
        <w:jc w:val="both"/>
      </w:pPr>
    </w:p>
    <w:p w14:paraId="04E6E8DE" w14:textId="77777777" w:rsidR="00A77B3E" w:rsidRPr="00AD6356" w:rsidRDefault="00E33DE9">
      <w:pPr>
        <w:spacing w:line="360" w:lineRule="auto"/>
        <w:jc w:val="both"/>
        <w:rPr>
          <w:lang w:eastAsia="zh-CN"/>
        </w:rPr>
      </w:pPr>
      <w:r>
        <w:rPr>
          <w:rFonts w:ascii="Book Antiqua" w:eastAsia="Book Antiqua" w:hAnsi="Book Antiqua" w:cs="Book Antiqua"/>
          <w:b/>
          <w:caps/>
          <w:color w:val="000000"/>
          <w:u w:val="single"/>
          <w:shd w:val="clear" w:color="auto" w:fill="FFFFFF"/>
        </w:rPr>
        <w:t xml:space="preserve">HEREDITARY PREDISPOSITION TO </w:t>
      </w:r>
      <w:r w:rsidR="00AD6356">
        <w:rPr>
          <w:rFonts w:ascii="Book Antiqua" w:hAnsi="Book Antiqua" w:cs="Book Antiqua" w:hint="eastAsia"/>
          <w:b/>
          <w:caps/>
          <w:color w:val="000000"/>
          <w:u w:val="single"/>
          <w:shd w:val="clear" w:color="auto" w:fill="FFFFFF"/>
          <w:lang w:eastAsia="zh-CN"/>
        </w:rPr>
        <w:t>cRC</w:t>
      </w:r>
    </w:p>
    <w:p w14:paraId="29803F87" w14:textId="77777777" w:rsidR="00A77B3E" w:rsidRDefault="00E33DE9">
      <w:pPr>
        <w:spacing w:line="360" w:lineRule="auto"/>
        <w:jc w:val="both"/>
      </w:pPr>
      <w:r>
        <w:rPr>
          <w:rFonts w:ascii="Book Antiqua" w:eastAsia="Book Antiqua" w:hAnsi="Book Antiqua" w:cs="Book Antiqua"/>
          <w:color w:val="000000"/>
          <w:shd w:val="clear" w:color="auto" w:fill="FFFFFF"/>
        </w:rPr>
        <w:t xml:space="preserve">Approximately 3% of CRCs develop due to inherited mutations in </w:t>
      </w:r>
      <w:r w:rsidRPr="00AD6356">
        <w:rPr>
          <w:rFonts w:ascii="Book Antiqua" w:eastAsia="Book Antiqua" w:hAnsi="Book Antiqua" w:cs="Book Antiqua"/>
          <w:i/>
          <w:color w:val="000000"/>
          <w:shd w:val="clear" w:color="auto" w:fill="FFFFFF"/>
        </w:rPr>
        <w:t>MMR</w:t>
      </w:r>
      <w:r>
        <w:rPr>
          <w:rFonts w:ascii="Book Antiqua" w:eastAsia="Book Antiqua" w:hAnsi="Book Antiqua" w:cs="Book Antiqua"/>
          <w:color w:val="000000"/>
          <w:shd w:val="clear" w:color="auto" w:fill="FFFFFF"/>
        </w:rPr>
        <w:t xml:space="preserve"> genes. This condition is called Lynch syndrome and remains the only well-established cause of hereditary non-polyposis </w:t>
      </w:r>
      <w:r w:rsidR="00AD6356">
        <w:rPr>
          <w:rFonts w:ascii="Book Antiqua" w:hAnsi="Book Antiqua" w:cs="Book Antiqua" w:hint="eastAsia"/>
          <w:color w:val="000000"/>
          <w:shd w:val="clear" w:color="auto" w:fill="FFFFFF"/>
          <w:lang w:eastAsia="zh-CN"/>
        </w:rPr>
        <w:t>CRC</w:t>
      </w:r>
      <w:r>
        <w:rPr>
          <w:rFonts w:ascii="Book Antiqua" w:eastAsia="Book Antiqua" w:hAnsi="Book Antiqua" w:cs="Book Antiqua"/>
          <w:color w:val="000000"/>
          <w:shd w:val="clear" w:color="auto" w:fill="FFFFFF"/>
        </w:rPr>
        <w:t xml:space="preserve"> (HNPCC). Lynch syndrome is associated with germ-line pathogenic variants affecting </w:t>
      </w:r>
      <w:r>
        <w:rPr>
          <w:rFonts w:ascii="Book Antiqua" w:eastAsia="Book Antiqua" w:hAnsi="Book Antiqua" w:cs="Book Antiqua"/>
          <w:i/>
          <w:iCs/>
          <w:color w:val="000000"/>
          <w:shd w:val="clear" w:color="auto" w:fill="FFFFFF"/>
        </w:rPr>
        <w:t>MLH1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MSH2</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MSH6</w:t>
      </w:r>
      <w:r>
        <w:rPr>
          <w:rFonts w:ascii="Book Antiqua" w:eastAsia="Book Antiqua" w:hAnsi="Book Antiqua" w:cs="Book Antiqua"/>
          <w:color w:val="000000"/>
          <w:shd w:val="clear" w:color="auto" w:fill="FFFFFF"/>
        </w:rPr>
        <w:t xml:space="preserve"> or </w:t>
      </w:r>
      <w:r>
        <w:rPr>
          <w:rFonts w:ascii="Book Antiqua" w:eastAsia="Book Antiqua" w:hAnsi="Book Antiqua" w:cs="Book Antiqua"/>
          <w:i/>
          <w:iCs/>
          <w:color w:val="000000"/>
          <w:shd w:val="clear" w:color="auto" w:fill="FFFFFF"/>
        </w:rPr>
        <w:t>PMS2</w:t>
      </w:r>
      <w:r>
        <w:rPr>
          <w:rFonts w:ascii="Book Antiqua" w:eastAsia="Book Antiqua" w:hAnsi="Book Antiqua" w:cs="Book Antiqua"/>
          <w:color w:val="000000"/>
          <w:shd w:val="clear" w:color="auto" w:fill="FFFFFF"/>
        </w:rPr>
        <w:t xml:space="preserve"> genes. The fifth </w:t>
      </w:r>
      <w:r>
        <w:rPr>
          <w:rFonts w:ascii="Book Antiqua" w:eastAsia="Book Antiqua" w:hAnsi="Book Antiqua" w:cs="Book Antiqua"/>
          <w:i/>
          <w:iCs/>
          <w:color w:val="000000"/>
          <w:shd w:val="clear" w:color="auto" w:fill="FFFFFF"/>
        </w:rPr>
        <w:t>HNPCC</w:t>
      </w:r>
      <w:r>
        <w:rPr>
          <w:rFonts w:ascii="Book Antiqua" w:eastAsia="Book Antiqua" w:hAnsi="Book Antiqua" w:cs="Book Antiqua"/>
          <w:color w:val="000000"/>
          <w:shd w:val="clear" w:color="auto" w:fill="FFFFFF"/>
        </w:rPr>
        <w:t xml:space="preserve"> gene is </w:t>
      </w:r>
      <w:r w:rsidRPr="00FE5C67">
        <w:rPr>
          <w:rFonts w:ascii="Book Antiqua" w:eastAsia="Book Antiqua" w:hAnsi="Book Antiqua" w:cs="Book Antiqua"/>
          <w:i/>
          <w:color w:val="000000"/>
          <w:shd w:val="clear" w:color="auto" w:fill="FFFFFF"/>
        </w:rPr>
        <w:t>EPCAM</w:t>
      </w:r>
      <w:r>
        <w:rPr>
          <w:rFonts w:ascii="Book Antiqua" w:eastAsia="Book Antiqua" w:hAnsi="Book Antiqua" w:cs="Book Antiqua"/>
          <w:color w:val="000000"/>
          <w:shd w:val="clear" w:color="auto" w:fill="FFFFFF"/>
        </w:rPr>
        <w:t xml:space="preserve">, which is involved in the disease pathogenesis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inactivation of the </w:t>
      </w:r>
      <w:r>
        <w:rPr>
          <w:rFonts w:ascii="Book Antiqua" w:eastAsia="Book Antiqua" w:hAnsi="Book Antiqua" w:cs="Book Antiqua"/>
          <w:i/>
          <w:iCs/>
          <w:color w:val="000000"/>
        </w:rPr>
        <w:t>MSH2</w:t>
      </w:r>
      <w:r>
        <w:rPr>
          <w:rFonts w:ascii="Book Antiqua" w:eastAsia="Book Antiqua" w:hAnsi="Book Antiqua" w:cs="Book Antiqua"/>
          <w:color w:val="000000"/>
        </w:rPr>
        <w:t xml:space="preserve"> gene. The penetrance of the above-mentioned genes tended to be overestimated in the past because studies of HNPCC were focused on the analysis of large cancer pedigrees. The invention of NGS led to significantly increased accessibility of the mutational testing in the </w:t>
      </w:r>
      <w:r>
        <w:rPr>
          <w:rFonts w:ascii="Book Antiqua" w:eastAsia="Book Antiqua" w:hAnsi="Book Antiqua" w:cs="Book Antiqua"/>
          <w:i/>
          <w:iCs/>
          <w:color w:val="000000"/>
        </w:rPr>
        <w:t>HNPCC</w:t>
      </w:r>
      <w:r>
        <w:rPr>
          <w:rFonts w:ascii="Book Antiqua" w:eastAsia="Book Antiqua" w:hAnsi="Book Antiqua" w:cs="Book Antiqua"/>
          <w:color w:val="000000"/>
        </w:rPr>
        <w:t xml:space="preserve"> genes, so the appropriate DNA analysis was applied to unselected CRC cases and healthy controls. It is currently estimated that the individual CRC risk for carriers of germline variants in the </w:t>
      </w:r>
      <w:r>
        <w:rPr>
          <w:rFonts w:ascii="Book Antiqua" w:eastAsia="Book Antiqua" w:hAnsi="Book Antiqua" w:cs="Book Antiqua"/>
          <w:i/>
          <w:iCs/>
          <w:color w:val="000000"/>
        </w:rPr>
        <w:t>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MSH2</w:t>
      </w:r>
      <w:r>
        <w:rPr>
          <w:rFonts w:ascii="Book Antiqua" w:eastAsia="Book Antiqua" w:hAnsi="Book Antiqua" w:cs="Book Antiqua"/>
          <w:color w:val="000000"/>
        </w:rPr>
        <w:t xml:space="preserve"> genes falls within the range of 40%-80%. Inheritance of mutations in the </w:t>
      </w:r>
      <w:r>
        <w:rPr>
          <w:rFonts w:ascii="Book Antiqua" w:eastAsia="Book Antiqua" w:hAnsi="Book Antiqua" w:cs="Book Antiqua"/>
          <w:i/>
          <w:iCs/>
          <w:color w:val="000000"/>
        </w:rPr>
        <w:t>MSH6</w:t>
      </w:r>
      <w:r>
        <w:rPr>
          <w:rFonts w:ascii="Book Antiqua" w:eastAsia="Book Antiqua" w:hAnsi="Book Antiqua" w:cs="Book Antiqua"/>
          <w:color w:val="000000"/>
        </w:rPr>
        <w:t xml:space="preserve"> and </w:t>
      </w:r>
      <w:r>
        <w:rPr>
          <w:rFonts w:ascii="Book Antiqua" w:eastAsia="Book Antiqua" w:hAnsi="Book Antiqua" w:cs="Book Antiqua"/>
          <w:i/>
          <w:iCs/>
          <w:color w:val="000000"/>
        </w:rPr>
        <w:t>PMS2</w:t>
      </w:r>
      <w:r>
        <w:rPr>
          <w:rFonts w:ascii="Book Antiqua" w:eastAsia="Book Antiqua" w:hAnsi="Book Antiqua" w:cs="Book Antiqua"/>
          <w:color w:val="000000"/>
        </w:rPr>
        <w:t xml:space="preserve"> genes is associated with a 10%-20% probability of developing CRC during the life-time, which is only 2-4 times higher than among unselected subjects. The contribution of Lynch syndrome in CRC incidence significantly varies between different populations</w:t>
      </w:r>
      <w:r>
        <w:rPr>
          <w:rFonts w:ascii="Book Antiqua" w:eastAsia="Book Antiqua" w:hAnsi="Book Antiqua" w:cs="Book Antiqua"/>
          <w:color w:val="000000"/>
          <w:szCs w:val="30"/>
          <w:vertAlign w:val="superscript"/>
        </w:rPr>
        <w:t>[80-84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t>
      </w:r>
    </w:p>
    <w:p w14:paraId="3811DE55" w14:textId="77777777" w:rsidR="00A77B3E" w:rsidRDefault="00E33DE9">
      <w:pPr>
        <w:spacing w:line="360" w:lineRule="auto"/>
        <w:ind w:firstLine="567"/>
        <w:jc w:val="both"/>
      </w:pPr>
      <w:r>
        <w:rPr>
          <w:rFonts w:ascii="Book Antiqua" w:eastAsia="Book Antiqua" w:hAnsi="Book Antiqua" w:cs="Book Antiqua"/>
          <w:color w:val="000000"/>
        </w:rPr>
        <w:t xml:space="preserve">Tumors arising in patients affected by Lynch syndrome always demonstrate MSI if they are causally linked to an inherited mutation in an </w:t>
      </w:r>
      <w:r>
        <w:rPr>
          <w:rFonts w:ascii="Book Antiqua" w:eastAsia="Book Antiqua" w:hAnsi="Book Antiqua" w:cs="Book Antiqua"/>
          <w:i/>
          <w:iCs/>
          <w:color w:val="000000"/>
        </w:rPr>
        <w:t>MMR</w:t>
      </w:r>
      <w:r>
        <w:rPr>
          <w:rFonts w:ascii="Book Antiqua" w:eastAsia="Book Antiqua" w:hAnsi="Book Antiqua" w:cs="Book Antiqua"/>
          <w:color w:val="000000"/>
        </w:rPr>
        <w:t xml:space="preserve"> gene. MSI-H/MMR-D testing is now applied to all CRC patients; therefore, this assay serves as a screening test for HNPCC. The analysis of germ-line variants in </w:t>
      </w:r>
      <w:r>
        <w:rPr>
          <w:rFonts w:ascii="Book Antiqua" w:eastAsia="Book Antiqua" w:hAnsi="Book Antiqua" w:cs="Book Antiqua"/>
          <w:i/>
          <w:iCs/>
          <w:color w:val="000000"/>
        </w:rPr>
        <w:t>MLH1</w:t>
      </w:r>
      <w:r>
        <w:rPr>
          <w:rFonts w:ascii="Book Antiqua" w:eastAsia="Book Antiqua" w:hAnsi="Book Antiqua" w:cs="Book Antiqua"/>
          <w:color w:val="000000"/>
        </w:rPr>
        <w:t xml:space="preserve">, </w:t>
      </w:r>
      <w:r>
        <w:rPr>
          <w:rFonts w:ascii="Book Antiqua" w:eastAsia="Book Antiqua" w:hAnsi="Book Antiqua" w:cs="Book Antiqua"/>
          <w:i/>
          <w:iCs/>
          <w:color w:val="000000"/>
        </w:rPr>
        <w:t>MSH2</w:t>
      </w:r>
      <w:r>
        <w:rPr>
          <w:rFonts w:ascii="Book Antiqua" w:eastAsia="Book Antiqua" w:hAnsi="Book Antiqua" w:cs="Book Antiqua"/>
          <w:color w:val="000000"/>
        </w:rPr>
        <w:t xml:space="preserve">, </w:t>
      </w:r>
      <w:r>
        <w:rPr>
          <w:rFonts w:ascii="Book Antiqua" w:eastAsia="Book Antiqua" w:hAnsi="Book Antiqua" w:cs="Book Antiqua"/>
          <w:i/>
          <w:iCs/>
          <w:color w:val="000000"/>
        </w:rPr>
        <w:t>MSH6</w:t>
      </w:r>
      <w:r>
        <w:rPr>
          <w:rFonts w:ascii="Book Antiqua" w:eastAsia="Book Antiqua" w:hAnsi="Book Antiqua" w:cs="Book Antiqua"/>
          <w:color w:val="000000"/>
        </w:rPr>
        <w:t xml:space="preserve">, </w:t>
      </w:r>
      <w:r>
        <w:rPr>
          <w:rFonts w:ascii="Book Antiqua" w:eastAsia="Book Antiqua" w:hAnsi="Book Antiqua" w:cs="Book Antiqua"/>
          <w:i/>
          <w:iCs/>
          <w:color w:val="000000"/>
        </w:rPr>
        <w:t>PMS2</w:t>
      </w:r>
      <w:r>
        <w:rPr>
          <w:rFonts w:ascii="Book Antiqua" w:eastAsia="Book Antiqua" w:hAnsi="Book Antiqua" w:cs="Book Antiqua"/>
          <w:color w:val="000000"/>
        </w:rPr>
        <w:t xml:space="preserve"> and </w:t>
      </w:r>
      <w:r>
        <w:rPr>
          <w:rFonts w:ascii="Book Antiqua" w:eastAsia="Book Antiqua" w:hAnsi="Book Antiqua" w:cs="Book Antiqua"/>
          <w:i/>
          <w:iCs/>
          <w:color w:val="000000"/>
        </w:rPr>
        <w:t>EPCAM</w:t>
      </w:r>
      <w:r>
        <w:rPr>
          <w:rFonts w:ascii="Book Antiqua" w:eastAsia="Book Antiqua" w:hAnsi="Book Antiqua" w:cs="Book Antiqua"/>
          <w:color w:val="000000"/>
        </w:rPr>
        <w:t xml:space="preserve"> genes requires consideration of both small mutations (protein-truncating variants or pathogenic missense mutations) and so-called large gene rearrangements (LGRs). IHC analysis of selective loss of MMR protein expression was used in the past to guide the identification of the involved gene. Nowadays, testing for Lynch syndrome genes is almost always done by NGS, except for communities with a pronounced founder effect</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w:t>
      </w:r>
    </w:p>
    <w:p w14:paraId="208B36E0" w14:textId="77777777" w:rsidR="00A77B3E" w:rsidRDefault="00E33DE9">
      <w:pPr>
        <w:spacing w:line="360" w:lineRule="auto"/>
        <w:ind w:firstLine="567"/>
        <w:jc w:val="both"/>
      </w:pPr>
      <w:r>
        <w:rPr>
          <w:rFonts w:ascii="Book Antiqua" w:eastAsia="Book Antiqua" w:hAnsi="Book Antiqua" w:cs="Book Antiqua"/>
          <w:color w:val="000000"/>
        </w:rPr>
        <w:t xml:space="preserve">There are multiple instances of familial aggregation of colorectal tumors not displaying a MSI-H/MMR-D phenotype and that are not related to pathogenic variants in </w:t>
      </w:r>
      <w:r w:rsidRPr="00FE5C67">
        <w:rPr>
          <w:rFonts w:ascii="Book Antiqua" w:eastAsia="Book Antiqua" w:hAnsi="Book Antiqua" w:cs="Book Antiqua"/>
          <w:i/>
          <w:color w:val="000000"/>
        </w:rPr>
        <w:t>MLH1, MSH2, MSH6, PMS2</w:t>
      </w:r>
      <w:r>
        <w:rPr>
          <w:rFonts w:ascii="Book Antiqua" w:eastAsia="Book Antiqua" w:hAnsi="Book Antiqua" w:cs="Book Antiqua"/>
          <w:color w:val="000000"/>
        </w:rPr>
        <w:t xml:space="preserve"> or </w:t>
      </w:r>
      <w:r w:rsidRPr="00FE5C67">
        <w:rPr>
          <w:rFonts w:ascii="Book Antiqua" w:eastAsia="Book Antiqua" w:hAnsi="Book Antiqua" w:cs="Book Antiqua"/>
          <w:i/>
          <w:color w:val="000000"/>
        </w:rPr>
        <w:t>EPCAM</w:t>
      </w:r>
      <w:r>
        <w:rPr>
          <w:rFonts w:ascii="Book Antiqua" w:eastAsia="Book Antiqua" w:hAnsi="Book Antiqua" w:cs="Book Antiqua"/>
          <w:color w:val="000000"/>
        </w:rPr>
        <w:t>. Despite intensive research efforts, RPS20 is currently the only gene showing reliable association with HNPCC. Germ-line mutations in the RPS20 are exceptionally rare and their spread is limited to particular ethnic groups</w:t>
      </w:r>
      <w:r>
        <w:rPr>
          <w:rFonts w:ascii="Book Antiqua" w:eastAsia="Book Antiqua" w:hAnsi="Book Antiqua" w:cs="Book Antiqua"/>
          <w:color w:val="000000"/>
          <w:szCs w:val="30"/>
          <w:vertAlign w:val="superscript"/>
        </w:rPr>
        <w:t>[81,84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w:t>
      </w:r>
    </w:p>
    <w:p w14:paraId="17C4FA9B" w14:textId="77777777" w:rsidR="00A77B3E" w:rsidRDefault="00E33DE9">
      <w:pPr>
        <w:spacing w:line="360" w:lineRule="auto"/>
        <w:ind w:firstLine="567"/>
        <w:jc w:val="both"/>
      </w:pPr>
      <w:r>
        <w:rPr>
          <w:rFonts w:ascii="Book Antiqua" w:eastAsia="Book Antiqua" w:hAnsi="Book Antiqua" w:cs="Book Antiqua"/>
          <w:color w:val="000000"/>
        </w:rPr>
        <w:t xml:space="preserve">There is a number of genes associated with colon polyposis and subsequent development of CRC. Dominant mutations in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are the most recognized cause of this condition. Other genetic causes of polyposis and CRC are relatively rare and include alterations in </w:t>
      </w:r>
      <w:r>
        <w:rPr>
          <w:rFonts w:ascii="Book Antiqua" w:eastAsia="Book Antiqua" w:hAnsi="Book Antiqua" w:cs="Book Antiqua"/>
          <w:i/>
          <w:iCs/>
          <w:color w:val="000000"/>
        </w:rPr>
        <w:t>MUTYH</w:t>
      </w:r>
      <w:r>
        <w:rPr>
          <w:rFonts w:ascii="Book Antiqua" w:eastAsia="Book Antiqua" w:hAnsi="Book Antiqua" w:cs="Book Antiqua"/>
          <w:color w:val="000000"/>
        </w:rPr>
        <w:t xml:space="preserve">, </w:t>
      </w:r>
      <w:r>
        <w:rPr>
          <w:rFonts w:ascii="Book Antiqua" w:eastAsia="Book Antiqua" w:hAnsi="Book Antiqua" w:cs="Book Antiqua"/>
          <w:i/>
          <w:iCs/>
          <w:color w:val="000000"/>
        </w:rPr>
        <w:t>POLE</w:t>
      </w:r>
      <w:r>
        <w:rPr>
          <w:rFonts w:ascii="Book Antiqua" w:eastAsia="Book Antiqua" w:hAnsi="Book Antiqua" w:cs="Book Antiqua"/>
          <w:color w:val="000000"/>
        </w:rPr>
        <w:t xml:space="preserve">, </w:t>
      </w:r>
      <w:r>
        <w:rPr>
          <w:rFonts w:ascii="Book Antiqua" w:eastAsia="Book Antiqua" w:hAnsi="Book Antiqua" w:cs="Book Antiqua"/>
          <w:i/>
          <w:iCs/>
          <w:color w:val="000000"/>
        </w:rPr>
        <w:t>POLD1</w:t>
      </w:r>
      <w:r>
        <w:rPr>
          <w:rFonts w:ascii="Book Antiqua" w:eastAsia="Book Antiqua" w:hAnsi="Book Antiqua" w:cs="Book Antiqua"/>
          <w:color w:val="000000"/>
        </w:rPr>
        <w:t xml:space="preserve">, </w:t>
      </w:r>
      <w:r>
        <w:rPr>
          <w:rFonts w:ascii="Book Antiqua" w:eastAsia="Book Antiqua" w:hAnsi="Book Antiqua" w:cs="Book Antiqua"/>
          <w:i/>
          <w:iCs/>
          <w:color w:val="000000"/>
        </w:rPr>
        <w:t>NTHL1</w:t>
      </w:r>
      <w:r>
        <w:rPr>
          <w:rFonts w:ascii="Book Antiqua" w:eastAsia="Book Antiqua" w:hAnsi="Book Antiqua" w:cs="Book Antiqua"/>
          <w:color w:val="000000"/>
        </w:rPr>
        <w:t xml:space="preserve">, </w:t>
      </w:r>
      <w:r>
        <w:rPr>
          <w:rFonts w:ascii="Book Antiqua" w:eastAsia="Book Antiqua" w:hAnsi="Book Antiqua" w:cs="Book Antiqua"/>
          <w:i/>
          <w:iCs/>
          <w:color w:val="000000"/>
        </w:rPr>
        <w:t>MSH3</w:t>
      </w:r>
      <w:r>
        <w:rPr>
          <w:rFonts w:ascii="Book Antiqua" w:eastAsia="Book Antiqua" w:hAnsi="Book Antiqua" w:cs="Book Antiqua"/>
          <w:color w:val="000000"/>
        </w:rPr>
        <w:t xml:space="preserve">, </w:t>
      </w:r>
      <w:r>
        <w:rPr>
          <w:rFonts w:ascii="Book Antiqua" w:eastAsia="Book Antiqua" w:hAnsi="Book Antiqua" w:cs="Book Antiqua"/>
          <w:i/>
          <w:iCs/>
          <w:color w:val="000000"/>
        </w:rPr>
        <w:t>STK11</w:t>
      </w:r>
      <w:r>
        <w:rPr>
          <w:rFonts w:ascii="Book Antiqua" w:eastAsia="Book Antiqua" w:hAnsi="Book Antiqua" w:cs="Book Antiqua"/>
          <w:color w:val="000000"/>
        </w:rPr>
        <w:t xml:space="preserve">, </w:t>
      </w:r>
      <w:r>
        <w:rPr>
          <w:rFonts w:ascii="Book Antiqua" w:eastAsia="Book Antiqua" w:hAnsi="Book Antiqua" w:cs="Book Antiqua"/>
          <w:i/>
          <w:iCs/>
          <w:color w:val="000000"/>
        </w:rPr>
        <w:t>SMAD4</w:t>
      </w:r>
      <w:r>
        <w:rPr>
          <w:rFonts w:ascii="Book Antiqua" w:eastAsia="Book Antiqua" w:hAnsi="Book Antiqua" w:cs="Book Antiqua"/>
          <w:color w:val="000000"/>
        </w:rPr>
        <w:t xml:space="preserve">, </w:t>
      </w:r>
      <w:r>
        <w:rPr>
          <w:rFonts w:ascii="Book Antiqua" w:eastAsia="Book Antiqua" w:hAnsi="Book Antiqua" w:cs="Book Antiqua"/>
          <w:i/>
          <w:iCs/>
          <w:color w:val="000000"/>
        </w:rPr>
        <w:t>PTEN</w:t>
      </w:r>
      <w:r>
        <w:rPr>
          <w:rFonts w:ascii="Book Antiqua" w:eastAsia="Book Antiqua" w:hAnsi="Book Antiqua" w:cs="Book Antiqua"/>
          <w:color w:val="000000"/>
        </w:rPr>
        <w:t xml:space="preserve">, </w:t>
      </w:r>
      <w:r>
        <w:rPr>
          <w:rFonts w:ascii="Book Antiqua" w:eastAsia="Book Antiqua" w:hAnsi="Book Antiqua" w:cs="Book Antiqua"/>
          <w:i/>
          <w:iCs/>
          <w:color w:val="000000"/>
        </w:rPr>
        <w:t>GERM1</w:t>
      </w:r>
      <w:r>
        <w:rPr>
          <w:rFonts w:ascii="Book Antiqua" w:eastAsia="Book Antiqua" w:hAnsi="Book Antiqua" w:cs="Book Antiqua"/>
          <w:color w:val="000000"/>
        </w:rPr>
        <w:t xml:space="preserve"> and some other genes</w:t>
      </w:r>
      <w:r>
        <w:rPr>
          <w:rFonts w:ascii="Book Antiqua" w:eastAsia="Book Antiqua" w:hAnsi="Book Antiqua" w:cs="Book Antiqua"/>
          <w:color w:val="000000"/>
          <w:szCs w:val="30"/>
          <w:vertAlign w:val="superscript"/>
        </w:rPr>
        <w:t>[81-83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7ACECDDE" w14:textId="77777777" w:rsidR="00A77B3E" w:rsidRDefault="00A77B3E">
      <w:pPr>
        <w:spacing w:line="360" w:lineRule="auto"/>
        <w:ind w:firstLine="567"/>
        <w:jc w:val="both"/>
      </w:pPr>
    </w:p>
    <w:p w14:paraId="6ABCBB60" w14:textId="77777777" w:rsidR="00A77B3E" w:rsidRDefault="00E33DE9">
      <w:pPr>
        <w:spacing w:line="360" w:lineRule="auto"/>
        <w:jc w:val="both"/>
      </w:pPr>
      <w:r>
        <w:rPr>
          <w:rFonts w:ascii="Book Antiqua" w:eastAsia="Book Antiqua" w:hAnsi="Book Antiqua" w:cs="Book Antiqua"/>
          <w:b/>
          <w:caps/>
          <w:color w:val="000000"/>
          <w:u w:val="single"/>
          <w:shd w:val="clear" w:color="auto" w:fill="FFFFFF"/>
        </w:rPr>
        <w:t>LIQUID BIOPSY FOR CRC</w:t>
      </w:r>
    </w:p>
    <w:p w14:paraId="656D4A48" w14:textId="77777777" w:rsidR="00A77B3E" w:rsidRDefault="00E33DE9">
      <w:pPr>
        <w:spacing w:line="360" w:lineRule="auto"/>
        <w:jc w:val="both"/>
      </w:pPr>
      <w:r>
        <w:rPr>
          <w:rFonts w:ascii="Book Antiqua" w:eastAsia="Book Antiqua" w:hAnsi="Book Antiqua" w:cs="Book Antiqua"/>
          <w:color w:val="000000"/>
        </w:rPr>
        <w:t>Many cancer patients have detectable tumor-derived DNA in their plasma, probably due to decay of malignant cells and consequent DNA shedding in the bloodstream. The detection of circulating tumor DNA (ctDNA) has multiple potential applications for CRC patients. Some studies suggest that ultrasensitive detection of mutations in genes, which are frequently somatically altered in CRC, may facilitate CRC screening, especially when coupled with the use of other markers</w:t>
      </w:r>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ctDNA testing may be used to control the success of surgical tumor resection. It is anticipated that patients who achieved ctDNA clearance after surgery have a good long-term prognosis and do not need adjuvant therapy, while subjects with residual ctDNA in the bloodstream are likely to relapse and require systemic drug exposure to reduce the risk of the disease recurrence</w:t>
      </w:r>
      <w:r>
        <w:rPr>
          <w:rFonts w:ascii="Book Antiqua" w:eastAsia="Book Antiqua" w:hAnsi="Book Antiqua" w:cs="Book Antiqua"/>
          <w:color w:val="000000"/>
          <w:szCs w:val="30"/>
          <w:vertAlign w:val="superscript"/>
        </w:rPr>
        <w:t>[89-91]</w:t>
      </w:r>
      <w:r>
        <w:rPr>
          <w:rFonts w:ascii="Book Antiqua" w:eastAsia="Book Antiqua" w:hAnsi="Book Antiqua" w:cs="Book Antiqua"/>
          <w:color w:val="000000"/>
        </w:rPr>
        <w:t>. Postsurgical monitoring for CRC-specific mutations may support early diagnosis of the tumor relapse</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Successful systemic therapy is accompanied by a rapid decline of the ctDNA concentration, while the maintenance of a stable ctDNA level indicates the lack of treatment efficacy</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A liquid biopsy allows the detection of secondary mutations, which are associated with acquired tumor resistance to therapy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Clearance of these mutations from blood provides a rationale for re-challenge with the same targeted drug</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The various clinical applications of ctDNA analysis have been evaluated in many ongoing trials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2CC7A864" w14:textId="77777777" w:rsidR="00A77B3E" w:rsidRDefault="00A77B3E">
      <w:pPr>
        <w:spacing w:line="360" w:lineRule="auto"/>
        <w:jc w:val="both"/>
      </w:pPr>
    </w:p>
    <w:p w14:paraId="0293BDF4" w14:textId="77777777" w:rsidR="00A77B3E" w:rsidRDefault="00E33DE9">
      <w:pPr>
        <w:spacing w:line="360" w:lineRule="auto"/>
        <w:jc w:val="both"/>
      </w:pPr>
      <w:r>
        <w:rPr>
          <w:rFonts w:ascii="Book Antiqua" w:eastAsia="Book Antiqua" w:hAnsi="Book Antiqua" w:cs="Book Antiqua"/>
          <w:b/>
          <w:caps/>
          <w:color w:val="000000"/>
          <w:u w:val="single"/>
        </w:rPr>
        <w:t>CONCLUSION</w:t>
      </w:r>
    </w:p>
    <w:p w14:paraId="78EAE0E6" w14:textId="77777777" w:rsidR="00A77B3E" w:rsidRDefault="00E33DE9">
      <w:pPr>
        <w:spacing w:line="360" w:lineRule="auto"/>
        <w:jc w:val="both"/>
      </w:pPr>
      <w:r>
        <w:rPr>
          <w:rFonts w:ascii="Book Antiqua" w:eastAsia="Book Antiqua" w:hAnsi="Book Antiqua" w:cs="Book Antiqua"/>
          <w:color w:val="000000"/>
        </w:rPr>
        <w:t xml:space="preserve">CRC was the first common cancer type, whose molecular testing became a mandatory component of the therapeutic decisions: indeed, </w:t>
      </w:r>
      <w:r w:rsidRPr="00FE5C67">
        <w:rPr>
          <w:rFonts w:ascii="Book Antiqua" w:eastAsia="Book Antiqua" w:hAnsi="Book Antiqua" w:cs="Book Antiqua"/>
          <w:i/>
          <w:color w:val="000000"/>
        </w:rPr>
        <w:t>KRAS</w:t>
      </w:r>
      <w:r>
        <w:rPr>
          <w:rFonts w:ascii="Book Antiqua" w:eastAsia="Book Antiqua" w:hAnsi="Book Antiqua" w:cs="Book Antiqua"/>
          <w:color w:val="000000"/>
        </w:rPr>
        <w:t xml:space="preserve"> status assessment was incorporated in the drug labels for panitumumab and cetuximab already in the year 2009, </w:t>
      </w:r>
      <w:r>
        <w:rPr>
          <w:rFonts w:ascii="Book Antiqua" w:eastAsia="Book Antiqua" w:hAnsi="Book Antiqua" w:cs="Book Antiqua"/>
          <w:i/>
          <w:iCs/>
          <w:color w:val="000000"/>
        </w:rPr>
        <w:t>i.e.,</w:t>
      </w:r>
      <w:r>
        <w:rPr>
          <w:rFonts w:ascii="Book Antiqua" w:eastAsia="Book Antiqua" w:hAnsi="Book Antiqua" w:cs="Book Antiqua"/>
          <w:color w:val="000000"/>
        </w:rPr>
        <w:t xml:space="preserve"> sometime before the integration of </w:t>
      </w:r>
      <w:r w:rsidRPr="00FE5C67">
        <w:rPr>
          <w:rFonts w:ascii="Book Antiqua" w:eastAsia="Book Antiqua" w:hAnsi="Book Antiqua" w:cs="Book Antiqua"/>
          <w:i/>
          <w:color w:val="000000"/>
        </w:rPr>
        <w:t>EGFR</w:t>
      </w:r>
      <w:r>
        <w:rPr>
          <w:rFonts w:ascii="Book Antiqua" w:eastAsia="Book Antiqua" w:hAnsi="Book Antiqua" w:cs="Book Antiqua"/>
          <w:color w:val="000000"/>
        </w:rPr>
        <w:t xml:space="preserve"> mutation analysis into the non-small cell lung cancer management. Nowadays, all CRCs undergo comprehensive genetic analysis for somatic mutations and selected patients are subjected to germ-line DNA testing. Rapid spread of NGS technology is likely to affect attitudes towards CRC screening, diagnosis, treatment and monitoring in the near future.</w:t>
      </w:r>
    </w:p>
    <w:p w14:paraId="65C2DEA7" w14:textId="77777777" w:rsidR="00A77B3E" w:rsidRDefault="00A77B3E">
      <w:pPr>
        <w:spacing w:line="360" w:lineRule="auto"/>
        <w:jc w:val="both"/>
      </w:pPr>
    </w:p>
    <w:p w14:paraId="7FE48A40" w14:textId="77777777" w:rsidR="00A77B3E" w:rsidRDefault="00E33DE9">
      <w:pPr>
        <w:spacing w:line="360" w:lineRule="auto"/>
        <w:jc w:val="both"/>
      </w:pPr>
      <w:r>
        <w:rPr>
          <w:rFonts w:ascii="Book Antiqua" w:eastAsia="Book Antiqua" w:hAnsi="Book Antiqua" w:cs="Book Antiqua"/>
          <w:b/>
          <w:caps/>
          <w:color w:val="000000"/>
          <w:u w:val="single"/>
        </w:rPr>
        <w:t>ACKNOWLEDGEMENTS</w:t>
      </w:r>
    </w:p>
    <w:p w14:paraId="7D98B46E" w14:textId="77777777" w:rsidR="00A77B3E" w:rsidRDefault="00E33DE9">
      <w:pPr>
        <w:spacing w:line="360" w:lineRule="auto"/>
        <w:jc w:val="both"/>
      </w:pPr>
      <w:r>
        <w:rPr>
          <w:rFonts w:ascii="Book Antiqua" w:eastAsia="Book Antiqua" w:hAnsi="Book Antiqua" w:cs="Book Antiqua"/>
          <w:color w:val="000000"/>
        </w:rPr>
        <w:t xml:space="preserve">We are cordially thankful to Dr. Barbara </w:t>
      </w:r>
      <w:proofErr w:type="spellStart"/>
      <w:r>
        <w:rPr>
          <w:rFonts w:ascii="Book Antiqua" w:eastAsia="Book Antiqua" w:hAnsi="Book Antiqua" w:cs="Book Antiqua"/>
          <w:color w:val="000000"/>
        </w:rPr>
        <w:t>Vona</w:t>
      </w:r>
      <w:proofErr w:type="spellEnd"/>
      <w:r>
        <w:rPr>
          <w:rFonts w:ascii="Book Antiqua" w:eastAsia="Book Antiqua" w:hAnsi="Book Antiqua" w:cs="Book Antiqua"/>
          <w:color w:val="000000"/>
        </w:rPr>
        <w:t xml:space="preserve"> (University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for critical reading of this manuscript. </w:t>
      </w:r>
    </w:p>
    <w:p w14:paraId="664ED17A" w14:textId="77777777" w:rsidR="00A77B3E" w:rsidRDefault="00A77B3E">
      <w:pPr>
        <w:spacing w:line="360" w:lineRule="auto"/>
        <w:jc w:val="both"/>
      </w:pPr>
    </w:p>
    <w:p w14:paraId="78C71659" w14:textId="77777777" w:rsidR="00A77B3E" w:rsidRDefault="00E33DE9">
      <w:pPr>
        <w:spacing w:line="360" w:lineRule="auto"/>
        <w:jc w:val="both"/>
      </w:pPr>
      <w:r>
        <w:rPr>
          <w:rFonts w:ascii="Book Antiqua" w:eastAsia="Book Antiqua" w:hAnsi="Book Antiqua" w:cs="Book Antiqua"/>
          <w:b/>
          <w:color w:val="000000"/>
        </w:rPr>
        <w:t>REFERENCES</w:t>
      </w:r>
    </w:p>
    <w:p w14:paraId="08B15D28" w14:textId="77777777" w:rsidR="00A77B3E" w:rsidRDefault="00E33DE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174F6EB9" w14:textId="77777777" w:rsidR="00A77B3E" w:rsidRDefault="00E33DE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Baran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Ozupek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Yerli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Acar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Bekcioglu</w:t>
      </w:r>
      <w:proofErr w:type="spellEnd"/>
      <w:r>
        <w:rPr>
          <w:rFonts w:ascii="Book Antiqua" w:eastAsia="Book Antiqua" w:hAnsi="Book Antiqua" w:cs="Book Antiqua"/>
          <w:color w:val="000000"/>
        </w:rPr>
        <w:t xml:space="preserve"> O, Baskin Y. Difference Between Left-Sided and Right-Sided Colorectal Cancer: A Focused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264-273 [PMID: 30116425 DOI: 10.14740/gr1062w]</w:t>
      </w:r>
    </w:p>
    <w:p w14:paraId="5D57629B" w14:textId="77777777" w:rsidR="00A77B3E" w:rsidRDefault="00E33DE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7C6EC55F" w14:textId="77777777" w:rsidR="00A77B3E" w:rsidRDefault="00E33DE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Farooqi AA</w:t>
      </w:r>
      <w:r>
        <w:rPr>
          <w:rFonts w:ascii="Book Antiqua" w:eastAsia="Book Antiqua" w:hAnsi="Book Antiqua" w:cs="Book Antiqua"/>
          <w:color w:val="000000"/>
        </w:rPr>
        <w:t xml:space="preserve">, de la Roche M, </w:t>
      </w:r>
      <w:proofErr w:type="spellStart"/>
      <w:r>
        <w:rPr>
          <w:rFonts w:ascii="Book Antiqua" w:eastAsia="Book Antiqua" w:hAnsi="Book Antiqua" w:cs="Book Antiqua"/>
          <w:color w:val="000000"/>
        </w:rPr>
        <w:t>Djamgoz</w:t>
      </w:r>
      <w:proofErr w:type="spellEnd"/>
      <w:r>
        <w:rPr>
          <w:rFonts w:ascii="Book Antiqua" w:eastAsia="Book Antiqua" w:hAnsi="Book Antiqua" w:cs="Book Antiqua"/>
          <w:color w:val="000000"/>
        </w:rPr>
        <w:t xml:space="preserve"> MBA, </w:t>
      </w:r>
      <w:proofErr w:type="spellStart"/>
      <w:r>
        <w:rPr>
          <w:rFonts w:ascii="Book Antiqua" w:eastAsia="Book Antiqua" w:hAnsi="Book Antiqua" w:cs="Book Antiqua"/>
          <w:color w:val="000000"/>
        </w:rPr>
        <w:t>Siddik</w:t>
      </w:r>
      <w:proofErr w:type="spellEnd"/>
      <w:r>
        <w:rPr>
          <w:rFonts w:ascii="Book Antiqua" w:eastAsia="Book Antiqua" w:hAnsi="Book Antiqua" w:cs="Book Antiqua"/>
          <w:color w:val="000000"/>
        </w:rPr>
        <w:t xml:space="preserve"> ZH. Overview of the oncogenic signaling pathways in colorectal cancer: Mechanistic insights.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65-79 [PMID: 30633978 DOI: 10.1016/j.semcancer.2019.01.001]</w:t>
      </w:r>
    </w:p>
    <w:p w14:paraId="4096D163" w14:textId="77777777" w:rsidR="00A77B3E" w:rsidRDefault="00E33DE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Koncina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Rauh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Letellier</w:t>
      </w:r>
      <w:proofErr w:type="spellEnd"/>
      <w:r>
        <w:rPr>
          <w:rFonts w:ascii="Book Antiqua" w:eastAsia="Book Antiqua" w:hAnsi="Book Antiqua" w:cs="Book Antiqua"/>
          <w:color w:val="000000"/>
        </w:rPr>
        <w:t xml:space="preserve"> E. Prognostic and Predictive Molecular Biomarkers for Colorectal Cancer: Updates and Challenges.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32019056 DOI: 10.3390/cancers12020319]</w:t>
      </w:r>
    </w:p>
    <w:p w14:paraId="74EB90D0" w14:textId="77777777" w:rsidR="00A77B3E" w:rsidRDefault="00E33DE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Raskov</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Søby</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Bojesen</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Gögenur</w:t>
      </w:r>
      <w:proofErr w:type="spellEnd"/>
      <w:r>
        <w:rPr>
          <w:rFonts w:ascii="Book Antiqua" w:eastAsia="Book Antiqua" w:hAnsi="Book Antiqua" w:cs="Book Antiqua"/>
          <w:color w:val="000000"/>
        </w:rPr>
        <w:t xml:space="preserve"> I. Driver Gene Mutations and Epigenetics in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75-85 [PMID: 31188207 DOI: 10.1097/SLA.0000000000003393]</w:t>
      </w:r>
    </w:p>
    <w:p w14:paraId="0C1F7134" w14:textId="77777777" w:rsidR="00A77B3E" w:rsidRDefault="00E33DE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Testa U</w:t>
      </w:r>
      <w:r>
        <w:rPr>
          <w:rFonts w:ascii="Book Antiqua" w:eastAsia="Book Antiqua" w:hAnsi="Book Antiqua" w:cs="Book Antiqua"/>
          <w:color w:val="000000"/>
        </w:rPr>
        <w:t xml:space="preserve">, Castelli G, Pelosi E. Genetic Alterations of Metastatic Colorectal Cancer.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33066148 DOI: 10.3390/biomedicines8100414]</w:t>
      </w:r>
    </w:p>
    <w:p w14:paraId="2D469243" w14:textId="77777777" w:rsidR="00A77B3E" w:rsidRDefault="00E33DE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Dziubańska-Kusibab</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Berger H, </w:t>
      </w:r>
      <w:proofErr w:type="spellStart"/>
      <w:r>
        <w:rPr>
          <w:rFonts w:ascii="Book Antiqua" w:eastAsia="Book Antiqua" w:hAnsi="Book Antiqua" w:cs="Book Antiqua"/>
          <w:color w:val="000000"/>
        </w:rPr>
        <w:t>Battistini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Bouwman</w:t>
      </w:r>
      <w:proofErr w:type="spellEnd"/>
      <w:r>
        <w:rPr>
          <w:rFonts w:ascii="Book Antiqua" w:eastAsia="Book Antiqua" w:hAnsi="Book Antiqua" w:cs="Book Antiqua"/>
          <w:color w:val="000000"/>
        </w:rPr>
        <w:t xml:space="preserve"> BAM, Iftekhar A, Katainen R, </w:t>
      </w:r>
      <w:proofErr w:type="spellStart"/>
      <w:r>
        <w:rPr>
          <w:rFonts w:ascii="Book Antiqua" w:eastAsia="Book Antiqua" w:hAnsi="Book Antiqua" w:cs="Book Antiqua"/>
          <w:color w:val="000000"/>
        </w:rPr>
        <w:t>Cajuso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Crosetto</w:t>
      </w:r>
      <w:proofErr w:type="spellEnd"/>
      <w:r>
        <w:rPr>
          <w:rFonts w:ascii="Book Antiqua" w:eastAsia="Book Antiqua" w:hAnsi="Book Antiqua" w:cs="Book Antiqua"/>
          <w:color w:val="000000"/>
        </w:rPr>
        <w:t xml:space="preserve"> N, Orozco M, </w:t>
      </w:r>
      <w:proofErr w:type="spellStart"/>
      <w:r>
        <w:rPr>
          <w:rFonts w:ascii="Book Antiqua" w:eastAsia="Book Antiqua" w:hAnsi="Book Antiqua" w:cs="Book Antiqua"/>
          <w:color w:val="000000"/>
        </w:rPr>
        <w:t>Aaltonen</w:t>
      </w:r>
      <w:proofErr w:type="spellEnd"/>
      <w:r>
        <w:rPr>
          <w:rFonts w:ascii="Book Antiqua" w:eastAsia="Book Antiqua" w:hAnsi="Book Antiqua" w:cs="Book Antiqua"/>
          <w:color w:val="000000"/>
        </w:rPr>
        <w:t xml:space="preserve"> LA, Meyer TF. Colibactin DNA-damage signature indicates mutational impact in colorectal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1063-1069 [PMID: 32483361 DOI: 10.1038/s41591-020-0908-2]</w:t>
      </w:r>
    </w:p>
    <w:p w14:paraId="0765DAED" w14:textId="77777777" w:rsidR="00A77B3E" w:rsidRDefault="00E33DE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Janney A</w:t>
      </w:r>
      <w:r>
        <w:rPr>
          <w:rFonts w:ascii="Book Antiqua" w:eastAsia="Book Antiqua" w:hAnsi="Book Antiqua" w:cs="Book Antiqua"/>
          <w:color w:val="000000"/>
        </w:rPr>
        <w:t xml:space="preserve">, Powrie F, Mann EH. Host-microbiota maladaptation in colorectal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585</w:t>
      </w:r>
      <w:r>
        <w:rPr>
          <w:rFonts w:ascii="Book Antiqua" w:eastAsia="Book Antiqua" w:hAnsi="Book Antiqua" w:cs="Book Antiqua"/>
          <w:color w:val="000000"/>
        </w:rPr>
        <w:t>: 509-517 [PMID: 32968260 DOI: 10.1038/s41586-020-2729-3]</w:t>
      </w:r>
    </w:p>
    <w:p w14:paraId="698C6D9E" w14:textId="77777777" w:rsidR="00A77B3E" w:rsidRDefault="00E33DE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 Z</w:t>
      </w:r>
      <w:r>
        <w:rPr>
          <w:rFonts w:ascii="Book Antiqua" w:eastAsia="Book Antiqua" w:hAnsi="Book Antiqua" w:cs="Book Antiqua"/>
          <w:color w:val="000000"/>
        </w:rPr>
        <w:t xml:space="preserve">, Ding J, Ma Z, Sun R,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JA, Scott Shaffer J, Suarez CJ, </w:t>
      </w:r>
      <w:proofErr w:type="spellStart"/>
      <w:r>
        <w:rPr>
          <w:rFonts w:ascii="Book Antiqua" w:eastAsia="Book Antiqua" w:hAnsi="Book Antiqua" w:cs="Book Antiqua"/>
          <w:color w:val="000000"/>
        </w:rPr>
        <w:t>Berghoff</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Falcone A,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Preusser</w:t>
      </w:r>
      <w:proofErr w:type="spellEnd"/>
      <w:r>
        <w:rPr>
          <w:rFonts w:ascii="Book Antiqua" w:eastAsia="Book Antiqua" w:hAnsi="Book Antiqua" w:cs="Book Antiqua"/>
          <w:color w:val="000000"/>
        </w:rPr>
        <w:t xml:space="preserve"> M, Lenz HJ, Curtis C. Quantitative evidence for early metastatic seeding in colorectal cancer.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1113-1122 [PMID: 31209394 DOI: 10.1038/s41588-019-0423-x]</w:t>
      </w:r>
    </w:p>
    <w:p w14:paraId="4B563717" w14:textId="77777777" w:rsidR="00A77B3E" w:rsidRDefault="00E33DE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Patel JN</w:t>
      </w:r>
      <w:r>
        <w:rPr>
          <w:rFonts w:ascii="Book Antiqua" w:eastAsia="Book Antiqua" w:hAnsi="Book Antiqua" w:cs="Book Antiqua"/>
          <w:color w:val="000000"/>
        </w:rPr>
        <w:t xml:space="preserve">, Fong MK, </w:t>
      </w:r>
      <w:proofErr w:type="spellStart"/>
      <w:r>
        <w:rPr>
          <w:rFonts w:ascii="Book Antiqua" w:eastAsia="Book Antiqua" w:hAnsi="Book Antiqua" w:cs="Book Antiqua"/>
          <w:color w:val="000000"/>
        </w:rPr>
        <w:t>Jagosky</w:t>
      </w:r>
      <w:proofErr w:type="spellEnd"/>
      <w:r>
        <w:rPr>
          <w:rFonts w:ascii="Book Antiqua" w:eastAsia="Book Antiqua" w:hAnsi="Book Antiqua" w:cs="Book Antiqua"/>
          <w:color w:val="000000"/>
        </w:rPr>
        <w:t xml:space="preserve"> M. Colorectal Cancer Biomarkers in the Era of Personalized Medicine.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30646508 DOI: 10.3390/jpm9010003]</w:t>
      </w:r>
    </w:p>
    <w:p w14:paraId="458C4E63" w14:textId="77777777" w:rsidR="00A77B3E" w:rsidRDefault="00E33DE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Taieb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Jung A,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Seligmann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Zaanan</w:t>
      </w:r>
      <w:proofErr w:type="spellEnd"/>
      <w:r>
        <w:rPr>
          <w:rFonts w:ascii="Book Antiqua" w:eastAsia="Book Antiqua" w:hAnsi="Book Antiqua" w:cs="Book Antiqua"/>
          <w:color w:val="000000"/>
        </w:rPr>
        <w:t xml:space="preserve"> A, Burdon P,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Laurent-Puig P. The Evolving Biomarker Landscape for Treatment Selection in Metastatic Colorectal Cancer.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1375-1394 [PMID: 31347092 DOI: 10.1007/s40265-019-01165-2]</w:t>
      </w:r>
    </w:p>
    <w:p w14:paraId="32A80E6C" w14:textId="77777777" w:rsidR="00A77B3E" w:rsidRDefault="00E33DE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Sveen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Lothe</w:t>
      </w:r>
      <w:proofErr w:type="spellEnd"/>
      <w:r>
        <w:rPr>
          <w:rFonts w:ascii="Book Antiqua" w:eastAsia="Book Antiqua" w:hAnsi="Book Antiqua" w:cs="Book Antiqua"/>
          <w:color w:val="000000"/>
        </w:rPr>
        <w:t xml:space="preserve"> RA. Biomarker-guided therapy for colorectal cancer: strength in complexity.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11-32 [PMID: 31289352 DOI: 10.1038/s41571-019-0241-1]</w:t>
      </w:r>
    </w:p>
    <w:p w14:paraId="743E12A2" w14:textId="77777777" w:rsidR="00A77B3E" w:rsidRDefault="00E33DE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Martini G,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Cardone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T, De Vita F,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Implementing anti-epidermal growth factor receptor (EGFR) therapy in metastatic colorectal cancer: challenges and future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30-40 [PMID: 31912793 DOI: 10.1016/j.annonc.2019.10.007]</w:t>
      </w:r>
    </w:p>
    <w:p w14:paraId="0C5DC30C" w14:textId="77777777" w:rsidR="00A77B3E" w:rsidRDefault="00E33DE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Martini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Napolitano S, Cardone C, Cuomo A,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Martinelli E. Resistance to anti-epidermal growth factor receptor in metastatic colorectal cancer: What does still need to be addressed?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102023 [PMID: 32474402 DOI: 10.1016/j.ctrv.2020.102023]</w:t>
      </w:r>
    </w:p>
    <w:p w14:paraId="04104FF2" w14:textId="77777777" w:rsidR="00A77B3E" w:rsidRDefault="00E33DE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Moiseyenko VM</w:t>
      </w:r>
      <w:r>
        <w:rPr>
          <w:rFonts w:ascii="Book Antiqua" w:eastAsia="Book Antiqua" w:hAnsi="Book Antiqua" w:cs="Book Antiqua"/>
          <w:color w:val="000000"/>
        </w:rPr>
        <w:t xml:space="preserve">, Moiseyenko FV, Yanus GA, </w:t>
      </w:r>
      <w:proofErr w:type="spellStart"/>
      <w:r>
        <w:rPr>
          <w:rFonts w:ascii="Book Antiqua" w:eastAsia="Book Antiqua" w:hAnsi="Book Antiqua" w:cs="Book Antiqua"/>
          <w:color w:val="000000"/>
        </w:rPr>
        <w:t>Kuligina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Sokolenko</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Bizin</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Kudriavtsev</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Aleksakhina</w:t>
      </w:r>
      <w:proofErr w:type="spellEnd"/>
      <w:r>
        <w:rPr>
          <w:rFonts w:ascii="Book Antiqua" w:eastAsia="Book Antiqua" w:hAnsi="Book Antiqua" w:cs="Book Antiqua"/>
          <w:color w:val="000000"/>
        </w:rPr>
        <w:t xml:space="preserve"> SN, Volkov NM, </w:t>
      </w:r>
      <w:proofErr w:type="spellStart"/>
      <w:r>
        <w:rPr>
          <w:rFonts w:ascii="Book Antiqua" w:eastAsia="Book Antiqua" w:hAnsi="Book Antiqua" w:cs="Book Antiqua"/>
          <w:color w:val="000000"/>
        </w:rPr>
        <w:t>Chubenko</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Kozyreva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Kramchaninov</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Zhuravlev</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Shelekhova</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Pashkov</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Ivantsov</w:t>
      </w:r>
      <w:proofErr w:type="spellEnd"/>
      <w:r>
        <w:rPr>
          <w:rFonts w:ascii="Book Antiqua" w:eastAsia="Book Antiqua" w:hAnsi="Book Antiqua" w:cs="Book Antiqua"/>
          <w:color w:val="000000"/>
        </w:rPr>
        <w:t xml:space="preserve"> AO, Venina AR, Sokolova TN, Preobrazhenskaya EV, Mitiushkina NV, Togo AV, Iyevleva AG, Imyanitov EN. First-Line Cetuximab Monotherapy in KRAS/NRAS/BRAF Mutation-Negative Colorectal Cancer Patients. </w:t>
      </w:r>
      <w:r>
        <w:rPr>
          <w:rFonts w:ascii="Book Antiqua" w:eastAsia="Book Antiqua" w:hAnsi="Book Antiqua" w:cs="Book Antiqua"/>
          <w:i/>
          <w:iCs/>
          <w:color w:val="000000"/>
        </w:rPr>
        <w:t xml:space="preserve">Clin Drug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553-562 [PMID: 29470838 DOI: 10.1007/s40261-018-0629-1]</w:t>
      </w:r>
    </w:p>
    <w:p w14:paraId="00D7AD51" w14:textId="77777777" w:rsidR="00A77B3E" w:rsidRDefault="00E33DE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Oliner</w:t>
      </w:r>
      <w:proofErr w:type="spellEnd"/>
      <w:r>
        <w:rPr>
          <w:rFonts w:ascii="Book Antiqua" w:eastAsia="Book Antiqua" w:hAnsi="Book Antiqua" w:cs="Book Antiqua"/>
          <w:color w:val="000000"/>
        </w:rPr>
        <w:t xml:space="preserve"> KS, Siena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Burkes R, </w:t>
      </w:r>
      <w:proofErr w:type="spellStart"/>
      <w:r>
        <w:rPr>
          <w:rFonts w:ascii="Book Antiqua" w:eastAsia="Book Antiqua" w:hAnsi="Book Antiqua" w:cs="Book Antiqua"/>
          <w:color w:val="000000"/>
        </w:rPr>
        <w:t>Barugel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Cunningham D, Jassem J, Rivera F, </w:t>
      </w:r>
      <w:proofErr w:type="spellStart"/>
      <w:r>
        <w:rPr>
          <w:rFonts w:ascii="Book Antiqua" w:eastAsia="Book Antiqua" w:hAnsi="Book Antiqua" w:cs="Book Antiqua"/>
          <w:color w:val="000000"/>
        </w:rPr>
        <w:t>Kocákova</w:t>
      </w:r>
      <w:proofErr w:type="spellEnd"/>
      <w:r>
        <w:rPr>
          <w:rFonts w:ascii="Book Antiqua" w:eastAsia="Book Antiqua" w:hAnsi="Book Antiqua" w:cs="Book Antiqua"/>
          <w:color w:val="000000"/>
        </w:rPr>
        <w:t xml:space="preserve"> I, Ruff P, </w:t>
      </w:r>
      <w:proofErr w:type="spellStart"/>
      <w:r>
        <w:rPr>
          <w:rFonts w:ascii="Book Antiqua" w:eastAsia="Book Antiqua" w:hAnsi="Book Antiqua" w:cs="Book Antiqua"/>
          <w:color w:val="000000"/>
        </w:rPr>
        <w:t>Błasińska-Morawiec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Šmakal</w:t>
      </w:r>
      <w:proofErr w:type="spellEnd"/>
      <w:r>
        <w:rPr>
          <w:rFonts w:ascii="Book Antiqua" w:eastAsia="Book Antiqua" w:hAnsi="Book Antiqua" w:cs="Book Antiqua"/>
          <w:color w:val="000000"/>
        </w:rPr>
        <w:t xml:space="preserve"> M, Canon JL, Rother M, Williams R, Rong A, </w:t>
      </w:r>
      <w:proofErr w:type="spellStart"/>
      <w:r>
        <w:rPr>
          <w:rFonts w:ascii="Book Antiqua" w:eastAsia="Book Antiqua" w:hAnsi="Book Antiqua" w:cs="Book Antiqua"/>
          <w:color w:val="000000"/>
        </w:rPr>
        <w:t>Wiezorek</w:t>
      </w:r>
      <w:proofErr w:type="spellEnd"/>
      <w:r>
        <w:rPr>
          <w:rFonts w:ascii="Book Antiqua" w:eastAsia="Book Antiqua" w:hAnsi="Book Antiqua" w:cs="Book Antiqua"/>
          <w:color w:val="000000"/>
        </w:rPr>
        <w:t xml:space="preserve"> J, Sidhu R, Patterson SD. Panitumumab-FOLFOX4 treatment and RAS mutations in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1023-1034 [PMID: 24024839 DOI: 10.1056/NEJMoa1305275]</w:t>
      </w:r>
    </w:p>
    <w:p w14:paraId="6D20AAF4" w14:textId="77777777" w:rsidR="00A77B3E" w:rsidRDefault="00E33DE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Sepulveda AR</w:t>
      </w:r>
      <w:r>
        <w:rPr>
          <w:rFonts w:ascii="Book Antiqua" w:eastAsia="Book Antiqua" w:hAnsi="Book Antiqua" w:cs="Book Antiqua"/>
          <w:color w:val="000000"/>
        </w:rPr>
        <w:t>, Hamilton SR, Allegra CJ, Grody W, Cushman-</w:t>
      </w:r>
      <w:proofErr w:type="spellStart"/>
      <w:r>
        <w:rPr>
          <w:rFonts w:ascii="Book Antiqua" w:eastAsia="Book Antiqua" w:hAnsi="Book Antiqua" w:cs="Book Antiqua"/>
          <w:color w:val="000000"/>
        </w:rPr>
        <w:t>Vokoun</w:t>
      </w:r>
      <w:proofErr w:type="spellEnd"/>
      <w:r>
        <w:rPr>
          <w:rFonts w:ascii="Book Antiqua" w:eastAsia="Book Antiqua" w:hAnsi="Book Antiqua" w:cs="Book Antiqua"/>
          <w:color w:val="000000"/>
        </w:rPr>
        <w:t xml:space="preserve"> AM, Funkhouser WK,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SE, Lieu C, Lindor NM, Minsky BD, </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 FA, Sargent DJ, Singh VM, Willis J, Clark J, </w:t>
      </w:r>
      <w:proofErr w:type="spellStart"/>
      <w:r>
        <w:rPr>
          <w:rFonts w:ascii="Book Antiqua" w:eastAsia="Book Antiqua" w:hAnsi="Book Antiqua" w:cs="Book Antiqua"/>
          <w:color w:val="000000"/>
        </w:rPr>
        <w:t>Colasacco</w:t>
      </w:r>
      <w:proofErr w:type="spellEnd"/>
      <w:r>
        <w:rPr>
          <w:rFonts w:ascii="Book Antiqua" w:eastAsia="Book Antiqua" w:hAnsi="Book Antiqua" w:cs="Book Antiqua"/>
          <w:color w:val="000000"/>
        </w:rPr>
        <w:t xml:space="preserve"> C, Rumble RB, Temple-</w:t>
      </w:r>
      <w:proofErr w:type="spellStart"/>
      <w:r>
        <w:rPr>
          <w:rFonts w:ascii="Book Antiqua" w:eastAsia="Book Antiqua" w:hAnsi="Book Antiqua" w:cs="Book Antiqua"/>
          <w:color w:val="000000"/>
        </w:rPr>
        <w:t>Smolkin</w:t>
      </w:r>
      <w:proofErr w:type="spellEnd"/>
      <w:r>
        <w:rPr>
          <w:rFonts w:ascii="Book Antiqua" w:eastAsia="Book Antiqua" w:hAnsi="Book Antiqua" w:cs="Book Antiqua"/>
          <w:color w:val="000000"/>
        </w:rPr>
        <w:t xml:space="preserve"> R, Ventura CB, Nowak JA. Molecular Biomarkers for the Evaluation of Colorectal Cancer: Guideline From the American Society for Clinical Pathology, College of American Pathologists, Association for Molecular Pathology, and the American Society of Clinical Oncology.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1453-1486 [PMID: 28165299 DOI: 10.1200/JCO.2016.71.9807]</w:t>
      </w:r>
    </w:p>
    <w:p w14:paraId="194B4B21" w14:textId="77777777" w:rsidR="00A77B3E" w:rsidRDefault="00E33DE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Lakatos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Current therapy of advanced colorectal cancer according to RAS/RAF mutational status.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1143-1157 [PMID: 32648137 DOI: 10.1007/s10555-020-09913-7]</w:t>
      </w:r>
    </w:p>
    <w:p w14:paraId="788DF2FF" w14:textId="77777777" w:rsidR="00A77B3E" w:rsidRDefault="00E33DE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Udar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Lofton-Day C, Dong J, </w:t>
      </w:r>
      <w:proofErr w:type="spellStart"/>
      <w:r>
        <w:rPr>
          <w:rFonts w:ascii="Book Antiqua" w:eastAsia="Book Antiqua" w:hAnsi="Book Antiqua" w:cs="Book Antiqua"/>
          <w:color w:val="000000"/>
        </w:rPr>
        <w:t>Vavrek</w:t>
      </w:r>
      <w:proofErr w:type="spellEnd"/>
      <w:r>
        <w:rPr>
          <w:rFonts w:ascii="Book Antiqua" w:eastAsia="Book Antiqua" w:hAnsi="Book Antiqua" w:cs="Book Antiqua"/>
          <w:color w:val="000000"/>
        </w:rPr>
        <w:t xml:space="preserve"> D, Jung AS, Meier K,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A, Slaughter R, </w:t>
      </w:r>
      <w:proofErr w:type="spellStart"/>
      <w:r>
        <w:rPr>
          <w:rFonts w:ascii="Book Antiqua" w:eastAsia="Book Antiqua" w:hAnsi="Book Antiqua" w:cs="Book Antiqua"/>
          <w:color w:val="000000"/>
        </w:rPr>
        <w:t>Gutekunst</w:t>
      </w:r>
      <w:proofErr w:type="spellEnd"/>
      <w:r>
        <w:rPr>
          <w:rFonts w:ascii="Book Antiqua" w:eastAsia="Book Antiqua" w:hAnsi="Book Antiqua" w:cs="Book Antiqua"/>
          <w:color w:val="000000"/>
        </w:rPr>
        <w:t xml:space="preserve"> K, Bach BA,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Douillard JY. Clinical validation of the next-generation sequencing-based Extended RAS Panel assay using metastatic colorectal cancer patient samples from the phase 3 PRIME study.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144</w:t>
      </w:r>
      <w:r>
        <w:rPr>
          <w:rFonts w:ascii="Book Antiqua" w:eastAsia="Book Antiqua" w:hAnsi="Book Antiqua" w:cs="Book Antiqua"/>
          <w:color w:val="000000"/>
        </w:rPr>
        <w:t>: 2001-2010 [PMID: 30019318 DOI: 10.1007/s00432-018-2688-3]</w:t>
      </w:r>
    </w:p>
    <w:p w14:paraId="78B021CF" w14:textId="77777777" w:rsidR="00A77B3E" w:rsidRDefault="00E33DE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Del Vecchio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Mastroiaco</w:t>
      </w:r>
      <w:proofErr w:type="spellEnd"/>
      <w:r>
        <w:rPr>
          <w:rFonts w:ascii="Book Antiqua" w:eastAsia="Book Antiqua" w:hAnsi="Book Antiqua" w:cs="Book Antiqua"/>
          <w:color w:val="000000"/>
        </w:rPr>
        <w:t xml:space="preserve"> V, Di Marco A, </w:t>
      </w:r>
      <w:proofErr w:type="spellStart"/>
      <w:r>
        <w:rPr>
          <w:rFonts w:ascii="Book Antiqua" w:eastAsia="Book Antiqua" w:hAnsi="Book Antiqua" w:cs="Book Antiqua"/>
          <w:color w:val="000000"/>
        </w:rPr>
        <w:t>Compagnoni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Capece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Zazzeroni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Capalbo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Alesse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Tessitore</w:t>
      </w:r>
      <w:proofErr w:type="spellEnd"/>
      <w:r>
        <w:rPr>
          <w:rFonts w:ascii="Book Antiqua" w:eastAsia="Book Antiqua" w:hAnsi="Book Antiqua" w:cs="Book Antiqua"/>
          <w:color w:val="000000"/>
        </w:rPr>
        <w:t xml:space="preserve"> A. Next-generation sequencing: recent applications to the analysis of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246 [PMID: 29221448 DOI: 10.1186/s12967-017-1353-y]</w:t>
      </w:r>
    </w:p>
    <w:p w14:paraId="180E0819" w14:textId="77777777" w:rsidR="00A77B3E" w:rsidRDefault="00E33DE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Fearon ER</w:t>
      </w:r>
      <w:r>
        <w:rPr>
          <w:rFonts w:ascii="Book Antiqua" w:eastAsia="Book Antiqua" w:hAnsi="Book Antiqua" w:cs="Book Antiqua"/>
          <w:color w:val="000000"/>
        </w:rPr>
        <w:t xml:space="preserve">, Vogelstein B. A genetic model for colorectal tumorigenesis.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61</w:t>
      </w:r>
      <w:r>
        <w:rPr>
          <w:rFonts w:ascii="Book Antiqua" w:eastAsia="Book Antiqua" w:hAnsi="Book Antiqua" w:cs="Book Antiqua"/>
          <w:color w:val="000000"/>
        </w:rPr>
        <w:t>: 759-767 [PMID: 2188735 DOI: 10.1016/0092-8674(90)90186-i]</w:t>
      </w:r>
    </w:p>
    <w:p w14:paraId="6D597155" w14:textId="77777777" w:rsidR="00A77B3E" w:rsidRDefault="00E33DE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Lenz HJ,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Heinemann V,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Melezínek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F, Stroh C, Rougier P,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Fluorouracil, leucovorin, and irinotecan plus cetuximab treatment and RAS mutations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692-700 [PMID: 25605843 DOI: 10.1200/JCO.2014.59.4812]</w:t>
      </w:r>
    </w:p>
    <w:p w14:paraId="1B5DCA4F" w14:textId="77777777" w:rsidR="00A77B3E" w:rsidRDefault="00E33DE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Normanno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Lambiase</w:t>
      </w:r>
      <w:proofErr w:type="spellEnd"/>
      <w:r>
        <w:rPr>
          <w:rFonts w:ascii="Book Antiqua" w:eastAsia="Book Antiqua" w:hAnsi="Book Antiqua" w:cs="Book Antiqua"/>
          <w:color w:val="000000"/>
        </w:rPr>
        <w:t xml:space="preserve"> M, Martinelli E, </w:t>
      </w:r>
      <w:proofErr w:type="spellStart"/>
      <w:r>
        <w:rPr>
          <w:rFonts w:ascii="Book Antiqua" w:eastAsia="Book Antiqua" w:hAnsi="Book Antiqua" w:cs="Book Antiqua"/>
          <w:color w:val="000000"/>
        </w:rPr>
        <w:t>Fenizia</w:t>
      </w:r>
      <w:proofErr w:type="spellEnd"/>
      <w:r>
        <w:rPr>
          <w:rFonts w:ascii="Book Antiqua" w:eastAsia="Book Antiqua" w:hAnsi="Book Antiqua" w:cs="Book Antiqua"/>
          <w:color w:val="000000"/>
        </w:rPr>
        <w:t xml:space="preserve"> F, Esposito C, Roma C,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Rizzi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Tatangelo</w:t>
      </w:r>
      <w:proofErr w:type="spellEnd"/>
      <w:r>
        <w:rPr>
          <w:rFonts w:ascii="Book Antiqua" w:eastAsia="Book Antiqua" w:hAnsi="Book Antiqua" w:cs="Book Antiqua"/>
          <w:color w:val="000000"/>
        </w:rPr>
        <w:t xml:space="preserve"> F, Botti G,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Colucci G,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CAPRI-GOIM investigators. Heterogeneity of KRAS, NRAS, BRAF and PIK3CA mutations in metastatic colorectal cancer and potential effects on therapy in the CAPRI GOIM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1710-1714 [PMID: 25851630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/mdv176]</w:t>
      </w:r>
    </w:p>
    <w:p w14:paraId="7826F90F" w14:textId="77777777" w:rsidR="00A77B3E" w:rsidRDefault="00E33DE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Santos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Azuara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Viéitez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Páez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Falcó</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Élez</w:t>
      </w:r>
      <w:proofErr w:type="spellEnd"/>
      <w:r>
        <w:rPr>
          <w:rFonts w:ascii="Book Antiqua" w:eastAsia="Book Antiqua" w:hAnsi="Book Antiqua" w:cs="Book Antiqua"/>
          <w:color w:val="000000"/>
        </w:rPr>
        <w:t xml:space="preserve"> E, López-López C, Valladares M, Robles-Díaz L, García-Alfonso P, </w:t>
      </w:r>
      <w:proofErr w:type="spellStart"/>
      <w:r>
        <w:rPr>
          <w:rFonts w:ascii="Book Antiqua" w:eastAsia="Book Antiqua" w:hAnsi="Book Antiqua" w:cs="Book Antiqua"/>
          <w:color w:val="000000"/>
        </w:rPr>
        <w:t>Bugés</w:t>
      </w:r>
      <w:proofErr w:type="spellEnd"/>
      <w:r>
        <w:rPr>
          <w:rFonts w:ascii="Book Antiqua" w:eastAsia="Book Antiqua" w:hAnsi="Book Antiqua" w:cs="Book Antiqua"/>
          <w:color w:val="000000"/>
        </w:rPr>
        <w:t xml:space="preserve"> C, Durán G, </w:t>
      </w:r>
      <w:proofErr w:type="spellStart"/>
      <w:r>
        <w:rPr>
          <w:rFonts w:ascii="Book Antiqua" w:eastAsia="Book Antiqua" w:hAnsi="Book Antiqua" w:cs="Book Antiqua"/>
          <w:color w:val="000000"/>
        </w:rPr>
        <w:t>Salud</w:t>
      </w:r>
      <w:proofErr w:type="spellEnd"/>
      <w:r>
        <w:rPr>
          <w:rFonts w:ascii="Book Antiqua" w:eastAsia="Book Antiqua" w:hAnsi="Book Antiqua" w:cs="Book Antiqua"/>
          <w:color w:val="000000"/>
        </w:rPr>
        <w:t xml:space="preserve"> A, Navarro V, </w:t>
      </w:r>
      <w:proofErr w:type="spellStart"/>
      <w:r>
        <w:rPr>
          <w:rFonts w:ascii="Book Antiqua" w:eastAsia="Book Antiqua" w:hAnsi="Book Antiqua" w:cs="Book Antiqua"/>
          <w:color w:val="000000"/>
        </w:rPr>
        <w:t>Capellá</w:t>
      </w:r>
      <w:proofErr w:type="spellEnd"/>
      <w:r>
        <w:rPr>
          <w:rFonts w:ascii="Book Antiqua" w:eastAsia="Book Antiqua" w:hAnsi="Book Antiqua" w:cs="Book Antiqua"/>
          <w:color w:val="000000"/>
        </w:rPr>
        <w:t xml:space="preserve"> G, Aranda E, Salazar R. Phase II study of high-sensitivity genotyping of KRAS, NRAS, BRAF and PIK3CA to ultra-select metastatic colorectal cancer patients for panitumumab plus FOLFIRI: the ULTRA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796-803 [PMID: 30840064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/mdz082]</w:t>
      </w:r>
    </w:p>
    <w:p w14:paraId="0A2DB5C7" w14:textId="77777777" w:rsidR="00A77B3E" w:rsidRDefault="00E33DE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Vidal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Bellosillo</w:t>
      </w:r>
      <w:proofErr w:type="spellEnd"/>
      <w:r>
        <w:rPr>
          <w:rFonts w:ascii="Book Antiqua" w:eastAsia="Book Antiqua" w:hAnsi="Book Antiqua" w:cs="Book Antiqua"/>
          <w:color w:val="000000"/>
        </w:rPr>
        <w:t xml:space="preserve"> B, Santos </w:t>
      </w:r>
      <w:proofErr w:type="spellStart"/>
      <w:r>
        <w:rPr>
          <w:rFonts w:ascii="Book Antiqua" w:eastAsia="Book Antiqua" w:hAnsi="Book Antiqua" w:cs="Book Antiqua"/>
          <w:color w:val="000000"/>
        </w:rPr>
        <w:t>Vivas</w:t>
      </w:r>
      <w:proofErr w:type="spellEnd"/>
      <w:r>
        <w:rPr>
          <w:rFonts w:ascii="Book Antiqua" w:eastAsia="Book Antiqua" w:hAnsi="Book Antiqua" w:cs="Book Antiqua"/>
          <w:color w:val="000000"/>
        </w:rPr>
        <w:t xml:space="preserve"> C, García-Alfonso P,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Cano MT, García-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Élez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Massutí</w:t>
      </w:r>
      <w:proofErr w:type="spellEnd"/>
      <w:r>
        <w:rPr>
          <w:rFonts w:ascii="Book Antiqua" w:eastAsia="Book Antiqua" w:hAnsi="Book Antiqua" w:cs="Book Antiqua"/>
          <w:color w:val="000000"/>
        </w:rPr>
        <w:t xml:space="preserve"> B, Valladares-</w:t>
      </w:r>
      <w:proofErr w:type="spellStart"/>
      <w:r>
        <w:rPr>
          <w:rFonts w:ascii="Book Antiqua" w:eastAsia="Book Antiqua" w:hAnsi="Book Antiqua" w:cs="Book Antiqua"/>
          <w:color w:val="000000"/>
        </w:rPr>
        <w:t>Ayerbes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Viéitez</w:t>
      </w:r>
      <w:proofErr w:type="spellEnd"/>
      <w:r>
        <w:rPr>
          <w:rFonts w:ascii="Book Antiqua" w:eastAsia="Book Antiqua" w:hAnsi="Book Antiqua" w:cs="Book Antiqua"/>
          <w:color w:val="000000"/>
        </w:rPr>
        <w:t xml:space="preserve"> JM, Manzano JL, </w:t>
      </w:r>
      <w:proofErr w:type="spellStart"/>
      <w:r>
        <w:rPr>
          <w:rFonts w:ascii="Book Antiqua" w:eastAsia="Book Antiqua" w:hAnsi="Book Antiqua" w:cs="Book Antiqua"/>
          <w:color w:val="000000"/>
        </w:rPr>
        <w:t>Azuara</w:t>
      </w:r>
      <w:proofErr w:type="spellEnd"/>
      <w:r>
        <w:rPr>
          <w:rFonts w:ascii="Book Antiqua" w:eastAsia="Book Antiqua" w:hAnsi="Book Antiqua" w:cs="Book Antiqua"/>
          <w:color w:val="000000"/>
        </w:rPr>
        <w:t xml:space="preserve"> D, Gallego J, </w:t>
      </w:r>
      <w:proofErr w:type="spellStart"/>
      <w:r>
        <w:rPr>
          <w:rFonts w:ascii="Book Antiqua" w:eastAsia="Book Antiqua" w:hAnsi="Book Antiqua" w:cs="Book Antiqua"/>
          <w:color w:val="000000"/>
        </w:rPr>
        <w:t>Pairet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Capellá</w:t>
      </w:r>
      <w:proofErr w:type="spellEnd"/>
      <w:r>
        <w:rPr>
          <w:rFonts w:ascii="Book Antiqua" w:eastAsia="Book Antiqua" w:hAnsi="Book Antiqua" w:cs="Book Antiqua"/>
          <w:color w:val="000000"/>
        </w:rPr>
        <w:t xml:space="preserve"> G, Salazar R,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Aranda E,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Ultra-selection of metastatic colorectal cancer patients using next-generation sequencing to improve clinical efficacy of anti-EGFR therapy.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439-446 [PMID: 30689692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/mdz005]</w:t>
      </w:r>
    </w:p>
    <w:p w14:paraId="16A35A8D" w14:textId="77777777" w:rsidR="00A77B3E" w:rsidRDefault="00E33DE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Sogari</w:t>
      </w:r>
      <w:proofErr w:type="spellEnd"/>
      <w:r>
        <w:rPr>
          <w:rFonts w:ascii="Book Antiqua" w:eastAsia="Book Antiqua" w:hAnsi="Book Antiqua" w:cs="Book Antiqua"/>
          <w:color w:val="000000"/>
        </w:rPr>
        <w:t xml:space="preserve"> A, Reilly NM, Arena S, Lamba S, Bartolini A,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Magrì</w:t>
      </w:r>
      <w:proofErr w:type="spellEnd"/>
      <w:r>
        <w:rPr>
          <w:rFonts w:ascii="Book Antiqua" w:eastAsia="Book Antiqua" w:hAnsi="Book Antiqua" w:cs="Book Antiqua"/>
          <w:color w:val="000000"/>
        </w:rPr>
        <w:t xml:space="preserve"> A, Novara L, </w:t>
      </w:r>
      <w:proofErr w:type="spellStart"/>
      <w:r>
        <w:rPr>
          <w:rFonts w:ascii="Book Antiqua" w:eastAsia="Book Antiqua" w:hAnsi="Book Antiqua" w:cs="Book Antiqua"/>
          <w:color w:val="000000"/>
        </w:rPr>
        <w:t>Sarotto</w:t>
      </w:r>
      <w:proofErr w:type="spellEnd"/>
      <w:r>
        <w:rPr>
          <w:rFonts w:ascii="Book Antiqua" w:eastAsia="Book Antiqua" w:hAnsi="Book Antiqua" w:cs="Book Antiqua"/>
          <w:color w:val="000000"/>
        </w:rPr>
        <w:t xml:space="preserve"> I, Nagel ZD, </w:t>
      </w:r>
      <w:proofErr w:type="spellStart"/>
      <w:r>
        <w:rPr>
          <w:rFonts w:ascii="Book Antiqua" w:eastAsia="Book Antiqua" w:hAnsi="Book Antiqua" w:cs="Book Antiqua"/>
          <w:color w:val="000000"/>
        </w:rPr>
        <w:t>Piett</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Sartore-Bianchi A, Siena S,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Corigliano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Gherardi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Lagomarsino</w:t>
      </w:r>
      <w:proofErr w:type="spellEnd"/>
      <w:r>
        <w:rPr>
          <w:rFonts w:ascii="Book Antiqua" w:eastAsia="Book Antiqua" w:hAnsi="Book Antiqua" w:cs="Book Antiqua"/>
          <w:color w:val="000000"/>
        </w:rPr>
        <w:t xml:space="preserve"> MC,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Adaptive mutability of colorectal cancers in response to targeted therapies.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1473-1480 [PMID: 31699882 DOI: 10.1126/science.aav4474]</w:t>
      </w:r>
    </w:p>
    <w:p w14:paraId="13D5A319" w14:textId="77777777" w:rsidR="00A77B3E" w:rsidRDefault="00E33DE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Aleksakhina SN</w:t>
      </w:r>
      <w:r>
        <w:rPr>
          <w:rFonts w:ascii="Book Antiqua" w:eastAsia="Book Antiqua" w:hAnsi="Book Antiqua" w:cs="Book Antiqua"/>
          <w:color w:val="000000"/>
        </w:rPr>
        <w:t xml:space="preserve">, Kashyap A, Imyanitov EN. Mechanisms of acquired tumor drug resistance.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1872</w:t>
      </w:r>
      <w:r>
        <w:rPr>
          <w:rFonts w:ascii="Book Antiqua" w:eastAsia="Book Antiqua" w:hAnsi="Book Antiqua" w:cs="Book Antiqua"/>
          <w:color w:val="000000"/>
        </w:rPr>
        <w:t>: 188310 [PMID: 31442474 DOI: 10.1016/j.bbcan.2019.188310]</w:t>
      </w:r>
    </w:p>
    <w:p w14:paraId="05DEC1B0" w14:textId="77777777" w:rsidR="00A77B3E" w:rsidRDefault="00E33DE9">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Sokolenko</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Bizin</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Preobrazhenskaya</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Gorodnova</w:t>
      </w:r>
      <w:proofErr w:type="spellEnd"/>
      <w:r>
        <w:rPr>
          <w:rFonts w:ascii="Book Antiqua" w:eastAsia="Book Antiqua" w:hAnsi="Book Antiqua" w:cs="Book Antiqua"/>
          <w:color w:val="000000"/>
        </w:rPr>
        <w:t xml:space="preserve"> TV, Ivantsov AO, Iyevleva AG, Savonevich EL, Kotiv KB, Kuligina ES, Imyanitov EN. Molecular profiles of BRCA1-associated ovarian cancer treated by platinum-based therapy: Analysis of primary, residual and relapsed tumors.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1879-1888 [PMID: 31693165 DOI: 10.1002/ijc.32776]</w:t>
      </w:r>
    </w:p>
    <w:p w14:paraId="4DB93AFA" w14:textId="77777777" w:rsidR="00A77B3E" w:rsidRDefault="00E33DE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Johnson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Applying Precision to the Management of BRAF-Mutant Metastatic Colorectal Cancer.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567-577 [PMID: 32889679 DOI: 10.1007/s11523-020-00747-5]</w:t>
      </w:r>
    </w:p>
    <w:p w14:paraId="561871F2" w14:textId="77777777" w:rsidR="00A77B3E" w:rsidRDefault="00E33DE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Modest DP</w:t>
      </w:r>
      <w:r>
        <w:rPr>
          <w:rFonts w:ascii="Book Antiqua" w:eastAsia="Book Antiqua" w:hAnsi="Book Antiqua" w:cs="Book Antiqua"/>
          <w:color w:val="000000"/>
        </w:rPr>
        <w:t xml:space="preserve">, Martens UM, </w:t>
      </w:r>
      <w:proofErr w:type="spellStart"/>
      <w:r>
        <w:rPr>
          <w:rFonts w:ascii="Book Antiqua" w:eastAsia="Book Antiqua" w:hAnsi="Book Antiqua" w:cs="Book Antiqua"/>
          <w:color w:val="000000"/>
        </w:rPr>
        <w:t>Riera-Knorrenschild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Greeve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Florschütz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Wessendorf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Ettrich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Kanzler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Nörenberg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Seidensticker</w:t>
      </w:r>
      <w:proofErr w:type="spellEnd"/>
      <w:r>
        <w:rPr>
          <w:rFonts w:ascii="Book Antiqua" w:eastAsia="Book Antiqua" w:hAnsi="Book Antiqua" w:cs="Book Antiqua"/>
          <w:color w:val="000000"/>
        </w:rPr>
        <w:t xml:space="preserve"> M, Held S, Buechner-</w:t>
      </w:r>
      <w:proofErr w:type="spellStart"/>
      <w:r>
        <w:rPr>
          <w:rFonts w:ascii="Book Antiqua" w:eastAsia="Book Antiqua" w:hAnsi="Book Antiqua" w:cs="Book Antiqua"/>
          <w:color w:val="000000"/>
        </w:rPr>
        <w:t>Steudel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Atzpodien</w:t>
      </w:r>
      <w:proofErr w:type="spellEnd"/>
      <w:r>
        <w:rPr>
          <w:rFonts w:ascii="Book Antiqua" w:eastAsia="Book Antiqua" w:hAnsi="Book Antiqua" w:cs="Book Antiqua"/>
          <w:color w:val="000000"/>
        </w:rPr>
        <w:t xml:space="preserve"> J, Heinemann V,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Tannapfel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AC, Geissler M. FOLFOXIRI Plus Panitumumab As First-Line Treatment of </w:t>
      </w:r>
      <w:r>
        <w:rPr>
          <w:rFonts w:ascii="Book Antiqua" w:eastAsia="Book Antiqua" w:hAnsi="Book Antiqua" w:cs="Book Antiqua"/>
          <w:i/>
          <w:iCs/>
          <w:color w:val="000000"/>
        </w:rPr>
        <w:t>RAS</w:t>
      </w:r>
      <w:r>
        <w:rPr>
          <w:rFonts w:ascii="Book Antiqua" w:eastAsia="Book Antiqua" w:hAnsi="Book Antiqua" w:cs="Book Antiqua"/>
          <w:color w:val="000000"/>
        </w:rPr>
        <w:t xml:space="preserve"> Wild-Type Metastatic Colorectal Cancer: The Randomized, Open-Label, Phase II VOLFI Study (AIO KRK0109).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3401-3411 [PMID: 31609637 DOI: 10.1200/JCO.19.01340]</w:t>
      </w:r>
    </w:p>
    <w:p w14:paraId="02D824B0" w14:textId="77777777" w:rsidR="00A77B3E" w:rsidRDefault="00E33DE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Prahallad A</w:t>
      </w:r>
      <w:r>
        <w:rPr>
          <w:rFonts w:ascii="Book Antiqua" w:eastAsia="Book Antiqua" w:hAnsi="Book Antiqua" w:cs="Book Antiqua"/>
          <w:color w:val="000000"/>
        </w:rPr>
        <w:t xml:space="preserve">, Sun C, Huang S,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Salazar R, Zecchin D, </w:t>
      </w:r>
      <w:proofErr w:type="spellStart"/>
      <w:r>
        <w:rPr>
          <w:rFonts w:ascii="Book Antiqua" w:eastAsia="Book Antiqua" w:hAnsi="Book Antiqua" w:cs="Book Antiqua"/>
          <w:color w:val="000000"/>
        </w:rPr>
        <w:t>Beijersbergen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Unresponsiveness of colon cancer to BRAF(V600E) inhibition through feedback activation of EGFR.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100-103 [PMID: 22281684 DOI: 10.1038/nature10868]</w:t>
      </w:r>
    </w:p>
    <w:p w14:paraId="39042A43" w14:textId="77777777" w:rsidR="00A77B3E" w:rsidRDefault="00E33DE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André T,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Yoshino T,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Hollebecque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McRee</w:t>
      </w:r>
      <w:proofErr w:type="spellEnd"/>
      <w:r>
        <w:rPr>
          <w:rFonts w:ascii="Book Antiqua" w:eastAsia="Book Antiqua" w:hAnsi="Book Antiqua" w:cs="Book Antiqua"/>
          <w:color w:val="000000"/>
        </w:rPr>
        <w:t xml:space="preserve"> AJ, Siena S, Middleton G,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Gordon MS,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Yaeger R,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De Vos F, Jung AS, </w:t>
      </w:r>
      <w:proofErr w:type="spellStart"/>
      <w:r>
        <w:rPr>
          <w:rFonts w:ascii="Book Antiqua" w:eastAsia="Book Antiqua" w:hAnsi="Book Antiqua" w:cs="Book Antiqua"/>
          <w:color w:val="000000"/>
        </w:rPr>
        <w:t>Brase</w:t>
      </w:r>
      <w:proofErr w:type="spellEnd"/>
      <w:r>
        <w:rPr>
          <w:rFonts w:ascii="Book Antiqua" w:eastAsia="Book Antiqua" w:hAnsi="Book Antiqua" w:cs="Book Antiqua"/>
          <w:color w:val="000000"/>
        </w:rPr>
        <w:t xml:space="preserve"> JC, Jaeger S, </w:t>
      </w:r>
      <w:proofErr w:type="spellStart"/>
      <w:r>
        <w:rPr>
          <w:rFonts w:ascii="Book Antiqua" w:eastAsia="Book Antiqua" w:hAnsi="Book Antiqua" w:cs="Book Antiqua"/>
          <w:color w:val="000000"/>
        </w:rPr>
        <w:t>Bettinger</w:t>
      </w:r>
      <w:proofErr w:type="spellEnd"/>
      <w:r>
        <w:rPr>
          <w:rFonts w:ascii="Book Antiqua" w:eastAsia="Book Antiqua" w:hAnsi="Book Antiqua" w:cs="Book Antiqua"/>
          <w:color w:val="000000"/>
        </w:rPr>
        <w:t xml:space="preserve"> S, Mookerjee B, </w:t>
      </w:r>
      <w:proofErr w:type="spellStart"/>
      <w:r>
        <w:rPr>
          <w:rFonts w:ascii="Book Antiqua" w:eastAsia="Book Antiqua" w:hAnsi="Book Antiqua" w:cs="Book Antiqua"/>
          <w:color w:val="000000"/>
        </w:rPr>
        <w:t>Rangwala</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Combined BRAF, EGFR, and MEK Inhibition in Patients with </w:t>
      </w:r>
      <w:r>
        <w:rPr>
          <w:rFonts w:ascii="Book Antiqua" w:eastAsia="Book Antiqua" w:hAnsi="Book Antiqua" w:cs="Book Antiqua"/>
          <w:i/>
          <w:iCs/>
          <w:color w:val="000000"/>
        </w:rPr>
        <w:t>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-Mutant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428-443 [PMID: 29431699 DOI: 10.1158/2159-8290.CD-17-1226]</w:t>
      </w:r>
    </w:p>
    <w:p w14:paraId="6FD61A44" w14:textId="77777777" w:rsidR="00A77B3E" w:rsidRDefault="00E33DE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Kopetz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Yaeger R,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Desai J, Yoshino T,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Hong YS, </w:t>
      </w:r>
      <w:proofErr w:type="spellStart"/>
      <w:r>
        <w:rPr>
          <w:rFonts w:ascii="Book Antiqua" w:eastAsia="Book Antiqua" w:hAnsi="Book Antiqua" w:cs="Book Antiqua"/>
          <w:color w:val="000000"/>
        </w:rPr>
        <w:t>Steeghs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Guren</w:t>
      </w:r>
      <w:proofErr w:type="spellEnd"/>
      <w:r>
        <w:rPr>
          <w:rFonts w:ascii="Book Antiqua" w:eastAsia="Book Antiqua" w:hAnsi="Book Antiqua" w:cs="Book Antiqua"/>
          <w:color w:val="000000"/>
        </w:rPr>
        <w:t xml:space="preserve"> TK, Arkenau HT, Garcia-Alfonso P, Pfeiffer P, </w:t>
      </w:r>
      <w:proofErr w:type="spellStart"/>
      <w:r>
        <w:rPr>
          <w:rFonts w:ascii="Book Antiqua" w:eastAsia="Book Antiqua" w:hAnsi="Book Antiqua" w:cs="Book Antiqua"/>
          <w:color w:val="000000"/>
        </w:rPr>
        <w:t>Orlov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Kim TW,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Guo C, Krishnan A, </w:t>
      </w:r>
      <w:proofErr w:type="spellStart"/>
      <w:r>
        <w:rPr>
          <w:rFonts w:ascii="Book Antiqua" w:eastAsia="Book Antiqua" w:hAnsi="Book Antiqua" w:cs="Book Antiqua"/>
          <w:color w:val="000000"/>
        </w:rPr>
        <w:t>Dekervel</w:t>
      </w:r>
      <w:proofErr w:type="spellEnd"/>
      <w:r>
        <w:rPr>
          <w:rFonts w:ascii="Book Antiqua" w:eastAsia="Book Antiqua" w:hAnsi="Book Antiqua" w:cs="Book Antiqua"/>
          <w:color w:val="000000"/>
        </w:rPr>
        <w:t xml:space="preserve"> J, Morris V, Calvo </w:t>
      </w:r>
      <w:proofErr w:type="spellStart"/>
      <w:r>
        <w:rPr>
          <w:rFonts w:ascii="Book Antiqua" w:eastAsia="Book Antiqua" w:hAnsi="Book Antiqua" w:cs="Book Antiqua"/>
          <w:color w:val="000000"/>
        </w:rPr>
        <w:t>Ferrandiz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Tarpgaard</w:t>
      </w:r>
      <w:proofErr w:type="spellEnd"/>
      <w:r>
        <w:rPr>
          <w:rFonts w:ascii="Book Antiqua" w:eastAsia="Book Antiqua" w:hAnsi="Book Antiqua" w:cs="Book Antiqua"/>
          <w:color w:val="000000"/>
        </w:rPr>
        <w:t xml:space="preserve"> LS, Braun M, </w:t>
      </w:r>
      <w:proofErr w:type="spellStart"/>
      <w:r>
        <w:rPr>
          <w:rFonts w:ascii="Book Antiqua" w:eastAsia="Book Antiqua" w:hAnsi="Book Antiqua" w:cs="Book Antiqua"/>
          <w:color w:val="000000"/>
        </w:rPr>
        <w:t>Gollerkeri</w:t>
      </w:r>
      <w:proofErr w:type="spellEnd"/>
      <w:r>
        <w:rPr>
          <w:rFonts w:ascii="Book Antiqua" w:eastAsia="Book Antiqua" w:hAnsi="Book Antiqua" w:cs="Book Antiqua"/>
          <w:color w:val="000000"/>
        </w:rPr>
        <w:t xml:space="preserve"> A, Keir C, </w:t>
      </w:r>
      <w:proofErr w:type="spellStart"/>
      <w:r>
        <w:rPr>
          <w:rFonts w:ascii="Book Antiqua" w:eastAsia="Book Antiqua" w:hAnsi="Book Antiqua" w:cs="Book Antiqua"/>
          <w:color w:val="000000"/>
        </w:rPr>
        <w:t>Maharry</w:t>
      </w:r>
      <w:proofErr w:type="spellEnd"/>
      <w:r>
        <w:rPr>
          <w:rFonts w:ascii="Book Antiqua" w:eastAsia="Book Antiqua" w:hAnsi="Book Antiqua" w:cs="Book Antiqua"/>
          <w:color w:val="000000"/>
        </w:rPr>
        <w:t xml:space="preserve"> K, Pickard M, Christy-</w:t>
      </w:r>
      <w:proofErr w:type="spellStart"/>
      <w:r>
        <w:rPr>
          <w:rFonts w:ascii="Book Antiqua" w:eastAsia="Book Antiqua" w:hAnsi="Book Antiqua" w:cs="Book Antiqua"/>
          <w:color w:val="000000"/>
        </w:rPr>
        <w:t>Bittel</w:t>
      </w:r>
      <w:proofErr w:type="spellEnd"/>
      <w:r>
        <w:rPr>
          <w:rFonts w:ascii="Book Antiqua" w:eastAsia="Book Antiqua" w:hAnsi="Book Antiqua" w:cs="Book Antiqua"/>
          <w:color w:val="000000"/>
        </w:rPr>
        <w:t xml:space="preserve"> J, Anderson L, Sandor V,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Encorafenib, Binimetinib, and Cetuximab in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V600E-Mutated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1632-1643 [PMID: 31566309 DOI: 10.1056/NEJMoa1908075]</w:t>
      </w:r>
    </w:p>
    <w:p w14:paraId="03BA8FF4" w14:textId="77777777" w:rsidR="00A77B3E" w:rsidRDefault="00E33DE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Jones JC</w:t>
      </w:r>
      <w:r>
        <w:rPr>
          <w:rFonts w:ascii="Book Antiqua" w:eastAsia="Book Antiqua" w:hAnsi="Book Antiqua" w:cs="Book Antiqua"/>
          <w:color w:val="000000"/>
        </w:rPr>
        <w:t xml:space="preserve">, Renfro LA, Al-Shamsi HO, Schrock AB, Rankin A, Zhang BY, Kasi PM, Voss JS, Leal AD, Sun J, Ross J, Ali SM, Hubbard JM,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BR, McWilliams RR,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Wolff RA,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szCs w:val="30"/>
          <w:vertAlign w:val="superscript"/>
        </w:rPr>
        <w:t>Non-V600</w:t>
      </w:r>
      <w:r>
        <w:rPr>
          <w:rFonts w:ascii="Book Antiqua" w:eastAsia="Book Antiqua" w:hAnsi="Book Antiqua" w:cs="Book Antiqua"/>
          <w:color w:val="000000"/>
        </w:rPr>
        <w:t xml:space="preserve"> BRAF Mutations Define a Clinically Distinct Molecular Subtype of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2624-2630 [PMID: 28486044 DOI: 10.1200/JCO.2016.71.4394]</w:t>
      </w:r>
    </w:p>
    <w:p w14:paraId="273130D3" w14:textId="77777777" w:rsidR="00A77B3E" w:rsidRDefault="00E33DE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Schirripa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Pella N, Pino MS,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Corallo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Gelsomino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Orlandi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Munari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Malapelle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Saggio</w:t>
      </w:r>
      <w:proofErr w:type="spellEnd"/>
      <w:r>
        <w:rPr>
          <w:rFonts w:ascii="Book Antiqua" w:eastAsia="Book Antiqua" w:hAnsi="Book Antiqua" w:cs="Book Antiqua"/>
          <w:color w:val="000000"/>
        </w:rPr>
        <w:t xml:space="preserve"> S, Fontanini G,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Mescoli</w:t>
      </w:r>
      <w:proofErr w:type="spellEnd"/>
      <w:r>
        <w:rPr>
          <w:rFonts w:ascii="Book Antiqua" w:eastAsia="Book Antiqua" w:hAnsi="Book Antiqua" w:cs="Book Antiqua"/>
          <w:color w:val="000000"/>
        </w:rPr>
        <w:t xml:space="preserve"> C, Lazzi S, </w:t>
      </w:r>
      <w:proofErr w:type="spellStart"/>
      <w:r>
        <w:rPr>
          <w:rFonts w:ascii="Book Antiqua" w:eastAsia="Book Antiqua" w:hAnsi="Book Antiqua" w:cs="Book Antiqua"/>
          <w:color w:val="000000"/>
        </w:rPr>
        <w:t>Reggiani</w:t>
      </w:r>
      <w:proofErr w:type="spellEnd"/>
      <w:r>
        <w:rPr>
          <w:rFonts w:ascii="Book Antiqua" w:eastAsia="Book Antiqua" w:hAnsi="Book Antiqua" w:cs="Book Antiqua"/>
          <w:color w:val="000000"/>
        </w:rPr>
        <w:t xml:space="preserve"> Bonetti L, Lanza G,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De Maglio G, Martini M,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Class 1, 2, and 3 </w:t>
      </w:r>
      <w:r>
        <w:rPr>
          <w:rFonts w:ascii="Book Antiqua" w:eastAsia="Book Antiqua" w:hAnsi="Book Antiqua" w:cs="Book Antiqua"/>
          <w:i/>
          <w:iCs/>
          <w:color w:val="000000"/>
        </w:rPr>
        <w:t>BRAF</w:t>
      </w:r>
      <w:r>
        <w:rPr>
          <w:rFonts w:ascii="Book Antiqua" w:eastAsia="Book Antiqua" w:hAnsi="Book Antiqua" w:cs="Book Antiqua"/>
          <w:color w:val="000000"/>
        </w:rPr>
        <w:t xml:space="preserve">-Mutated Metastatic Colorectal Cancer: A Detailed Clinical, Pathologic, and Molecular Characterization.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3954-3961 [PMID: 30967421 DOI: 10.1158/1078-0432.CCR-19-0311]</w:t>
      </w:r>
    </w:p>
    <w:p w14:paraId="252AD670" w14:textId="77777777" w:rsidR="00A77B3E" w:rsidRDefault="00E33DE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Bahadoran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Allegra M, Le Duff F, Long-Mira E,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Giacchero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Passeron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Lacour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Ballotti</w:t>
      </w:r>
      <w:proofErr w:type="spellEnd"/>
      <w:r>
        <w:rPr>
          <w:rFonts w:ascii="Book Antiqua" w:eastAsia="Book Antiqua" w:hAnsi="Book Antiqua" w:cs="Book Antiqua"/>
          <w:color w:val="000000"/>
        </w:rPr>
        <w:t xml:space="preserve"> R. Major clinical response to a BRAF inhibitor in a patient with a BRAF L597R-mutated melanoma.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e324-e326 [PMID: 23715574 DOI: 10.1200/JCO.2012.46.1061]</w:t>
      </w:r>
    </w:p>
    <w:p w14:paraId="77713A9C" w14:textId="77777777" w:rsidR="00A77B3E" w:rsidRDefault="00E33DE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Hallmeyer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Gonzalez R, Lawson DH, Cranmer LD, Linette GP, </w:t>
      </w:r>
      <w:proofErr w:type="spellStart"/>
      <w:r>
        <w:rPr>
          <w:rFonts w:ascii="Book Antiqua" w:eastAsia="Book Antiqua" w:hAnsi="Book Antiqua" w:cs="Book Antiqua"/>
          <w:color w:val="000000"/>
        </w:rPr>
        <w:t>Puzanov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Taback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Cowey</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Daniels GA, Moore T, Gibney GT, </w:t>
      </w:r>
      <w:proofErr w:type="spellStart"/>
      <w:r>
        <w:rPr>
          <w:rFonts w:ascii="Book Antiqua" w:eastAsia="Book Antiqua" w:hAnsi="Book Antiqua" w:cs="Book Antiqua"/>
          <w:color w:val="000000"/>
        </w:rPr>
        <w:t>Tawbi</w:t>
      </w:r>
      <w:proofErr w:type="spellEnd"/>
      <w:r>
        <w:rPr>
          <w:rFonts w:ascii="Book Antiqua" w:eastAsia="Book Antiqua" w:hAnsi="Book Antiqua" w:cs="Book Antiqua"/>
          <w:color w:val="000000"/>
        </w:rPr>
        <w:t xml:space="preserve"> H, Whitman E, Lee G, Mun Y, Liu S, Hamid O. Vemurafenib treatment for patients with locally advanced, unresectable stage IIIC or metastatic melanoma and activating exon 15 BRAF mutations other than V600E.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585-590 [PMID: 29076950 DOI: 10.1097/CMR.0000000000000398]</w:t>
      </w:r>
    </w:p>
    <w:p w14:paraId="4DE26E27" w14:textId="77777777" w:rsidR="00A77B3E" w:rsidRDefault="00E33DE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Moiseyenko</w:t>
      </w:r>
      <w:proofErr w:type="spellEnd"/>
      <w:r>
        <w:rPr>
          <w:rFonts w:ascii="Book Antiqua" w:eastAsia="Book Antiqua" w:hAnsi="Book Antiqua" w:cs="Book Antiqua"/>
          <w:b/>
          <w:bCs/>
          <w:color w:val="000000"/>
        </w:rPr>
        <w:t xml:space="preserve"> FV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Egorenkov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Kramchaninov</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Artemieva</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Aleksakhina</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Holmatov</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Moiseyenko</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Imyanitov</w:t>
      </w:r>
      <w:proofErr w:type="spellEnd"/>
      <w:r>
        <w:rPr>
          <w:rFonts w:ascii="Book Antiqua" w:eastAsia="Book Antiqua" w:hAnsi="Book Antiqua" w:cs="Book Antiqua"/>
          <w:color w:val="000000"/>
        </w:rPr>
        <w:t xml:space="preserve"> EN. Lack of Response to Vemurafenib in Melanoma Carrying BRAF K601E Mutation.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339-343 [PMID: 31182949 DOI: 10.1159/000500481]</w:t>
      </w:r>
    </w:p>
    <w:p w14:paraId="02A8B533" w14:textId="77777777" w:rsidR="00A77B3E" w:rsidRDefault="00E33DE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Maddox J</w:t>
      </w:r>
      <w:r>
        <w:rPr>
          <w:rFonts w:ascii="Book Antiqua" w:eastAsia="Book Antiqua" w:hAnsi="Book Antiqua" w:cs="Book Antiqua"/>
          <w:color w:val="000000"/>
        </w:rPr>
        <w:t xml:space="preserve">. Competition and the death of science.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1993; </w:t>
      </w:r>
      <w:r>
        <w:rPr>
          <w:rFonts w:ascii="Book Antiqua" w:eastAsia="Book Antiqua" w:hAnsi="Book Antiqua" w:cs="Book Antiqua"/>
          <w:b/>
          <w:bCs/>
          <w:color w:val="000000"/>
        </w:rPr>
        <w:t>363</w:t>
      </w:r>
      <w:r>
        <w:rPr>
          <w:rFonts w:ascii="Book Antiqua" w:eastAsia="Book Antiqua" w:hAnsi="Book Antiqua" w:cs="Book Antiqua"/>
          <w:color w:val="000000"/>
        </w:rPr>
        <w:t>: 667 [PMID: 8257488 DOI: 10.1038/363667a0]</w:t>
      </w:r>
    </w:p>
    <w:p w14:paraId="1D3C0FA4" w14:textId="77777777" w:rsidR="00A77B3E" w:rsidRDefault="00E33DE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Boland CR</w:t>
      </w:r>
      <w:r>
        <w:rPr>
          <w:rFonts w:ascii="Book Antiqua" w:eastAsia="Book Antiqua" w:hAnsi="Book Antiqua" w:cs="Book Antiqua"/>
          <w:color w:val="000000"/>
        </w:rPr>
        <w:t xml:space="preserve">, Thibodeau SN, Hamilton SR, </w:t>
      </w:r>
      <w:proofErr w:type="spellStart"/>
      <w:r>
        <w:rPr>
          <w:rFonts w:ascii="Book Antiqua" w:eastAsia="Book Antiqua" w:hAnsi="Book Antiqua" w:cs="Book Antiqua"/>
          <w:color w:val="000000"/>
        </w:rPr>
        <w:t>Sidransky</w:t>
      </w:r>
      <w:proofErr w:type="spellEnd"/>
      <w:r>
        <w:rPr>
          <w:rFonts w:ascii="Book Antiqua" w:eastAsia="Book Antiqua" w:hAnsi="Book Antiqua" w:cs="Book Antiqua"/>
          <w:color w:val="000000"/>
        </w:rPr>
        <w:t xml:space="preserve"> D, Eshleman JR, Burt RW, Meltzer SJ, Rodriguez-Bigas MA, </w:t>
      </w:r>
      <w:proofErr w:type="spellStart"/>
      <w:r>
        <w:rPr>
          <w:rFonts w:ascii="Book Antiqua" w:eastAsia="Book Antiqua" w:hAnsi="Book Antiqua" w:cs="Book Antiqua"/>
          <w:color w:val="000000"/>
        </w:rPr>
        <w:t>Fodde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Ranzani</w:t>
      </w:r>
      <w:proofErr w:type="spellEnd"/>
      <w:r>
        <w:rPr>
          <w:rFonts w:ascii="Book Antiqua" w:eastAsia="Book Antiqua" w:hAnsi="Book Antiqua" w:cs="Book Antiqua"/>
          <w:color w:val="000000"/>
        </w:rPr>
        <w:t xml:space="preserve"> GN, Srivastava S. A National Cancer Institute Workshop on Microsatellite Instability for cancer detection and familial predisposition: development of international criteria for the determination of microsatellite instability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58</w:t>
      </w:r>
      <w:r>
        <w:rPr>
          <w:rFonts w:ascii="Book Antiqua" w:eastAsia="Book Antiqua" w:hAnsi="Book Antiqua" w:cs="Book Antiqua"/>
          <w:color w:val="000000"/>
        </w:rPr>
        <w:t>: 5248-5257 [PMID: 9823339]</w:t>
      </w:r>
    </w:p>
    <w:p w14:paraId="2430BD35" w14:textId="77777777" w:rsidR="00A77B3E" w:rsidRDefault="00E33DE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Perucho M</w:t>
      </w:r>
      <w:r>
        <w:rPr>
          <w:rFonts w:ascii="Book Antiqua" w:eastAsia="Book Antiqua" w:hAnsi="Book Antiqua" w:cs="Book Antiqua"/>
          <w:color w:val="000000"/>
        </w:rPr>
        <w:t xml:space="preserve">. Correspondence re: C.R. Boland </w:t>
      </w:r>
      <w:r>
        <w:rPr>
          <w:rFonts w:ascii="Book Antiqua" w:eastAsia="Book Antiqua" w:hAnsi="Book Antiqua" w:cs="Book Antiqua"/>
          <w:i/>
          <w:iCs/>
          <w:color w:val="000000"/>
        </w:rPr>
        <w:t>et al</w:t>
      </w:r>
      <w:r>
        <w:rPr>
          <w:rFonts w:ascii="Book Antiqua" w:eastAsia="Book Antiqua" w:hAnsi="Book Antiqua" w:cs="Book Antiqua"/>
          <w:color w:val="000000"/>
        </w:rPr>
        <w:t xml:space="preserve">, A National Cancer Institute workshop on microsatellite instability for cancer detection and familial predisposition: development of international criteria for the determination of microsatellite instability in colorectal cancer. Cancer Res., 58: 5248-5257, 1998.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59</w:t>
      </w:r>
      <w:r>
        <w:rPr>
          <w:rFonts w:ascii="Book Antiqua" w:eastAsia="Book Antiqua" w:hAnsi="Book Antiqua" w:cs="Book Antiqua"/>
          <w:color w:val="000000"/>
        </w:rPr>
        <w:t>: 249-256 [PMID: 9892214]</w:t>
      </w:r>
    </w:p>
    <w:p w14:paraId="7CD74E53" w14:textId="77777777" w:rsidR="00A77B3E" w:rsidRDefault="00E33DE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Sun BL</w:t>
      </w:r>
      <w:r>
        <w:rPr>
          <w:rFonts w:ascii="Book Antiqua" w:eastAsia="Book Antiqua" w:hAnsi="Book Antiqua" w:cs="Book Antiqua"/>
          <w:color w:val="000000"/>
        </w:rPr>
        <w:t xml:space="preserve">. Current Microsatellite Instability Testing in Management of Colorectal Cancer.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e12-e20 [PMID: 32888812 DOI: 10.1016/j.clcc.2020.08.001]</w:t>
      </w:r>
    </w:p>
    <w:p w14:paraId="6AE4CF92" w14:textId="77777777" w:rsidR="00A77B3E" w:rsidRDefault="00E33DE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Suraweera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Duval A, </w:t>
      </w:r>
      <w:proofErr w:type="spellStart"/>
      <w:r>
        <w:rPr>
          <w:rFonts w:ascii="Book Antiqua" w:eastAsia="Book Antiqua" w:hAnsi="Book Antiqua" w:cs="Book Antiqua"/>
          <w:color w:val="000000"/>
        </w:rPr>
        <w:t>Reperant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Vaury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D, Leroy K, </w:t>
      </w:r>
      <w:proofErr w:type="spellStart"/>
      <w:r>
        <w:rPr>
          <w:rFonts w:ascii="Book Antiqua" w:eastAsia="Book Antiqua" w:hAnsi="Book Antiqua" w:cs="Book Antiqua"/>
          <w:color w:val="000000"/>
        </w:rPr>
        <w:t>Seruca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Iacopetta</w:t>
      </w:r>
      <w:proofErr w:type="spellEnd"/>
      <w:r>
        <w:rPr>
          <w:rFonts w:ascii="Book Antiqua" w:eastAsia="Book Antiqua" w:hAnsi="Book Antiqua" w:cs="Book Antiqua"/>
          <w:color w:val="000000"/>
        </w:rPr>
        <w:t xml:space="preserve"> B, Hamelin R. Evaluation of tumor microsatellite instability using five </w:t>
      </w:r>
      <w:proofErr w:type="spellStart"/>
      <w:r>
        <w:rPr>
          <w:rFonts w:ascii="Book Antiqua" w:eastAsia="Book Antiqua" w:hAnsi="Book Antiqua" w:cs="Book Antiqua"/>
          <w:color w:val="000000"/>
        </w:rPr>
        <w:t>quasimonomorphic</w:t>
      </w:r>
      <w:proofErr w:type="spellEnd"/>
      <w:r>
        <w:rPr>
          <w:rFonts w:ascii="Book Antiqua" w:eastAsia="Book Antiqua" w:hAnsi="Book Antiqua" w:cs="Book Antiqua"/>
          <w:color w:val="000000"/>
        </w:rPr>
        <w:t xml:space="preserve"> mononucleotide repeats and pentaplex PCR.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1804-1811 [PMID: 12454837 DOI: 10.1053/gast.2002.37070]</w:t>
      </w:r>
    </w:p>
    <w:p w14:paraId="66FBF2F9" w14:textId="77777777" w:rsidR="00A77B3E" w:rsidRDefault="00E33DE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Umar A</w:t>
      </w:r>
      <w:r>
        <w:rPr>
          <w:rFonts w:ascii="Book Antiqua" w:eastAsia="Book Antiqua" w:hAnsi="Book Antiqua" w:cs="Book Antiqua"/>
          <w:color w:val="000000"/>
        </w:rPr>
        <w:t xml:space="preserve">, Boland CR, </w:t>
      </w:r>
      <w:proofErr w:type="spellStart"/>
      <w:r>
        <w:rPr>
          <w:rFonts w:ascii="Book Antiqua" w:eastAsia="Book Antiqua" w:hAnsi="Book Antiqua" w:cs="Book Antiqua"/>
          <w:color w:val="000000"/>
        </w:rPr>
        <w:t>Terdiman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de la Chapelle A, </w:t>
      </w:r>
      <w:proofErr w:type="spellStart"/>
      <w:r>
        <w:rPr>
          <w:rFonts w:ascii="Book Antiqua" w:eastAsia="Book Antiqua" w:hAnsi="Book Antiqua" w:cs="Book Antiqua"/>
          <w:color w:val="000000"/>
        </w:rPr>
        <w:t>Rüschoff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Fishel</w:t>
      </w:r>
      <w:proofErr w:type="spellEnd"/>
      <w:r>
        <w:rPr>
          <w:rFonts w:ascii="Book Antiqua" w:eastAsia="Book Antiqua" w:hAnsi="Book Antiqua" w:cs="Book Antiqua"/>
          <w:color w:val="000000"/>
        </w:rPr>
        <w:t xml:space="preserve"> R, Lindor NM,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Hamelin R, Hamilton SR, Hiatt RA,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 Lindblom A, Lynch HT, </w:t>
      </w:r>
      <w:proofErr w:type="spellStart"/>
      <w:r>
        <w:rPr>
          <w:rFonts w:ascii="Book Antiqua" w:eastAsia="Book Antiqua" w:hAnsi="Book Antiqua" w:cs="Book Antiqua"/>
          <w:color w:val="000000"/>
        </w:rPr>
        <w:t>Peltomaki</w:t>
      </w:r>
      <w:proofErr w:type="spellEnd"/>
      <w:r>
        <w:rPr>
          <w:rFonts w:ascii="Book Antiqua" w:eastAsia="Book Antiqua" w:hAnsi="Book Antiqua" w:cs="Book Antiqua"/>
          <w:color w:val="000000"/>
        </w:rPr>
        <w:t xml:space="preserve"> P, Ramsey SD, Rodriguez-Bigas MA, </w:t>
      </w:r>
      <w:proofErr w:type="spellStart"/>
      <w:r>
        <w:rPr>
          <w:rFonts w:ascii="Book Antiqua" w:eastAsia="Book Antiqua" w:hAnsi="Book Antiqua" w:cs="Book Antiqua"/>
          <w:color w:val="000000"/>
        </w:rPr>
        <w:t>Vasen</w:t>
      </w:r>
      <w:proofErr w:type="spellEnd"/>
      <w:r>
        <w:rPr>
          <w:rFonts w:ascii="Book Antiqua" w:eastAsia="Book Antiqua" w:hAnsi="Book Antiqua" w:cs="Book Antiqua"/>
          <w:color w:val="000000"/>
        </w:rPr>
        <w:t xml:space="preserve"> HF, Hawk ET, Barrett JC, Freedman AN, Srivastava S. Revised Bethesda Guidelines for hereditary nonpolyposis colorectal cancer (Lynch syndrome) and microsatellite instability.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96</w:t>
      </w:r>
      <w:r>
        <w:rPr>
          <w:rFonts w:ascii="Book Antiqua" w:eastAsia="Book Antiqua" w:hAnsi="Book Antiqua" w:cs="Book Antiqua"/>
          <w:color w:val="000000"/>
        </w:rPr>
        <w:t>: 261-268 [PMID: 14970275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/djh034]</w:t>
      </w:r>
    </w:p>
    <w:p w14:paraId="6AA519B0" w14:textId="77777777" w:rsidR="00A77B3E" w:rsidRDefault="00E33DE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Buhard</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Lagrange A, </w:t>
      </w:r>
      <w:proofErr w:type="spellStart"/>
      <w:r>
        <w:rPr>
          <w:rFonts w:ascii="Book Antiqua" w:eastAsia="Book Antiqua" w:hAnsi="Book Antiqua" w:cs="Book Antiqua"/>
          <w:color w:val="000000"/>
        </w:rPr>
        <w:t>Guilloux</w:t>
      </w:r>
      <w:proofErr w:type="spellEnd"/>
      <w:r>
        <w:rPr>
          <w:rFonts w:ascii="Book Antiqua" w:eastAsia="Book Antiqua" w:hAnsi="Book Antiqua" w:cs="Book Antiqua"/>
          <w:color w:val="000000"/>
        </w:rPr>
        <w:t xml:space="preserve"> A, Colas C, </w:t>
      </w:r>
      <w:proofErr w:type="spellStart"/>
      <w:r>
        <w:rPr>
          <w:rFonts w:ascii="Book Antiqua" w:eastAsia="Book Antiqua" w:hAnsi="Book Antiqua" w:cs="Book Antiqua"/>
          <w:color w:val="000000"/>
        </w:rPr>
        <w:t>Chouchène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Wanherdrick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Coulet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Guillerm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Dorard</w:t>
      </w:r>
      <w:proofErr w:type="spellEnd"/>
      <w:r>
        <w:rPr>
          <w:rFonts w:ascii="Book Antiqua" w:eastAsia="Book Antiqua" w:hAnsi="Book Antiqua" w:cs="Book Antiqua"/>
          <w:color w:val="000000"/>
        </w:rPr>
        <w:t xml:space="preserve"> C, Marisa L, Bokhari A, Greene M, El-</w:t>
      </w:r>
      <w:proofErr w:type="spellStart"/>
      <w:r>
        <w:rPr>
          <w:rFonts w:ascii="Book Antiqua" w:eastAsia="Book Antiqua" w:hAnsi="Book Antiqua" w:cs="Book Antiqua"/>
          <w:color w:val="000000"/>
        </w:rPr>
        <w:t>Murr</w:t>
      </w:r>
      <w:proofErr w:type="spellEnd"/>
      <w:r>
        <w:rPr>
          <w:rFonts w:ascii="Book Antiqua" w:eastAsia="Book Antiqua" w:hAnsi="Book Antiqua" w:cs="Book Antiqua"/>
          <w:color w:val="000000"/>
        </w:rPr>
        <w:t xml:space="preserve"> N, Bodo S, </w:t>
      </w:r>
      <w:proofErr w:type="spellStart"/>
      <w:r>
        <w:rPr>
          <w:rFonts w:ascii="Book Antiqua" w:eastAsia="Book Antiqua" w:hAnsi="Book Antiqua" w:cs="Book Antiqua"/>
          <w:color w:val="000000"/>
        </w:rPr>
        <w:t>Muleris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Sourouille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Blanché</w:t>
      </w:r>
      <w:proofErr w:type="spellEnd"/>
      <w:r>
        <w:rPr>
          <w:rFonts w:ascii="Book Antiqua" w:eastAsia="Book Antiqua" w:hAnsi="Book Antiqua" w:cs="Book Antiqua"/>
          <w:color w:val="000000"/>
        </w:rPr>
        <w:t xml:space="preserve"> H, Lefevre JH, Parc Y, Lepage C, </w:t>
      </w:r>
      <w:proofErr w:type="spellStart"/>
      <w:r>
        <w:rPr>
          <w:rFonts w:ascii="Book Antiqua" w:eastAsia="Book Antiqua" w:hAnsi="Book Antiqua" w:cs="Book Antiqua"/>
          <w:color w:val="000000"/>
        </w:rPr>
        <w:t>Chapusot</w:t>
      </w:r>
      <w:proofErr w:type="spellEnd"/>
      <w:r>
        <w:rPr>
          <w:rFonts w:ascii="Book Antiqua" w:eastAsia="Book Antiqua" w:hAnsi="Book Antiqua" w:cs="Book Antiqua"/>
          <w:color w:val="000000"/>
        </w:rPr>
        <w:t xml:space="preserve"> C, Bouvier AM, </w:t>
      </w:r>
      <w:proofErr w:type="spellStart"/>
      <w:r>
        <w:rPr>
          <w:rFonts w:ascii="Book Antiqua" w:eastAsia="Book Antiqua" w:hAnsi="Book Antiqua" w:cs="Book Antiqua"/>
          <w:color w:val="000000"/>
        </w:rPr>
        <w:t>Gaub</w:t>
      </w:r>
      <w:proofErr w:type="spellEnd"/>
      <w:r>
        <w:rPr>
          <w:rFonts w:ascii="Book Antiqua" w:eastAsia="Book Antiqua" w:hAnsi="Book Antiqua" w:cs="Book Antiqua"/>
          <w:color w:val="000000"/>
        </w:rPr>
        <w:t xml:space="preserve"> MP, Selves J, Garrett K, </w:t>
      </w:r>
      <w:proofErr w:type="spellStart"/>
      <w:r>
        <w:rPr>
          <w:rFonts w:ascii="Book Antiqua" w:eastAsia="Book Antiqua" w:hAnsi="Book Antiqua" w:cs="Book Antiqua"/>
          <w:color w:val="000000"/>
        </w:rPr>
        <w:t>Iacopetta</w:t>
      </w:r>
      <w:proofErr w:type="spellEnd"/>
      <w:r>
        <w:rPr>
          <w:rFonts w:ascii="Book Antiqua" w:eastAsia="Book Antiqua" w:hAnsi="Book Antiqua" w:cs="Book Antiqua"/>
          <w:color w:val="000000"/>
        </w:rPr>
        <w:t xml:space="preserve"> B, Soong R, Hamelin R, Garrido C, </w:t>
      </w:r>
      <w:proofErr w:type="spellStart"/>
      <w:r>
        <w:rPr>
          <w:rFonts w:ascii="Book Antiqua" w:eastAsia="Book Antiqua" w:hAnsi="Book Antiqua" w:cs="Book Antiqua"/>
          <w:color w:val="000000"/>
        </w:rPr>
        <w:t>Lascols</w:t>
      </w:r>
      <w:proofErr w:type="spellEnd"/>
      <w:r>
        <w:rPr>
          <w:rFonts w:ascii="Book Antiqua" w:eastAsia="Book Antiqua" w:hAnsi="Book Antiqua" w:cs="Book Antiqua"/>
          <w:color w:val="000000"/>
        </w:rPr>
        <w:t xml:space="preserve"> O, André T, </w:t>
      </w:r>
      <w:proofErr w:type="spellStart"/>
      <w:r>
        <w:rPr>
          <w:rFonts w:ascii="Book Antiqua" w:eastAsia="Book Antiqua" w:hAnsi="Book Antiqua" w:cs="Book Antiqua"/>
          <w:color w:val="000000"/>
        </w:rPr>
        <w:t>Fléjou</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Collura</w:t>
      </w:r>
      <w:proofErr w:type="spellEnd"/>
      <w:r>
        <w:rPr>
          <w:rFonts w:ascii="Book Antiqua" w:eastAsia="Book Antiqua" w:hAnsi="Book Antiqua" w:cs="Book Antiqua"/>
          <w:color w:val="000000"/>
        </w:rPr>
        <w:t xml:space="preserve"> A, Duval A. HSP110 T17 simplifies and improves the microsatellite instability testing in patients with colorectal cancer.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377-384 [PMID: 26831756 DOI: 10.1136/jmedgenet-2015-103518]</w:t>
      </w:r>
    </w:p>
    <w:p w14:paraId="5AD76FF8" w14:textId="77777777" w:rsidR="00A77B3E" w:rsidRDefault="00E33DE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Vilar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Gruber SB. Microsatellite instability in colorectal cancer-the stable evidence.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153-162 [PMID: 20142816 DOI: 10.1038/nrclinonc.2009.237]</w:t>
      </w:r>
    </w:p>
    <w:p w14:paraId="15EF60AD" w14:textId="77777777" w:rsidR="00A77B3E" w:rsidRDefault="00E33DE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W</w:t>
      </w:r>
      <w:r>
        <w:rPr>
          <w:rFonts w:ascii="Book Antiqua" w:eastAsia="Book Antiqua" w:hAnsi="Book Antiqua" w:cs="Book Antiqua"/>
          <w:color w:val="000000"/>
        </w:rPr>
        <w:t xml:space="preserve">, Frankel WL. A practical guide to biomarkers for the evaluation of colorectal cancer.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1-15 [PMID: 30600322 DOI: 10.1038/s41379-018-0136-1]</w:t>
      </w:r>
    </w:p>
    <w:p w14:paraId="1B5C8FB0" w14:textId="77777777" w:rsidR="00A77B3E" w:rsidRDefault="00E33DE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Cohen R</w:t>
      </w:r>
      <w:r>
        <w:rPr>
          <w:rFonts w:ascii="Book Antiqua" w:eastAsia="Book Antiqua" w:hAnsi="Book Antiqua" w:cs="Book Antiqua"/>
          <w:color w:val="000000"/>
        </w:rPr>
        <w:t xml:space="preserve">, Hain E, </w:t>
      </w:r>
      <w:proofErr w:type="spellStart"/>
      <w:r>
        <w:rPr>
          <w:rFonts w:ascii="Book Antiqua" w:eastAsia="Book Antiqua" w:hAnsi="Book Antiqua" w:cs="Book Antiqua"/>
          <w:color w:val="000000"/>
        </w:rPr>
        <w:t>Buhard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Guilloux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Bardier</w:t>
      </w:r>
      <w:proofErr w:type="spellEnd"/>
      <w:r>
        <w:rPr>
          <w:rFonts w:ascii="Book Antiqua" w:eastAsia="Book Antiqua" w:hAnsi="Book Antiqua" w:cs="Book Antiqua"/>
          <w:color w:val="000000"/>
        </w:rPr>
        <w:t xml:space="preserve"> A, Kaci R, Bertheau P, Renaud F, Bibeau F, </w:t>
      </w:r>
      <w:proofErr w:type="spellStart"/>
      <w:r>
        <w:rPr>
          <w:rFonts w:ascii="Book Antiqua" w:eastAsia="Book Antiqua" w:hAnsi="Book Antiqua" w:cs="Book Antiqua"/>
          <w:color w:val="000000"/>
        </w:rPr>
        <w:t>Fléjou</w:t>
      </w:r>
      <w:proofErr w:type="spellEnd"/>
      <w:r>
        <w:rPr>
          <w:rFonts w:ascii="Book Antiqua" w:eastAsia="Book Antiqua" w:hAnsi="Book Antiqua" w:cs="Book Antiqua"/>
          <w:color w:val="000000"/>
        </w:rPr>
        <w:t xml:space="preserve"> JF, André T,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Duval A. Association of Primary Resistance to Immune Checkpoint Inhibitors in Metastatic Colorectal Cancer With Misdiagnosis of Microsatellite Instability or Mismatch Repair Deficiency Status.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551-555 [PMID: 30452494 DOI: 10.1001/jamaoncol.2018.4942]</w:t>
      </w:r>
    </w:p>
    <w:p w14:paraId="49010750" w14:textId="77777777" w:rsidR="00A77B3E" w:rsidRDefault="00E33DE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Battaglin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Naseem M, Lenz HJ, Salem ME. Microsatellite instability in colorectal cancer: overview of its clinical significance and novel perspectives. </w:t>
      </w:r>
      <w:r>
        <w:rPr>
          <w:rFonts w:ascii="Book Antiqua" w:eastAsia="Book Antiqua" w:hAnsi="Book Antiqua" w:cs="Book Antiqua"/>
          <w:i/>
          <w:iCs/>
          <w:color w:val="000000"/>
        </w:rPr>
        <w:t>Clin Adv Hematol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735-745 [PMID: 30543589]</w:t>
      </w:r>
    </w:p>
    <w:p w14:paraId="478260A1" w14:textId="77777777" w:rsidR="00A77B3E" w:rsidRDefault="00E33DE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Yanus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Belyaeva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Ivantsov</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Kuligina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Suspitsin</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Mitiushkina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Aleksakhina</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Iyevleva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Zaitseva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Yatsuk</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Gorodnova</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Strelkova</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Lepenchuk</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Ochir-Garyaev</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Paneyah</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Matsko</w:t>
      </w:r>
      <w:proofErr w:type="spellEnd"/>
      <w:r>
        <w:rPr>
          <w:rFonts w:ascii="Book Antiqua" w:eastAsia="Book Antiqua" w:hAnsi="Book Antiqua" w:cs="Book Antiqua"/>
          <w:color w:val="000000"/>
        </w:rPr>
        <w:t xml:space="preserve"> DE, Togo AV, Imyanitov EN. Pattern of clinically relevant mutations in consecutive series of Russian colorectal cancer patients.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686 [PMID: 23943423 DOI: 10.1007/s12032-013-0686-5]</w:t>
      </w:r>
    </w:p>
    <w:p w14:paraId="6FC1CEC9" w14:textId="77777777" w:rsidR="00A77B3E" w:rsidRDefault="00E33DE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Shiu</w:t>
      </w:r>
      <w:proofErr w:type="spellEnd"/>
      <w:r>
        <w:rPr>
          <w:rFonts w:ascii="Book Antiqua" w:eastAsia="Book Antiqua" w:hAnsi="Book Antiqua" w:cs="Book Antiqua"/>
          <w:color w:val="000000"/>
        </w:rPr>
        <w:t xml:space="preserve"> KK, Kim TW, Jensen BV, Jensen LH, Punt C, Smith D,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Benavides M, Gibbs P, de la </w:t>
      </w:r>
      <w:proofErr w:type="spellStart"/>
      <w:r>
        <w:rPr>
          <w:rFonts w:ascii="Book Antiqua" w:eastAsia="Book Antiqua" w:hAnsi="Book Antiqua" w:cs="Book Antiqua"/>
          <w:color w:val="000000"/>
        </w:rPr>
        <w:t>Fouchardiere</w:t>
      </w:r>
      <w:proofErr w:type="spellEnd"/>
      <w:r>
        <w:rPr>
          <w:rFonts w:ascii="Book Antiqua" w:eastAsia="Book Antiqua" w:hAnsi="Book Antiqua" w:cs="Book Antiqua"/>
          <w:color w:val="000000"/>
        </w:rPr>
        <w:t xml:space="preserve"> C, Rivera F,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Le DT, Yoshino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Yang P, Farooqui MZH,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Diaz LA Jr; KEYNOTE-177 Investigators. Pembrolizumab in Microsatellite-Instability-High Advanced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14:paraId="7926EE1A" w14:textId="77777777" w:rsidR="00A77B3E" w:rsidRDefault="00E33DE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 DT</w:t>
      </w:r>
      <w:r>
        <w:rPr>
          <w:rFonts w:ascii="Book Antiqua" w:eastAsia="Book Antiqua" w:hAnsi="Book Antiqua" w:cs="Book Antiqua"/>
          <w:color w:val="000000"/>
        </w:rPr>
        <w:t xml:space="preserve">, Kim TW,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Hara H, Burge M, O'Neil B,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Yoshino T,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Taniguchi H,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Al-</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SE, Boland PM,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CE, Cui Y, Dai T,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Diaz LA Jr, André T. Phase II Open-Label Study of Pembrolizumab in Treatment-Refractory, Microsatellite Instability-High/Mismatch Repair-Deficient Metastatic Colorectal Cancer: KEYNOTE-164.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11-19 [PMID: 31725351 DOI: 10.1200/JCO.19.02107]</w:t>
      </w:r>
    </w:p>
    <w:p w14:paraId="658949AA" w14:textId="77777777" w:rsidR="00A77B3E" w:rsidRDefault="00E33DE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Wong KYM, Lenz HJ, </w:t>
      </w:r>
      <w:proofErr w:type="spellStart"/>
      <w:r>
        <w:rPr>
          <w:rFonts w:ascii="Book Antiqua" w:eastAsia="Book Antiqua" w:hAnsi="Book Antiqua" w:cs="Book Antiqua"/>
          <w:color w:val="000000"/>
        </w:rPr>
        <w:t>Gelsomino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Morse MA,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McDermott R, Hill A, Sawyer MB, </w:t>
      </w:r>
      <w:proofErr w:type="spellStart"/>
      <w:r>
        <w:rPr>
          <w:rFonts w:ascii="Book Antiqua" w:eastAsia="Book Antiqua" w:hAnsi="Book Antiqua" w:cs="Book Antiqua"/>
          <w:color w:val="000000"/>
        </w:rPr>
        <w:t>Hendlisz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Neyns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Moss RA, </w:t>
      </w:r>
      <w:proofErr w:type="spellStart"/>
      <w:r>
        <w:rPr>
          <w:rFonts w:ascii="Book Antiqua" w:eastAsia="Book Antiqua" w:hAnsi="Book Antiqua" w:cs="Book Antiqua"/>
          <w:color w:val="000000"/>
        </w:rPr>
        <w:t>Ledeine</w:t>
      </w:r>
      <w:proofErr w:type="spellEnd"/>
      <w:r>
        <w:rPr>
          <w:rFonts w:ascii="Book Antiqua" w:eastAsia="Book Antiqua" w:hAnsi="Book Antiqua" w:cs="Book Antiqua"/>
          <w:color w:val="000000"/>
        </w:rPr>
        <w:t xml:space="preserve"> JM, Cao ZA, </w:t>
      </w:r>
      <w:proofErr w:type="spellStart"/>
      <w:r>
        <w:rPr>
          <w:rFonts w:ascii="Book Antiqua" w:eastAsia="Book Antiqua" w:hAnsi="Book Antiqua" w:cs="Book Antiqua"/>
          <w:color w:val="000000"/>
        </w:rPr>
        <w:t>Kamble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André T. Durable Clinical Benefit With Nivolumab Plus Ipilimumab in DNA Mismatch Repair-Deficient/Microsatellite Instability-High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773-779 [PMID: 29355075 DOI: 10.1200/JCO.2017.76.9901]</w:t>
      </w:r>
    </w:p>
    <w:p w14:paraId="5EDBE017" w14:textId="77777777" w:rsidR="00A77B3E" w:rsidRDefault="00E33DE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Lochhead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Kuchiba</w:t>
      </w:r>
      <w:proofErr w:type="spellEnd"/>
      <w:r>
        <w:rPr>
          <w:rFonts w:ascii="Book Antiqua" w:eastAsia="Book Antiqua" w:hAnsi="Book Antiqua" w:cs="Book Antiqua"/>
          <w:color w:val="000000"/>
        </w:rPr>
        <w:t xml:space="preserve"> A, Imamura Y, Liao X, Yamauchi M, Nishihara R, Qian ZR, Morikawa T, Shen J,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Fuchs CS, Ogino S. Microsatellite instability and BRAF mutation testing in colorectal cancer prognostication.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1151-1156 [PMID: 23878352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/djt173]</w:t>
      </w:r>
    </w:p>
    <w:p w14:paraId="3430AA53" w14:textId="77777777" w:rsidR="00A77B3E" w:rsidRDefault="00E33DE9">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Venderbosch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Maughan TS, Smith CG, Cheadle JP, Fisher D, Kaplan R, Quirke P, Seymour MT, Richman SD, Meijer GA, </w:t>
      </w:r>
      <w:proofErr w:type="spellStart"/>
      <w:r>
        <w:rPr>
          <w:rFonts w:ascii="Book Antiqua" w:eastAsia="Book Antiqua" w:hAnsi="Book Antiqua" w:cs="Book Antiqua"/>
          <w:color w:val="000000"/>
        </w:rPr>
        <w:t>Ylstra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Heideman</w:t>
      </w:r>
      <w:proofErr w:type="spellEnd"/>
      <w:r>
        <w:rPr>
          <w:rFonts w:ascii="Book Antiqua" w:eastAsia="Book Antiqua" w:hAnsi="Book Antiqua" w:cs="Book Antiqua"/>
          <w:color w:val="000000"/>
        </w:rPr>
        <w:t xml:space="preserve"> DA,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AF, Punt CJ, Koopman M. Mismatch repair status and BRAF mutation status in metastatic colorectal cancer patients: a pooled analysis of the CAIRO, CAIRO2, COIN, and FOCUS studies.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5322-5330 [PMID: 25139339 DOI: 10.1158/1078-0432.CCR-14-0332]</w:t>
      </w:r>
    </w:p>
    <w:p w14:paraId="4A02EF12" w14:textId="77777777" w:rsidR="00A77B3E" w:rsidRDefault="00E33DE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Giordano G</w:t>
      </w:r>
      <w:r>
        <w:rPr>
          <w:rFonts w:ascii="Book Antiqua" w:eastAsia="Book Antiqua" w:hAnsi="Book Antiqua" w:cs="Book Antiqua"/>
          <w:color w:val="000000"/>
        </w:rPr>
        <w:t xml:space="preserve">, Remo A, Porras A, </w:t>
      </w:r>
      <w:proofErr w:type="spellStart"/>
      <w:r>
        <w:rPr>
          <w:rFonts w:ascii="Book Antiqua" w:eastAsia="Book Antiqua" w:hAnsi="Book Antiqua" w:cs="Book Antiqua"/>
          <w:color w:val="000000"/>
        </w:rPr>
        <w:t>Pancione</w:t>
      </w:r>
      <w:proofErr w:type="spellEnd"/>
      <w:r>
        <w:rPr>
          <w:rFonts w:ascii="Book Antiqua" w:eastAsia="Book Antiqua" w:hAnsi="Book Antiqua" w:cs="Book Antiqua"/>
          <w:color w:val="000000"/>
        </w:rPr>
        <w:t xml:space="preserve"> M. Immune Resistance and EGFR Antagonists in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31370270 DOI: 10.3390/cancers11081089]</w:t>
      </w:r>
    </w:p>
    <w:p w14:paraId="6D9A52DD" w14:textId="77777777" w:rsidR="00A77B3E" w:rsidRDefault="00E33DE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Sauter G</w:t>
      </w:r>
      <w:r>
        <w:rPr>
          <w:rFonts w:ascii="Book Antiqua" w:eastAsia="Book Antiqua" w:hAnsi="Book Antiqua" w:cs="Book Antiqua"/>
          <w:color w:val="000000"/>
        </w:rPr>
        <w:t xml:space="preserve">, Lee J, Bartlett JM, </w:t>
      </w:r>
      <w:proofErr w:type="spellStart"/>
      <w:r>
        <w:rPr>
          <w:rFonts w:ascii="Book Antiqua" w:eastAsia="Book Antiqua" w:hAnsi="Book Antiqua" w:cs="Book Antiqua"/>
          <w:color w:val="000000"/>
        </w:rPr>
        <w:t>Slamon</w:t>
      </w:r>
      <w:proofErr w:type="spellEnd"/>
      <w:r>
        <w:rPr>
          <w:rFonts w:ascii="Book Antiqua" w:eastAsia="Book Antiqua" w:hAnsi="Book Antiqua" w:cs="Book Antiqua"/>
          <w:color w:val="000000"/>
        </w:rPr>
        <w:t xml:space="preserve"> DJ, Press MF. Guidelines for human epidermal growth factor receptor 2 testing: biologic and methodologic considerations.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1323-1333 [PMID: 19204209 DOI: 10.1200/JCO.2007.14.8197]</w:t>
      </w:r>
    </w:p>
    <w:p w14:paraId="5469D382" w14:textId="77777777" w:rsidR="00A77B3E" w:rsidRDefault="00E33DE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Meric-Bernstam F</w:t>
      </w:r>
      <w:r>
        <w:rPr>
          <w:rFonts w:ascii="Book Antiqua" w:eastAsia="Book Antiqua" w:hAnsi="Book Antiqua" w:cs="Book Antiqua"/>
          <w:color w:val="000000"/>
        </w:rPr>
        <w:t xml:space="preserve">, Hurwitz H, Raghav KPS, McWilliams RR, Fakih M, </w:t>
      </w:r>
      <w:proofErr w:type="spellStart"/>
      <w:r>
        <w:rPr>
          <w:rFonts w:ascii="Book Antiqua" w:eastAsia="Book Antiqua" w:hAnsi="Book Antiqua" w:cs="Book Antiqua"/>
          <w:color w:val="000000"/>
        </w:rPr>
        <w:t>VanderWalde</w:t>
      </w:r>
      <w:proofErr w:type="spellEnd"/>
      <w:r>
        <w:rPr>
          <w:rFonts w:ascii="Book Antiqua" w:eastAsia="Book Antiqua" w:hAnsi="Book Antiqua" w:cs="Book Antiqua"/>
          <w:color w:val="000000"/>
        </w:rPr>
        <w:t xml:space="preserve"> A, Swanton C,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Burris H, Sweeney C, Bose R, </w:t>
      </w:r>
      <w:proofErr w:type="spellStart"/>
      <w:r>
        <w:rPr>
          <w:rFonts w:ascii="Book Antiqua" w:eastAsia="Book Antiqua" w:hAnsi="Book Antiqua" w:cs="Book Antiqua"/>
          <w:color w:val="000000"/>
        </w:rPr>
        <w:t>Spigel</w:t>
      </w:r>
      <w:proofErr w:type="spellEnd"/>
      <w:r>
        <w:rPr>
          <w:rFonts w:ascii="Book Antiqua" w:eastAsia="Book Antiqua" w:hAnsi="Book Antiqua" w:cs="Book Antiqua"/>
          <w:color w:val="000000"/>
        </w:rPr>
        <w:t xml:space="preserve"> DR, Beattie MS, </w:t>
      </w:r>
      <w:proofErr w:type="spellStart"/>
      <w:r>
        <w:rPr>
          <w:rFonts w:ascii="Book Antiqua" w:eastAsia="Book Antiqua" w:hAnsi="Book Antiqua" w:cs="Book Antiqua"/>
          <w:color w:val="000000"/>
        </w:rPr>
        <w:t>Blotner</w:t>
      </w:r>
      <w:proofErr w:type="spellEnd"/>
      <w:r>
        <w:rPr>
          <w:rFonts w:ascii="Book Antiqua" w:eastAsia="Book Antiqua" w:hAnsi="Book Antiqua" w:cs="Book Antiqua"/>
          <w:color w:val="000000"/>
        </w:rPr>
        <w:t xml:space="preserve"> S, Stone A, Schulze K, </w:t>
      </w:r>
      <w:proofErr w:type="spellStart"/>
      <w:r>
        <w:rPr>
          <w:rFonts w:ascii="Book Antiqua" w:eastAsia="Book Antiqua" w:hAnsi="Book Antiqua" w:cs="Book Antiqua"/>
          <w:color w:val="000000"/>
        </w:rPr>
        <w:t>Cuchelkar</w:t>
      </w:r>
      <w:proofErr w:type="spellEnd"/>
      <w:r>
        <w:rPr>
          <w:rFonts w:ascii="Book Antiqua" w:eastAsia="Book Antiqua" w:hAnsi="Book Antiqua" w:cs="Book Antiqua"/>
          <w:color w:val="000000"/>
        </w:rPr>
        <w:t xml:space="preserve"> V, Hainsworth J. Pertuzumab plus trastuzumab for HER2-amplified metastatic colorectal cancer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an updated report from a multicentre, open-label, phase 2a, multiple basket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7AE3F95D" w14:textId="77777777" w:rsidR="00A77B3E" w:rsidRDefault="00E33DE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Martinelli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Torri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trastuzumab and lapatinib in treatment-refractory, KRAS codon 12/13 wild-type, HER2-positive metastatic colorectal cancer (HERACLES): a proof-of-concept, multicentre,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16E26E82" w14:textId="77777777" w:rsidR="00A77B3E" w:rsidRDefault="00E33DE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Cuyper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Eynde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Machiels</w:t>
      </w:r>
      <w:proofErr w:type="spellEnd"/>
      <w:r>
        <w:rPr>
          <w:rFonts w:ascii="Book Antiqua" w:eastAsia="Book Antiqua" w:hAnsi="Book Antiqua" w:cs="Book Antiqua"/>
          <w:color w:val="000000"/>
        </w:rPr>
        <w:t xml:space="preserve"> JP. HER2 as a Predictive Biomarker and Treatment Target in Colorectal Cancer.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65-72 [PMID: 32229076 DOI: 10.1016/j.clcc.2020.02.007]</w:t>
      </w:r>
    </w:p>
    <w:p w14:paraId="07B61F50" w14:textId="77777777" w:rsidR="00A77B3E" w:rsidRDefault="00E33DE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Nowak JA</w:t>
      </w:r>
      <w:r>
        <w:rPr>
          <w:rFonts w:ascii="Book Antiqua" w:eastAsia="Book Antiqua" w:hAnsi="Book Antiqua" w:cs="Book Antiqua"/>
          <w:color w:val="000000"/>
        </w:rPr>
        <w:t xml:space="preserve">. HER2 in Colorectal Carcinoma: Are We There yet?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485-502 [PMID: 32773196 DOI: 10.1016/j.path.2020.05.007]</w:t>
      </w:r>
    </w:p>
    <w:p w14:paraId="70DBE85F" w14:textId="77777777" w:rsidR="00A77B3E" w:rsidRDefault="00E33DE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Mitiushkina NV</w:t>
      </w:r>
      <w:r>
        <w:rPr>
          <w:rFonts w:ascii="Book Antiqua" w:eastAsia="Book Antiqua" w:hAnsi="Book Antiqua" w:cs="Book Antiqua"/>
          <w:color w:val="000000"/>
        </w:rPr>
        <w:t xml:space="preserve">, Kholmatov MM, Venina AR, Tiurin VI, </w:t>
      </w:r>
      <w:proofErr w:type="spellStart"/>
      <w:r>
        <w:rPr>
          <w:rFonts w:ascii="Book Antiqua" w:eastAsia="Book Antiqua" w:hAnsi="Book Antiqua" w:cs="Book Antiqua"/>
          <w:color w:val="000000"/>
        </w:rPr>
        <w:t>Yanus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Sokolova</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Yatsuk</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Zaitseva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Ivantsov</w:t>
      </w:r>
      <w:proofErr w:type="spellEnd"/>
      <w:r>
        <w:rPr>
          <w:rFonts w:ascii="Book Antiqua" w:eastAsia="Book Antiqua" w:hAnsi="Book Antiqua" w:cs="Book Antiqua"/>
          <w:color w:val="000000"/>
        </w:rPr>
        <w:t xml:space="preserve"> AO, Kuligina ES, Togo AV, Imyanitov EN. PCR-based detection of EGFR, ALK, KRAS and BRAF mutations in Russian patients with lung adenocarcinoma: a single-center experience. </w:t>
      </w:r>
      <w:r>
        <w:rPr>
          <w:rFonts w:ascii="Book Antiqua" w:eastAsia="Book Antiqua" w:hAnsi="Book Antiqua" w:cs="Book Antiqua"/>
          <w:i/>
          <w:iCs/>
          <w:color w:val="000000"/>
        </w:rPr>
        <w:t>Neoplasma</w:t>
      </w:r>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972-979 [PMID: 30334450 DOI: 10.4149/neo_2018_171225N843]</w:t>
      </w:r>
    </w:p>
    <w:p w14:paraId="3F6E7A13" w14:textId="77777777" w:rsidR="00A77B3E" w:rsidRDefault="00E33DE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Volkov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Yanus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Ivantsov</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Moiseenko</w:t>
      </w:r>
      <w:proofErr w:type="spellEnd"/>
      <w:r>
        <w:rPr>
          <w:rFonts w:ascii="Book Antiqua" w:eastAsia="Book Antiqua" w:hAnsi="Book Antiqua" w:cs="Book Antiqua"/>
          <w:color w:val="000000"/>
        </w:rPr>
        <w:t xml:space="preserve"> FV, </w:t>
      </w:r>
      <w:proofErr w:type="spellStart"/>
      <w:r>
        <w:rPr>
          <w:rFonts w:ascii="Book Antiqua" w:eastAsia="Book Antiqua" w:hAnsi="Book Antiqua" w:cs="Book Antiqua"/>
          <w:color w:val="000000"/>
        </w:rPr>
        <w:t>Matorina</w:t>
      </w:r>
      <w:proofErr w:type="spellEnd"/>
      <w:r>
        <w:rPr>
          <w:rFonts w:ascii="Book Antiqua" w:eastAsia="Book Antiqua" w:hAnsi="Book Antiqua" w:cs="Book Antiqua"/>
          <w:color w:val="000000"/>
        </w:rPr>
        <w:t xml:space="preserve"> OG, </w:t>
      </w:r>
      <w:proofErr w:type="spellStart"/>
      <w:r>
        <w:rPr>
          <w:rFonts w:ascii="Book Antiqua" w:eastAsia="Book Antiqua" w:hAnsi="Book Antiqua" w:cs="Book Antiqua"/>
          <w:color w:val="000000"/>
        </w:rPr>
        <w:t>Bizin</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Moiseyenko</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Imyanitov</w:t>
      </w:r>
      <w:proofErr w:type="spellEnd"/>
      <w:r>
        <w:rPr>
          <w:rFonts w:ascii="Book Antiqua" w:eastAsia="Book Antiqua" w:hAnsi="Book Antiqua" w:cs="Book Antiqua"/>
          <w:color w:val="000000"/>
        </w:rPr>
        <w:t xml:space="preserve"> EN. Efficacy of immune checkpoint blockade in MUTYH-associated hereditary colorectal cancer.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894-898 [PMID: 31377904 DOI: 10.1007/s10637-019-00842-z]</w:t>
      </w:r>
    </w:p>
    <w:p w14:paraId="0C4E0498" w14:textId="77777777" w:rsidR="00A77B3E" w:rsidRDefault="00E33DE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Fakih MG, Strickler JH, Desai J, </w:t>
      </w:r>
      <w:proofErr w:type="spellStart"/>
      <w:r>
        <w:rPr>
          <w:rFonts w:ascii="Book Antiqua" w:eastAsia="Book Antiqua" w:hAnsi="Book Antiqua" w:cs="Book Antiqua"/>
          <w:color w:val="000000"/>
        </w:rPr>
        <w:t>Durm</w:t>
      </w:r>
      <w:proofErr w:type="spellEnd"/>
      <w:r>
        <w:rPr>
          <w:rFonts w:ascii="Book Antiqua" w:eastAsia="Book Antiqua" w:hAnsi="Book Antiqua" w:cs="Book Antiqua"/>
          <w:color w:val="000000"/>
        </w:rPr>
        <w:t xml:space="preserve"> GA, Shapiro GI, </w:t>
      </w:r>
      <w:proofErr w:type="spellStart"/>
      <w:r>
        <w:rPr>
          <w:rFonts w:ascii="Book Antiqua" w:eastAsia="Book Antiqua" w:hAnsi="Book Antiqua" w:cs="Book Antiqua"/>
          <w:color w:val="000000"/>
        </w:rPr>
        <w:t>Falchook</w:t>
      </w:r>
      <w:proofErr w:type="spellEnd"/>
      <w:r>
        <w:rPr>
          <w:rFonts w:ascii="Book Antiqua" w:eastAsia="Book Antiqua" w:hAnsi="Book Antiqua" w:cs="Book Antiqua"/>
          <w:color w:val="000000"/>
        </w:rPr>
        <w:t xml:space="preserve"> GS, Price TJ, Sacher A, Denlinger CS, Bang YJ, Dy GK, Krauss JC, </w:t>
      </w:r>
      <w:proofErr w:type="spellStart"/>
      <w:r>
        <w:rPr>
          <w:rFonts w:ascii="Book Antiqua" w:eastAsia="Book Antiqua" w:hAnsi="Book Antiqua" w:cs="Book Antiqua"/>
          <w:color w:val="000000"/>
        </w:rPr>
        <w:t>Kuboki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Coveler</w:t>
      </w:r>
      <w:proofErr w:type="spellEnd"/>
      <w:r>
        <w:rPr>
          <w:rFonts w:ascii="Book Antiqua" w:eastAsia="Book Antiqua" w:hAnsi="Book Antiqua" w:cs="Book Antiqua"/>
          <w:color w:val="000000"/>
        </w:rPr>
        <w:t xml:space="preserve"> AL, Park K, Kim TW, Barlesi F, Munster PN, Ramalingam SS, Burns TF,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Henary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Ngang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Ngarmchamnanrith</w:t>
      </w:r>
      <w:proofErr w:type="spellEnd"/>
      <w:r>
        <w:rPr>
          <w:rFonts w:ascii="Book Antiqua" w:eastAsia="Book Antiqua" w:hAnsi="Book Antiqua" w:cs="Book Antiqua"/>
          <w:color w:val="000000"/>
        </w:rPr>
        <w:t xml:space="preserve"> G, Kim J, </w:t>
      </w:r>
      <w:proofErr w:type="spellStart"/>
      <w:r>
        <w:rPr>
          <w:rFonts w:ascii="Book Antiqua" w:eastAsia="Book Antiqua" w:hAnsi="Book Antiqua" w:cs="Book Antiqua"/>
          <w:color w:val="000000"/>
        </w:rPr>
        <w:t>Houk</w:t>
      </w:r>
      <w:proofErr w:type="spellEnd"/>
      <w:r>
        <w:rPr>
          <w:rFonts w:ascii="Book Antiqua" w:eastAsia="Book Antiqua" w:hAnsi="Book Antiqua" w:cs="Book Antiqua"/>
          <w:color w:val="000000"/>
        </w:rPr>
        <w:t xml:space="preserve"> BE, Canon J, </w:t>
      </w:r>
      <w:proofErr w:type="spellStart"/>
      <w:r>
        <w:rPr>
          <w:rFonts w:ascii="Book Antiqua" w:eastAsia="Book Antiqua" w:hAnsi="Book Antiqua" w:cs="Book Antiqua"/>
          <w:color w:val="000000"/>
        </w:rPr>
        <w:t>Lipford</w:t>
      </w:r>
      <w:proofErr w:type="spellEnd"/>
      <w:r>
        <w:rPr>
          <w:rFonts w:ascii="Book Antiqua" w:eastAsia="Book Antiqua" w:hAnsi="Book Antiqua" w:cs="Book Antiqua"/>
          <w:color w:val="000000"/>
        </w:rPr>
        <w:t xml:space="preserve"> JR, Friberg G, </w:t>
      </w:r>
      <w:proofErr w:type="spellStart"/>
      <w:r>
        <w:rPr>
          <w:rFonts w:ascii="Book Antiqua" w:eastAsia="Book Antiqua" w:hAnsi="Book Antiqua" w:cs="Book Antiqua"/>
          <w:color w:val="000000"/>
        </w:rPr>
        <w:t>Lito</w:t>
      </w:r>
      <w:proofErr w:type="spellEnd"/>
      <w:r>
        <w:rPr>
          <w:rFonts w:ascii="Book Antiqua" w:eastAsia="Book Antiqua" w:hAnsi="Book Antiqua" w:cs="Book Antiqua"/>
          <w:color w:val="000000"/>
        </w:rPr>
        <w:t xml:space="preserve"> P, Govindan R, Li BT. KRAS</w:t>
      </w:r>
      <w:r>
        <w:rPr>
          <w:rFonts w:ascii="Book Antiqua" w:eastAsia="Book Antiqua" w:hAnsi="Book Antiqua" w:cs="Book Antiqua"/>
          <w:color w:val="000000"/>
          <w:szCs w:val="30"/>
          <w:vertAlign w:val="superscript"/>
        </w:rPr>
        <w:t>G12C</w:t>
      </w:r>
      <w:r>
        <w:rPr>
          <w:rFonts w:ascii="Book Antiqua" w:eastAsia="Book Antiqua" w:hAnsi="Book Antiqua" w:cs="Book Antiqua"/>
          <w:color w:val="000000"/>
        </w:rPr>
        <w:t xml:space="preserve"> Inhibition with Sotorasib in Advanced Solid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1207-1217 [PMID: 32955176 DOI: 10.1056/NEJMoa1917239]</w:t>
      </w:r>
    </w:p>
    <w:p w14:paraId="2812FEF5" w14:textId="77777777" w:rsidR="00A77B3E" w:rsidRDefault="00E33DE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Amodio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Yaeger R, </w:t>
      </w:r>
      <w:proofErr w:type="spellStart"/>
      <w:r>
        <w:rPr>
          <w:rFonts w:ascii="Book Antiqua" w:eastAsia="Book Antiqua" w:hAnsi="Book Antiqua" w:cs="Book Antiqua"/>
          <w:color w:val="000000"/>
        </w:rPr>
        <w:t>Arcella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Cancelliere</w:t>
      </w:r>
      <w:proofErr w:type="spellEnd"/>
      <w:r>
        <w:rPr>
          <w:rFonts w:ascii="Book Antiqua" w:eastAsia="Book Antiqua" w:hAnsi="Book Antiqua" w:cs="Book Antiqua"/>
          <w:color w:val="000000"/>
        </w:rPr>
        <w:t xml:space="preserve"> C, Lamba S, </w:t>
      </w:r>
      <w:proofErr w:type="spellStart"/>
      <w:r>
        <w:rPr>
          <w:rFonts w:ascii="Book Antiqua" w:eastAsia="Book Antiqua" w:hAnsi="Book Antiqua" w:cs="Book Antiqua"/>
          <w:color w:val="000000"/>
        </w:rPr>
        <w:t>Lorenzato</w:t>
      </w:r>
      <w:proofErr w:type="spellEnd"/>
      <w:r>
        <w:rPr>
          <w:rFonts w:ascii="Book Antiqua" w:eastAsia="Book Antiqua" w:hAnsi="Book Antiqua" w:cs="Book Antiqua"/>
          <w:color w:val="000000"/>
        </w:rPr>
        <w:t xml:space="preserve"> A, Arena S, </w:t>
      </w:r>
      <w:proofErr w:type="spellStart"/>
      <w:r>
        <w:rPr>
          <w:rFonts w:ascii="Book Antiqua" w:eastAsia="Book Antiqua" w:hAnsi="Book Antiqua" w:cs="Book Antiqua"/>
          <w:color w:val="000000"/>
        </w:rPr>
        <w:t>Montone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Whaley A, </w:t>
      </w:r>
      <w:proofErr w:type="spellStart"/>
      <w:r>
        <w:rPr>
          <w:rFonts w:ascii="Book Antiqua" w:eastAsia="Book Antiqua" w:hAnsi="Book Antiqua" w:cs="Book Antiqua"/>
          <w:color w:val="000000"/>
        </w:rPr>
        <w:t>Pinnelli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Murciano-Goroff</w:t>
      </w:r>
      <w:proofErr w:type="spellEnd"/>
      <w:r>
        <w:rPr>
          <w:rFonts w:ascii="Book Antiqua" w:eastAsia="Book Antiqua" w:hAnsi="Book Antiqua" w:cs="Book Antiqua"/>
          <w:color w:val="000000"/>
        </w:rPr>
        <w:t xml:space="preserve"> YR, </w:t>
      </w:r>
      <w:proofErr w:type="spellStart"/>
      <w:r>
        <w:rPr>
          <w:rFonts w:ascii="Book Antiqua" w:eastAsia="Book Antiqua" w:hAnsi="Book Antiqua" w:cs="Book Antiqua"/>
          <w:color w:val="000000"/>
        </w:rPr>
        <w:t>Vakiani</w:t>
      </w:r>
      <w:proofErr w:type="spellEnd"/>
      <w:r>
        <w:rPr>
          <w:rFonts w:ascii="Book Antiqua" w:eastAsia="Book Antiqua" w:hAnsi="Book Antiqua" w:cs="Book Antiqua"/>
          <w:color w:val="000000"/>
        </w:rPr>
        <w:t xml:space="preserve"> E, Valeri N, Liao WL, </w:t>
      </w:r>
      <w:proofErr w:type="spellStart"/>
      <w:r>
        <w:rPr>
          <w:rFonts w:ascii="Book Antiqua" w:eastAsia="Book Antiqua" w:hAnsi="Book Antiqua" w:cs="Book Antiqua"/>
          <w:color w:val="000000"/>
        </w:rPr>
        <w:t>Bhalkikar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Thyparambil</w:t>
      </w:r>
      <w:proofErr w:type="spellEnd"/>
      <w:r>
        <w:rPr>
          <w:rFonts w:ascii="Book Antiqua" w:eastAsia="Book Antiqua" w:hAnsi="Book Antiqua" w:cs="Book Antiqua"/>
          <w:color w:val="000000"/>
        </w:rPr>
        <w:t xml:space="preserve"> S, Zhao HY, de </w:t>
      </w:r>
      <w:proofErr w:type="spellStart"/>
      <w:r>
        <w:rPr>
          <w:rFonts w:ascii="Book Antiqua" w:eastAsia="Book Antiqua" w:hAnsi="Book Antiqua" w:cs="Book Antiqua"/>
          <w:color w:val="000000"/>
        </w:rPr>
        <w:t>Stanchina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Li BT, Rosen N,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EGFR Blockade Reverts Resistance to KRAS</w:t>
      </w:r>
      <w:r>
        <w:rPr>
          <w:rFonts w:ascii="Book Antiqua" w:eastAsia="Book Antiqua" w:hAnsi="Book Antiqua" w:cs="Book Antiqua"/>
          <w:color w:val="000000"/>
          <w:szCs w:val="30"/>
          <w:vertAlign w:val="superscript"/>
        </w:rPr>
        <w:t>G12C</w:t>
      </w:r>
      <w:r>
        <w:rPr>
          <w:rFonts w:ascii="Book Antiqua" w:eastAsia="Book Antiqua" w:hAnsi="Book Antiqua" w:cs="Book Antiqua"/>
          <w:color w:val="000000"/>
        </w:rPr>
        <w:t xml:space="preserve"> Inhibition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1129-1139 [PMID: 32430388 DOI: 10.1158/2159-8290.CD-20-0187]</w:t>
      </w:r>
    </w:p>
    <w:p w14:paraId="7BCBB845" w14:textId="77777777" w:rsidR="00A77B3E" w:rsidRDefault="00E33DE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Kinsey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Camolotto</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Boespflug</w:t>
      </w:r>
      <w:proofErr w:type="spellEnd"/>
      <w:r>
        <w:rPr>
          <w:rFonts w:ascii="Book Antiqua" w:eastAsia="Book Antiqua" w:hAnsi="Book Antiqua" w:cs="Book Antiqua"/>
          <w:color w:val="000000"/>
        </w:rPr>
        <w:t xml:space="preserve"> AM, Guillen KP, </w:t>
      </w:r>
      <w:proofErr w:type="spellStart"/>
      <w:r>
        <w:rPr>
          <w:rFonts w:ascii="Book Antiqua" w:eastAsia="Book Antiqua" w:hAnsi="Book Antiqua" w:cs="Book Antiqua"/>
          <w:color w:val="000000"/>
        </w:rPr>
        <w:t>Foth</w:t>
      </w:r>
      <w:proofErr w:type="spellEnd"/>
      <w:r>
        <w:rPr>
          <w:rFonts w:ascii="Book Antiqua" w:eastAsia="Book Antiqua" w:hAnsi="Book Antiqua" w:cs="Book Antiqua"/>
          <w:color w:val="000000"/>
        </w:rPr>
        <w:t xml:space="preserve"> M, Truong A, Schuman SS, Shea JE, </w:t>
      </w:r>
      <w:proofErr w:type="spellStart"/>
      <w:r>
        <w:rPr>
          <w:rFonts w:ascii="Book Antiqua" w:eastAsia="Book Antiqua" w:hAnsi="Book Antiqua" w:cs="Book Antiqua"/>
          <w:color w:val="000000"/>
        </w:rPr>
        <w:t>Seipp</w:t>
      </w:r>
      <w:proofErr w:type="spellEnd"/>
      <w:r>
        <w:rPr>
          <w:rFonts w:ascii="Book Antiqua" w:eastAsia="Book Antiqua" w:hAnsi="Book Antiqua" w:cs="Book Antiqua"/>
          <w:color w:val="000000"/>
        </w:rPr>
        <w:t xml:space="preserve"> MT, Yap JT, Burrell LD, Lum DH, </w:t>
      </w:r>
      <w:proofErr w:type="spellStart"/>
      <w:r>
        <w:rPr>
          <w:rFonts w:ascii="Book Antiqua" w:eastAsia="Book Antiqua" w:hAnsi="Book Antiqua" w:cs="Book Antiqua"/>
          <w:color w:val="000000"/>
        </w:rPr>
        <w:t>Whisenant</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Gilcrease</w:t>
      </w:r>
      <w:proofErr w:type="spellEnd"/>
      <w:r>
        <w:rPr>
          <w:rFonts w:ascii="Book Antiqua" w:eastAsia="Book Antiqua" w:hAnsi="Book Antiqua" w:cs="Book Antiqua"/>
          <w:color w:val="000000"/>
        </w:rPr>
        <w:t xml:space="preserve"> GW 3rd, Cavalieri CC, </w:t>
      </w:r>
      <w:proofErr w:type="spellStart"/>
      <w:r>
        <w:rPr>
          <w:rFonts w:ascii="Book Antiqua" w:eastAsia="Book Antiqua" w:hAnsi="Book Antiqua" w:cs="Book Antiqua"/>
          <w:color w:val="000000"/>
        </w:rPr>
        <w:t>Rehbein</w:t>
      </w:r>
      <w:proofErr w:type="spellEnd"/>
      <w:r>
        <w:rPr>
          <w:rFonts w:ascii="Book Antiqua" w:eastAsia="Book Antiqua" w:hAnsi="Book Antiqua" w:cs="Book Antiqua"/>
          <w:color w:val="000000"/>
        </w:rPr>
        <w:t xml:space="preserve"> KM, Cutler SL, </w:t>
      </w:r>
      <w:proofErr w:type="spellStart"/>
      <w:r>
        <w:rPr>
          <w:rFonts w:ascii="Book Antiqua" w:eastAsia="Book Antiqua" w:hAnsi="Book Antiqua" w:cs="Book Antiqua"/>
          <w:color w:val="000000"/>
        </w:rPr>
        <w:t>Affolter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Welm</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Welm</w:t>
      </w:r>
      <w:proofErr w:type="spellEnd"/>
      <w:r>
        <w:rPr>
          <w:rFonts w:ascii="Book Antiqua" w:eastAsia="Book Antiqua" w:hAnsi="Book Antiqua" w:cs="Book Antiqua"/>
          <w:color w:val="000000"/>
        </w:rPr>
        <w:t xml:space="preserve"> BE, Scaife CL, Snyder EL, McMahon M. Protective autophagy elicited by RAF→MEK→ERK inhibition suggests a treatment strategy for RAS-driven cancers.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620-627 [PMID: 30833748 DOI: 10.1038/s41591-019-0367-9]</w:t>
      </w:r>
    </w:p>
    <w:p w14:paraId="516922E8" w14:textId="77777777" w:rsidR="00A77B3E" w:rsidRDefault="00E33DE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Xavier CB</w:t>
      </w:r>
      <w:r>
        <w:rPr>
          <w:rFonts w:ascii="Book Antiqua" w:eastAsia="Book Antiqua" w:hAnsi="Book Antiqua" w:cs="Book Antiqua"/>
          <w:color w:val="000000"/>
        </w:rPr>
        <w:t xml:space="preserve">, Marchetti KR, </w:t>
      </w:r>
      <w:proofErr w:type="spellStart"/>
      <w:r>
        <w:rPr>
          <w:rFonts w:ascii="Book Antiqua" w:eastAsia="Book Antiqua" w:hAnsi="Book Antiqua" w:cs="Book Antiqua"/>
          <w:color w:val="000000"/>
        </w:rPr>
        <w:t>Castria</w:t>
      </w:r>
      <w:proofErr w:type="spellEnd"/>
      <w:r>
        <w:rPr>
          <w:rFonts w:ascii="Book Antiqua" w:eastAsia="Book Antiqua" w:hAnsi="Book Antiqua" w:cs="Book Antiqua"/>
          <w:color w:val="000000"/>
        </w:rPr>
        <w:t xml:space="preserve"> TB, Jardim DLF, Fernandes GS. Trametinib and Hydroxychloroquine (HCQ) Combination Treatment in KRAS-Mutated Advanced Pancreatic Adenocarcinoma: Detailed Description of Two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374-380 [PMID: 33225411 DOI: 10.1007/s12029-020-00556-z]</w:t>
      </w:r>
    </w:p>
    <w:p w14:paraId="496CF13A" w14:textId="77777777" w:rsidR="00A77B3E" w:rsidRDefault="00E33DE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Orlov SV</w:t>
      </w:r>
      <w:r>
        <w:rPr>
          <w:rFonts w:ascii="Book Antiqua" w:eastAsia="Book Antiqua" w:hAnsi="Book Antiqua" w:cs="Book Antiqua"/>
          <w:color w:val="000000"/>
        </w:rPr>
        <w:t xml:space="preserve">, Urtenova MA, Sviridenko MA, Nesterov DV, Sokolova TN, Imyanitov EN. Rapid Improvement of the Performance Status and Reduction of the Tumor Size in KRAS-Mutated Colorectal Cancer Patient Receiving Binimetinib, Hydroxychloroquine, and Bevacizumab.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985-989 [PMID: 32999660 DOI: 10.1159/000509241]</w:t>
      </w:r>
    </w:p>
    <w:p w14:paraId="736F1AD4" w14:textId="77777777" w:rsidR="00A77B3E" w:rsidRDefault="00E33DE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Puijenbroek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Nielsen M, Tops CM, </w:t>
      </w:r>
      <w:proofErr w:type="spellStart"/>
      <w:r>
        <w:rPr>
          <w:rFonts w:ascii="Book Antiqua" w:eastAsia="Book Antiqua" w:hAnsi="Book Antiqua" w:cs="Book Antiqua"/>
          <w:color w:val="000000"/>
        </w:rPr>
        <w:t>Halfwerk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Vasen</w:t>
      </w:r>
      <w:proofErr w:type="spellEnd"/>
      <w:r>
        <w:rPr>
          <w:rFonts w:ascii="Book Antiqua" w:eastAsia="Book Antiqua" w:hAnsi="Book Antiqua" w:cs="Book Antiqua"/>
          <w:color w:val="000000"/>
        </w:rPr>
        <w:t xml:space="preserve"> HF, Weiss MM, van </w:t>
      </w:r>
      <w:proofErr w:type="spellStart"/>
      <w:r>
        <w:rPr>
          <w:rFonts w:ascii="Book Antiqua" w:eastAsia="Book Antiqua" w:hAnsi="Book Antiqua" w:cs="Book Antiqua"/>
          <w:color w:val="000000"/>
        </w:rPr>
        <w:t>Wezel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Hes</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Morreau</w:t>
      </w:r>
      <w:proofErr w:type="spellEnd"/>
      <w:r>
        <w:rPr>
          <w:rFonts w:ascii="Book Antiqua" w:eastAsia="Book Antiqua" w:hAnsi="Book Antiqua" w:cs="Book Antiqua"/>
          <w:color w:val="000000"/>
        </w:rPr>
        <w:t xml:space="preserve"> H. Identification of patients with (atypical) MUTYH-associated polyposis by KRAS2 c.34G &gt; T prescreening followed by MUTYH hotspot analysis in formalin-fixed paraffin-embedded tissue.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139-142 [PMID: 18172263 DOI: 10.1158/1078-0432.CCR-07-1705]</w:t>
      </w:r>
    </w:p>
    <w:p w14:paraId="08653247" w14:textId="77777777" w:rsidR="00A77B3E" w:rsidRDefault="00E33DE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Gong J</w:t>
      </w:r>
      <w:r>
        <w:rPr>
          <w:rFonts w:ascii="Book Antiqua" w:eastAsia="Book Antiqua" w:hAnsi="Book Antiqua" w:cs="Book Antiqua"/>
          <w:color w:val="000000"/>
        </w:rPr>
        <w:t xml:space="preserve">, Wang C, Lee PP, Chu P, Fakih M. Response to PD-1 Blockade in Microsatellite Stable Metastatic Colorectal Cancer Harboring a </w:t>
      </w:r>
      <w:r>
        <w:rPr>
          <w:rFonts w:ascii="Book Antiqua" w:eastAsia="Book Antiqua" w:hAnsi="Book Antiqua" w:cs="Book Antiqua"/>
          <w:i/>
          <w:iCs/>
          <w:color w:val="000000"/>
        </w:rPr>
        <w:t>POLE</w:t>
      </w:r>
      <w:r>
        <w:rPr>
          <w:rFonts w:ascii="Book Antiqua" w:eastAsia="Book Antiqua" w:hAnsi="Book Antiqua" w:cs="Book Antiqua"/>
          <w:color w:val="000000"/>
        </w:rPr>
        <w:t xml:space="preserve"> Mutation.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142-147 [PMID: 28188185 DOI: 10.6004/jnccn.2017.0016]</w:t>
      </w:r>
    </w:p>
    <w:p w14:paraId="2D4679A1" w14:textId="77777777" w:rsidR="00A77B3E" w:rsidRDefault="00E33DE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Wang C</w:t>
      </w:r>
      <w:r>
        <w:rPr>
          <w:rFonts w:ascii="Book Antiqua" w:eastAsia="Book Antiqua" w:hAnsi="Book Antiqua" w:cs="Book Antiqua"/>
          <w:color w:val="000000"/>
        </w:rPr>
        <w:t>, Gong J, Tu TY, Lee PP, Fakih M. Immune profiling of microsatellite instability-high and polymerase ε (</w:t>
      </w:r>
      <w:r>
        <w:rPr>
          <w:rFonts w:ascii="Book Antiqua" w:eastAsia="Book Antiqua" w:hAnsi="Book Antiqua" w:cs="Book Antiqua"/>
          <w:i/>
          <w:iCs/>
          <w:color w:val="000000"/>
        </w:rPr>
        <w:t>POLE</w:t>
      </w:r>
      <w:r>
        <w:rPr>
          <w:rFonts w:ascii="Book Antiqua" w:eastAsia="Book Antiqua" w:hAnsi="Book Antiqua" w:cs="Book Antiqua"/>
          <w:color w:val="000000"/>
        </w:rPr>
        <w:t xml:space="preserve">)-mutated metastatic colorectal tumors identifies predictors of response to anti-PD-1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404-415 [PMID: 29998005 DOI: 10.21037/jgo.2018.01.09]</w:t>
      </w:r>
    </w:p>
    <w:p w14:paraId="03B4D2EF" w14:textId="77777777" w:rsidR="00A77B3E" w:rsidRDefault="00E33DE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Imyanitov EN</w:t>
      </w:r>
      <w:r>
        <w:rPr>
          <w:rFonts w:ascii="Book Antiqua" w:eastAsia="Book Antiqua" w:hAnsi="Book Antiqua" w:cs="Book Antiqua"/>
          <w:color w:val="000000"/>
        </w:rPr>
        <w:t xml:space="preserve">, Iyevleva AG, Levchenko EV. Molecular testing and targeted therapy for non-small cell lung cancer: Current status and perspectives.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157</w:t>
      </w:r>
      <w:r>
        <w:rPr>
          <w:rFonts w:ascii="Book Antiqua" w:eastAsia="Book Antiqua" w:hAnsi="Book Antiqua" w:cs="Book Antiqua"/>
          <w:color w:val="000000"/>
        </w:rPr>
        <w:t>: 103194 [PMID: 33316418 DOI: 10.1016/j.critrevonc.2020.103194]</w:t>
      </w:r>
    </w:p>
    <w:p w14:paraId="4B0CCC34" w14:textId="77777777" w:rsidR="00A77B3E" w:rsidRDefault="00E33DE9">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Preobrazhenskaya</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Iyevleva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Suleymanova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Tiurin</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Mitiushkina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Bizin</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Ivanstov</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Gorustovich</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Shelekhova</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Kachanov</w:t>
      </w:r>
      <w:proofErr w:type="spellEnd"/>
      <w:r>
        <w:rPr>
          <w:rFonts w:ascii="Book Antiqua" w:eastAsia="Book Antiqua" w:hAnsi="Book Antiqua" w:cs="Book Antiqua"/>
          <w:color w:val="000000"/>
        </w:rPr>
        <w:t xml:space="preserve"> DY, </w:t>
      </w:r>
      <w:proofErr w:type="spellStart"/>
      <w:r>
        <w:rPr>
          <w:rFonts w:ascii="Book Antiqua" w:eastAsia="Book Antiqua" w:hAnsi="Book Antiqua" w:cs="Book Antiqua"/>
          <w:color w:val="000000"/>
        </w:rPr>
        <w:t>Varfolomeeva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Roschin</w:t>
      </w:r>
      <w:proofErr w:type="spellEnd"/>
      <w:r>
        <w:rPr>
          <w:rFonts w:ascii="Book Antiqua" w:eastAsia="Book Antiqua" w:hAnsi="Book Antiqua" w:cs="Book Antiqua"/>
          <w:color w:val="000000"/>
        </w:rPr>
        <w:t xml:space="preserve"> VY, </w:t>
      </w:r>
      <w:proofErr w:type="spellStart"/>
      <w:r>
        <w:rPr>
          <w:rFonts w:ascii="Book Antiqua" w:eastAsia="Book Antiqua" w:hAnsi="Book Antiqua" w:cs="Book Antiqua"/>
          <w:color w:val="000000"/>
        </w:rPr>
        <w:t>Kazakova</w:t>
      </w:r>
      <w:proofErr w:type="spellEnd"/>
      <w:r>
        <w:rPr>
          <w:rFonts w:ascii="Book Antiqua" w:eastAsia="Book Antiqua" w:hAnsi="Book Antiqua" w:cs="Book Antiqua"/>
          <w:color w:val="000000"/>
        </w:rPr>
        <w:t xml:space="preserve"> AN, Litvinov DV, </w:t>
      </w:r>
      <w:proofErr w:type="spellStart"/>
      <w:r>
        <w:rPr>
          <w:rFonts w:ascii="Book Antiqua" w:eastAsia="Book Antiqua" w:hAnsi="Book Antiqua" w:cs="Book Antiqua"/>
          <w:color w:val="000000"/>
        </w:rPr>
        <w:t>Shamanskaya</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Savelov</w:t>
      </w:r>
      <w:proofErr w:type="spellEnd"/>
      <w:r>
        <w:rPr>
          <w:rFonts w:ascii="Book Antiqua" w:eastAsia="Book Antiqua" w:hAnsi="Book Antiqua" w:cs="Book Antiqua"/>
          <w:color w:val="000000"/>
        </w:rPr>
        <w:t xml:space="preserve"> NA, Suspitsin EN, Imyanitov EN. Gene rearrangements in consecutive series of pediatric inflammatory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tumors.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e28220 [PMID: 32064735 DOI: 10.1002/pbc.28220]</w:t>
      </w:r>
    </w:p>
    <w:p w14:paraId="4502B544" w14:textId="77777777" w:rsidR="00A77B3E" w:rsidRDefault="00E33DE9">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Pietrantonio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Schrock AB, Lee J,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Christiansen J, Novara L, Tebbutt N, </w:t>
      </w:r>
      <w:proofErr w:type="spellStart"/>
      <w:r>
        <w:rPr>
          <w:rFonts w:ascii="Book Antiqua" w:eastAsia="Book Antiqua" w:hAnsi="Book Antiqua" w:cs="Book Antiqua"/>
          <w:color w:val="000000"/>
        </w:rPr>
        <w:t>Fucà</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Kim ST, Murphy D, </w:t>
      </w:r>
      <w:proofErr w:type="spellStart"/>
      <w:r>
        <w:rPr>
          <w:rFonts w:ascii="Book Antiqua" w:eastAsia="Book Antiqua" w:hAnsi="Book Antiqua" w:cs="Book Antiqua"/>
          <w:color w:val="000000"/>
        </w:rPr>
        <w:t>Berenato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F, Sun J, Min B, Stephens PJ, Chen M, Lazzari L, Miller VA, Shoemaker R,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Ross JS, Siena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Ali SM, Falcone A,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ALK, ROS1, and NTRK Rearrangements in Metastatic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29370427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/djx089]</w:t>
      </w:r>
    </w:p>
    <w:p w14:paraId="13F0CB65" w14:textId="77777777" w:rsidR="00A77B3E" w:rsidRDefault="00E33DE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Cocco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Benhamida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Middha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Mullaney K, Shia J, Yaeger R, Zhang L, Wong D, </w:t>
      </w:r>
      <w:proofErr w:type="spellStart"/>
      <w:r>
        <w:rPr>
          <w:rFonts w:ascii="Book Antiqua" w:eastAsia="Book Antiqua" w:hAnsi="Book Antiqua" w:cs="Book Antiqua"/>
          <w:color w:val="000000"/>
        </w:rPr>
        <w:t>Villafania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Nafa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Drilon A,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Schram AM, Stadler ZK, Hyman DM,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Colorectal Carcinomas Containing Hypermethylated MLH1 Promoter and Wild-Type BRAF/KRAS Are Enriched for Targetable Kinase Fusions.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1047-1053 [PMID: 30643016 DOI: 10.1158/0008-5472.CAN-18-3126]</w:t>
      </w:r>
    </w:p>
    <w:p w14:paraId="17B7A56E" w14:textId="77777777" w:rsidR="00A77B3E" w:rsidRDefault="00E33DE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Sato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Kawazu</w:t>
      </w:r>
      <w:proofErr w:type="spellEnd"/>
      <w:r>
        <w:rPr>
          <w:rFonts w:ascii="Book Antiqua" w:eastAsia="Book Antiqua" w:hAnsi="Book Antiqua" w:cs="Book Antiqua"/>
          <w:color w:val="000000"/>
        </w:rPr>
        <w:t xml:space="preserve"> M, Yamamoto Y, Ueno T, Kojima S, </w:t>
      </w:r>
      <w:proofErr w:type="spellStart"/>
      <w:r>
        <w:rPr>
          <w:rFonts w:ascii="Book Antiqua" w:eastAsia="Book Antiqua" w:hAnsi="Book Antiqua" w:cs="Book Antiqua"/>
          <w:color w:val="000000"/>
        </w:rPr>
        <w:t>Nagae</w:t>
      </w:r>
      <w:proofErr w:type="spellEnd"/>
      <w:r>
        <w:rPr>
          <w:rFonts w:ascii="Book Antiqua" w:eastAsia="Book Antiqua" w:hAnsi="Book Antiqua" w:cs="Book Antiqua"/>
          <w:color w:val="000000"/>
        </w:rPr>
        <w:t xml:space="preserve"> G, Abe H, Soda M, </w:t>
      </w:r>
      <w:proofErr w:type="spellStart"/>
      <w:r>
        <w:rPr>
          <w:rFonts w:ascii="Book Antiqua" w:eastAsia="Book Antiqua" w:hAnsi="Book Antiqua" w:cs="Book Antiqua"/>
          <w:color w:val="000000"/>
        </w:rPr>
        <w:t>Oga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Kohsaka</w:t>
      </w:r>
      <w:proofErr w:type="spellEnd"/>
      <w:r>
        <w:rPr>
          <w:rFonts w:ascii="Book Antiqua" w:eastAsia="Book Antiqua" w:hAnsi="Book Antiqua" w:cs="Book Antiqua"/>
          <w:color w:val="000000"/>
        </w:rPr>
        <w:t xml:space="preserve"> S, Sai E, Yamashita Y,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Fukayama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Aburatani</w:t>
      </w:r>
      <w:proofErr w:type="spellEnd"/>
      <w:r>
        <w:rPr>
          <w:rFonts w:ascii="Book Antiqua" w:eastAsia="Book Antiqua" w:hAnsi="Book Antiqua" w:cs="Book Antiqua"/>
          <w:color w:val="000000"/>
        </w:rPr>
        <w:t xml:space="preserve"> H, Watanabe T, Mano H. Fusion Kinases Identified by Genomic Analyses of Sporadic Microsatellite Instability-High Colorectal Cancers.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378-389 [PMID: 30279230 DOI: 10.1158/1078-0432.CCR-18-1574]</w:t>
      </w:r>
    </w:p>
    <w:p w14:paraId="7B52283A" w14:textId="77777777" w:rsidR="00A77B3E" w:rsidRDefault="00E33DE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Pagani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Randon</w:t>
      </w:r>
      <w:proofErr w:type="spellEnd"/>
      <w:r>
        <w:rPr>
          <w:rFonts w:ascii="Book Antiqua" w:eastAsia="Book Antiqua" w:hAnsi="Book Antiqua" w:cs="Book Antiqua"/>
          <w:color w:val="000000"/>
        </w:rPr>
        <w:t xml:space="preserve"> G, Guarini V, Raimondi A, </w:t>
      </w:r>
      <w:proofErr w:type="spellStart"/>
      <w:r>
        <w:rPr>
          <w:rFonts w:ascii="Book Antiqua" w:eastAsia="Book Antiqua" w:hAnsi="Book Antiqua" w:cs="Book Antiqua"/>
          <w:color w:val="000000"/>
        </w:rPr>
        <w:t>Prisciandaro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Lobefaro</w:t>
      </w:r>
      <w:proofErr w:type="spellEnd"/>
      <w:r>
        <w:rPr>
          <w:rFonts w:ascii="Book Antiqua" w:eastAsia="Book Antiqua" w:hAnsi="Book Antiqua" w:cs="Book Antiqua"/>
          <w:color w:val="000000"/>
        </w:rPr>
        <w:t xml:space="preserve"> R, Di Bartolomeo M, </w:t>
      </w:r>
      <w:proofErr w:type="spellStart"/>
      <w:r>
        <w:rPr>
          <w:rFonts w:ascii="Book Antiqua" w:eastAsia="Book Antiqua" w:hAnsi="Book Antiqua" w:cs="Book Antiqua"/>
          <w:color w:val="000000"/>
        </w:rPr>
        <w:t>Sozzi</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Gasparini P,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The Landscape of Actionable Gene Fusions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31731495 DOI: 10.3390/ijms20215319]</w:t>
      </w:r>
    </w:p>
    <w:p w14:paraId="19DE2CEA" w14:textId="77777777" w:rsidR="00A77B3E" w:rsidRDefault="00E33DE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Singh H</w:t>
      </w:r>
      <w:r>
        <w:rPr>
          <w:rFonts w:ascii="Book Antiqua" w:eastAsia="Book Antiqua" w:hAnsi="Book Antiqua" w:cs="Book Antiqua"/>
          <w:color w:val="000000"/>
        </w:rPr>
        <w:t xml:space="preserve">, Li YY, </w:t>
      </w:r>
      <w:proofErr w:type="spellStart"/>
      <w:r>
        <w:rPr>
          <w:rFonts w:ascii="Book Antiqua" w:eastAsia="Book Antiqua" w:hAnsi="Book Antiqua" w:cs="Book Antiqua"/>
          <w:color w:val="000000"/>
        </w:rPr>
        <w:t>Spurr</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Abhyankar R, Reilly E, </w:t>
      </w:r>
      <w:proofErr w:type="spellStart"/>
      <w:r>
        <w:rPr>
          <w:rFonts w:ascii="Book Antiqua" w:eastAsia="Book Antiqua" w:hAnsi="Book Antiqua" w:cs="Book Antiqua"/>
          <w:color w:val="000000"/>
        </w:rPr>
        <w:t>Brais</w:t>
      </w:r>
      <w:proofErr w:type="spellEnd"/>
      <w:r>
        <w:rPr>
          <w:rFonts w:ascii="Book Antiqua" w:eastAsia="Book Antiqua" w:hAnsi="Book Antiqua" w:cs="Book Antiqua"/>
          <w:color w:val="000000"/>
        </w:rPr>
        <w:t xml:space="preserve"> LK, Nag A, </w:t>
      </w:r>
      <w:proofErr w:type="spellStart"/>
      <w:r>
        <w:rPr>
          <w:rFonts w:ascii="Book Antiqua" w:eastAsia="Book Antiqua" w:hAnsi="Book Antiqua" w:cs="Book Antiqua"/>
          <w:color w:val="000000"/>
        </w:rPr>
        <w:t>Ducar</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Thorner</w:t>
      </w:r>
      <w:proofErr w:type="spellEnd"/>
      <w:r>
        <w:rPr>
          <w:rFonts w:ascii="Book Antiqua" w:eastAsia="Book Antiqua" w:hAnsi="Book Antiqua" w:cs="Book Antiqua"/>
          <w:color w:val="000000"/>
        </w:rPr>
        <w:t xml:space="preserve"> AR, Shapiro GI, Keller RB, </w:t>
      </w:r>
      <w:proofErr w:type="spellStart"/>
      <w:r>
        <w:rPr>
          <w:rFonts w:ascii="Book Antiqua" w:eastAsia="Book Antiqua" w:hAnsi="Book Antiqua" w:cs="Book Antiqua"/>
          <w:color w:val="000000"/>
        </w:rPr>
        <w:t>Siletti</w:t>
      </w:r>
      <w:proofErr w:type="spellEnd"/>
      <w:r>
        <w:rPr>
          <w:rFonts w:ascii="Book Antiqua" w:eastAsia="Book Antiqua" w:hAnsi="Book Antiqua" w:cs="Book Antiqua"/>
          <w:color w:val="000000"/>
        </w:rPr>
        <w:t xml:space="preserve"> C, Clark JW,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Lin JJ, Demetri GD, </w:t>
      </w:r>
      <w:proofErr w:type="spellStart"/>
      <w:r>
        <w:rPr>
          <w:rFonts w:ascii="Book Antiqua" w:eastAsia="Book Antiqua" w:hAnsi="Book Antiqua" w:cs="Book Antiqua"/>
          <w:color w:val="000000"/>
        </w:rPr>
        <w:t>Gujrathi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MacConaill</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Ligon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Sicinska</w:t>
      </w:r>
      <w:proofErr w:type="spellEnd"/>
      <w:r>
        <w:rPr>
          <w:rFonts w:ascii="Book Antiqua" w:eastAsia="Book Antiqua" w:hAnsi="Book Antiqua" w:cs="Book Antiqua"/>
          <w:color w:val="000000"/>
        </w:rPr>
        <w:t xml:space="preserve"> E, Meyerson ML,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Cherniack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Ng K, </w:t>
      </w:r>
      <w:proofErr w:type="spellStart"/>
      <w:r>
        <w:rPr>
          <w:rFonts w:ascii="Book Antiqua" w:eastAsia="Book Antiqua" w:hAnsi="Book Antiqua" w:cs="Book Antiqua"/>
          <w:color w:val="000000"/>
        </w:rPr>
        <w:t>Giannakis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Cleary JM. Molecular Characterization and Therapeutic Targeting of Colorectal Cancers Harboring Receptor Tyrosine Kinase Fusions.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1695-1705 [PMID: 33414136 DOI: 10.1158/1078-0432.CCR-20-4073]</w:t>
      </w:r>
    </w:p>
    <w:p w14:paraId="7B6DB996" w14:textId="77777777" w:rsidR="00A77B3E" w:rsidRDefault="00E33DE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Snyder C</w:t>
      </w:r>
      <w:r>
        <w:rPr>
          <w:rFonts w:ascii="Book Antiqua" w:eastAsia="Book Antiqua" w:hAnsi="Book Antiqua" w:cs="Book Antiqua"/>
          <w:color w:val="000000"/>
        </w:rPr>
        <w:t xml:space="preserve">, Hampel H. Hereditary Colorectal Cancer Syndromes. </w:t>
      </w:r>
      <w:r>
        <w:rPr>
          <w:rFonts w:ascii="Book Antiqua" w:eastAsia="Book Antiqua" w:hAnsi="Book Antiqua" w:cs="Book Antiqua"/>
          <w:i/>
          <w:iCs/>
          <w:color w:val="000000"/>
        </w:rPr>
        <w:t xml:space="preserve">Semin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58-78 [PMID: 30665732 DOI: 10.1016/j.soncn.2018.12.011]</w:t>
      </w:r>
    </w:p>
    <w:p w14:paraId="3B75B29E" w14:textId="77777777" w:rsidR="00A77B3E" w:rsidRDefault="00E33DE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Valle 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Voer</w:t>
      </w:r>
      <w:proofErr w:type="spellEnd"/>
      <w:r>
        <w:rPr>
          <w:rFonts w:ascii="Book Antiqua" w:eastAsia="Book Antiqua" w:hAnsi="Book Antiqua" w:cs="Book Antiqua"/>
          <w:color w:val="000000"/>
        </w:rPr>
        <w:t xml:space="preserve"> RM, Goldberg Y, </w:t>
      </w:r>
      <w:proofErr w:type="spellStart"/>
      <w:r>
        <w:rPr>
          <w:rFonts w:ascii="Book Antiqua" w:eastAsia="Book Antiqua" w:hAnsi="Book Antiqua" w:cs="Book Antiqua"/>
          <w:color w:val="000000"/>
        </w:rPr>
        <w:t>Sjursen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Försti</w:t>
      </w:r>
      <w:proofErr w:type="spellEnd"/>
      <w:r>
        <w:rPr>
          <w:rFonts w:ascii="Book Antiqua" w:eastAsia="Book Antiqua" w:hAnsi="Book Antiqua" w:cs="Book Antiqua"/>
          <w:color w:val="000000"/>
        </w:rPr>
        <w:t xml:space="preserve"> A, Ruiz-Ponte C, </w:t>
      </w:r>
      <w:proofErr w:type="spellStart"/>
      <w:r>
        <w:rPr>
          <w:rFonts w:ascii="Book Antiqua" w:eastAsia="Book Antiqua" w:hAnsi="Book Antiqua" w:cs="Book Antiqua"/>
          <w:color w:val="000000"/>
        </w:rPr>
        <w:t>Caldés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Garré</w:t>
      </w:r>
      <w:proofErr w:type="spellEnd"/>
      <w:r>
        <w:rPr>
          <w:rFonts w:ascii="Book Antiqua" w:eastAsia="Book Antiqua" w:hAnsi="Book Antiqua" w:cs="Book Antiqua"/>
          <w:color w:val="000000"/>
        </w:rPr>
        <w:t xml:space="preserve"> P, Olsen MF, </w:t>
      </w:r>
      <w:proofErr w:type="spellStart"/>
      <w:r>
        <w:rPr>
          <w:rFonts w:ascii="Book Antiqua" w:eastAsia="Book Antiqua" w:hAnsi="Book Antiqua" w:cs="Book Antiqua"/>
          <w:color w:val="000000"/>
        </w:rPr>
        <w:t>Nordling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Castellvi</w:t>
      </w:r>
      <w:proofErr w:type="spellEnd"/>
      <w:r>
        <w:rPr>
          <w:rFonts w:ascii="Book Antiqua" w:eastAsia="Book Antiqua" w:hAnsi="Book Antiqua" w:cs="Book Antiqua"/>
          <w:color w:val="000000"/>
        </w:rPr>
        <w:t xml:space="preserve">-Bel S,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Update on genetic predisposition to colorectal cancer and polyposis.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10-26 [PMID: 30862463 DOI: 10.1016/j.mam.2019.03.001]</w:t>
      </w:r>
    </w:p>
    <w:p w14:paraId="2D522C72" w14:textId="77777777" w:rsidR="00A77B3E" w:rsidRDefault="00E33DE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Valle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Tavtigian</w:t>
      </w:r>
      <w:proofErr w:type="spellEnd"/>
      <w:r>
        <w:rPr>
          <w:rFonts w:ascii="Book Antiqua" w:eastAsia="Book Antiqua" w:hAnsi="Book Antiqua" w:cs="Book Antiqua"/>
          <w:color w:val="000000"/>
        </w:rPr>
        <w:t xml:space="preserve"> SV, Stoffel EM. Genetic predisposition to colorectal cancer: syndromes, genes, classification of genetic variants and implications for precision medicine.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247</w:t>
      </w:r>
      <w:r>
        <w:rPr>
          <w:rFonts w:ascii="Book Antiqua" w:eastAsia="Book Antiqua" w:hAnsi="Book Antiqua" w:cs="Book Antiqua"/>
          <w:color w:val="000000"/>
        </w:rPr>
        <w:t>: 574-588 [PMID: 30584801 DOI: 10.1002/path.5229]</w:t>
      </w:r>
    </w:p>
    <w:p w14:paraId="447FCB1C" w14:textId="77777777" w:rsidR="00A77B3E" w:rsidRDefault="00E33DE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Clark SK</w:t>
      </w:r>
      <w:r>
        <w:rPr>
          <w:rFonts w:ascii="Book Antiqua" w:eastAsia="Book Antiqua" w:hAnsi="Book Antiqua" w:cs="Book Antiqua"/>
          <w:color w:val="000000"/>
        </w:rPr>
        <w:t xml:space="preserve">. Management of genetically determined colorectal cancer.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165-171 [PMID: 30935877 DOI: 10.1016/j.surge.2019.03.003]</w:t>
      </w:r>
    </w:p>
    <w:p w14:paraId="759FC5C3" w14:textId="77777777" w:rsidR="00A77B3E" w:rsidRDefault="00E33DE9">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Terradas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Capellá</w:t>
      </w:r>
      <w:proofErr w:type="spellEnd"/>
      <w:r>
        <w:rPr>
          <w:rFonts w:ascii="Book Antiqua" w:eastAsia="Book Antiqua" w:hAnsi="Book Antiqua" w:cs="Book Antiqua"/>
          <w:color w:val="000000"/>
        </w:rPr>
        <w:t xml:space="preserve"> G, Valle L. Dominantly Inherited Hereditary Nonpolyposis Colorectal Cancer Not Caused by MMR Genes.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32585810 DOI: 10.3390/jcm9061954]</w:t>
      </w:r>
    </w:p>
    <w:p w14:paraId="0D72CCD1" w14:textId="77777777" w:rsidR="00A77B3E" w:rsidRDefault="00E33DE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Soares BL</w:t>
      </w:r>
      <w:r>
        <w:rPr>
          <w:rFonts w:ascii="Book Antiqua" w:eastAsia="Book Antiqua" w:hAnsi="Book Antiqua" w:cs="Book Antiqua"/>
          <w:color w:val="000000"/>
        </w:rPr>
        <w:t xml:space="preserve">, Brant AC, Gomes R, Pastor T, Schneider NB, Ribeiro-Dos-Santos Â, de </w:t>
      </w:r>
      <w:proofErr w:type="spellStart"/>
      <w:r>
        <w:rPr>
          <w:rFonts w:ascii="Book Antiqua" w:eastAsia="Book Antiqua" w:hAnsi="Book Antiqua" w:cs="Book Antiqua"/>
          <w:color w:val="000000"/>
        </w:rPr>
        <w:t>Assumpção</w:t>
      </w:r>
      <w:proofErr w:type="spellEnd"/>
      <w:r>
        <w:rPr>
          <w:rFonts w:ascii="Book Antiqua" w:eastAsia="Book Antiqua" w:hAnsi="Book Antiqua" w:cs="Book Antiqua"/>
          <w:color w:val="000000"/>
        </w:rPr>
        <w:t xml:space="preserve"> PP, Achatz MIW, Ashton-</w:t>
      </w:r>
      <w:proofErr w:type="spellStart"/>
      <w:r>
        <w:rPr>
          <w:rFonts w:ascii="Book Antiqua" w:eastAsia="Book Antiqua" w:hAnsi="Book Antiqua" w:cs="Book Antiqua"/>
          <w:color w:val="000000"/>
        </w:rPr>
        <w:t>Prolla</w:t>
      </w:r>
      <w:proofErr w:type="spellEnd"/>
      <w:r>
        <w:rPr>
          <w:rFonts w:ascii="Book Antiqua" w:eastAsia="Book Antiqua" w:hAnsi="Book Antiqua" w:cs="Book Antiqua"/>
          <w:color w:val="000000"/>
        </w:rPr>
        <w:t xml:space="preserve"> P, Moreira MAM. Screening for germline mutations in mismatch repair genes in patients with Lynch syndrome by next generation sequencing.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387-394 [PMID: 28932927 DOI: 10.1007/s10689-017-0043-5]</w:t>
      </w:r>
    </w:p>
    <w:p w14:paraId="082834E3" w14:textId="77777777" w:rsidR="00A77B3E" w:rsidRDefault="00E33DE9">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Yanus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Akhapkina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Iyevleva</w:t>
      </w:r>
      <w:proofErr w:type="spellEnd"/>
      <w:r>
        <w:rPr>
          <w:rFonts w:ascii="Book Antiqua" w:eastAsia="Book Antiqua" w:hAnsi="Book Antiqua" w:cs="Book Antiqua"/>
          <w:color w:val="000000"/>
        </w:rPr>
        <w:t xml:space="preserve"> AG, Kornilov AV, </w:t>
      </w:r>
      <w:proofErr w:type="spellStart"/>
      <w:r>
        <w:rPr>
          <w:rFonts w:ascii="Book Antiqua" w:eastAsia="Book Antiqua" w:hAnsi="Book Antiqua" w:cs="Book Antiqua"/>
          <w:color w:val="000000"/>
        </w:rPr>
        <w:t>Suspitsin</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Kuligina</w:t>
      </w:r>
      <w:proofErr w:type="spellEnd"/>
      <w:r>
        <w:rPr>
          <w:rFonts w:ascii="Book Antiqua" w:eastAsia="Book Antiqua" w:hAnsi="Book Antiqua" w:cs="Book Antiqua"/>
          <w:color w:val="000000"/>
        </w:rPr>
        <w:t xml:space="preserve"> ES, Ivantsov AO, Aleksakhina SN, Sokolova TN, Sokolenko AP, Togo AV, Imyanitov EN. The spectrum of Lynch syndrome-associated germ-line mutations in Russia. </w:t>
      </w:r>
      <w:r>
        <w:rPr>
          <w:rFonts w:ascii="Book Antiqua" w:eastAsia="Book Antiqua" w:hAnsi="Book Antiqua" w:cs="Book Antiqua"/>
          <w:i/>
          <w:iCs/>
          <w:color w:val="000000"/>
        </w:rPr>
        <w:t>Eur J Med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103753 [PMID: 31491536 DOI: 10.1016/j.ejmg.2019.103753]</w:t>
      </w:r>
    </w:p>
    <w:p w14:paraId="09819C78" w14:textId="77777777" w:rsidR="00A77B3E" w:rsidRDefault="00E33DE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Cohen JD</w:t>
      </w:r>
      <w:r>
        <w:rPr>
          <w:rFonts w:ascii="Book Antiqua" w:eastAsia="Book Antiqua" w:hAnsi="Book Antiqua" w:cs="Book Antiqua"/>
          <w:color w:val="000000"/>
        </w:rPr>
        <w:t xml:space="preserve">, Li L, Wang Y, Thoburn C, </w:t>
      </w:r>
      <w:proofErr w:type="spellStart"/>
      <w:r>
        <w:rPr>
          <w:rFonts w:ascii="Book Antiqua" w:eastAsia="Book Antiqua" w:hAnsi="Book Antiqua" w:cs="Book Antiqua"/>
          <w:color w:val="000000"/>
        </w:rPr>
        <w:t>Afsari</w:t>
      </w:r>
      <w:proofErr w:type="spellEnd"/>
      <w:r>
        <w:rPr>
          <w:rFonts w:ascii="Book Antiqua" w:eastAsia="Book Antiqua" w:hAnsi="Book Antiqua" w:cs="Book Antiqua"/>
          <w:color w:val="000000"/>
        </w:rPr>
        <w:t xml:space="preserve"> B, Danilova L, Douville C,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Wong F, Mattox 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Wolfgang CL,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Dal Molin M, Wang TL, </w:t>
      </w:r>
      <w:proofErr w:type="spellStart"/>
      <w:r>
        <w:rPr>
          <w:rFonts w:ascii="Book Antiqua" w:eastAsia="Book Antiqua" w:hAnsi="Book Antiqua" w:cs="Book Antiqua"/>
          <w:color w:val="000000"/>
        </w:rPr>
        <w:t>Roden</w:t>
      </w:r>
      <w:proofErr w:type="spellEnd"/>
      <w:r>
        <w:rPr>
          <w:rFonts w:ascii="Book Antiqua" w:eastAsia="Book Antiqua" w:hAnsi="Book Antiqua" w:cs="Book Antiqua"/>
          <w:color w:val="000000"/>
        </w:rPr>
        <w:t xml:space="preserve"> R, Klein AP,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Dobbyn L, Schaefer J, Silliman N,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Vogelstein JT, Browne JD, Schoen RE, Brand RE, Tie J, Gibbs P, Wong HL, Mansfield AS, Jen J, </w:t>
      </w:r>
      <w:proofErr w:type="spellStart"/>
      <w:r>
        <w:rPr>
          <w:rFonts w:ascii="Book Antiqua" w:eastAsia="Book Antiqua" w:hAnsi="Book Antiqua" w:cs="Book Antiqua"/>
          <w:color w:val="000000"/>
        </w:rPr>
        <w:t>Hanash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Allen PJ, Zhou S, </w:t>
      </w:r>
      <w:proofErr w:type="spellStart"/>
      <w:r>
        <w:rPr>
          <w:rFonts w:ascii="Book Antiqua" w:eastAsia="Book Antiqua" w:hAnsi="Book Antiqua" w:cs="Book Antiqua"/>
          <w:color w:val="000000"/>
        </w:rPr>
        <w:t>Bettegowda</w:t>
      </w:r>
      <w:proofErr w:type="spellEnd"/>
      <w:r>
        <w:rPr>
          <w:rFonts w:ascii="Book Antiqua" w:eastAsia="Book Antiqua" w:hAnsi="Book Antiqua" w:cs="Book Antiqua"/>
          <w:color w:val="000000"/>
        </w:rPr>
        <w:t xml:space="preserve"> C, Diaz LA Jr, Tomasetti C,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Lennon AM, Papadopoulos N. Detection and localization of surgically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cancers with a multi-analyte blood test.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926-930 [PMID: 29348365 DOI: 10.1126/science.aar3247]</w:t>
      </w:r>
    </w:p>
    <w:p w14:paraId="4C5C5D51" w14:textId="77777777" w:rsidR="00A77B3E" w:rsidRDefault="00E33DE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Lennon AM</w:t>
      </w:r>
      <w:r>
        <w:rPr>
          <w:rFonts w:ascii="Book Antiqua" w:eastAsia="Book Antiqua" w:hAnsi="Book Antiqua" w:cs="Book Antiqua"/>
          <w:color w:val="000000"/>
        </w:rPr>
        <w:t xml:space="preserve">, Buchanan AH, Kinde I, Warren A, </w:t>
      </w:r>
      <w:proofErr w:type="spellStart"/>
      <w:r>
        <w:rPr>
          <w:rFonts w:ascii="Book Antiqua" w:eastAsia="Book Antiqua" w:hAnsi="Book Antiqua" w:cs="Book Antiqua"/>
          <w:color w:val="000000"/>
        </w:rPr>
        <w:t>Honushefsky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Cohain</w:t>
      </w:r>
      <w:proofErr w:type="spellEnd"/>
      <w:r>
        <w:rPr>
          <w:rFonts w:ascii="Book Antiqua" w:eastAsia="Book Antiqua" w:hAnsi="Book Antiqua" w:cs="Book Antiqua"/>
          <w:color w:val="000000"/>
        </w:rPr>
        <w:t xml:space="preserve"> AT, Ledbetter DH, Sanfilippo F, Sheridan K, </w:t>
      </w:r>
      <w:proofErr w:type="spellStart"/>
      <w:r>
        <w:rPr>
          <w:rFonts w:ascii="Book Antiqua" w:eastAsia="Book Antiqua" w:hAnsi="Book Antiqua" w:cs="Book Antiqua"/>
          <w:color w:val="000000"/>
        </w:rPr>
        <w:t>Rosica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Adonizio</w:t>
      </w:r>
      <w:proofErr w:type="spellEnd"/>
      <w:r>
        <w:rPr>
          <w:rFonts w:ascii="Book Antiqua" w:eastAsia="Book Antiqua" w:hAnsi="Book Antiqua" w:cs="Book Antiqua"/>
          <w:color w:val="000000"/>
        </w:rPr>
        <w:t xml:space="preserve"> CS, Hwang HJ, </w:t>
      </w:r>
      <w:proofErr w:type="spellStart"/>
      <w:r>
        <w:rPr>
          <w:rFonts w:ascii="Book Antiqua" w:eastAsia="Book Antiqua" w:hAnsi="Book Antiqua" w:cs="Book Antiqua"/>
          <w:color w:val="000000"/>
        </w:rPr>
        <w:t>Lahouel</w:t>
      </w:r>
      <w:proofErr w:type="spellEnd"/>
      <w:r>
        <w:rPr>
          <w:rFonts w:ascii="Book Antiqua" w:eastAsia="Book Antiqua" w:hAnsi="Book Antiqua" w:cs="Book Antiqua"/>
          <w:color w:val="000000"/>
        </w:rPr>
        <w:t xml:space="preserve"> K, Cohen JD, Douville C, Patel AA, </w:t>
      </w:r>
      <w:proofErr w:type="spellStart"/>
      <w:r>
        <w:rPr>
          <w:rFonts w:ascii="Book Antiqua" w:eastAsia="Book Antiqua" w:hAnsi="Book Antiqua" w:cs="Book Antiqua"/>
          <w:color w:val="000000"/>
        </w:rPr>
        <w:t>Hagmann</w:t>
      </w:r>
      <w:proofErr w:type="spellEnd"/>
      <w:r>
        <w:rPr>
          <w:rFonts w:ascii="Book Antiqua" w:eastAsia="Book Antiqua" w:hAnsi="Book Antiqua" w:cs="Book Antiqua"/>
          <w:color w:val="000000"/>
        </w:rPr>
        <w:t xml:space="preserve"> LN, Rolston DD, </w:t>
      </w:r>
      <w:proofErr w:type="spellStart"/>
      <w:r>
        <w:rPr>
          <w:rFonts w:ascii="Book Antiqua" w:eastAsia="Book Antiqua" w:hAnsi="Book Antiqua" w:cs="Book Antiqua"/>
          <w:color w:val="000000"/>
        </w:rPr>
        <w:t>Malani</w:t>
      </w:r>
      <w:proofErr w:type="spellEnd"/>
      <w:r>
        <w:rPr>
          <w:rFonts w:ascii="Book Antiqua" w:eastAsia="Book Antiqua" w:hAnsi="Book Antiqua" w:cs="Book Antiqua"/>
          <w:color w:val="000000"/>
        </w:rPr>
        <w:t xml:space="preserve"> N, Zhou S, </w:t>
      </w:r>
      <w:proofErr w:type="spellStart"/>
      <w:r>
        <w:rPr>
          <w:rFonts w:ascii="Book Antiqua" w:eastAsia="Book Antiqua" w:hAnsi="Book Antiqua" w:cs="Book Antiqua"/>
          <w:color w:val="000000"/>
        </w:rPr>
        <w:t>Bettegowda</w:t>
      </w:r>
      <w:proofErr w:type="spellEnd"/>
      <w:r>
        <w:rPr>
          <w:rFonts w:ascii="Book Antiqua" w:eastAsia="Book Antiqua" w:hAnsi="Book Antiqua" w:cs="Book Antiqua"/>
          <w:color w:val="000000"/>
        </w:rPr>
        <w:t xml:space="preserve"> C, Diehl DL, Urban B, Still CD, </w:t>
      </w:r>
      <w:proofErr w:type="spellStart"/>
      <w:r>
        <w:rPr>
          <w:rFonts w:ascii="Book Antiqua" w:eastAsia="Book Antiqua" w:hAnsi="Book Antiqua" w:cs="Book Antiqua"/>
          <w:color w:val="000000"/>
        </w:rPr>
        <w:t>Kann</w:t>
      </w:r>
      <w:proofErr w:type="spellEnd"/>
      <w:r>
        <w:rPr>
          <w:rFonts w:ascii="Book Antiqua" w:eastAsia="Book Antiqua" w:hAnsi="Book Antiqua" w:cs="Book Antiqua"/>
          <w:color w:val="000000"/>
        </w:rPr>
        <w:t xml:space="preserve"> L, Woods JI, </w:t>
      </w:r>
      <w:proofErr w:type="spellStart"/>
      <w:r>
        <w:rPr>
          <w:rFonts w:ascii="Book Antiqua" w:eastAsia="Book Antiqua" w:hAnsi="Book Antiqua" w:cs="Book Antiqua"/>
          <w:color w:val="000000"/>
        </w:rPr>
        <w:t>Salvati</w:t>
      </w:r>
      <w:proofErr w:type="spellEnd"/>
      <w:r>
        <w:rPr>
          <w:rFonts w:ascii="Book Antiqua" w:eastAsia="Book Antiqua" w:hAnsi="Book Antiqua" w:cs="Book Antiqua"/>
          <w:color w:val="000000"/>
        </w:rPr>
        <w:t xml:space="preserve"> ZM, Vadakara J, Leeming R, Bhattacharya P, Walter C, Parker A, </w:t>
      </w:r>
      <w:proofErr w:type="spellStart"/>
      <w:r>
        <w:rPr>
          <w:rFonts w:ascii="Book Antiqua" w:eastAsia="Book Antiqua" w:hAnsi="Book Antiqua" w:cs="Book Antiqua"/>
          <w:color w:val="000000"/>
        </w:rPr>
        <w:t>Lengauer</w:t>
      </w:r>
      <w:proofErr w:type="spellEnd"/>
      <w:r>
        <w:rPr>
          <w:rFonts w:ascii="Book Antiqua" w:eastAsia="Book Antiqua" w:hAnsi="Book Antiqua" w:cs="Book Antiqua"/>
          <w:color w:val="000000"/>
        </w:rPr>
        <w:t xml:space="preserve"> C, Klein A, Tomasetti C,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Papadopoulos N. Feasibility of blood testing combined with PET-CT to screen for cancer and guide intervention.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xml:space="preserve"> [PMID: 32345712 DOI: 10.1126/science.abb9601]</w:t>
      </w:r>
    </w:p>
    <w:p w14:paraId="0E74CF56" w14:textId="77777777" w:rsidR="00A77B3E" w:rsidRDefault="00E33DE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Reinert T</w:t>
      </w:r>
      <w:r>
        <w:rPr>
          <w:rFonts w:ascii="Book Antiqua" w:eastAsia="Book Antiqua" w:hAnsi="Book Antiqua" w:cs="Book Antiqua"/>
          <w:color w:val="000000"/>
        </w:rPr>
        <w:t xml:space="preserve">, Henriksen TV, Christensen E, Sharma S, </w:t>
      </w:r>
      <w:proofErr w:type="spellStart"/>
      <w:r>
        <w:rPr>
          <w:rFonts w:ascii="Book Antiqua" w:eastAsia="Book Antiqua" w:hAnsi="Book Antiqua" w:cs="Book Antiqua"/>
          <w:color w:val="000000"/>
        </w:rPr>
        <w:t>Salari</w:t>
      </w:r>
      <w:proofErr w:type="spellEnd"/>
      <w:r>
        <w:rPr>
          <w:rFonts w:ascii="Book Antiqua" w:eastAsia="Book Antiqua" w:hAnsi="Book Antiqua" w:cs="Book Antiqua"/>
          <w:color w:val="000000"/>
        </w:rPr>
        <w:t xml:space="preserve"> R, Sethi H, Knudsen M, </w:t>
      </w:r>
      <w:proofErr w:type="spellStart"/>
      <w:r>
        <w:rPr>
          <w:rFonts w:ascii="Book Antiqua" w:eastAsia="Book Antiqua" w:hAnsi="Book Antiqua" w:cs="Book Antiqua"/>
          <w:color w:val="000000"/>
        </w:rPr>
        <w:t>Nordentoft</w:t>
      </w:r>
      <w:proofErr w:type="spellEnd"/>
      <w:r>
        <w:rPr>
          <w:rFonts w:ascii="Book Antiqua" w:eastAsia="Book Antiqua" w:hAnsi="Book Antiqua" w:cs="Book Antiqua"/>
          <w:color w:val="000000"/>
        </w:rPr>
        <w:t xml:space="preserve"> I, Wu HT, Tin AS, </w:t>
      </w:r>
      <w:proofErr w:type="spellStart"/>
      <w:r>
        <w:rPr>
          <w:rFonts w:ascii="Book Antiqua" w:eastAsia="Book Antiqua" w:hAnsi="Book Antiqua" w:cs="Book Antiqua"/>
          <w:color w:val="000000"/>
        </w:rPr>
        <w:t>Heilskov</w:t>
      </w:r>
      <w:proofErr w:type="spellEnd"/>
      <w:r>
        <w:rPr>
          <w:rFonts w:ascii="Book Antiqua" w:eastAsia="Book Antiqua" w:hAnsi="Book Antiqua" w:cs="Book Antiqua"/>
          <w:color w:val="000000"/>
        </w:rPr>
        <w:t xml:space="preserve"> Rasmussen M, Vang S, </w:t>
      </w:r>
      <w:proofErr w:type="spellStart"/>
      <w:r>
        <w:rPr>
          <w:rFonts w:ascii="Book Antiqua" w:eastAsia="Book Antiqua" w:hAnsi="Book Antiqua" w:cs="Book Antiqua"/>
          <w:color w:val="000000"/>
        </w:rPr>
        <w:t>Shchegrova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Frydendahl</w:t>
      </w:r>
      <w:proofErr w:type="spellEnd"/>
      <w:r>
        <w:rPr>
          <w:rFonts w:ascii="Book Antiqua" w:eastAsia="Book Antiqua" w:hAnsi="Book Antiqua" w:cs="Book Antiqua"/>
          <w:color w:val="000000"/>
        </w:rPr>
        <w:t xml:space="preserve"> Boll Johansen A, Srinivasan R, Assaf Z, </w:t>
      </w:r>
      <w:proofErr w:type="spellStart"/>
      <w:r>
        <w:rPr>
          <w:rFonts w:ascii="Book Antiqua" w:eastAsia="Book Antiqua" w:hAnsi="Book Antiqua" w:cs="Book Antiqua"/>
          <w:color w:val="000000"/>
        </w:rPr>
        <w:t>Balcioglu</w:t>
      </w:r>
      <w:proofErr w:type="spellEnd"/>
      <w:r>
        <w:rPr>
          <w:rFonts w:ascii="Book Antiqua" w:eastAsia="Book Antiqua" w:hAnsi="Book Antiqua" w:cs="Book Antiqua"/>
          <w:color w:val="000000"/>
        </w:rPr>
        <w:t xml:space="preserve"> M, Olson A, Dashner S, Hafez D, Navarro S, Goel S, Rabinowitz M, Billings P, </w:t>
      </w:r>
      <w:proofErr w:type="spellStart"/>
      <w:r>
        <w:rPr>
          <w:rFonts w:ascii="Book Antiqua" w:eastAsia="Book Antiqua" w:hAnsi="Book Antiqua" w:cs="Book Antiqua"/>
          <w:color w:val="000000"/>
        </w:rPr>
        <w:t>Sigurjonsson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Dyrskjøt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Swenerton</w:t>
      </w:r>
      <w:proofErr w:type="spellEnd"/>
      <w:r>
        <w:rPr>
          <w:rFonts w:ascii="Book Antiqua" w:eastAsia="Book Antiqua" w:hAnsi="Book Antiqua" w:cs="Book Antiqua"/>
          <w:color w:val="000000"/>
        </w:rPr>
        <w:t xml:space="preserve"> R, Aleshin A,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Husted Madsen A, </w:t>
      </w:r>
      <w:proofErr w:type="spellStart"/>
      <w:r>
        <w:rPr>
          <w:rFonts w:ascii="Book Antiqua" w:eastAsia="Book Antiqua" w:hAnsi="Book Antiqua" w:cs="Book Antiqua"/>
          <w:color w:val="000000"/>
        </w:rPr>
        <w:t>Kannerup</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Stribolt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Palmelund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S, Iversen LH, </w:t>
      </w:r>
      <w:proofErr w:type="spellStart"/>
      <w:r>
        <w:rPr>
          <w:rFonts w:ascii="Book Antiqua" w:eastAsia="Book Antiqua" w:hAnsi="Book Antiqua" w:cs="Book Antiqua"/>
          <w:color w:val="000000"/>
        </w:rPr>
        <w:t>Gotschalck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Sunesen</w:t>
      </w:r>
      <w:proofErr w:type="spellEnd"/>
      <w:r>
        <w:rPr>
          <w:rFonts w:ascii="Book Antiqua" w:eastAsia="Book Antiqua" w:hAnsi="Book Antiqua" w:cs="Book Antiqua"/>
          <w:color w:val="000000"/>
        </w:rPr>
        <w:t xml:space="preserve"> K, Lin CJ, Zimmermann BG, </w:t>
      </w:r>
      <w:proofErr w:type="spellStart"/>
      <w:r>
        <w:rPr>
          <w:rFonts w:ascii="Book Antiqua" w:eastAsia="Book Antiqua" w:hAnsi="Book Antiqua" w:cs="Book Antiqua"/>
          <w:color w:val="000000"/>
        </w:rPr>
        <w:t>Lindbjerg</w:t>
      </w:r>
      <w:proofErr w:type="spellEnd"/>
      <w:r>
        <w:rPr>
          <w:rFonts w:ascii="Book Antiqua" w:eastAsia="Book Antiqua" w:hAnsi="Book Antiqua" w:cs="Book Antiqua"/>
          <w:color w:val="000000"/>
        </w:rPr>
        <w:t xml:space="preserve"> Andersen C. Analysis of Plasma Cell-Free DNA by Ultradeep Sequencing in Patients With Stages I to III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1124-1131 [PMID: 31070691 DOI: 10.1001/jamaoncol.2019.0528]</w:t>
      </w:r>
    </w:p>
    <w:p w14:paraId="3242C0BA" w14:textId="77777777" w:rsidR="00A77B3E" w:rsidRDefault="00E33DE9">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Tarazona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Gimeno-Valiente</w:t>
      </w:r>
      <w:proofErr w:type="spellEnd"/>
      <w:r>
        <w:rPr>
          <w:rFonts w:ascii="Book Antiqua" w:eastAsia="Book Antiqua" w:hAnsi="Book Antiqua" w:cs="Book Antiqua"/>
          <w:color w:val="000000"/>
        </w:rPr>
        <w:t xml:space="preserve"> F, Gambardella V, </w:t>
      </w:r>
      <w:proofErr w:type="spellStart"/>
      <w:r>
        <w:rPr>
          <w:rFonts w:ascii="Book Antiqua" w:eastAsia="Book Antiqua" w:hAnsi="Book Antiqua" w:cs="Book Antiqua"/>
          <w:color w:val="000000"/>
        </w:rPr>
        <w:t>Zuñiga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Rentero</w:t>
      </w:r>
      <w:proofErr w:type="spellEnd"/>
      <w:r>
        <w:rPr>
          <w:rFonts w:ascii="Book Antiqua" w:eastAsia="Book Antiqua" w:hAnsi="Book Antiqua" w:cs="Book Antiqua"/>
          <w:color w:val="000000"/>
        </w:rPr>
        <w:t xml:space="preserve">-Garrido P, Huerta M, </w:t>
      </w:r>
      <w:proofErr w:type="spellStart"/>
      <w:r>
        <w:rPr>
          <w:rFonts w:ascii="Book Antiqua" w:eastAsia="Book Antiqua" w:hAnsi="Book Antiqua" w:cs="Book Antiqua"/>
          <w:color w:val="000000"/>
        </w:rPr>
        <w:t>Roselló</w:t>
      </w:r>
      <w:proofErr w:type="spellEnd"/>
      <w:r>
        <w:rPr>
          <w:rFonts w:ascii="Book Antiqua" w:eastAsia="Book Antiqua" w:hAnsi="Book Antiqua" w:cs="Book Antiqua"/>
          <w:color w:val="000000"/>
        </w:rPr>
        <w:t xml:space="preserve"> S, Martinez-</w:t>
      </w:r>
      <w:proofErr w:type="spellStart"/>
      <w:r>
        <w:rPr>
          <w:rFonts w:ascii="Book Antiqua" w:eastAsia="Book Antiqua" w:hAnsi="Book Antiqua" w:cs="Book Antiqua"/>
          <w:color w:val="000000"/>
        </w:rPr>
        <w:t>Ciarpaglini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Carbonell-Asins</w:t>
      </w:r>
      <w:proofErr w:type="spellEnd"/>
      <w:r>
        <w:rPr>
          <w:rFonts w:ascii="Book Antiqua" w:eastAsia="Book Antiqua" w:hAnsi="Book Antiqua" w:cs="Book Antiqua"/>
          <w:color w:val="000000"/>
        </w:rPr>
        <w:t xml:space="preserve"> JA, Carrasco F, Ferrer-Martínez A, </w:t>
      </w:r>
      <w:proofErr w:type="spellStart"/>
      <w:r>
        <w:rPr>
          <w:rFonts w:ascii="Book Antiqua" w:eastAsia="Book Antiqua" w:hAnsi="Book Antiqua" w:cs="Book Antiqua"/>
          <w:color w:val="000000"/>
        </w:rPr>
        <w:t>Bruixola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Fleitas</w:t>
      </w:r>
      <w:proofErr w:type="spellEnd"/>
      <w:r>
        <w:rPr>
          <w:rFonts w:ascii="Book Antiqua" w:eastAsia="Book Antiqua" w:hAnsi="Book Antiqua" w:cs="Book Antiqua"/>
          <w:color w:val="000000"/>
        </w:rPr>
        <w:t xml:space="preserve"> T, Martín J, </w:t>
      </w:r>
      <w:proofErr w:type="spellStart"/>
      <w:r>
        <w:rPr>
          <w:rFonts w:ascii="Book Antiqua" w:eastAsia="Book Antiqua" w:hAnsi="Book Antiqua" w:cs="Book Antiqua"/>
          <w:color w:val="000000"/>
        </w:rPr>
        <w:t>Tébar</w:t>
      </w:r>
      <w:proofErr w:type="spellEnd"/>
      <w:r>
        <w:rPr>
          <w:rFonts w:ascii="Book Antiqua" w:eastAsia="Book Antiqua" w:hAnsi="Book Antiqua" w:cs="Book Antiqua"/>
          <w:color w:val="000000"/>
        </w:rPr>
        <w:t xml:space="preserve">-Martínez R, Moro D, Castillo J, </w:t>
      </w:r>
      <w:proofErr w:type="spellStart"/>
      <w:r>
        <w:rPr>
          <w:rFonts w:ascii="Book Antiqua" w:eastAsia="Book Antiqua" w:hAnsi="Book Antiqua" w:cs="Book Antiqua"/>
          <w:color w:val="000000"/>
        </w:rPr>
        <w:t>Espí</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D, Cervantes A. Targeted next-generation sequencing of circulating-tumor DNA for tracking minimal residual disease in localized colon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1804-1812 [PMID: 31562764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/mdz390]</w:t>
      </w:r>
    </w:p>
    <w:p w14:paraId="45E87909" w14:textId="77777777" w:rsidR="00A77B3E" w:rsidRDefault="00E33DE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Tie J</w:t>
      </w:r>
      <w:r>
        <w:rPr>
          <w:rFonts w:ascii="Book Antiqua" w:eastAsia="Book Antiqua" w:hAnsi="Book Antiqua" w:cs="Book Antiqua"/>
          <w:color w:val="000000"/>
        </w:rPr>
        <w:t xml:space="preserve">, Cohen JD, Wang Y, Christie M, Simons K, Lee M, Wong R, </w:t>
      </w:r>
      <w:proofErr w:type="spellStart"/>
      <w:r>
        <w:rPr>
          <w:rFonts w:ascii="Book Antiqua" w:eastAsia="Book Antiqua" w:hAnsi="Book Antiqua" w:cs="Book Antiqua"/>
          <w:color w:val="000000"/>
        </w:rPr>
        <w:t>Kosmider</w:t>
      </w:r>
      <w:proofErr w:type="spellEnd"/>
      <w:r>
        <w:rPr>
          <w:rFonts w:ascii="Book Antiqua" w:eastAsia="Book Antiqua" w:hAnsi="Book Antiqua" w:cs="Book Antiqua"/>
          <w:color w:val="000000"/>
        </w:rPr>
        <w:t xml:space="preserve"> S, Ananda S, McKendrick J, Lee B, Cho JH, Faragher I, Jones IT,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Schaeffer MJ, Silliman N, Dobbyn L, Li L, Tomasetti C,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Gibbs P. Circulating Tumor DNA Analyses as Markers of Recurrence Risk and Benefit of Adjuvant Therapy for Stage III Colon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1710-1717 [PMID: 31621801 DOI: 10.1001/jamaoncol.2019.3616]</w:t>
      </w:r>
    </w:p>
    <w:p w14:paraId="02782378" w14:textId="77777777" w:rsidR="00A77B3E" w:rsidRDefault="00E33DE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L, Cohen JD, Kinde I,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Schaefer J, Silliman N, Dobbyn L, Tie J, Gibbs P, Tomasetti C,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Papadopoulos N, Vogelstein B, Olsson L. Prognostic Potential of Circulating Tumor DNA Measurement in Postoperative Surveillance of Nonmetastatic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1118-1123 [PMID: 31070668 DOI: 10.1001/jamaoncol.2019.0512]</w:t>
      </w:r>
    </w:p>
    <w:p w14:paraId="55F553DC" w14:textId="77777777" w:rsidR="00A77B3E" w:rsidRDefault="00E33DE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Max Ma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Hurwitz HI, Ju C, Lee JJ, Lovejoy A, </w:t>
      </w:r>
      <w:proofErr w:type="spellStart"/>
      <w:r>
        <w:rPr>
          <w:rFonts w:ascii="Book Antiqua" w:eastAsia="Book Antiqua" w:hAnsi="Book Antiqua" w:cs="Book Antiqua"/>
          <w:color w:val="000000"/>
        </w:rPr>
        <w:t>Mancao</w:t>
      </w:r>
      <w:proofErr w:type="spellEnd"/>
      <w:r>
        <w:rPr>
          <w:rFonts w:ascii="Book Antiqua" w:eastAsia="Book Antiqua" w:hAnsi="Book Antiqua" w:cs="Book Antiqua"/>
          <w:color w:val="000000"/>
        </w:rPr>
        <w:t xml:space="preserve"> C, Nicholas A, Price R, Sommer N, </w:t>
      </w:r>
      <w:proofErr w:type="spellStart"/>
      <w:r>
        <w:rPr>
          <w:rFonts w:ascii="Book Antiqua" w:eastAsia="Book Antiqua" w:hAnsi="Book Antiqua" w:cs="Book Antiqua"/>
          <w:color w:val="000000"/>
        </w:rPr>
        <w:t>Tikoo</w:t>
      </w:r>
      <w:proofErr w:type="spellEnd"/>
      <w:r>
        <w:rPr>
          <w:rFonts w:ascii="Book Antiqua" w:eastAsia="Book Antiqua" w:hAnsi="Book Antiqua" w:cs="Book Antiqua"/>
          <w:color w:val="000000"/>
        </w:rPr>
        <w:t xml:space="preserve"> N, Yao L, </w:t>
      </w:r>
      <w:proofErr w:type="spellStart"/>
      <w:r>
        <w:rPr>
          <w:rFonts w:ascii="Book Antiqua" w:eastAsia="Book Antiqua" w:hAnsi="Book Antiqua" w:cs="Book Antiqua"/>
          <w:color w:val="000000"/>
        </w:rPr>
        <w:t>Yaung</w:t>
      </w:r>
      <w:proofErr w:type="spellEnd"/>
      <w:r>
        <w:rPr>
          <w:rFonts w:ascii="Book Antiqua" w:eastAsia="Book Antiqua" w:hAnsi="Book Antiqua" w:cs="Book Antiqua"/>
          <w:color w:val="000000"/>
        </w:rPr>
        <w:t xml:space="preserve"> SJ, Palma JF. Disease Monitoring Using Post-induction Circulating Tumor DNA Analysis Following First-Line Therapy in Patients with Metastatic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4010-4017 [PMID: 32220893 DOI: 10.1158/1078-0432.CCR-19-1209]</w:t>
      </w:r>
    </w:p>
    <w:p w14:paraId="3F9F11A4" w14:textId="77777777" w:rsidR="00A77B3E" w:rsidRDefault="00E33DE9">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Siravegna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Buscarino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Ponzetti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Lamba S, </w:t>
      </w:r>
      <w:proofErr w:type="spellStart"/>
      <w:r>
        <w:rPr>
          <w:rFonts w:ascii="Book Antiqua" w:eastAsia="Book Antiqua" w:hAnsi="Book Antiqua" w:cs="Book Antiqua"/>
          <w:color w:val="000000"/>
        </w:rPr>
        <w:t>Hobor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Avallone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Rospo</w:t>
      </w:r>
      <w:proofErr w:type="spellEnd"/>
      <w:r>
        <w:rPr>
          <w:rFonts w:ascii="Book Antiqua" w:eastAsia="Book Antiqua" w:hAnsi="Book Antiqua" w:cs="Book Antiqua"/>
          <w:color w:val="000000"/>
        </w:rPr>
        <w:t xml:space="preserve"> G, Medico E, Motta V,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Tatangelo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Bellosillo</w:t>
      </w:r>
      <w:proofErr w:type="spellEnd"/>
      <w:r>
        <w:rPr>
          <w:rFonts w:ascii="Book Antiqua" w:eastAsia="Book Antiqua" w:hAnsi="Book Antiqua" w:cs="Book Antiqua"/>
          <w:color w:val="000000"/>
        </w:rPr>
        <w:t xml:space="preserve"> B, Veronese S, </w:t>
      </w:r>
      <w:proofErr w:type="spellStart"/>
      <w:r>
        <w:rPr>
          <w:rFonts w:ascii="Book Antiqua" w:eastAsia="Book Antiqua" w:hAnsi="Book Antiqua" w:cs="Book Antiqua"/>
          <w:color w:val="000000"/>
        </w:rPr>
        <w:t>Budillon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Falcone A, Corcoran RB,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Siena S,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Clonal evolution and resistance to EGFR blockade in the blood of colorectal cancer patients.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795-801 [PMID: 26030179 DOI: 10.1038/nm.3870]</w:t>
      </w:r>
    </w:p>
    <w:p w14:paraId="54748E94" w14:textId="77777777" w:rsidR="00A77B3E" w:rsidRDefault="00E33DE9">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Parseghian CM</w:t>
      </w:r>
      <w:r>
        <w:rPr>
          <w:rFonts w:ascii="Book Antiqua" w:eastAsia="Book Antiqua" w:hAnsi="Book Antiqua" w:cs="Book Antiqua"/>
          <w:color w:val="000000"/>
        </w:rPr>
        <w:t xml:space="preserve">, Loree JM, Morris VK, Liu X, Clifton KK, Napolitano S, Henry JT, Pereira AA, </w:t>
      </w: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 E, Johnson B, Kee B, Raghav K,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A, Wu J, Garg N, Raymond VM, Banks KC, </w:t>
      </w:r>
      <w:proofErr w:type="spellStart"/>
      <w:r>
        <w:rPr>
          <w:rFonts w:ascii="Book Antiqua" w:eastAsia="Book Antiqua" w:hAnsi="Book Antiqua" w:cs="Book Antiqua"/>
          <w:color w:val="000000"/>
        </w:rPr>
        <w:t>Talasaz</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Strickler JH, Hong DS, Corcoran RB, Overman MJ,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Anti-EGFR-resistant clones decay exponentially after progression: implications for anti-EGFR re-challenge.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243-249 [PMID: 30462160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/mdy509]</w:t>
      </w:r>
    </w:p>
    <w:p w14:paraId="168EA0FB" w14:textId="77777777" w:rsidR="00A77B3E" w:rsidRDefault="00E33DE9">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Dasari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Morris VK, Allegra CJ,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 Benson AB 3rd, Boland P, Chung K, </w:t>
      </w:r>
      <w:proofErr w:type="spellStart"/>
      <w:r>
        <w:rPr>
          <w:rFonts w:ascii="Book Antiqua" w:eastAsia="Book Antiqua" w:hAnsi="Book Antiqua" w:cs="Book Antiqua"/>
          <w:color w:val="000000"/>
        </w:rPr>
        <w:t>Copur</w:t>
      </w:r>
      <w:proofErr w:type="spellEnd"/>
      <w:r>
        <w:rPr>
          <w:rFonts w:ascii="Book Antiqua" w:eastAsia="Book Antiqua" w:hAnsi="Book Antiqua" w:cs="Book Antiqua"/>
          <w:color w:val="000000"/>
        </w:rPr>
        <w:t xml:space="preserve"> MS, Corcoran RB, Deming DA, Dwyer A, </w:t>
      </w:r>
      <w:proofErr w:type="spellStart"/>
      <w:r>
        <w:rPr>
          <w:rFonts w:ascii="Book Antiqua" w:eastAsia="Book Antiqua" w:hAnsi="Book Antiqua" w:cs="Book Antiqua"/>
          <w:color w:val="000000"/>
        </w:rPr>
        <w:t>Diehn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George TJ,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MJ, Goodwin RA, Hamilton SR,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Hochster H, Hong TS,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Iqbal A, Jacobs SA, </w:t>
      </w:r>
      <w:proofErr w:type="spellStart"/>
      <w:r>
        <w:rPr>
          <w:rFonts w:ascii="Book Antiqua" w:eastAsia="Book Antiqua" w:hAnsi="Book Antiqua" w:cs="Book Antiqua"/>
          <w:color w:val="000000"/>
        </w:rPr>
        <w:t>Kennecke</w:t>
      </w:r>
      <w:proofErr w:type="spellEnd"/>
      <w:r>
        <w:rPr>
          <w:rFonts w:ascii="Book Antiqua" w:eastAsia="Book Antiqua" w:hAnsi="Book Antiqua" w:cs="Book Antiqua"/>
          <w:color w:val="000000"/>
        </w:rPr>
        <w:t xml:space="preserve"> HF, Lee JJ, Lieu CH, Lenz HJ, </w:t>
      </w:r>
      <w:proofErr w:type="spellStart"/>
      <w:r>
        <w:rPr>
          <w:rFonts w:ascii="Book Antiqua" w:eastAsia="Book Antiqua" w:hAnsi="Book Antiqua" w:cs="Book Antiqua"/>
          <w:color w:val="000000"/>
        </w:rPr>
        <w:t>Lindwasser</w:t>
      </w:r>
      <w:proofErr w:type="spellEnd"/>
      <w:r>
        <w:rPr>
          <w:rFonts w:ascii="Book Antiqua" w:eastAsia="Book Antiqua" w:hAnsi="Book Antiqua" w:cs="Book Antiqua"/>
          <w:color w:val="000000"/>
        </w:rPr>
        <w:t xml:space="preserve"> OW,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Odisio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FS, Porter L, Raghav K,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Scott AJ, Shi Q, Strickler JH,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 Yaeger R, </w:t>
      </w:r>
      <w:proofErr w:type="spellStart"/>
      <w:r>
        <w:rPr>
          <w:rFonts w:ascii="Book Antiqua" w:eastAsia="Book Antiqua" w:hAnsi="Book Antiqua" w:cs="Book Antiqua"/>
          <w:color w:val="000000"/>
        </w:rPr>
        <w:t>Yothers</w:t>
      </w:r>
      <w:proofErr w:type="spellEnd"/>
      <w:r>
        <w:rPr>
          <w:rFonts w:ascii="Book Antiqua" w:eastAsia="Book Antiqua" w:hAnsi="Book Antiqua" w:cs="Book Antiqua"/>
          <w:color w:val="000000"/>
        </w:rPr>
        <w:t xml:space="preserve"> G, You YN, Zell JA,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ctDNA applications and integration in colorectal cancer: an NCI Colon and Rectal-Anal Task Forces whitepaper.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757-770 [PMID: 32632268 DOI: 10.1038/s41571-020-0392-0]</w:t>
      </w:r>
    </w:p>
    <w:p w14:paraId="78C26F2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2F57A7" w14:textId="77777777" w:rsidR="00A77B3E" w:rsidRDefault="00E33DE9">
      <w:pPr>
        <w:spacing w:line="360" w:lineRule="auto"/>
        <w:jc w:val="both"/>
      </w:pPr>
      <w:r>
        <w:rPr>
          <w:rFonts w:ascii="Book Antiqua" w:eastAsia="Book Antiqua" w:hAnsi="Book Antiqua" w:cs="Book Antiqua"/>
          <w:b/>
          <w:color w:val="000000"/>
        </w:rPr>
        <w:t>Footnotes</w:t>
      </w:r>
    </w:p>
    <w:p w14:paraId="714280E6" w14:textId="77777777" w:rsidR="00A77B3E" w:rsidRDefault="00E33DE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interests for this article.</w:t>
      </w:r>
    </w:p>
    <w:p w14:paraId="1F57F297" w14:textId="77777777" w:rsidR="00A77B3E" w:rsidRDefault="00A77B3E">
      <w:pPr>
        <w:spacing w:line="360" w:lineRule="auto"/>
        <w:jc w:val="both"/>
      </w:pPr>
    </w:p>
    <w:p w14:paraId="0C02483A" w14:textId="77777777" w:rsidR="00A77B3E" w:rsidRDefault="00E33DE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99837B" w14:textId="77777777" w:rsidR="00A77B3E" w:rsidRDefault="00A77B3E">
      <w:pPr>
        <w:spacing w:line="360" w:lineRule="auto"/>
        <w:jc w:val="both"/>
      </w:pPr>
    </w:p>
    <w:p w14:paraId="7255D82D" w14:textId="6742DD02" w:rsidR="00A77B3E" w:rsidRDefault="00E33DE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D6356">
        <w:rPr>
          <w:rFonts w:ascii="Book Antiqua" w:eastAsia="Book Antiqua" w:hAnsi="Book Antiqua" w:cs="Book Antiqua"/>
          <w:color w:val="000000"/>
        </w:rPr>
        <w:t>manu</w:t>
      </w:r>
      <w:r>
        <w:rPr>
          <w:rFonts w:ascii="Book Antiqua" w:eastAsia="Book Antiqua" w:hAnsi="Book Antiqua" w:cs="Book Antiqua"/>
          <w:color w:val="000000"/>
        </w:rPr>
        <w:t>script</w:t>
      </w:r>
    </w:p>
    <w:p w14:paraId="0B258FCA" w14:textId="77777777" w:rsidR="00CA1AED" w:rsidRDefault="00CA1AED">
      <w:pPr>
        <w:spacing w:line="360" w:lineRule="auto"/>
        <w:jc w:val="both"/>
      </w:pPr>
    </w:p>
    <w:p w14:paraId="62533606" w14:textId="749A38EA" w:rsidR="00A77B3E" w:rsidRPr="005D651B" w:rsidRDefault="00E33DE9">
      <w:pPr>
        <w:spacing w:line="360" w:lineRule="auto"/>
        <w:jc w:val="both"/>
      </w:pPr>
      <w:r>
        <w:rPr>
          <w:rFonts w:ascii="Book Antiqua" w:eastAsia="Book Antiqua" w:hAnsi="Book Antiqua" w:cs="Book Antiqua"/>
          <w:b/>
          <w:color w:val="000000"/>
        </w:rPr>
        <w:t xml:space="preserve">Corresponding Author's Membership in Professional Societies: </w:t>
      </w:r>
      <w:r w:rsidR="005D651B" w:rsidRPr="00FE5C67">
        <w:rPr>
          <w:rFonts w:ascii="Book Antiqua" w:eastAsia="Book Antiqua" w:hAnsi="Book Antiqua" w:cs="Book Antiqua"/>
          <w:color w:val="000000"/>
        </w:rPr>
        <w:t>European Society for Medical Oncology (</w:t>
      </w:r>
      <w:r w:rsidRPr="00CE786D">
        <w:rPr>
          <w:rFonts w:ascii="Book Antiqua" w:eastAsia="Book Antiqua" w:hAnsi="Book Antiqua" w:cs="Book Antiqua"/>
          <w:color w:val="000000"/>
        </w:rPr>
        <w:t>ESMO</w:t>
      </w:r>
      <w:r w:rsidR="005D651B" w:rsidRPr="005D651B">
        <w:rPr>
          <w:rFonts w:ascii="Book Antiqua" w:eastAsia="Book Antiqua" w:hAnsi="Book Antiqua" w:cs="Book Antiqua"/>
          <w:color w:val="000000"/>
        </w:rPr>
        <w:t>)</w:t>
      </w:r>
      <w:r w:rsidRPr="00CE786D">
        <w:rPr>
          <w:rFonts w:ascii="Book Antiqua" w:eastAsia="Book Antiqua" w:hAnsi="Book Antiqua" w:cs="Book Antiqua"/>
          <w:color w:val="000000"/>
        </w:rPr>
        <w:t xml:space="preserve">, </w:t>
      </w:r>
      <w:r w:rsidR="00F017BA">
        <w:rPr>
          <w:rFonts w:ascii="Book Antiqua" w:hAnsi="Book Antiqua" w:cs="Book Antiqua" w:hint="eastAsia"/>
          <w:color w:val="000000"/>
          <w:lang w:eastAsia="zh-CN"/>
        </w:rPr>
        <w:t xml:space="preserve">No. </w:t>
      </w:r>
      <w:r w:rsidRPr="00CE786D">
        <w:rPr>
          <w:rFonts w:ascii="Book Antiqua" w:eastAsia="Book Antiqua" w:hAnsi="Book Antiqua" w:cs="Book Antiqua"/>
          <w:color w:val="000000"/>
        </w:rPr>
        <w:t>6102.</w:t>
      </w:r>
    </w:p>
    <w:p w14:paraId="2D4C71CD" w14:textId="77777777" w:rsidR="00A77B3E" w:rsidRDefault="00A77B3E">
      <w:pPr>
        <w:spacing w:line="360" w:lineRule="auto"/>
        <w:jc w:val="both"/>
      </w:pPr>
    </w:p>
    <w:p w14:paraId="68B69558" w14:textId="77777777" w:rsidR="00A77B3E" w:rsidRDefault="00E33DE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3F8C42EF" w14:textId="77777777" w:rsidR="00A77B3E" w:rsidRDefault="00E33DE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2F0AF3B" w14:textId="77777777" w:rsidR="00A77B3E" w:rsidRDefault="00E33DE9">
      <w:pPr>
        <w:spacing w:line="360" w:lineRule="auto"/>
        <w:jc w:val="both"/>
      </w:pPr>
      <w:r>
        <w:rPr>
          <w:rFonts w:ascii="Book Antiqua" w:eastAsia="Book Antiqua" w:hAnsi="Book Antiqua" w:cs="Book Antiqua"/>
          <w:b/>
          <w:color w:val="000000"/>
        </w:rPr>
        <w:t xml:space="preserve">Article in press: </w:t>
      </w:r>
    </w:p>
    <w:p w14:paraId="667F2D31" w14:textId="77777777" w:rsidR="00A77B3E" w:rsidRDefault="00A77B3E">
      <w:pPr>
        <w:spacing w:line="360" w:lineRule="auto"/>
        <w:jc w:val="both"/>
      </w:pPr>
    </w:p>
    <w:p w14:paraId="37F5AAF0" w14:textId="77777777" w:rsidR="00A77B3E" w:rsidRDefault="00E33DE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6AB8683" w14:textId="77777777" w:rsidR="00A77B3E" w:rsidRDefault="00E33DE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D543AD0" w14:textId="77777777" w:rsidR="00A77B3E" w:rsidRDefault="00E33DE9">
      <w:pPr>
        <w:spacing w:line="360" w:lineRule="auto"/>
        <w:jc w:val="both"/>
      </w:pPr>
      <w:r>
        <w:rPr>
          <w:rFonts w:ascii="Book Antiqua" w:eastAsia="Book Antiqua" w:hAnsi="Book Antiqua" w:cs="Book Antiqua"/>
          <w:b/>
          <w:color w:val="000000"/>
        </w:rPr>
        <w:t>Peer-review report’s scientific quality classification</w:t>
      </w:r>
    </w:p>
    <w:p w14:paraId="036114A2" w14:textId="77777777" w:rsidR="00A77B3E" w:rsidRDefault="00E33DE9">
      <w:pPr>
        <w:spacing w:line="360" w:lineRule="auto"/>
        <w:jc w:val="both"/>
      </w:pPr>
      <w:r>
        <w:rPr>
          <w:rFonts w:ascii="Book Antiqua" w:eastAsia="Book Antiqua" w:hAnsi="Book Antiqua" w:cs="Book Antiqua"/>
          <w:color w:val="000000"/>
        </w:rPr>
        <w:t>Grade A (Excellent): A</w:t>
      </w:r>
    </w:p>
    <w:p w14:paraId="3E6140E0" w14:textId="77777777" w:rsidR="00A77B3E" w:rsidRDefault="00E33DE9">
      <w:pPr>
        <w:spacing w:line="360" w:lineRule="auto"/>
        <w:jc w:val="both"/>
      </w:pPr>
      <w:r>
        <w:rPr>
          <w:rFonts w:ascii="Book Antiqua" w:eastAsia="Book Antiqua" w:hAnsi="Book Antiqua" w:cs="Book Antiqua"/>
          <w:color w:val="000000"/>
        </w:rPr>
        <w:t>Grade B (Very good): 0</w:t>
      </w:r>
    </w:p>
    <w:p w14:paraId="3402A9CB" w14:textId="77777777" w:rsidR="00A77B3E" w:rsidRDefault="00E33DE9">
      <w:pPr>
        <w:spacing w:line="360" w:lineRule="auto"/>
        <w:jc w:val="both"/>
      </w:pPr>
      <w:r>
        <w:rPr>
          <w:rFonts w:ascii="Book Antiqua" w:eastAsia="Book Antiqua" w:hAnsi="Book Antiqua" w:cs="Book Antiqua"/>
          <w:color w:val="000000"/>
        </w:rPr>
        <w:t>Grade C (Good): 0</w:t>
      </w:r>
    </w:p>
    <w:p w14:paraId="6538911C" w14:textId="77777777" w:rsidR="00A77B3E" w:rsidRDefault="00E33DE9">
      <w:pPr>
        <w:spacing w:line="360" w:lineRule="auto"/>
        <w:jc w:val="both"/>
      </w:pPr>
      <w:r>
        <w:rPr>
          <w:rFonts w:ascii="Book Antiqua" w:eastAsia="Book Antiqua" w:hAnsi="Book Antiqua" w:cs="Book Antiqua"/>
          <w:color w:val="000000"/>
        </w:rPr>
        <w:t>Grade D (Fair): 0</w:t>
      </w:r>
    </w:p>
    <w:p w14:paraId="4623BA23" w14:textId="77777777" w:rsidR="00A77B3E" w:rsidRDefault="00E33DE9">
      <w:pPr>
        <w:spacing w:line="360" w:lineRule="auto"/>
        <w:jc w:val="both"/>
      </w:pPr>
      <w:r>
        <w:rPr>
          <w:rFonts w:ascii="Book Antiqua" w:eastAsia="Book Antiqua" w:hAnsi="Book Antiqua" w:cs="Book Antiqua"/>
          <w:color w:val="000000"/>
        </w:rPr>
        <w:t>Grade E (Poor): 0</w:t>
      </w:r>
    </w:p>
    <w:p w14:paraId="63A897D2" w14:textId="77777777" w:rsidR="00A77B3E" w:rsidRDefault="00A77B3E">
      <w:pPr>
        <w:spacing w:line="360" w:lineRule="auto"/>
        <w:jc w:val="both"/>
      </w:pPr>
    </w:p>
    <w:p w14:paraId="1A9AD821" w14:textId="77777777" w:rsidR="00A77B3E" w:rsidRDefault="00E33D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Qin 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5D53B97" w14:textId="0FC1D87C" w:rsidR="00A032C2" w:rsidRDefault="00A032C2">
      <w:pPr>
        <w:spacing w:line="360" w:lineRule="auto"/>
        <w:jc w:val="both"/>
        <w:sectPr w:rsidR="00A032C2">
          <w:pgSz w:w="12240" w:h="15840"/>
          <w:pgMar w:top="1440" w:right="1440" w:bottom="1440" w:left="1440" w:header="720" w:footer="720" w:gutter="0"/>
          <w:cols w:space="720"/>
          <w:docGrid w:linePitch="360"/>
        </w:sectPr>
      </w:pPr>
    </w:p>
    <w:p w14:paraId="705BE3B3" w14:textId="77777777" w:rsidR="00A77B3E" w:rsidRDefault="00E33DE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03B2DAF" w14:textId="77777777" w:rsidR="00AD6356" w:rsidRPr="00AD6356" w:rsidRDefault="00AD6356">
      <w:pPr>
        <w:spacing w:line="360" w:lineRule="auto"/>
        <w:jc w:val="both"/>
        <w:rPr>
          <w:lang w:eastAsia="zh-CN"/>
        </w:rPr>
      </w:pPr>
      <w:r>
        <w:rPr>
          <w:noProof/>
          <w:lang w:eastAsia="zh-CN"/>
        </w:rPr>
        <w:drawing>
          <wp:inline distT="0" distB="0" distL="0" distR="0" wp14:anchorId="446E8B99" wp14:editId="5FEE3D47">
            <wp:extent cx="5486400" cy="4131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31310"/>
                    </a:xfrm>
                    <a:prstGeom prst="rect">
                      <a:avLst/>
                    </a:prstGeom>
                  </pic:spPr>
                </pic:pic>
              </a:graphicData>
            </a:graphic>
          </wp:inline>
        </w:drawing>
      </w:r>
    </w:p>
    <w:p w14:paraId="49545C87" w14:textId="008E2423" w:rsidR="00A77B3E" w:rsidRPr="00AD6356" w:rsidRDefault="00E33DE9">
      <w:pPr>
        <w:spacing w:line="360" w:lineRule="auto"/>
        <w:jc w:val="both"/>
        <w:rPr>
          <w:lang w:eastAsia="zh-CN"/>
        </w:rPr>
      </w:pPr>
      <w:r>
        <w:rPr>
          <w:rFonts w:ascii="Book Antiqua" w:eastAsia="Book Antiqua" w:hAnsi="Book Antiqua" w:cs="Book Antiqua"/>
          <w:b/>
          <w:bCs/>
          <w:color w:val="000000"/>
        </w:rPr>
        <w:t xml:space="preserve">Figure 1 Molecular cascades underlying colorectal cancer responsiveness and resistance to targeted therapy. </w:t>
      </w:r>
      <w:r>
        <w:rPr>
          <w:rFonts w:ascii="Book Antiqua" w:eastAsia="Book Antiqua" w:hAnsi="Book Antiqua" w:cs="Book Antiqua"/>
          <w:color w:val="000000"/>
        </w:rPr>
        <w:t>Virtually all colorectal cancers (CRCs) are characterized by upregulation of mitogen-activated protein kinases (MAPK) signaling pathway. If MAPK cascade is activated by epidermal growth factor receptor (EGFR) receptor, the administration of anti-EGFR therapeutic antibodies results in the cessation of tumor growth. There are instances of EGFR-independent activation of MAPK pathway caused by mutations in the molecules located downstream to EGFR (KRAS, NRAS or BRAF) or by collateral signaling (</w:t>
      </w:r>
      <w:r>
        <w:rPr>
          <w:rFonts w:ascii="Book Antiqua" w:eastAsia="Book Antiqua" w:hAnsi="Book Antiqua" w:cs="Book Antiqua"/>
          <w:i/>
          <w:iCs/>
          <w:color w:val="000000"/>
        </w:rPr>
        <w:t>e.g.</w:t>
      </w:r>
      <w:r>
        <w:rPr>
          <w:rFonts w:ascii="Book Antiqua" w:eastAsia="Book Antiqua" w:hAnsi="Book Antiqua" w:cs="Book Antiqua"/>
          <w:color w:val="000000"/>
        </w:rPr>
        <w:t>, HER2 overexpression); these CRCs are resistant to EGFR blockade, however they may be sensitive to appropriate targeted drugs.</w:t>
      </w:r>
      <w:r w:rsidR="00AD6356">
        <w:rPr>
          <w:rFonts w:ascii="Book Antiqua" w:hAnsi="Book Antiqua" w:cs="Book Antiqua" w:hint="eastAsia"/>
          <w:color w:val="000000"/>
          <w:lang w:eastAsia="zh-CN"/>
        </w:rPr>
        <w:t xml:space="preserve"> C</w:t>
      </w:r>
      <w:r w:rsidR="005D651B">
        <w:rPr>
          <w:rFonts w:ascii="Book Antiqua" w:hAnsi="Book Antiqua" w:cs="Book Antiqua"/>
          <w:color w:val="000000"/>
          <w:lang w:eastAsia="zh-CN"/>
        </w:rPr>
        <w:t>R</w:t>
      </w:r>
      <w:r w:rsidR="00AD6356">
        <w:rPr>
          <w:rFonts w:ascii="Book Antiqua" w:hAnsi="Book Antiqua" w:cs="Book Antiqua" w:hint="eastAsia"/>
          <w:color w:val="000000"/>
          <w:lang w:eastAsia="zh-CN"/>
        </w:rPr>
        <w:t xml:space="preserve">C: </w:t>
      </w:r>
      <w:r w:rsidR="00AD6356" w:rsidRPr="00AD6356">
        <w:rPr>
          <w:rFonts w:ascii="Book Antiqua" w:hAnsi="Book Antiqua" w:cs="Book Antiqua"/>
          <w:caps/>
          <w:color w:val="000000"/>
          <w:lang w:eastAsia="zh-CN"/>
        </w:rPr>
        <w:t>c</w:t>
      </w:r>
      <w:r w:rsidR="00AD6356" w:rsidRPr="00AD6356">
        <w:rPr>
          <w:rFonts w:ascii="Book Antiqua" w:hAnsi="Book Antiqua" w:cs="Book Antiqua"/>
          <w:color w:val="000000"/>
          <w:lang w:eastAsia="zh-CN"/>
        </w:rPr>
        <w:t>olorectal cancer</w:t>
      </w:r>
      <w:r w:rsidR="00AD6356">
        <w:rPr>
          <w:rFonts w:ascii="Book Antiqua" w:hAnsi="Book Antiqua" w:cs="Book Antiqua" w:hint="eastAsia"/>
          <w:color w:val="000000"/>
          <w:lang w:eastAsia="zh-CN"/>
        </w:rPr>
        <w:t xml:space="preserve">; </w:t>
      </w:r>
      <w:r w:rsidR="00AD6356">
        <w:rPr>
          <w:rFonts w:ascii="Book Antiqua" w:eastAsia="Book Antiqua" w:hAnsi="Book Antiqua" w:cs="Book Antiqua"/>
          <w:color w:val="000000"/>
        </w:rPr>
        <w:t>EGFR</w:t>
      </w:r>
      <w:r w:rsidR="00AD6356">
        <w:rPr>
          <w:rFonts w:ascii="Book Antiqua" w:hAnsi="Book Antiqua" w:cs="Book Antiqua" w:hint="eastAsia"/>
          <w:color w:val="000000"/>
          <w:lang w:eastAsia="zh-CN"/>
        </w:rPr>
        <w:t xml:space="preserve">: </w:t>
      </w:r>
      <w:r w:rsidR="00AD6356" w:rsidRPr="00AD6356">
        <w:rPr>
          <w:rFonts w:ascii="Book Antiqua" w:eastAsia="Book Antiqua" w:hAnsi="Book Antiqua" w:cs="Book Antiqua"/>
          <w:caps/>
          <w:color w:val="000000"/>
        </w:rPr>
        <w:t>e</w:t>
      </w:r>
      <w:r w:rsidR="00AD6356">
        <w:rPr>
          <w:rFonts w:ascii="Book Antiqua" w:eastAsia="Book Antiqua" w:hAnsi="Book Antiqua" w:cs="Book Antiqua"/>
          <w:color w:val="000000"/>
        </w:rPr>
        <w:t>pidermal growth factor receptor</w:t>
      </w:r>
      <w:r w:rsidR="00AD6356">
        <w:rPr>
          <w:rFonts w:ascii="Book Antiqua" w:hAnsi="Book Antiqua" w:cs="Book Antiqua" w:hint="eastAsia"/>
          <w:color w:val="000000"/>
          <w:lang w:eastAsia="zh-CN"/>
        </w:rPr>
        <w:t>.</w:t>
      </w:r>
    </w:p>
    <w:sectPr w:rsidR="00A77B3E" w:rsidRPr="00AD6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A515" w14:textId="77777777" w:rsidR="00D95CCC" w:rsidRDefault="00D95CCC" w:rsidP="00AD6356">
      <w:r>
        <w:separator/>
      </w:r>
    </w:p>
  </w:endnote>
  <w:endnote w:type="continuationSeparator" w:id="0">
    <w:p w14:paraId="046546E5" w14:textId="77777777" w:rsidR="00D95CCC" w:rsidRDefault="00D95CCC" w:rsidP="00A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831809"/>
      <w:docPartObj>
        <w:docPartGallery w:val="Page Numbers (Bottom of Page)"/>
        <w:docPartUnique/>
      </w:docPartObj>
    </w:sdtPr>
    <w:sdtEndPr/>
    <w:sdtContent>
      <w:sdt>
        <w:sdtPr>
          <w:id w:val="98381352"/>
          <w:docPartObj>
            <w:docPartGallery w:val="Page Numbers (Top of Page)"/>
            <w:docPartUnique/>
          </w:docPartObj>
        </w:sdtPr>
        <w:sdtEndPr/>
        <w:sdtContent>
          <w:p w14:paraId="0C91E8EC" w14:textId="2372330C" w:rsidR="00AD6356" w:rsidRDefault="00AD6356" w:rsidP="00AD6356">
            <w:pPr>
              <w:pStyle w:val="ac"/>
              <w:jc w:val="right"/>
            </w:pPr>
            <w:r w:rsidRPr="00AD6356">
              <w:rPr>
                <w:rFonts w:ascii="Book Antiqua" w:hAnsi="Book Antiqua"/>
                <w:sz w:val="24"/>
                <w:szCs w:val="24"/>
                <w:lang w:val="zh-CN" w:eastAsia="zh-CN"/>
              </w:rPr>
              <w:t xml:space="preserve"> </w:t>
            </w:r>
            <w:r w:rsidRPr="00AD6356">
              <w:rPr>
                <w:rFonts w:ascii="Book Antiqua" w:hAnsi="Book Antiqua"/>
                <w:b/>
                <w:bCs/>
                <w:sz w:val="24"/>
                <w:szCs w:val="24"/>
              </w:rPr>
              <w:fldChar w:fldCharType="begin"/>
            </w:r>
            <w:r w:rsidRPr="00AD6356">
              <w:rPr>
                <w:rFonts w:ascii="Book Antiqua" w:hAnsi="Book Antiqua"/>
                <w:b/>
                <w:bCs/>
                <w:sz w:val="24"/>
                <w:szCs w:val="24"/>
              </w:rPr>
              <w:instrText>PAGE</w:instrText>
            </w:r>
            <w:r w:rsidRPr="00AD6356">
              <w:rPr>
                <w:rFonts w:ascii="Book Antiqua" w:hAnsi="Book Antiqua"/>
                <w:b/>
                <w:bCs/>
                <w:sz w:val="24"/>
                <w:szCs w:val="24"/>
              </w:rPr>
              <w:fldChar w:fldCharType="separate"/>
            </w:r>
            <w:r w:rsidR="00F017BA">
              <w:rPr>
                <w:rFonts w:ascii="Book Antiqua" w:hAnsi="Book Antiqua"/>
                <w:b/>
                <w:bCs/>
                <w:noProof/>
                <w:sz w:val="24"/>
                <w:szCs w:val="24"/>
              </w:rPr>
              <w:t>1</w:t>
            </w:r>
            <w:r w:rsidRPr="00AD6356">
              <w:rPr>
                <w:rFonts w:ascii="Book Antiqua" w:hAnsi="Book Antiqua"/>
                <w:b/>
                <w:bCs/>
                <w:sz w:val="24"/>
                <w:szCs w:val="24"/>
              </w:rPr>
              <w:fldChar w:fldCharType="end"/>
            </w:r>
            <w:r w:rsidRPr="00AD6356">
              <w:rPr>
                <w:rFonts w:ascii="Book Antiqua" w:hAnsi="Book Antiqua"/>
                <w:sz w:val="24"/>
                <w:szCs w:val="24"/>
                <w:lang w:val="zh-CN" w:eastAsia="zh-CN"/>
              </w:rPr>
              <w:t xml:space="preserve"> / </w:t>
            </w:r>
            <w:r w:rsidRPr="00AD6356">
              <w:rPr>
                <w:rFonts w:ascii="Book Antiqua" w:hAnsi="Book Antiqua"/>
                <w:b/>
                <w:bCs/>
                <w:sz w:val="24"/>
                <w:szCs w:val="24"/>
              </w:rPr>
              <w:fldChar w:fldCharType="begin"/>
            </w:r>
            <w:r w:rsidRPr="00AD6356">
              <w:rPr>
                <w:rFonts w:ascii="Book Antiqua" w:hAnsi="Book Antiqua"/>
                <w:b/>
                <w:bCs/>
                <w:sz w:val="24"/>
                <w:szCs w:val="24"/>
              </w:rPr>
              <w:instrText>NUMPAGES</w:instrText>
            </w:r>
            <w:r w:rsidRPr="00AD6356">
              <w:rPr>
                <w:rFonts w:ascii="Book Antiqua" w:hAnsi="Book Antiqua"/>
                <w:b/>
                <w:bCs/>
                <w:sz w:val="24"/>
                <w:szCs w:val="24"/>
              </w:rPr>
              <w:fldChar w:fldCharType="separate"/>
            </w:r>
            <w:r w:rsidR="00F017BA">
              <w:rPr>
                <w:rFonts w:ascii="Book Antiqua" w:hAnsi="Book Antiqua"/>
                <w:b/>
                <w:bCs/>
                <w:noProof/>
                <w:sz w:val="24"/>
                <w:szCs w:val="24"/>
              </w:rPr>
              <w:t>36</w:t>
            </w:r>
            <w:r w:rsidRPr="00AD6356">
              <w:rPr>
                <w:rFonts w:ascii="Book Antiqua" w:hAnsi="Book Antiqua"/>
                <w:b/>
                <w:bCs/>
                <w:sz w:val="24"/>
                <w:szCs w:val="24"/>
              </w:rPr>
              <w:fldChar w:fldCharType="end"/>
            </w:r>
          </w:p>
        </w:sdtContent>
      </w:sdt>
    </w:sdtContent>
  </w:sdt>
  <w:p w14:paraId="54A16BCB" w14:textId="77777777" w:rsidR="00AD6356" w:rsidRDefault="00AD63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DC87" w14:textId="77777777" w:rsidR="00D95CCC" w:rsidRDefault="00D95CCC" w:rsidP="00AD6356">
      <w:r>
        <w:separator/>
      </w:r>
    </w:p>
  </w:footnote>
  <w:footnote w:type="continuationSeparator" w:id="0">
    <w:p w14:paraId="44208C8A" w14:textId="77777777" w:rsidR="00D95CCC" w:rsidRDefault="00D95CCC" w:rsidP="00AD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F4AC0"/>
    <w:rsid w:val="005D651B"/>
    <w:rsid w:val="00621AC3"/>
    <w:rsid w:val="006C4D4E"/>
    <w:rsid w:val="0070347F"/>
    <w:rsid w:val="00A032C2"/>
    <w:rsid w:val="00A77B3E"/>
    <w:rsid w:val="00AD6356"/>
    <w:rsid w:val="00CA1AED"/>
    <w:rsid w:val="00CA2A55"/>
    <w:rsid w:val="00CE786D"/>
    <w:rsid w:val="00D95CCC"/>
    <w:rsid w:val="00E33DE9"/>
    <w:rsid w:val="00F017BA"/>
    <w:rsid w:val="00FE5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3814B"/>
  <w15:docId w15:val="{FA8B844D-FAF0-4918-B414-B0834CE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D6356"/>
    <w:rPr>
      <w:sz w:val="21"/>
      <w:szCs w:val="21"/>
    </w:rPr>
  </w:style>
  <w:style w:type="paragraph" w:styleId="a4">
    <w:name w:val="annotation text"/>
    <w:basedOn w:val="a"/>
    <w:link w:val="a5"/>
    <w:rsid w:val="00AD6356"/>
  </w:style>
  <w:style w:type="character" w:customStyle="1" w:styleId="a5">
    <w:name w:val="批注文字 字符"/>
    <w:basedOn w:val="a0"/>
    <w:link w:val="a4"/>
    <w:rsid w:val="00AD6356"/>
    <w:rPr>
      <w:sz w:val="24"/>
      <w:szCs w:val="24"/>
    </w:rPr>
  </w:style>
  <w:style w:type="paragraph" w:styleId="a6">
    <w:name w:val="annotation subject"/>
    <w:basedOn w:val="a4"/>
    <w:next w:val="a4"/>
    <w:link w:val="a7"/>
    <w:rsid w:val="00AD6356"/>
    <w:rPr>
      <w:b/>
      <w:bCs/>
    </w:rPr>
  </w:style>
  <w:style w:type="character" w:customStyle="1" w:styleId="a7">
    <w:name w:val="批注主题 字符"/>
    <w:basedOn w:val="a5"/>
    <w:link w:val="a6"/>
    <w:rsid w:val="00AD6356"/>
    <w:rPr>
      <w:b/>
      <w:bCs/>
      <w:sz w:val="24"/>
      <w:szCs w:val="24"/>
    </w:rPr>
  </w:style>
  <w:style w:type="paragraph" w:styleId="a8">
    <w:name w:val="Balloon Text"/>
    <w:basedOn w:val="a"/>
    <w:link w:val="a9"/>
    <w:rsid w:val="00AD6356"/>
    <w:rPr>
      <w:sz w:val="18"/>
      <w:szCs w:val="18"/>
    </w:rPr>
  </w:style>
  <w:style w:type="character" w:customStyle="1" w:styleId="a9">
    <w:name w:val="批注框文本 字符"/>
    <w:basedOn w:val="a0"/>
    <w:link w:val="a8"/>
    <w:rsid w:val="00AD6356"/>
    <w:rPr>
      <w:sz w:val="18"/>
      <w:szCs w:val="18"/>
    </w:rPr>
  </w:style>
  <w:style w:type="paragraph" w:styleId="aa">
    <w:name w:val="header"/>
    <w:basedOn w:val="a"/>
    <w:link w:val="ab"/>
    <w:rsid w:val="00AD63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D6356"/>
    <w:rPr>
      <w:sz w:val="18"/>
      <w:szCs w:val="18"/>
    </w:rPr>
  </w:style>
  <w:style w:type="paragraph" w:styleId="ac">
    <w:name w:val="footer"/>
    <w:basedOn w:val="a"/>
    <w:link w:val="ad"/>
    <w:uiPriority w:val="99"/>
    <w:rsid w:val="00AD6356"/>
    <w:pPr>
      <w:tabs>
        <w:tab w:val="center" w:pos="4153"/>
        <w:tab w:val="right" w:pos="8306"/>
      </w:tabs>
      <w:snapToGrid w:val="0"/>
    </w:pPr>
    <w:rPr>
      <w:sz w:val="18"/>
      <w:szCs w:val="18"/>
    </w:rPr>
  </w:style>
  <w:style w:type="character" w:customStyle="1" w:styleId="ad">
    <w:name w:val="页脚 字符"/>
    <w:basedOn w:val="a0"/>
    <w:link w:val="ac"/>
    <w:uiPriority w:val="99"/>
    <w:rsid w:val="00AD63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5D89-360C-4032-A3BD-C987886A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10213</Words>
  <Characters>58217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Jin-Lei Wang</cp:lastModifiedBy>
  <cp:revision>8</cp:revision>
  <dcterms:created xsi:type="dcterms:W3CDTF">2021-08-22T10:45:00Z</dcterms:created>
  <dcterms:modified xsi:type="dcterms:W3CDTF">2021-08-24T08:12:00Z</dcterms:modified>
</cp:coreProperties>
</file>